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FA4253F-F1BB-4614-9867-96CFB8B07BA9" style="width:450.4pt;height:465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rPr>
          <w:noProof/>
        </w:rPr>
      </w:pPr>
      <w:r>
        <w:rPr>
          <w:noProof/>
        </w:rPr>
        <w:t>IV. ДОКЛАД НА НАУЧНИЯ ПОДКОМИТЕТ. Документ NS0456Eb (SSC/35 — доклад).</w:t>
      </w:r>
    </w:p>
    <w:p>
      <w:pPr>
        <w:pStyle w:val="Point0number"/>
        <w:numPr>
          <w:ilvl w:val="0"/>
          <w:numId w:val="11"/>
        </w:numPr>
        <w:rPr>
          <w:noProof/>
        </w:rPr>
      </w:pPr>
      <w:r>
        <w:rPr>
          <w:noProof/>
        </w:rPr>
        <w:t>Въпроси, по които трябва да се вземе решение (документ NC2708Ea):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Приложения A/1 и C/1: Класиране на нови продукти с международни непатентни наименования (INN) (списък 120). Съюзът следва да одобри 125-те класирания (ХС — издание от 2017 г.) и 3-те последващи прекласирания (ХС — издание от 2022 г.), препоръчани от Научния подкомитет.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Приложения A/2 и C/2: Класиране на нови продукти с международни непатентни наименования (INN) (списък 121). Съюзът следва да одобри 143-те класирания (ХС — издание от 2017 г.) и 15-те последващи прекласирания (ХС — издание от 2022 г.), препоръчани от Научния подкомитет. 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Приложения A/3 и C/3: Евентуално прекласиране на някои продукти с международни непатентни наименования (INN) вследствие на препоръка съгласно член 16 от 23 юни 2019 г. Съюзът следва да одобри последващите прекласирания (ХС — издание от 2022 г.) на 143-те продукта с международни непатентни наименования (INN), договорени от Научния подкомитет. 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Приложения B/1 и C/6: Решения, които са взети от Комитета по ХС на 63-ата и 64-ата му сесия и от Съвета на СМО на 133-ата и 134-ата му сесия и засягат работата на Научния подкомитет. Съюзът следва да одобри договорените от Научния подкомитет прекласирания на „zilucoplan“ и „etryptamine“ съответно в подпозиции 2933.79 и 2939.80.</w:t>
      </w:r>
    </w:p>
    <w:p>
      <w:pPr>
        <w:ind w:left="851"/>
        <w:rPr>
          <w:noProof/>
        </w:rPr>
      </w:pPr>
      <w:r>
        <w:rPr>
          <w:noProof/>
        </w:rPr>
        <w:t>Съюзът се съгласява с всички предложени класирания, тъй като те са в съответствие със сегашната политика на ЕС по отношение на класирането.</w:t>
      </w:r>
    </w:p>
    <w:p>
      <w:pPr>
        <w:pStyle w:val="Point0number"/>
        <w:rPr>
          <w:noProof/>
        </w:rPr>
      </w:pPr>
      <w:r>
        <w:rPr>
          <w:noProof/>
        </w:rPr>
        <w:t>Евентуално изменение на обяснителните бележки към глава 29 по отношение на списъка с упойващи вещества, психотропни вещества и прекурсори — документ NC2738Ea.</w:t>
      </w:r>
    </w:p>
    <w:p>
      <w:pPr>
        <w:ind w:left="851"/>
        <w:rPr>
          <w:noProof/>
        </w:rPr>
      </w:pPr>
      <w:r>
        <w:rPr>
          <w:noProof/>
        </w:rPr>
        <w:t>Съюзът се съгласява с предложението за изменение на ОБХС към глава 29 в съответствие със съвета на Научния подкомитет.</w:t>
      </w:r>
    </w:p>
    <w:p>
      <w:pPr>
        <w:rPr>
          <w:noProof/>
        </w:rPr>
      </w:pPr>
      <w:r>
        <w:rPr>
          <w:noProof/>
        </w:rPr>
        <w:t>V. ДОКЛАД НА ПОДКОМИТЕТА ПО ИЗМЕНЕНИЯТА НА ХС (документ NR1403E).</w:t>
      </w:r>
    </w:p>
    <w:p>
      <w:pPr>
        <w:pStyle w:val="Point0number"/>
        <w:numPr>
          <w:ilvl w:val="0"/>
          <w:numId w:val="17"/>
        </w:numPr>
        <w:rPr>
          <w:noProof/>
        </w:rPr>
      </w:pPr>
      <w:r>
        <w:rPr>
          <w:noProof/>
        </w:rPr>
        <w:t>Въпроси, по които трябва да се вземе решение (документ NC2709Ea):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Приложения D/6 и G/11: Евентуално изменение на обяснителната бележка към позиция 85.24 (ХС 2022).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Приложения D/7 и G/12: Евентуални изменения на обяснителните бележки към ХС 2022 по отношение на триизмерните принтери. 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Приложения E/14 и G/19: Изменение на обяснителните бележки към позиция 70.19 по отношение на стъклените влакна (ХС 2022). 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Приложения E/1—E/6, E/8—E/13, E/15—E/18, E/20, E/23 и G/1—G/6, G/8, G/13—G/18, G/21, G/22, G/24, G/27: Евентуално изменение на обяснителните бележки към раздели I, II, III, IV, V, VI, VII, VIII, IX, X, XI, XII, XIII, XIV, XV, XVI, XVII, XVIII, XX и XXI.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Приложения E/23 и G/27: Изменения на обяснителните бележки към глава 97 по отношение на някои артикули от културно естество (ХС 2022). </w:t>
      </w:r>
    </w:p>
    <w:p>
      <w:pPr>
        <w:pStyle w:val="Point0"/>
        <w:rPr>
          <w:noProof/>
        </w:rPr>
      </w:pPr>
      <w:r>
        <w:rPr>
          <w:noProof/>
        </w:rPr>
        <w:lastRenderedPageBreak/>
        <w:t>е)</w:t>
      </w:r>
      <w:r>
        <w:rPr>
          <w:noProof/>
        </w:rPr>
        <w:tab/>
        <w:t xml:space="preserve">Приложения E/24 и G/28: Изменения на Обяснителните бележки (общи правила за тълкуване — ОПТ). </w:t>
      </w:r>
    </w:p>
    <w:p>
      <w:pPr>
        <w:ind w:left="851"/>
        <w:rPr>
          <w:rFonts w:eastAsia="Times New Roman"/>
          <w:noProof/>
          <w:szCs w:val="24"/>
        </w:rPr>
      </w:pPr>
      <w:r>
        <w:rPr>
          <w:noProof/>
        </w:rPr>
        <w:t>Съюзът се съгласява с всички предложени изменения в документите, тъй като те отразяват сегашната политика на ЕС по отношение на класирането.</w:t>
      </w:r>
    </w:p>
    <w:p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 xml:space="preserve">Класиране в ХС 2022 на някои лични електрически изпарители, за еднократна употреба или презаредими (искане на Секретариата) — документ NC2710Eb. 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 1 в подпозиция 8543.70 в ХС 2017 и в подпозиция 8543.40 в ХС 2022. Продукт 2 следва да се класира в позиция 24.04 в ХС 2022, като се използва ОПТ 3, буква б), на базата на основния характер, придаван от течността за електронна цигара.</w:t>
      </w:r>
    </w:p>
    <w:p>
      <w:pPr>
        <w:pStyle w:val="Point0number"/>
        <w:rPr>
          <w:noProof/>
        </w:rPr>
      </w:pPr>
      <w:r>
        <w:rPr>
          <w:noProof/>
        </w:rPr>
        <w:t>Класиране в ХС 2022 на някои колекции и предмети за колекции, представляващи нумизматичен интерес (искане на Секретариата) — документ NC2711Ea.</w:t>
      </w:r>
    </w:p>
    <w:p>
      <w:pPr>
        <w:ind w:left="851"/>
        <w:rPr>
          <w:noProof/>
        </w:rPr>
      </w:pPr>
      <w:r>
        <w:rPr>
          <w:noProof/>
        </w:rPr>
        <w:t xml:space="preserve">Съюзът смята, че за да се определи класирането, е необходима допълнителна информация за продуктите. </w:t>
      </w:r>
    </w:p>
    <w:p>
      <w:pPr>
        <w:ind w:left="851"/>
        <w:rPr>
          <w:noProof/>
        </w:rPr>
      </w:pPr>
      <w:r>
        <w:rPr>
          <w:noProof/>
        </w:rPr>
        <w:t xml:space="preserve">Съюзът не се съгласява с предложението за изменение на ОБХС, тъй като за момента липсват уточнение и указания как да се направи разграничение между новите подпозиции в рамките на позиция 97.05. </w:t>
      </w:r>
    </w:p>
    <w:p>
      <w:pPr>
        <w:pStyle w:val="Point0number"/>
        <w:rPr>
          <w:noProof/>
        </w:rPr>
      </w:pPr>
      <w:r>
        <w:rPr>
          <w:noProof/>
        </w:rPr>
        <w:t>Класиране в ХС 2022 на пълнители за триизмерни принтери (искане на Секретариата) — документ NC2712Ea.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продуктите в глава 39 според материала, от който са направени, в съответствие с решението на Съда на ЕС по дело C-276/00. За да бъдат класирани продуктите на равнище подпозиция, е необходима допълнителна информация. Предложеното изменение на ОБХС следва да не се подкрепя, тъй като сегашната практика в ЕС е пълнителите за принтери да не се класират като части от принтери.</w:t>
      </w:r>
    </w:p>
    <w:p>
      <w:pPr>
        <w:pStyle w:val="Point0number"/>
        <w:rPr>
          <w:noProof/>
        </w:rPr>
      </w:pPr>
      <w:r>
        <w:rPr>
          <w:noProof/>
        </w:rPr>
        <w:t>Класиране в ХС 2022 на машина за листово ламиниране за адитивно производство — документ NC2744Ea.</w:t>
      </w:r>
    </w:p>
    <w:p>
      <w:pPr>
        <w:ind w:left="851"/>
        <w:rPr>
          <w:noProof/>
        </w:rPr>
      </w:pPr>
      <w:r>
        <w:rPr>
          <w:noProof/>
        </w:rPr>
        <w:t xml:space="preserve">Съюзът би класирал продукта в позиция 84.85 (вариант II). </w:t>
      </w:r>
    </w:p>
    <w:p>
      <w:pPr>
        <w:rPr>
          <w:noProof/>
        </w:rPr>
      </w:pPr>
      <w:r>
        <w:rPr>
          <w:noProof/>
        </w:rPr>
        <w:t xml:space="preserve">VI. ДОКЛАД НА ПРЕДСЕСИЙНАТА РАБОТНА ГРУПА — документ NC2714Ea и приложения А—Т. </w:t>
      </w:r>
    </w:p>
    <w:p>
      <w:pPr>
        <w:ind w:left="709" w:firstLine="11"/>
        <w:rPr>
          <w:noProof/>
        </w:rPr>
      </w:pPr>
      <w:r>
        <w:rPr>
          <w:noProof/>
        </w:rPr>
        <w:t>При условие че се въведат някои редакторски предложения, Съюзът приема текста, представен в приложения А—Т, със следните забележки:</w:t>
      </w:r>
    </w:p>
    <w:p>
      <w:pPr>
        <w:pStyle w:val="Point0number"/>
        <w:numPr>
          <w:ilvl w:val="0"/>
          <w:numId w:val="13"/>
        </w:numPr>
        <w:rPr>
          <w:noProof/>
        </w:rPr>
      </w:pPr>
      <w:r>
        <w:rPr>
          <w:noProof/>
        </w:rPr>
        <w:t>Изменение на Сборника с мнения за класиране, за да се отрази решението за класиране на продукта, наречен „Milka Oreo Sandwich“, в позиция 18.06 (подпозиция 1806.32).</w:t>
      </w:r>
    </w:p>
    <w:p>
      <w:pPr>
        <w:ind w:left="851"/>
        <w:rPr>
          <w:noProof/>
        </w:rPr>
      </w:pPr>
      <w:r>
        <w:rPr>
          <w:noProof/>
        </w:rPr>
        <w:t>Съюзът предлага да се заличи списъкът на съставките, който не е необходим за целите на класирането.</w:t>
      </w:r>
    </w:p>
    <w:p>
      <w:pPr>
        <w:pStyle w:val="Point0number"/>
        <w:numPr>
          <w:ilvl w:val="0"/>
          <w:numId w:val="13"/>
        </w:numPr>
        <w:rPr>
          <w:noProof/>
        </w:rPr>
      </w:pPr>
      <w:r>
        <w:rPr>
          <w:noProof/>
        </w:rPr>
        <w:t>Изменение на Сборника с мнения за класиране, за да се отрази решението за класиране на два вида тютюневи жили („Cut rolled expanded stem tobacco (CRES)“ — „Нарязани навити експанидрани тютюневи жили“ — и „Expanded tobacco stems (ETS)“ — „Експандирани тютюневи жили“) в позиция 24.03 (подпозиция 2403.99).</w:t>
      </w:r>
    </w:p>
    <w:p>
      <w:pPr>
        <w:ind w:left="851"/>
        <w:rPr>
          <w:noProof/>
        </w:rPr>
      </w:pPr>
      <w:r>
        <w:rPr>
          <w:noProof/>
        </w:rPr>
        <w:t>Съюзът настоява да се запази текстът „не може да се пуши директно“, тъй като той беше решаващият критерий за класиране.</w:t>
      </w:r>
    </w:p>
    <w:p>
      <w:pPr>
        <w:pStyle w:val="Point0number"/>
        <w:numPr>
          <w:ilvl w:val="0"/>
          <w:numId w:val="13"/>
        </w:numPr>
        <w:rPr>
          <w:noProof/>
        </w:rPr>
      </w:pPr>
      <w:r>
        <w:rPr>
          <w:noProof/>
        </w:rPr>
        <w:t>Изменение на Сборника с мнения за класиране, за да се отрази решението за класиране на твърдооксидни горивни клетки, наречени „Bloom Energy ES-5700“, в позиция 85.01 (подпозиция 8501.62).</w:t>
      </w:r>
    </w:p>
    <w:p>
      <w:pPr>
        <w:ind w:left="851"/>
        <w:rPr>
          <w:noProof/>
        </w:rPr>
      </w:pPr>
      <w:r>
        <w:rPr>
          <w:noProof/>
        </w:rPr>
        <w:t>Съюзът предлага да се използва описанието на продукта от текста в карето от първоначалния работен документ (документ NC2655E1b).</w:t>
      </w:r>
    </w:p>
    <w:p>
      <w:pPr>
        <w:rPr>
          <w:noProof/>
        </w:rPr>
      </w:pPr>
      <w:r>
        <w:rPr>
          <w:noProof/>
        </w:rPr>
        <w:t>VII. ИСКАНИЯ ЗА ПРЕРАЗГЛЕЖДАНЕ (РЕЗЕРВИ).</w:t>
      </w:r>
    </w:p>
    <w:p>
      <w:pPr>
        <w:pStyle w:val="Point0number"/>
        <w:numPr>
          <w:ilvl w:val="0"/>
          <w:numId w:val="14"/>
        </w:numPr>
        <w:rPr>
          <w:noProof/>
        </w:rPr>
      </w:pPr>
      <w:r>
        <w:rPr>
          <w:noProof/>
        </w:rPr>
        <w:t>Преразглеждане на класирането на някои диетични течни храни (продукти 1—5) (искане на Съединените щати) — документ NC2715Ea.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продуктите като напитки в позиция 22.02, в съответствие с решението на Съда на ЕС по дело С-114/80 и мнения за класиране 2202.99/2-4.</w:t>
      </w:r>
    </w:p>
    <w:p>
      <w:pPr>
        <w:pStyle w:val="Point0number"/>
        <w:rPr>
          <w:noProof/>
        </w:rPr>
      </w:pPr>
      <w:r>
        <w:rPr>
          <w:noProof/>
        </w:rPr>
        <w:t>Преразглеждане на класирането на устройство, наречено „Polar M430 GPS running watch with wrist-based heart rate monitor“ (искания на Съединените щати и Япония) — документ NC2716Ea.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продукта в подпозиция 9102.12 като ръчен часовник, в съответствие с обяснителните бележки към Комбинираната номенклатура, отнасящи се за позиция 91.02.</w:t>
      </w:r>
    </w:p>
    <w:p>
      <w:pPr>
        <w:pStyle w:val="Point0number"/>
        <w:rPr>
          <w:noProof/>
        </w:rPr>
      </w:pPr>
      <w:r>
        <w:rPr>
          <w:noProof/>
        </w:rPr>
        <w:t>Преразглеждане на класирането на апарат, наречен „Sterilizer Formaldehyde Formomat PL 349-2“ (искане на Украйна) — документ NC2717Ea.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продукта в позиция 84.19, тъй като тя е специално предназначена за стерилизатори. Протича промяна в температурата и това оказва важно въздействие върху процеса на стерилизиране. Апаратът не изпълнява никакви механични функции.</w:t>
      </w:r>
    </w:p>
    <w:p>
      <w:pPr>
        <w:pStyle w:val="Point0number"/>
        <w:rPr>
          <w:noProof/>
        </w:rPr>
      </w:pPr>
      <w:r>
        <w:rPr>
          <w:noProof/>
        </w:rPr>
        <w:t>Преразглеждане на класирането на два продукта, наречени „RF Generators and RF Matching Networks“ (искане на Корея) — документи NC2718Ea, NC2745Eb, NC2747Ea.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продуктите в позиция 84.86, защото те са идентифицируеми машини, използвани изключително или главно за производството на полупроводникови устройства.</w:t>
      </w:r>
    </w:p>
    <w:p>
      <w:pPr>
        <w:rPr>
          <w:noProof/>
        </w:rPr>
      </w:pPr>
      <w:r>
        <w:rPr>
          <w:noProof/>
        </w:rPr>
        <w:t>VIII. ДОПЪЛНИТЕЛНИ ПРОУЧВАНИЯ.</w:t>
      </w:r>
    </w:p>
    <w:p>
      <w:pPr>
        <w:pStyle w:val="Point0number"/>
        <w:numPr>
          <w:ilvl w:val="0"/>
          <w:numId w:val="15"/>
        </w:numPr>
        <w:rPr>
          <w:noProof/>
        </w:rPr>
      </w:pPr>
      <w:r>
        <w:rPr>
          <w:noProof/>
        </w:rPr>
        <w:t>Класиране на годни за консумация насекоми (предложение на Секретариата) — документ NC2719Ea.</w:t>
      </w:r>
    </w:p>
    <w:p>
      <w:pPr>
        <w:ind w:left="851"/>
        <w:rPr>
          <w:noProof/>
        </w:rPr>
      </w:pPr>
      <w:r>
        <w:rPr>
          <w:noProof/>
        </w:rPr>
        <w:t>За продукт 1 Съюзът подкрепя евентуалните прехвърляния както от позиция 02.10, така и от позиция 04.10. Продукт 2 би могъл да се прехвърли или от позиция 04.10, или от глава 16. Продукт 3 би могъл да се прехвърли от глава 16. Продукт 4 би могъл да се прехвърли или от глава 16, или от глава 21.</w:t>
      </w:r>
    </w:p>
    <w:p>
      <w:pPr>
        <w:pStyle w:val="Point0number"/>
        <w:rPr>
          <w:noProof/>
        </w:rPr>
      </w:pPr>
      <w:r>
        <w:rPr>
          <w:noProof/>
        </w:rPr>
        <w:t>Евентуално изменение на обяснителната бележка към позиция 27.11, за да се поясни класирането на втечнен нефтен газ (ВНГ) (предложение на Секретариата) — документ NC2720Ea.</w:t>
      </w:r>
    </w:p>
    <w:p>
      <w:pPr>
        <w:ind w:left="851"/>
        <w:rPr>
          <w:noProof/>
        </w:rPr>
      </w:pPr>
      <w:r>
        <w:rPr>
          <w:noProof/>
        </w:rPr>
        <w:t xml:space="preserve">Съюзът подкрепя предложената обяснителна бележка към подпозиция 2711.19. </w:t>
      </w:r>
    </w:p>
    <w:p>
      <w:pPr>
        <w:pStyle w:val="Point0number"/>
        <w:rPr>
          <w:noProof/>
        </w:rPr>
      </w:pPr>
      <w:r>
        <w:rPr>
          <w:noProof/>
        </w:rPr>
        <w:t>Изменение на обяснителните бележки към правило 3, буква б), за да се поясни класирането на комплекти — документ NC2721Ea.</w:t>
      </w:r>
    </w:p>
    <w:p>
      <w:pPr>
        <w:ind w:left="851"/>
        <w:rPr>
          <w:noProof/>
        </w:rPr>
      </w:pPr>
      <w:r>
        <w:rPr>
          <w:noProof/>
        </w:rPr>
        <w:t>Съюзът подкрепя запазването на съществуващото положение и сегашните практики по отношение на класирането.</w:t>
      </w:r>
    </w:p>
    <w:p>
      <w:pPr>
        <w:pStyle w:val="Point0number"/>
        <w:rPr>
          <w:noProof/>
        </w:rPr>
      </w:pPr>
      <w:r>
        <w:rPr>
          <w:noProof/>
        </w:rPr>
        <w:t>Евентуално изменение на обяснителната бележка към позиция 91.02 — документ NC2722Ea.</w:t>
      </w:r>
    </w:p>
    <w:p>
      <w:pPr>
        <w:ind w:left="851"/>
        <w:rPr>
          <w:noProof/>
        </w:rPr>
      </w:pPr>
      <w:r>
        <w:rPr>
          <w:noProof/>
        </w:rPr>
        <w:t>Съюзът би предпочел да изчака окончателно решение относно класирането на „Polar watch“ (вж. точка VII.2), преди да се пристъпи към изменение на ОБХС.</w:t>
      </w:r>
    </w:p>
    <w:p>
      <w:pPr>
        <w:pStyle w:val="Point0number"/>
        <w:rPr>
          <w:noProof/>
        </w:rPr>
      </w:pPr>
      <w:r>
        <w:rPr>
          <w:noProof/>
        </w:rPr>
        <w:t>Евентуално изменение на обяснителната бележка към позиция 87.03 във връзка с микрохибридните превозни средства — документ NC2723Ea.</w:t>
      </w:r>
    </w:p>
    <w:p>
      <w:pPr>
        <w:ind w:left="851"/>
        <w:rPr>
          <w:noProof/>
        </w:rPr>
      </w:pPr>
      <w:r>
        <w:rPr>
          <w:noProof/>
        </w:rPr>
        <w:t>Съюзът подкрепя изменението на ОБХС, тъй като то пояснява класирането на този нов тип превозни средства.</w:t>
      </w:r>
    </w:p>
    <w:p>
      <w:pPr>
        <w:pStyle w:val="Point0number"/>
        <w:rPr>
          <w:noProof/>
        </w:rPr>
      </w:pPr>
      <w:r>
        <w:rPr>
          <w:noProof/>
        </w:rPr>
        <w:t>Класиране на меки хибридни превозни средства — документ NC2724Ea.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продукта в подпозиция 8703.40, тъй като електрическият двигател е проектиран така, че да подпомага работата на двигателя и по този начин да усилва мощността на превозното средство.</w:t>
      </w:r>
    </w:p>
    <w:p>
      <w:pPr>
        <w:pStyle w:val="Point0number"/>
        <w:rPr>
          <w:noProof/>
        </w:rPr>
      </w:pPr>
      <w:r>
        <w:rPr>
          <w:noProof/>
        </w:rPr>
        <w:t>Класиране на продукт, наречен „DIMODAN HP M“ (искане на Еквадор) — документ NC2725Ea.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продукта в позиция 34.04, тъй като лабораторният анализ потвърди, че продуктът има характер на восък.</w:t>
      </w:r>
    </w:p>
    <w:p>
      <w:pPr>
        <w:pStyle w:val="Point0number"/>
        <w:rPr>
          <w:noProof/>
        </w:rPr>
      </w:pPr>
      <w:r>
        <w:rPr>
          <w:noProof/>
        </w:rPr>
        <w:t>Евентуално изменение на обяснителната бележка към позиция 95.03 (предложение на ЕС) — документи NC2667Ea, NC2667Ea.</w:t>
      </w:r>
    </w:p>
    <w:p>
      <w:pPr>
        <w:ind w:left="851"/>
        <w:rPr>
          <w:noProof/>
        </w:rPr>
      </w:pPr>
      <w:r>
        <w:rPr>
          <w:noProof/>
        </w:rPr>
        <w:t>Съюзът запазва гъвкава позиция по отношение на евентуални допълнителни редакторски коментари върху първоначалното предложение на ЕС.</w:t>
      </w:r>
    </w:p>
    <w:p>
      <w:pPr>
        <w:pStyle w:val="Point0number"/>
        <w:rPr>
          <w:noProof/>
        </w:rPr>
      </w:pPr>
      <w:r>
        <w:rPr>
          <w:noProof/>
        </w:rPr>
        <w:t>Евентуално изменение на обяснителната бележка към позиция 95.05 (предложение на ЕС) — документи NC2668Ea, NC2668Ea.</w:t>
      </w:r>
    </w:p>
    <w:p>
      <w:pPr>
        <w:ind w:left="851"/>
        <w:rPr>
          <w:noProof/>
        </w:rPr>
      </w:pPr>
      <w:r>
        <w:rPr>
          <w:noProof/>
        </w:rPr>
        <w:t>Съюзът запазва гъвкава позиция по отношение на евентуални допълнителни редакторски коментари върху първоначалното предложение на ЕС.</w:t>
      </w:r>
    </w:p>
    <w:p>
      <w:pPr>
        <w:pStyle w:val="Point0number"/>
        <w:rPr>
          <w:noProof/>
        </w:rPr>
      </w:pPr>
      <w:r>
        <w:rPr>
          <w:noProof/>
        </w:rPr>
        <w:t>Класиране на някои етерични масла, пригодени за продажба на дребно (искане на Коста Рика) — документ NC2672Ea.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продукта в позиция 33.01. Продуктът е етерично масло от лавандула, съдържащо монотерпенови алкохоли, следователно не е обезтерпенен и е обхванат от позиция 33.01. Той се получава чрез дестилация с водна пара и следователно е в съответствие с ОБХС към позиция 33.01.</w:t>
      </w:r>
    </w:p>
    <w:p>
      <w:pPr>
        <w:pStyle w:val="Point0number"/>
        <w:rPr>
          <w:noProof/>
        </w:rPr>
      </w:pPr>
      <w:r>
        <w:rPr>
          <w:noProof/>
        </w:rPr>
        <w:t>Класиране на две подолъскачки, наречени „Galaxy Floor Machine 1500, 1.5 HP, NSS brand“ и „Galaxy Floor Machine, 1 HP, NSS brand“(искане на Коста Рика) — документ NC2673Ea.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продуктите в позиция 84.79. Поради техническите си характеристики те не са от видовете, обикновено използвани за домакински цели, и като се има предвид забележка 4, буква а) към глава 85, следва да се класират в позиция 84.79.</w:t>
      </w:r>
    </w:p>
    <w:p>
      <w:pPr>
        <w:pStyle w:val="Point0number"/>
        <w:rPr>
          <w:noProof/>
        </w:rPr>
      </w:pPr>
      <w:r>
        <w:rPr>
          <w:noProof/>
        </w:rPr>
        <w:t>Класиране на „Self-Propelled Articulated Boom Lift“ (искане на Корея) — документ NC2674Ea.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продукта в позиция 84.28 въз основа на Регламент (ЕО) № 738/2000 за сходен продукт.</w:t>
      </w:r>
    </w:p>
    <w:p>
      <w:pPr>
        <w:pStyle w:val="Point0number"/>
        <w:rPr>
          <w:noProof/>
        </w:rPr>
      </w:pPr>
      <w:r>
        <w:rPr>
          <w:noProof/>
        </w:rPr>
        <w:t>Класиране на някои хранителни продукти (искане на Съединените щати) — документи NC2676Ea, NC2742Ea.</w:t>
      </w:r>
    </w:p>
    <w:p>
      <w:pPr>
        <w:ind w:left="851"/>
        <w:rPr>
          <w:noProof/>
        </w:rPr>
      </w:pPr>
      <w:r>
        <w:rPr>
          <w:noProof/>
        </w:rPr>
        <w:t>За да се определи класирането, Съюзът иска допълнителна информация за всичките четири засегнати продукта.</w:t>
      </w:r>
    </w:p>
    <w:p>
      <w:pPr>
        <w:ind w:left="851"/>
        <w:rPr>
          <w:noProof/>
        </w:rPr>
      </w:pPr>
      <w:r>
        <w:rPr>
          <w:noProof/>
        </w:rPr>
        <w:t>Продукт 1: съдържание на белтъци. Ако е много високо (над 85 %), може да се обмисли позиция 35.04. Въз основа на сегашната информация продуктът би могъл да се класира в подпозиция 2106.10, в съответствие с мнение за класиране 2106.90/5.</w:t>
      </w:r>
    </w:p>
    <w:p>
      <w:pPr>
        <w:ind w:left="851"/>
        <w:rPr>
          <w:noProof/>
        </w:rPr>
      </w:pPr>
      <w:r>
        <w:rPr>
          <w:noProof/>
        </w:rPr>
        <w:t>Продукт 2: Съюзът би го класирал в позиция 22.02, ако може да се пие директно, или в позиция 21.06, ако преди пиене трябва да се разреди.</w:t>
      </w:r>
    </w:p>
    <w:p>
      <w:pPr>
        <w:ind w:left="851"/>
        <w:rPr>
          <w:noProof/>
        </w:rPr>
      </w:pPr>
      <w:r>
        <w:rPr>
          <w:noProof/>
        </w:rPr>
        <w:t>Продукт 3: Съюзът би го класирал в подпозиция 2101.20, но би било полезно да се получи допълнителна информация за съдържанието на кофеин.</w:t>
      </w:r>
    </w:p>
    <w:p>
      <w:pPr>
        <w:ind w:left="851"/>
        <w:rPr>
          <w:noProof/>
        </w:rPr>
      </w:pPr>
      <w:r>
        <w:rPr>
          <w:noProof/>
        </w:rPr>
        <w:t xml:space="preserve">Продукт 4: описанието на продукта е объркващо, тъй като не е ясно каква е основната му съставка. Ако съдържа какао, би могъл да се класира в позиция 18.06, а ако не — в позиция 19.05. </w:t>
      </w:r>
    </w:p>
    <w:p>
      <w:pPr>
        <w:pStyle w:val="Point0number"/>
        <w:rPr>
          <w:noProof/>
        </w:rPr>
      </w:pPr>
      <w:r>
        <w:rPr>
          <w:noProof/>
        </w:rPr>
        <w:t>Класиране на „cutter/ripper“ (искане на Руската федерация) — документ NC2677Ea.</w:t>
      </w:r>
    </w:p>
    <w:p>
      <w:pPr>
        <w:ind w:left="851"/>
        <w:rPr>
          <w:noProof/>
        </w:rPr>
      </w:pPr>
      <w:r>
        <w:rPr>
          <w:noProof/>
        </w:rPr>
        <w:t>Съюзът отбелязва, че наличието на много функции у машината затруднява нейното класиране и че тя би могла да се класира както в позиция 84.30, така и в позиция 84.32, съответно позиция 84.32 с използването на ОПТ 3, буква в).</w:t>
      </w:r>
    </w:p>
    <w:p>
      <w:pPr>
        <w:pStyle w:val="Point0number"/>
        <w:rPr>
          <w:noProof/>
        </w:rPr>
      </w:pPr>
      <w:r>
        <w:rPr>
          <w:noProof/>
        </w:rPr>
        <w:t>Класиране на някои нови пневматични гуми от каучук, предназначени за превозни средства, които се използват за превоз на стоки в строителството, минното дело или промишлеността (искане на Руската федерация) — документи NC2678Ea, NC2748Ea.</w:t>
      </w:r>
    </w:p>
    <w:p>
      <w:pPr>
        <w:ind w:left="851"/>
        <w:rPr>
          <w:i/>
          <w:noProof/>
        </w:rPr>
      </w:pPr>
      <w:r>
        <w:rPr>
          <w:noProof/>
        </w:rPr>
        <w:t>Съюзът е съгласен със съвета на Секретариата на СМО и класира двата продукта в подпозиция 4011.20.</w:t>
      </w:r>
    </w:p>
    <w:p>
      <w:pPr>
        <w:pStyle w:val="Point0number"/>
        <w:rPr>
          <w:noProof/>
        </w:rPr>
      </w:pPr>
      <w:r>
        <w:rPr>
          <w:noProof/>
        </w:rPr>
        <w:t>Класиране на някои препарати от видовете, използвани за храна на животни (искане на Канада) — документи NC2679Ea, NC2743Ea.</w:t>
      </w:r>
    </w:p>
    <w:p>
      <w:pPr>
        <w:ind w:left="851"/>
        <w:rPr>
          <w:noProof/>
        </w:rPr>
      </w:pPr>
      <w:r>
        <w:rPr>
          <w:noProof/>
        </w:rPr>
        <w:t xml:space="preserve">Въз основа на решението на Съда на ЕС по дело C-144/15 Съюзът би класирал продукта в позиция 23.09. </w:t>
      </w:r>
    </w:p>
    <w:p>
      <w:pPr>
        <w:pStyle w:val="Point0number"/>
        <w:rPr>
          <w:noProof/>
        </w:rPr>
      </w:pPr>
      <w:r>
        <w:rPr>
          <w:noProof/>
        </w:rPr>
        <w:t>Класиране на продукт, наречен „Tracing Light Box“ (искане на Япония) — документ NC2681Ea.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продукта в позиция 94.05, тъй като той има много функции и не е снабден с инструменти за чертане.</w:t>
      </w:r>
    </w:p>
    <w:p>
      <w:pPr>
        <w:pStyle w:val="Point0number"/>
        <w:rPr>
          <w:noProof/>
        </w:rPr>
      </w:pPr>
      <w:r>
        <w:rPr>
          <w:noProof/>
        </w:rPr>
        <w:t>Класиране на електронен регулатор на оборотите, наречен „KEB COMBIVERT F5“ (искане на Тунис) — документ NC2682Ea.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продукта в позиция 85.04, както предлага Секретариатът на СМО.</w:t>
      </w:r>
    </w:p>
    <w:p>
      <w:pPr>
        <w:pStyle w:val="Point0number"/>
        <w:rPr>
          <w:noProof/>
        </w:rPr>
      </w:pPr>
      <w:r>
        <w:rPr>
          <w:noProof/>
        </w:rPr>
        <w:t>Евентуално изменение на обяснителната бележка към позиция 27.10 (предложение на Япония) — документи NC2641Ea, NC2739Ea.</w:t>
      </w:r>
    </w:p>
    <w:p>
      <w:pPr>
        <w:ind w:left="851"/>
        <w:rPr>
          <w:noProof/>
        </w:rPr>
      </w:pPr>
      <w:r>
        <w:rPr>
          <w:noProof/>
        </w:rPr>
        <w:t>Съюзът се въздържа от участие в обсъждания, тъй като мнението за класиране, от което произтича посоченото изменение, не може да се прилага в ЕС поради решението на Съда на ЕС по дело C-330/13. По-добре би било да се помисли за изменение на ХС в бъдеще и за преподреждане на забележка 2 към глава 27.</w:t>
      </w:r>
    </w:p>
    <w:p>
      <w:pPr>
        <w:pStyle w:val="Point0number"/>
        <w:rPr>
          <w:noProof/>
        </w:rPr>
      </w:pPr>
      <w:r>
        <w:rPr>
          <w:noProof/>
        </w:rPr>
        <w:t>Евентуално несъответствие между английския и френския текст на обяснителната бележка към позиция 85.01 — документ NC2688Ea.</w:t>
      </w:r>
    </w:p>
    <w:p>
      <w:pPr>
        <w:ind w:left="851"/>
        <w:rPr>
          <w:noProof/>
        </w:rPr>
      </w:pPr>
      <w:r>
        <w:rPr>
          <w:noProof/>
        </w:rPr>
        <w:t>Съюзът се съгласява с предложеното изменение да се използва терминът „onduleur“, както в други части на Номенклатурата на ХС.</w:t>
      </w:r>
    </w:p>
    <w:p>
      <w:pPr>
        <w:rPr>
          <w:noProof/>
        </w:rPr>
      </w:pPr>
      <w:r>
        <w:rPr>
          <w:noProof/>
        </w:rPr>
        <w:t>IX. НОВИ ВЪПРОСИ.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>Класиране на някои улични контейнери за отпадъци (искане на Тунис) — документ NC2726Ea.</w:t>
      </w:r>
    </w:p>
    <w:p>
      <w:pPr>
        <w:ind w:left="851"/>
        <w:rPr>
          <w:noProof/>
        </w:rPr>
      </w:pPr>
      <w:r>
        <w:rPr>
          <w:noProof/>
        </w:rPr>
        <w:t>Поради по-големия размер на контейнерите, който ги прави неподходящи за домакински цели, Съюзът би класирал продуктите в позиция 39.26. Съюзът отбелязва, че описанието на продуктите следва да включва обема на контейнерите в литри.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>Класиране на някои хранителни продукти в течна форма (искане на Тунис) — документ NC2727Ea.</w:t>
      </w:r>
    </w:p>
    <w:p>
      <w:pPr>
        <w:ind w:left="851"/>
        <w:rPr>
          <w:noProof/>
        </w:rPr>
      </w:pPr>
      <w:r>
        <w:rPr>
          <w:noProof/>
        </w:rPr>
        <w:t xml:space="preserve">Съюзът иска повече информация за съдържанието на продуктите (вода или сок, маслообразни вещества, други съставки освен витамините, дозировка). 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>Класиране на два продукта, съдържащи канабидиол, наречени „FREYHERR“ и „CANABIGAL“ (искане на Секретариата) — документ NC2728Ea.</w:t>
      </w:r>
    </w:p>
    <w:p>
      <w:pPr>
        <w:ind w:left="851"/>
        <w:rPr>
          <w:noProof/>
        </w:rPr>
      </w:pPr>
      <w:r>
        <w:rPr>
          <w:noProof/>
        </w:rPr>
        <w:t>Съюзът предлага въпросът да се отнесе до Научния подкомитет с искане за следната информация: i) дали продуктите съдържат достатъчно активни съставки, за да осигурят терапевтично или профилактично действие, и ii) какво е минималното количество канабидиол, което трябва да съдържа всеки продукт като активна съставка, за да има терапевтично или профилактично действие.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>Класиране на сушена риба, впоследствие третирана с вода (рехидратирана сушена риба) (искане на Норвегия) — документ NC2729Ea.</w:t>
      </w:r>
    </w:p>
    <w:p>
      <w:pPr>
        <w:ind w:left="851"/>
        <w:rPr>
          <w:noProof/>
        </w:rPr>
      </w:pPr>
      <w:r>
        <w:rPr>
          <w:noProof/>
        </w:rPr>
        <w:t>Съюзът би могъл да класира продукта в глава 3, но е необходима повече информация за това дали той има вкус и консистенция на сушена, или на прясна риба.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>Класиране на някои парогенератори за парни помещения (искане на Египет) — документ NC2730Ea.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продуктите в позиция 84.02, както предлага Секретариатът на СМО, в съответствие с текста на позиция 84.02 и обяснителната бележка към нея.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>Класиране на продукт, наречен „Soy bean flakes“ (искане на Мадагаскар) — документ NC2731Ea.</w:t>
      </w:r>
    </w:p>
    <w:p>
      <w:pPr>
        <w:ind w:left="851"/>
        <w:rPr>
          <w:noProof/>
        </w:rPr>
      </w:pPr>
      <w:r>
        <w:rPr>
          <w:noProof/>
        </w:rPr>
        <w:t xml:space="preserve">Съюзът би класирал продукта в позиция 23.04, подобно на продукта от мнение за класиране 2304.00/1. 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>Класиране на етанолова печка с 2 котлона (искане на Кения) — документ NC2732Ea.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продукта в подпозиция 7321.12, тъй като при стайна температура етаноловото гориво е в течно състояние и следователно съответства на текста на подпозицията.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>Класиране на интерактивно гише за подаване на оплаквания (искане на Египет) — документ NC2733Ea.</w:t>
      </w:r>
    </w:p>
    <w:p>
      <w:pPr>
        <w:ind w:left="851"/>
        <w:rPr>
          <w:noProof/>
        </w:rPr>
      </w:pPr>
      <w:r>
        <w:rPr>
          <w:noProof/>
        </w:rPr>
        <w:t>Съюзът иска следната допълнителна информация: дали и как продуктът може да функционира с USB устройство, или може да се използва само посредством сензорен екран.</w:t>
      </w:r>
    </w:p>
    <w:p>
      <w:pPr>
        <w:rPr>
          <w:noProof/>
        </w:rPr>
      </w:pPr>
      <w:r>
        <w:rPr>
          <w:noProof/>
        </w:rPr>
        <w:t>XI. ДОПЪЛНИТЕЛЕН СПИСЪК.</w:t>
      </w:r>
    </w:p>
    <w:p>
      <w:pPr>
        <w:pStyle w:val="Point0number"/>
        <w:numPr>
          <w:ilvl w:val="0"/>
          <w:numId w:val="16"/>
        </w:numPr>
        <w:rPr>
          <w:noProof/>
        </w:rPr>
      </w:pPr>
      <w:r>
        <w:rPr>
          <w:noProof/>
        </w:rPr>
        <w:t>Класиране на продукт, наречен „baby corn cobs“ (искане на ЕС) — документ NC2736Ea.</w:t>
      </w:r>
    </w:p>
    <w:p>
      <w:pPr>
        <w:ind w:left="851"/>
        <w:rPr>
          <w:noProof/>
        </w:rPr>
      </w:pPr>
      <w:r>
        <w:rPr>
          <w:noProof/>
        </w:rPr>
        <w:t>Съюзът е поискал мнение за класиране.</w:t>
      </w:r>
    </w:p>
    <w:p>
      <w:pPr>
        <w:pStyle w:val="Point0number"/>
        <w:rPr>
          <w:noProof/>
        </w:rPr>
      </w:pPr>
      <w:r>
        <w:rPr>
          <w:noProof/>
        </w:rPr>
        <w:t>Класиране на дизелов агрегат за производство на електроенергия с двойна номинална мощност (искане на Гана) — документ NC2737Ea.</w:t>
      </w:r>
    </w:p>
    <w:p>
      <w:pPr>
        <w:ind w:left="851"/>
        <w:rPr>
          <w:noProof/>
        </w:rPr>
      </w:pPr>
      <w:r>
        <w:rPr>
          <w:noProof/>
        </w:rPr>
        <w:t>Съюзът би класирал продукта в подпозиция 8502.13.</w:t>
      </w:r>
    </w:p>
    <w:p>
      <w:pPr>
        <w:pStyle w:val="Point0number"/>
        <w:rPr>
          <w:noProof/>
        </w:rPr>
      </w:pPr>
      <w:r>
        <w:rPr>
          <w:noProof/>
        </w:rPr>
        <w:t>Класиране на модул TFT-LCD (искане на Корея) — документ NC2740Ea.</w:t>
      </w:r>
    </w:p>
    <w:p>
      <w:pPr>
        <w:ind w:left="851"/>
        <w:rPr>
          <w:noProof/>
        </w:rPr>
      </w:pPr>
      <w:r>
        <w:rPr>
          <w:noProof/>
        </w:rPr>
        <w:t xml:space="preserve">В съответствие с Регламент (ЕО) № 957/2006 на Комисията и регламенти за изпълнение (ЕС) № 1201/2011 и (ЕС) № 1202/2011 на Комисията и като се има предвид забележка 2, буква б) към раздел XVI, Съюзът би класирал продукта в подпозиция 8529.90. </w:t>
      </w:r>
    </w:p>
    <w:p>
      <w:pPr>
        <w:pStyle w:val="Point0number"/>
        <w:rPr>
          <w:noProof/>
        </w:rPr>
      </w:pPr>
      <w:r>
        <w:rPr>
          <w:noProof/>
        </w:rPr>
        <w:t>Заличаване на мнения за класиране 8528.69/1 и 8528.69/2 — документ NC2741Ea.</w:t>
      </w:r>
    </w:p>
    <w:p>
      <w:pPr>
        <w:ind w:left="851"/>
        <w:rPr>
          <w:noProof/>
        </w:rPr>
      </w:pPr>
      <w:r>
        <w:rPr>
          <w:noProof/>
        </w:rPr>
        <w:t>Тъй като продуктите вече не се предлагат на пазара, Съюзът подкрепя заличаването на посочените мнения за класиране.</w:t>
      </w:r>
    </w:p>
    <w:p>
      <w:pPr>
        <w:pStyle w:val="Point0number"/>
        <w:rPr>
          <w:noProof/>
        </w:rPr>
      </w:pPr>
      <w:r>
        <w:rPr>
          <w:noProof/>
        </w:rPr>
        <w:t>Класиране на продукт, наречен „частично обезмаслен прах от кокосови орехи“ (искане на ЕС) — документ NC2746Ea.</w:t>
      </w:r>
    </w:p>
    <w:p>
      <w:pPr>
        <w:ind w:left="851"/>
        <w:rPr>
          <w:noProof/>
        </w:rPr>
      </w:pPr>
      <w:r>
        <w:rPr>
          <w:noProof/>
        </w:rPr>
        <w:t>Съюзът е поискал мнение за класиране.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CA21E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B0404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0E6AB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598FC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B9A36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8B6FE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F01AB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EF64F2"/>
    <w:multiLevelType w:val="multilevel"/>
    <w:tmpl w:val="0262C822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20"/>
  </w:num>
  <w:num w:numId="21">
    <w:abstractNumId w:val="11"/>
  </w:num>
  <w:num w:numId="22">
    <w:abstractNumId w:val="13"/>
  </w:num>
  <w:num w:numId="23">
    <w:abstractNumId w:val="9"/>
  </w:num>
  <w:num w:numId="24">
    <w:abstractNumId w:val="19"/>
  </w:num>
  <w:num w:numId="25">
    <w:abstractNumId w:val="8"/>
  </w:num>
  <w:num w:numId="26">
    <w:abstractNumId w:val="14"/>
  </w:num>
  <w:num w:numId="27">
    <w:abstractNumId w:val="16"/>
  </w:num>
  <w:num w:numId="28">
    <w:abstractNumId w:val="17"/>
  </w:num>
  <w:num w:numId="29">
    <w:abstractNumId w:val="10"/>
  </w:num>
  <w:num w:numId="30">
    <w:abstractNumId w:val="15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IE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8-21 12:18:0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5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FA4253F-F1BB-4614-9867-96CFB8B07BA9"/>
    <w:docVar w:name="LW_COVERPAGE_TYPE" w:val="1"/>
    <w:docVar w:name="LW_CROSSREFERENCE" w:val="&lt;UNUSED&gt;"/>
    <w:docVar w:name="LW_DocType" w:val="ANNEX"/>
    <w:docVar w:name="LW_EMISSION" w:val="21.8.2020"/>
    <w:docVar w:name="LW_EMISSION_ISODATE" w:val="2020-08-2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66-\u1072?\u1090?\u1072? \u1089?\u1077?\u1089?\u1080?\u1103? \u1085?\u1072? \u1050?\u1086?\u1084?\u1080?\u1090?\u1077?\u1090?\u1072? \u1087?\u1086? \u1061?\u1072?\u1088?\u1084?\u1086?\u1085?\u1080?\u1079?\u1080?\u1088?\u1072?\u1085?\u1072?\u1090?\u1072? \u1089?\u1080?\u1089?\u1090?\u1077?\u1084?\u1072? \u1082?\u1098?\u1084? \u1057?\u1074?\u1077?\u1090?\u1086?\u1074?\u1085?\u1072?\u1090?\u1072? \u1084?\u1080?\u1090?\u1085?\u1080?\u1095?\u1077?\u1089?\u1082?\u1072? \u1086?\u1088?\u1075?\u1072?\u1085?\u1080?\u1079?\u1072?\u1094?\u1080?\u1103? \u1074?\u1098?\u1074? \u1074?\u1088?\u1098?\u1079?\u1082?\u1072? \u1089? \u1087?\u1088?\u1077?\u1076?\u1074?\u1080?\u1076?\u1077?\u1085?\u1086?\u1090?\u1086? \u1087?\u1088?\u1080?\u1077?\u1084?\u1072?\u1085?\u1077? \u1085?\u1072? \u1084?\u1085?\u1077?\u1085?\u1080?\u1103? \u1079?\u1072? \u1082?\u1083?\u1072?\u1089?\u1080?\u1088?\u1072?\u1085?\u1077?, \u1088?\u1077?\u1096?\u1077?\u1085?\u1080?\u1103? \u1079?\u1072? \u1082?\u1083?\u1072?\u1089?\u1080?\u1088?\u1072?\u1085?\u1077?, \u1080?\u1079?\u1084?\u1077?\u1085?\u1077?\u1085?\u1080?\u1103? \u1085?\u1072? \u1054?\u1073?\u1103?\u1089?\u1085?\u1080?\u1090?\u1077?\u1083?\u1085?\u1080?\u1090?\u1077? \u1073?\u1077?\u1083?\u1077?\u1078?\u1082?\u1080? \u1082?\u1098?\u1084? \u1061?\u1072?\u1088?\u1084?\u1086?\u1085?\u1080?\u1079?\u1080?\u1088?\u1072?\u1085?\u1072?\u1090?\u1072? \u1089?\u1080?\u1089?\u1090?\u1077?\u1084?\u1072? \u1080?\u1083?\u1080? \u1076?\u1088?\u1091?\u1075?\u1080? \u1089?\u1098?\u1074?\u1077?\u1090?\u1080? \u1086?\u1090?\u1085?\u1086?\u1089?\u1085?\u1086? \u1090?\u1098?\u1083?\u1082?\u1091?\u1074?\u1072?\u1085?\u1077?\u1090?\u1086? \u1085?\u1072? \u1061?\u1072?\u1088?\u1084?\u1086?\u1085?\u1080?\u1079?\u1080?\u1088?\u1072?\u1085?\u1072?\u1090?\u1072? \u1089?\u1080?\u1089?\u1090?\u1077?\u1084?\u1072? \u1080? \u1087?\u1088?\u1077?\u1087?\u1086?\u1088?\u1098?\u1082?\u1080? \u1079?\u1072? \u1086?\u1089?\u1080?\u1075?\u1091?\u1088?\u1103?\u1074?\u1072?\u1085?\u1077? \u1085?\u1072? \u1091?\u1085?\u1080?\u1092?\u1080?\u1094?\u1080?\u1088?\u1072?\u1085?\u1086? \u1090?\u1098?\u1083?\u1082?\u1091?\u1074?\u1072?\u1085?\u1077? \u1085?\u1072? \u1061?\u1072?\u1088?\u1084?\u1086?\u1085?\u1080?\u1079?\u1080?\u1088?\u1072?\u1085?\u1072?\u1090?\u1072? \u1089?\u1080?\u1089?\u1090?\u1077?\u1084?\u1072? \u1089?\u1098?\u1075?\u1083?\u1072?\u1089?\u1085?\u1086? \u1050?\u1086?\u1085?\u1074?\u1077?\u1085?\u1094?\u1080?\u1103?\u1090?\u1072? \u1079?\u1072? \u1061?\u1072?\u1088?\u1084?\u1086?\u1085?\u1080?\u1079?\u1080?\u1088?\u1072?\u1085?\u1072?\u1090?\u1072? \u1089?\u1080?\u1089?\u1090?\u1077?\u1084?\u1072?&lt;/FMT&gt;"/>
    <w:docVar w:name="LW_OBJETACTEPRINCIPAL.CP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66-\u1072?\u1090?\u1072? \u1089?\u1077?\u1089?\u1080?\u1103? \u1085?\u1072? \u1050?\u1086?\u1084?\u1080?\u1090?\u1077?\u1090?\u1072? \u1087?\u1086? \u1061?\u1072?\u1088?\u1084?\u1086?\u1085?\u1080?\u1079?\u1080?\u1088?\u1072?\u1085?\u1072?\u1090?\u1072? \u1089?\u1080?\u1089?\u1090?\u1077?\u1084?\u1072? \u1082?\u1098?\u1084? \u1057?\u1074?\u1077?\u1090?\u1086?\u1074?\u1085?\u1072?\u1090?\u1072? \u1084?\u1080?\u1090?\u1085?\u1080?\u1095?\u1077?\u1089?\u1082?\u1072? \u1086?\u1088?\u1075?\u1072?\u1085?\u1080?\u1079?\u1072?\u1094?\u1080?\u1103? \u1074?\u1098?\u1074? \u1074?\u1088?\u1098?\u1079?\u1082?\u1072? \u1089? \u1087?\u1088?\u1077?\u1076?\u1074?\u1080?\u1076?\u1077?\u1085?\u1086?\u1090?\u1086? \u1087?\u1088?\u1080?\u1077?\u1084?\u1072?\u1085?\u1077? \u1085?\u1072? \u1084?\u1085?\u1077?\u1085?\u1080?\u1103? \u1079?\u1072? \u1082?\u1083?\u1072?\u1089?\u1080?\u1088?\u1072?\u1085?\u1077?, \u1088?\u1077?\u1096?\u1077?\u1085?\u1080?\u1103? \u1079?\u1072? \u1082?\u1083?\u1072?\u1089?\u1080?\u1088?\u1072?\u1085?\u1077?, \u1080?\u1079?\u1084?\u1077?\u1085?\u1077?\u1085?\u1080?\u1103? \u1085?\u1072? \u1054?\u1073?\u1103?\u1089?\u1085?\u1080?\u1090?\u1077?\u1083?\u1085?\u1080?\u1090?\u1077? \u1073?\u1077?\u1083?\u1077?\u1078?\u1082?\u1080? \u1082?\u1098?\u1084? \u1061?\u1072?\u1088?\u1084?\u1086?\u1085?\u1080?\u1079?\u1080?\u1088?\u1072?\u1085?\u1072?\u1090?\u1072? \u1089?\u1080?\u1089?\u1090?\u1077?\u1084?\u1072? \u1080?\u1083?\u1080? \u1076?\u1088?\u1091?\u1075?\u1080? \u1089?\u1098?\u1074?\u1077?\u1090?\u1080? \u1086?\u1090?\u1085?\u1086?\u1089?\u1085?\u1086? \u1090?\u1098?\u1083?\u1082?\u1091?\u1074?\u1072?\u1085?\u1077?\u1090?\u1086? \u1085?\u1072? \u1061?\u1072?\u1088?\u1084?\u1086?\u1085?\u1080?\u1079?\u1080?\u1088?\u1072?\u1085?\u1072?\u1090?\u1072? \u1089?\u1080?\u1089?\u1090?\u1077?\u1084?\u1072? \u1080? \u1087?\u1088?\u1077?\u1087?\u1086?\u1088?\u1098?\u1082?\u1080? \u1079?\u1072? \u1086?\u1089?\u1080?\u1075?\u1091?\u1088?\u1103?\u1074?\u1072?\u1085?\u1077? \u1085?\u1072? \u1091?\u1085?\u1080?\u1092?\u1080?\u1094?\u1080?\u1088?\u1072?\u1085?\u1086? \u1090?\u1098?\u1083?\u1082?\u1091?\u1074?\u1072?\u1085?\u1077? \u1085?\u1072? \u1061?\u1072?\u1088?\u1084?\u1086?\u1085?\u1080?\u1079?\u1080?\u1088?\u1072?\u1085?\u1072?\u1090?\u1072? \u1089?\u1080?\u1089?\u1090?\u1077?\u1084?\u1072? \u1089?\u1098?\u1075?\u1083?\u1072?\u1089?\u1085?\u1086? \u1050?\u1086?\u1085?\u1074?\u1077?\u1085?\u1094?\u1080?\u1103?\u1090?\u1072? \u1079?\u1072? \u1061?\u1072?\u1088?\u1084?\u1086?\u1085?\u1080?\u1079?\u1080?\u1088?\u1072?\u1085?\u1072?\u1090?\u1072? \u1089?\u1080?\u1089?\u1090?\u1077?\u1084?\u1072?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4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1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1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1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1"/>
      </w:numPr>
    </w:pPr>
    <w:rPr>
      <w:rFonts w:eastAsia="Times New Roman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LegalNumPar">
    <w:name w:val="LegalNumPar"/>
    <w:basedOn w:val="Normal"/>
    <w:pPr>
      <w:numPr>
        <w:numId w:val="12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12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12"/>
      </w:numPr>
      <w:spacing w:line="36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8"/>
      </w:numPr>
    </w:pPr>
  </w:style>
  <w:style w:type="paragraph" w:customStyle="1" w:styleId="Tiret1">
    <w:name w:val="Tiret 1"/>
    <w:basedOn w:val="Point1"/>
    <w:pPr>
      <w:numPr>
        <w:numId w:val="19"/>
      </w:numPr>
    </w:pPr>
  </w:style>
  <w:style w:type="paragraph" w:customStyle="1" w:styleId="Tiret2">
    <w:name w:val="Tiret 2"/>
    <w:basedOn w:val="Point2"/>
    <w:pPr>
      <w:numPr>
        <w:numId w:val="20"/>
      </w:numPr>
    </w:pPr>
  </w:style>
  <w:style w:type="paragraph" w:customStyle="1" w:styleId="Tiret3">
    <w:name w:val="Tiret 3"/>
    <w:basedOn w:val="Point3"/>
    <w:pPr>
      <w:numPr>
        <w:numId w:val="21"/>
      </w:numPr>
    </w:pPr>
  </w:style>
  <w:style w:type="paragraph" w:customStyle="1" w:styleId="Tiret4">
    <w:name w:val="Tiret 4"/>
    <w:basedOn w:val="Point4"/>
    <w:pPr>
      <w:numPr>
        <w:numId w:val="2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5"/>
      </w:numPr>
    </w:pPr>
  </w:style>
  <w:style w:type="paragraph" w:customStyle="1" w:styleId="Point1number">
    <w:name w:val="Point 1 (number)"/>
    <w:basedOn w:val="Normal"/>
    <w:pPr>
      <w:numPr>
        <w:ilvl w:val="2"/>
        <w:numId w:val="25"/>
      </w:numPr>
    </w:pPr>
  </w:style>
  <w:style w:type="paragraph" w:customStyle="1" w:styleId="Point2number">
    <w:name w:val="Point 2 (number)"/>
    <w:basedOn w:val="Normal"/>
    <w:pPr>
      <w:numPr>
        <w:ilvl w:val="4"/>
        <w:numId w:val="25"/>
      </w:numPr>
    </w:pPr>
  </w:style>
  <w:style w:type="paragraph" w:customStyle="1" w:styleId="Point3number">
    <w:name w:val="Point 3 (number)"/>
    <w:basedOn w:val="Normal"/>
    <w:pPr>
      <w:numPr>
        <w:ilvl w:val="6"/>
        <w:numId w:val="25"/>
      </w:numPr>
    </w:pPr>
  </w:style>
  <w:style w:type="paragraph" w:customStyle="1" w:styleId="Point0letter">
    <w:name w:val="Point 0 (letter)"/>
    <w:basedOn w:val="Normal"/>
    <w:pPr>
      <w:numPr>
        <w:ilvl w:val="1"/>
        <w:numId w:val="25"/>
      </w:numPr>
    </w:pPr>
  </w:style>
  <w:style w:type="paragraph" w:customStyle="1" w:styleId="Point1letter">
    <w:name w:val="Point 1 (letter)"/>
    <w:basedOn w:val="Normal"/>
    <w:pPr>
      <w:numPr>
        <w:ilvl w:val="3"/>
        <w:numId w:val="25"/>
      </w:numPr>
    </w:pPr>
  </w:style>
  <w:style w:type="paragraph" w:customStyle="1" w:styleId="Point2letter">
    <w:name w:val="Point 2 (letter)"/>
    <w:basedOn w:val="Normal"/>
    <w:pPr>
      <w:numPr>
        <w:ilvl w:val="5"/>
        <w:numId w:val="25"/>
      </w:numPr>
    </w:pPr>
  </w:style>
  <w:style w:type="paragraph" w:customStyle="1" w:styleId="Point3letter">
    <w:name w:val="Point 3 (letter)"/>
    <w:basedOn w:val="Normal"/>
    <w:pPr>
      <w:numPr>
        <w:ilvl w:val="7"/>
        <w:numId w:val="25"/>
      </w:numPr>
    </w:pPr>
  </w:style>
  <w:style w:type="paragraph" w:customStyle="1" w:styleId="Point4letter">
    <w:name w:val="Point 4 (letter)"/>
    <w:basedOn w:val="Normal"/>
    <w:pPr>
      <w:numPr>
        <w:ilvl w:val="8"/>
        <w:numId w:val="25"/>
      </w:numPr>
    </w:pPr>
  </w:style>
  <w:style w:type="paragraph" w:customStyle="1" w:styleId="Bullet0">
    <w:name w:val="Bullet 0"/>
    <w:basedOn w:val="Normal"/>
    <w:pPr>
      <w:numPr>
        <w:numId w:val="26"/>
      </w:numPr>
    </w:pPr>
  </w:style>
  <w:style w:type="paragraph" w:customStyle="1" w:styleId="Bullet1">
    <w:name w:val="Bullet 1"/>
    <w:basedOn w:val="Normal"/>
    <w:pPr>
      <w:numPr>
        <w:numId w:val="27"/>
      </w:numPr>
    </w:pPr>
  </w:style>
  <w:style w:type="paragraph" w:customStyle="1" w:styleId="Bullet2">
    <w:name w:val="Bullet 2"/>
    <w:basedOn w:val="Normal"/>
    <w:pPr>
      <w:numPr>
        <w:numId w:val="28"/>
      </w:numPr>
    </w:pPr>
  </w:style>
  <w:style w:type="paragraph" w:customStyle="1" w:styleId="Bullet3">
    <w:name w:val="Bullet 3"/>
    <w:basedOn w:val="Normal"/>
    <w:pPr>
      <w:numPr>
        <w:numId w:val="29"/>
      </w:numPr>
    </w:pPr>
  </w:style>
  <w:style w:type="paragraph" w:customStyle="1" w:styleId="Bullet4">
    <w:name w:val="Bullet 4"/>
    <w:basedOn w:val="Normal"/>
    <w:pPr>
      <w:numPr>
        <w:numId w:val="3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1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1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1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1"/>
      </w:numPr>
    </w:pPr>
    <w:rPr>
      <w:rFonts w:eastAsia="Times New Roman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LegalNumPar">
    <w:name w:val="LegalNumPar"/>
    <w:basedOn w:val="Normal"/>
    <w:pPr>
      <w:numPr>
        <w:numId w:val="12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12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12"/>
      </w:numPr>
      <w:spacing w:line="36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8"/>
      </w:numPr>
    </w:pPr>
  </w:style>
  <w:style w:type="paragraph" w:customStyle="1" w:styleId="Tiret1">
    <w:name w:val="Tiret 1"/>
    <w:basedOn w:val="Point1"/>
    <w:pPr>
      <w:numPr>
        <w:numId w:val="19"/>
      </w:numPr>
    </w:pPr>
  </w:style>
  <w:style w:type="paragraph" w:customStyle="1" w:styleId="Tiret2">
    <w:name w:val="Tiret 2"/>
    <w:basedOn w:val="Point2"/>
    <w:pPr>
      <w:numPr>
        <w:numId w:val="20"/>
      </w:numPr>
    </w:pPr>
  </w:style>
  <w:style w:type="paragraph" w:customStyle="1" w:styleId="Tiret3">
    <w:name w:val="Tiret 3"/>
    <w:basedOn w:val="Point3"/>
    <w:pPr>
      <w:numPr>
        <w:numId w:val="21"/>
      </w:numPr>
    </w:pPr>
  </w:style>
  <w:style w:type="paragraph" w:customStyle="1" w:styleId="Tiret4">
    <w:name w:val="Tiret 4"/>
    <w:basedOn w:val="Point4"/>
    <w:pPr>
      <w:numPr>
        <w:numId w:val="2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5"/>
      </w:numPr>
    </w:pPr>
  </w:style>
  <w:style w:type="paragraph" w:customStyle="1" w:styleId="Point1number">
    <w:name w:val="Point 1 (number)"/>
    <w:basedOn w:val="Normal"/>
    <w:pPr>
      <w:numPr>
        <w:ilvl w:val="2"/>
        <w:numId w:val="25"/>
      </w:numPr>
    </w:pPr>
  </w:style>
  <w:style w:type="paragraph" w:customStyle="1" w:styleId="Point2number">
    <w:name w:val="Point 2 (number)"/>
    <w:basedOn w:val="Normal"/>
    <w:pPr>
      <w:numPr>
        <w:ilvl w:val="4"/>
        <w:numId w:val="25"/>
      </w:numPr>
    </w:pPr>
  </w:style>
  <w:style w:type="paragraph" w:customStyle="1" w:styleId="Point3number">
    <w:name w:val="Point 3 (number)"/>
    <w:basedOn w:val="Normal"/>
    <w:pPr>
      <w:numPr>
        <w:ilvl w:val="6"/>
        <w:numId w:val="25"/>
      </w:numPr>
    </w:pPr>
  </w:style>
  <w:style w:type="paragraph" w:customStyle="1" w:styleId="Point0letter">
    <w:name w:val="Point 0 (letter)"/>
    <w:basedOn w:val="Normal"/>
    <w:pPr>
      <w:numPr>
        <w:ilvl w:val="1"/>
        <w:numId w:val="25"/>
      </w:numPr>
    </w:pPr>
  </w:style>
  <w:style w:type="paragraph" w:customStyle="1" w:styleId="Point1letter">
    <w:name w:val="Point 1 (letter)"/>
    <w:basedOn w:val="Normal"/>
    <w:pPr>
      <w:numPr>
        <w:ilvl w:val="3"/>
        <w:numId w:val="25"/>
      </w:numPr>
    </w:pPr>
  </w:style>
  <w:style w:type="paragraph" w:customStyle="1" w:styleId="Point2letter">
    <w:name w:val="Point 2 (letter)"/>
    <w:basedOn w:val="Normal"/>
    <w:pPr>
      <w:numPr>
        <w:ilvl w:val="5"/>
        <w:numId w:val="25"/>
      </w:numPr>
    </w:pPr>
  </w:style>
  <w:style w:type="paragraph" w:customStyle="1" w:styleId="Point3letter">
    <w:name w:val="Point 3 (letter)"/>
    <w:basedOn w:val="Normal"/>
    <w:pPr>
      <w:numPr>
        <w:ilvl w:val="7"/>
        <w:numId w:val="25"/>
      </w:numPr>
    </w:pPr>
  </w:style>
  <w:style w:type="paragraph" w:customStyle="1" w:styleId="Point4letter">
    <w:name w:val="Point 4 (letter)"/>
    <w:basedOn w:val="Normal"/>
    <w:pPr>
      <w:numPr>
        <w:ilvl w:val="8"/>
        <w:numId w:val="25"/>
      </w:numPr>
    </w:pPr>
  </w:style>
  <w:style w:type="paragraph" w:customStyle="1" w:styleId="Bullet0">
    <w:name w:val="Bullet 0"/>
    <w:basedOn w:val="Normal"/>
    <w:pPr>
      <w:numPr>
        <w:numId w:val="26"/>
      </w:numPr>
    </w:pPr>
  </w:style>
  <w:style w:type="paragraph" w:customStyle="1" w:styleId="Bullet1">
    <w:name w:val="Bullet 1"/>
    <w:basedOn w:val="Normal"/>
    <w:pPr>
      <w:numPr>
        <w:numId w:val="27"/>
      </w:numPr>
    </w:pPr>
  </w:style>
  <w:style w:type="paragraph" w:customStyle="1" w:styleId="Bullet2">
    <w:name w:val="Bullet 2"/>
    <w:basedOn w:val="Normal"/>
    <w:pPr>
      <w:numPr>
        <w:numId w:val="28"/>
      </w:numPr>
    </w:pPr>
  </w:style>
  <w:style w:type="paragraph" w:customStyle="1" w:styleId="Bullet3">
    <w:name w:val="Bullet 3"/>
    <w:basedOn w:val="Normal"/>
    <w:pPr>
      <w:numPr>
        <w:numId w:val="29"/>
      </w:numPr>
    </w:pPr>
  </w:style>
  <w:style w:type="paragraph" w:customStyle="1" w:styleId="Bullet4">
    <w:name w:val="Bullet 4"/>
    <w:basedOn w:val="Normal"/>
    <w:pPr>
      <w:numPr>
        <w:numId w:val="3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11E7-4424-461A-945F-31349661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4</TotalTime>
  <Pages>8</Pages>
  <Words>2456</Words>
  <Characters>14030</Characters>
  <Application>Microsoft Office Word</Application>
  <DocSecurity>0</DocSecurity>
  <Lines>280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GATTEGNO Valerie (TAXUD)</dc:creator>
  <cp:lastModifiedBy>DIGIT/C6</cp:lastModifiedBy>
  <cp:revision>9</cp:revision>
  <cp:lastPrinted>2019-02-22T15:46:00Z</cp:lastPrinted>
  <dcterms:created xsi:type="dcterms:W3CDTF">2020-08-19T10:51:00Z</dcterms:created>
  <dcterms:modified xsi:type="dcterms:W3CDTF">2020-08-21T10:18:00Z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