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E508BA8-BF97-44AB-850F-78CBCDE04B43" style="width:451.25pt;height:365.8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b/>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 xml:space="preserve">On 7 August 2020, Italy requested Union financial assistance under the SURE Regulation. In accordance with Article 6(2) of the SURE Regulation, the Commission has consulted the Italian authorities to verify the sudden and severe increase in actual and planned expenditure directly related to short-time work schemes and similar measures and health related measures, caused by the COVID-19 pandemic. In particular, it concerns: </w:t>
      </w:r>
    </w:p>
    <w:p>
      <w:pPr>
        <w:pStyle w:val="Point0"/>
        <w:rPr>
          <w:noProof/>
        </w:rPr>
      </w:pPr>
      <w:r>
        <w:t>(1)</w:t>
      </w:r>
      <w:r>
        <w:tab/>
      </w:r>
      <w:r>
        <w:rPr>
          <w:noProof/>
        </w:rPr>
        <w:t>an extension of existing short-time work schemes (‘</w:t>
      </w:r>
      <w:r>
        <w:rPr>
          <w:i/>
          <w:noProof/>
        </w:rPr>
        <w:t>Cassa integrazione guadagni’</w:t>
      </w:r>
      <w:r>
        <w:rPr>
          <w:noProof/>
        </w:rPr>
        <w:t>). The measure covers 80 % of the usual salary of the employees, whose employment contract is maintained, of the companies completely or partially closed due to COVID-19, for a maximum of 18 weeks in the period from 23 February 2020 to 31 October 2020.</w:t>
      </w:r>
    </w:p>
    <w:p>
      <w:pPr>
        <w:pStyle w:val="Point0"/>
        <w:rPr>
          <w:noProof/>
        </w:rPr>
      </w:pPr>
      <w:r>
        <w:t>(2)</w:t>
      </w:r>
      <w:r>
        <w:tab/>
      </w:r>
      <w:r>
        <w:rPr>
          <w:noProof/>
        </w:rPr>
        <w:t xml:space="preserve">an allowance of EUR 600 for the months of March and April 2020 for self-employed persons and freelancers. Freelancers who experienced a reduction of at least 33 % of their earnings in March and April 2020 on a year-to-year basis are also entitled to a EUR 1000 allowance for May 2020. A further allowance of EUR 600 for March 2020 is granted to self-employed workers and freelancers registered with private mandatory social security institutions .  </w:t>
      </w:r>
    </w:p>
    <w:p>
      <w:pPr>
        <w:pStyle w:val="Point0"/>
        <w:rPr>
          <w:noProof/>
        </w:rPr>
      </w:pPr>
      <w:r>
        <w:t>(3)</w:t>
      </w:r>
      <w:r>
        <w:tab/>
      </w:r>
      <w:r>
        <w:rPr>
          <w:noProof/>
        </w:rPr>
        <w:t>a variety of measures targeting specific professions that have been adversely impacted by the COVID-19 outbreak. This includes an allowance of EUR 600 for the month of March 2020 and of EUR 500 for the month of April 2020 for fixed-term employees in agriculture; an allowance of EUR 600 for the months of March, April and May 2020 for workers in the entertainment industry (with annual income up to EUR 50 000); an allowance of EUR 600 for the months of March, April and May 2020 for collaborators of sports associations; an allowance of EUR 600 for the months of March, April and May 2020 for on-call workers and an allowance of EUR 500 for the months of April and May 2020 for domestic workers.</w:t>
      </w:r>
    </w:p>
    <w:p>
      <w:pPr>
        <w:pStyle w:val="Point0"/>
        <w:rPr>
          <w:noProof/>
        </w:rPr>
      </w:pPr>
      <w:r>
        <w:t>(4)</w:t>
      </w:r>
      <w:r>
        <w:tab/>
      </w:r>
      <w:r>
        <w:rPr>
          <w:noProof/>
        </w:rPr>
        <w:t xml:space="preserve">two measures addressing the impact of early-childhood education services and schools closure in the form of parental leave benefits for up to 30 days in the period from 5 March 2020 to 31 August 2020 for employees or self-employed persons with children up to 12 years old (or above 12, where the child is disabled and still attending school) covering 50 % of their income, and baby-sitting vouchers for a maximum of EUR 2 000 as an alternative to parental leave benefits and valid for the same period. </w:t>
      </w:r>
    </w:p>
    <w:p>
      <w:pPr>
        <w:pStyle w:val="Point0"/>
        <w:rPr>
          <w:noProof/>
        </w:rPr>
      </w:pPr>
      <w:r>
        <w:t>(5)</w:t>
      </w:r>
      <w:r>
        <w:tab/>
      </w:r>
      <w:r>
        <w:rPr>
          <w:noProof/>
        </w:rPr>
        <w:t>additional disability leave benefits for up to 12 days in the period from 1 March 2020 to 30 April 2020 and an additional 12 days in the period from 1 May 2020 to 30 June 2020 for workers with a severe disability or with relatives with a severe disability. This is an extension of an existing scheme which entitles employees to three days of disability leave per month.</w:t>
      </w:r>
    </w:p>
    <w:p>
      <w:pPr>
        <w:pStyle w:val="Point0"/>
        <w:rPr>
          <w:noProof/>
        </w:rPr>
      </w:pPr>
      <w:r>
        <w:t>(6)</w:t>
      </w:r>
      <w:r>
        <w:tab/>
      </w:r>
      <w:r>
        <w:rPr>
          <w:noProof/>
        </w:rPr>
        <w:t>non-repayable grants for self-employed workers and individual enterprises. The amount of the grant is calculated taking into account the drop in turnover suffered in April 2020 compared to April 2019 (from a minimum amount of EUR 1 000 to a maximum of 20 % of the drop in turnover).</w:t>
      </w:r>
    </w:p>
    <w:p>
      <w:pPr>
        <w:pStyle w:val="Point0"/>
        <w:rPr>
          <w:noProof/>
        </w:rPr>
      </w:pPr>
      <w:r>
        <w:t>(7)</w:t>
      </w:r>
      <w:r>
        <w:tab/>
      </w:r>
      <w:r>
        <w:rPr>
          <w:noProof/>
        </w:rPr>
        <w:t xml:space="preserve">two health-related measures, a new temporary tax credit of 60 % of the costs of improving the safety of the workplace (up to a maximum of EUR 80 000)  and a new temporary tax credit of 60 % of the costs of sanitising small businesses, professional offices, and non-profit institutions and purchasing safety equipment (up to a maximum of EUR 60 000). </w:t>
      </w:r>
    </w:p>
    <w:p>
      <w:pPr>
        <w:rPr>
          <w:noProof/>
        </w:rPr>
      </w:pPr>
      <w:r>
        <w:rPr>
          <w:noProof/>
        </w:rPr>
        <w:t xml:space="preserve">Italy provided the Commission with the relevant information. </w:t>
      </w:r>
    </w:p>
    <w:p>
      <w:pPr>
        <w:rPr>
          <w:noProof/>
        </w:rPr>
      </w:pPr>
      <w:r>
        <w:rPr>
          <w:noProof/>
        </w:rPr>
        <w:t xml:space="preserve">Taking into account the available evidence, the Commission proposes to the Council to adopt an Implementing Decision to grant financial assistance to Italy under the SURE Regulation in support of the above measures.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2020/0219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Italy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2"/>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7 August 2020, Italy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Italy to contain the outbreak and its socio-economic and health-related impact are expected to have a dramatic impact on public finances. According to the Commission’s 2020 Spring forecast, Italy was expected to have a general government deficit and debt of 11.1% and 158.9% of gross domestic product (GDP) respectively by the end of 2020. According to the Commission’s 2020 Summer interim forecast, Italy’s GDP is projected to decrease by 11.2% in 2020. </w:t>
      </w:r>
    </w:p>
    <w:p>
      <w:pPr>
        <w:pStyle w:val="ManualConsidrant"/>
        <w:rPr>
          <w:noProof/>
        </w:rPr>
      </w:pPr>
      <w:r>
        <w:t>(3)</w:t>
      </w:r>
      <w:r>
        <w:tab/>
      </w:r>
      <w:r>
        <w:rPr>
          <w:noProof/>
        </w:rPr>
        <w:t>The COVID-19 outbreak has immobilised a substantial part of the labour force in Italy. This has led to a sudden and severe increase in public expenditure by Italy in respect of short-time work schemes for employees, allowances for the self-employed, fixed-term employees in agriculture, workers in the entertainment industry, collaborators of sport associations, domestic workers and on-call workers, baby-sitting vouchers, additional parental and disability leave benefits, non-repayable grants to self-employed workers and individual enterprises, and tax credits in support of public health measures, as set out in recitals 4 to 10.</w:t>
      </w:r>
    </w:p>
    <w:p>
      <w:pPr>
        <w:pStyle w:val="ManualConsidrant"/>
        <w:rPr>
          <w:noProof/>
        </w:rPr>
      </w:pPr>
      <w:r>
        <w:t>(4)</w:t>
      </w:r>
      <w:r>
        <w:tab/>
      </w:r>
      <w:r>
        <w:rPr>
          <w:noProof/>
        </w:rPr>
        <w:t>“Decree-law n. 18/2020”</w:t>
      </w:r>
      <w:r>
        <w:rPr>
          <w:rStyle w:val="FootnoteReference"/>
          <w:noProof/>
        </w:rPr>
        <w:footnoteReference w:id="3"/>
      </w:r>
      <w:r>
        <w:rPr>
          <w:noProof/>
        </w:rPr>
        <w:t xml:space="preserve"> and “Decree-law n. 34/2020”</w:t>
      </w:r>
      <w:r>
        <w:rPr>
          <w:rStyle w:val="FootnoteReference"/>
          <w:noProof/>
        </w:rPr>
        <w:footnoteReference w:id="4"/>
      </w:r>
      <w:r>
        <w:rPr>
          <w:noProof/>
        </w:rPr>
        <w:t>, as they are referred to in Italy’s request of 7 August 2020, has been the basis for the introduction of a number of measures to address the impact of the COVID-19 outbreak, including an extension of existing short-time work schemes (‘</w:t>
      </w:r>
      <w:r>
        <w:rPr>
          <w:i/>
          <w:noProof/>
        </w:rPr>
        <w:t>Cassa integrazione guadagni’</w:t>
      </w:r>
      <w:r>
        <w:rPr>
          <w:noProof/>
        </w:rPr>
        <w:t>). The measure covers 80 % of the usual salary of the employees, whose employment contract is maintained, of the companies completely or partially closed due to COVID-19, for a maximum of 18 weeks in the period from 23 February 2020 to 31 October 2020.</w:t>
      </w:r>
    </w:p>
    <w:p>
      <w:pPr>
        <w:pStyle w:val="ManualConsidrant"/>
        <w:rPr>
          <w:noProof/>
        </w:rPr>
      </w:pPr>
      <w:r>
        <w:t>(5)</w:t>
      </w:r>
      <w:r>
        <w:tab/>
      </w:r>
      <w:r>
        <w:rPr>
          <w:noProof/>
        </w:rPr>
        <w:t xml:space="preserve">For self-employed persons and freelancers, the authorities have introduced an allowance of EUR 600 for the months of March and April 2020. Freelancers who experienced a reduction of at least 33 % of their earnings in March and April 2020 on a year-to-year basis are also entitled to a EUR 1000 allowance for May 2020. A further allowance of EUR 600 for March 2020 is granted to self-employed workers and freelancers registered with private mandatory social security institutions.  </w:t>
      </w:r>
    </w:p>
    <w:p>
      <w:pPr>
        <w:pStyle w:val="ManualConsidrant"/>
        <w:rPr>
          <w:noProof/>
        </w:rPr>
      </w:pPr>
      <w:r>
        <w:t>(6)</w:t>
      </w:r>
      <w:r>
        <w:tab/>
      </w:r>
      <w:r>
        <w:rPr>
          <w:noProof/>
        </w:rPr>
        <w:t>The authorities have introduced a variety of measures targeting specific professions that have been adversely impacted by the COVID-19 outbreak. This includes an allowance of EUR 600 for the month of March 2020 and of EUR 500 for the month of April 2020 for fixed-term employees in agriculture; an allowance of EUR 600 for the months of March, April and May 2020 for workers in the entertainment industry (with annual income up to EUR 50 000); an allowance of EUR 600 for the months of March, April and May 2020 for collaborators of sports associations; an allowance of EUR 600 for the months of March, April and May 2020 for on-call workers and, , an allowance of EUR 500 for the months of April and May 2020 for domestic workers.</w:t>
      </w:r>
    </w:p>
    <w:p>
      <w:pPr>
        <w:pStyle w:val="ManualConsidrant"/>
        <w:rPr>
          <w:noProof/>
        </w:rPr>
      </w:pPr>
      <w:r>
        <w:t>(7)</w:t>
      </w:r>
      <w:r>
        <w:tab/>
      </w:r>
      <w:r>
        <w:rPr>
          <w:noProof/>
        </w:rPr>
        <w:t xml:space="preserve">Two measures addressing the impact of early-childhood education services and schools closure have also been introduced by the authorities, in the form of parental leave benefits for up to 30 days in the period from 5 March 2020 to 31 August 2020 for employees or self-employed persons with children up to 12 years old (or above 12, where the child is disabled and still attending school) covering 50 % of their income, and baby-sitting vouchers for a maximum of EUR 2 000 as an alternative to parental leave benefits and valid for the same period. These measures can be considered as similar measures to short-time work schemes, as referred to in Regulation (EU) 2020/672, as they provide income support to employees and the self-employed, which will help to cover the costs of childcare during school closures and therefore help parents to continue working, preventing putting the employment relation at risk. </w:t>
      </w:r>
    </w:p>
    <w:p>
      <w:pPr>
        <w:pStyle w:val="ManualConsidrant"/>
        <w:rPr>
          <w:noProof/>
        </w:rPr>
      </w:pPr>
      <w:r>
        <w:t>(8)</w:t>
      </w:r>
      <w:r>
        <w:tab/>
      </w:r>
      <w:r>
        <w:rPr>
          <w:noProof/>
        </w:rPr>
        <w:t>Furthermore, the authorities have introduced additional disability leave benefits for up to 12 days in the period from 1 March 2020 to 30 April 2020 and an additional 12 days in the period from 1 May 2020 to 30 June 2020 for workers with a severe disability or with relatives with a severe disability. This is an extension of an existing scheme which entitles employees to three days of disability leave per month.</w:t>
      </w:r>
    </w:p>
    <w:p>
      <w:pPr>
        <w:pStyle w:val="ManualConsidrant"/>
        <w:rPr>
          <w:noProof/>
        </w:rPr>
      </w:pPr>
      <w:r>
        <w:t>(9)</w:t>
      </w:r>
      <w:r>
        <w:tab/>
      </w:r>
      <w:r>
        <w:rPr>
          <w:noProof/>
        </w:rPr>
        <w:t xml:space="preserve">Non-repayable grants for self-employed workers and individual enterprises have been introduced. The amount of the grant is calculated taking into account the drop in turnover suffered in April 2020 compared to April 2019 (from a minimum amount of EUR 1 000 to a maximum of 20 % of the drop in turnover). </w:t>
      </w:r>
    </w:p>
    <w:p>
      <w:pPr>
        <w:pStyle w:val="ManualConsidrant"/>
        <w:rPr>
          <w:noProof/>
        </w:rPr>
      </w:pPr>
      <w:r>
        <w:t>(10)</w:t>
      </w:r>
      <w:r>
        <w:tab/>
      </w:r>
      <w:r>
        <w:rPr>
          <w:noProof/>
        </w:rPr>
        <w:t>Finally, two health-related measures have been introduced by the authorities, a new temporary tax credit of 60 % of the costs of improving the safety of the workplace (up to a maximum of EUR 80 000) and a new temporary tax credit of 60 % of the costs of sanitising small businesses, professional offices, and non-profit institutions and purchasing safety equipment (up to a maximum of EUR 60 000). Since the tax credits consist of forgone revenue for the government, they can be considered equivalent to public expenditure.</w:t>
      </w:r>
    </w:p>
    <w:p>
      <w:pPr>
        <w:pStyle w:val="ManualConsidrant"/>
        <w:rPr>
          <w:noProof/>
        </w:rPr>
      </w:pPr>
      <w:r>
        <w:t>(11)</w:t>
      </w:r>
      <w:r>
        <w:tab/>
      </w:r>
      <w:r>
        <w:rPr>
          <w:noProof/>
        </w:rPr>
        <w:t xml:space="preserve">Italy fulfils the conditions for requesting financial assistance set out in Article 3 of Regulation (EU) 2020/672. Italy has provided the Commission with appropriate evidence that the actual and planned public expenditure has increased by EUR </w:t>
      </w:r>
      <w:r>
        <w:rPr>
          <w:noProof/>
          <w:lang w:val="en-US"/>
        </w:rPr>
        <w:t>28 811 965 628</w:t>
      </w:r>
      <w:r>
        <w:rPr>
          <w:noProof/>
        </w:rPr>
        <w:t xml:space="preserve"> as of 1 February 2020 due to the increased amounts directly related to short-time work schemes for employees, allowances for the self-employed, fixed-term employees in agriculture, workers in the entertainment industry, collaborators of sport associations, domestic workers and on-call workers, baby-sitting vouchers, additional parental and disability leave benefits, and non-repayable grants to self-employed workers and individual enterprises. This constitutes a sudden and severe increase because it relates to both new and an extension of existing measures, which cover a significant proportion of undertakings and of the labour force in Italy. Italy intends to finance EUR 320 000 000 of the increased amount of expenditure through Union funds.</w:t>
      </w:r>
    </w:p>
    <w:p>
      <w:pPr>
        <w:pStyle w:val="ManualConsidrant"/>
        <w:rPr>
          <w:noProof/>
        </w:rPr>
      </w:pPr>
      <w:r>
        <w:t>(12)</w:t>
      </w:r>
      <w:r>
        <w:tab/>
      </w:r>
      <w:r>
        <w:rPr>
          <w:noProof/>
        </w:rPr>
        <w:t xml:space="preserve">The Commission has consulted Italy and verified the sudden and severe increase in the actual and planned public expenditure directly related to short-time work schemes and similar measures, as well as the recourse to relevant health-related measures related to the COVID-19 outbreak referred to in the request of 7 August 2020, in accordance with Article 6 of Regulation (EU) 2020/672. </w:t>
      </w:r>
    </w:p>
    <w:p>
      <w:pPr>
        <w:pStyle w:val="ManualConsidrant"/>
        <w:rPr>
          <w:noProof/>
        </w:rPr>
      </w:pPr>
      <w:r>
        <w:t>(13)</w:t>
      </w:r>
      <w:r>
        <w:tab/>
      </w:r>
      <w:r>
        <w:rPr>
          <w:noProof/>
        </w:rPr>
        <w:t>Financial assistance should therefore be provided with a view to helping Italy to address the socio-economic effects of the severe economic disturbance caused by the COVID-19 outbreak.</w:t>
      </w:r>
    </w:p>
    <w:p>
      <w:pPr>
        <w:pStyle w:val="ManualConsidrant"/>
        <w:rPr>
          <w:noProof/>
        </w:rPr>
      </w:pPr>
      <w:r>
        <w:t>(14)</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(15)</w:t>
      </w:r>
      <w:r>
        <w:tab/>
      </w:r>
      <w:r>
        <w:rPr>
          <w:noProof/>
        </w:rPr>
        <w:t>Italy should inform the Commission on a regular basis of the implementation of the planned public expenditure, in order to enable the Commission to assess the extent to which Italy has implemented that expenditure.</w:t>
      </w:r>
    </w:p>
    <w:p>
      <w:pPr>
        <w:pStyle w:val="ManualConsidrant"/>
        <w:rPr>
          <w:noProof/>
        </w:rPr>
      </w:pPr>
      <w:r>
        <w:t>(16)</w:t>
      </w:r>
      <w:r>
        <w:tab/>
      </w:r>
      <w:r>
        <w:rPr>
          <w:noProof/>
        </w:rPr>
        <w:t>The decision to provide financial assistance has been taken taking into account existing and expected needs of Italy, as well as requests for financial assistance pursuant to Regulation (EU) 2020/672 already submitted or planned to be submitted by other Member States, while applying the principles of equal treatment, solidarity, proportionality and transparency. In particular, the amount of the loan has been established to ensure compliance with the prudential rules applicable to the portfolio of loans as specified in Council Regulation (EU) 2020/672,</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Italy fulfils the conditions set out in Article 3 of Regulation (EU) 2020/672.  </w:t>
      </w:r>
    </w:p>
    <w:p>
      <w:pPr>
        <w:pStyle w:val="Titrearticle"/>
        <w:rPr>
          <w:noProof/>
        </w:rPr>
      </w:pPr>
      <w:r>
        <w:rPr>
          <w:noProof/>
        </w:rPr>
        <w:t>Article 2</w:t>
      </w:r>
    </w:p>
    <w:p>
      <w:pPr>
        <w:pStyle w:val="ManualNumPar1"/>
        <w:rPr>
          <w:rFonts w:ascii="Calibri" w:eastAsia="Times New Roman" w:hAnsi="Calibri" w:cs="Calibri"/>
          <w:noProof/>
          <w:color w:val="000000"/>
          <w:sz w:val="22"/>
          <w:lang w:val="en-IE" w:eastAsia="fr-BE"/>
        </w:rPr>
      </w:pPr>
      <w:r>
        <w:t>1.</w:t>
      </w:r>
      <w:r>
        <w:tab/>
      </w:r>
      <w:r>
        <w:rPr>
          <w:noProof/>
        </w:rPr>
        <w:t>The Union shall make available to Italy a loan amounting to a maximum of EUR 27 438 486 464.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the entry into force of this Decision. </w:t>
      </w:r>
    </w:p>
    <w:p>
      <w:pPr>
        <w:pStyle w:val="ManualNumPar1"/>
        <w:rPr>
          <w:noProof/>
        </w:rPr>
      </w:pPr>
      <w:r>
        <w:t>3.</w:t>
      </w:r>
      <w:r>
        <w:tab/>
      </w:r>
      <w:r>
        <w:rPr>
          <w:noProof/>
        </w:rPr>
        <w:t xml:space="preserve">The Union financial assistance shall be made available by the Commission to Italy in a maximum of ten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Italy shall pay the cost of funding of the Union referred to in Article 4 of Regulation (EU) 2020/672 for each instalment plus any fees, costs and expenses of the Union resulting from any funding.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Italy may finance the following measures:</w:t>
      </w:r>
    </w:p>
    <w:p>
      <w:pPr>
        <w:pStyle w:val="Point0"/>
        <w:rPr>
          <w:noProof/>
        </w:rPr>
      </w:pPr>
      <w:r>
        <w:t>(a)</w:t>
      </w:r>
      <w:r>
        <w:tab/>
      </w:r>
      <w:r>
        <w:rPr>
          <w:noProof/>
        </w:rPr>
        <w:t>the extension of existing short-time work schemes (‘</w:t>
      </w:r>
      <w:r>
        <w:rPr>
          <w:i/>
          <w:noProof/>
        </w:rPr>
        <w:t>Cassa integrazione guadagni</w:t>
      </w:r>
      <w:r>
        <w:rPr>
          <w:noProof/>
        </w:rPr>
        <w:t xml:space="preserve">’) for employees, as provided for by Articles 19-22 of Decree-law n. 18/2020 as converted by Law n. 27/2020 and Articles 68-71 of Decree-law n. 34/2020  as converted by Law n. 77/2020; </w:t>
      </w:r>
    </w:p>
    <w:p>
      <w:pPr>
        <w:pStyle w:val="Point0"/>
        <w:rPr>
          <w:noProof/>
        </w:rPr>
      </w:pPr>
      <w:r>
        <w:t>(b)</w:t>
      </w:r>
      <w:r>
        <w:tab/>
      </w:r>
      <w:r>
        <w:rPr>
          <w:noProof/>
        </w:rPr>
        <w:t xml:space="preserve">an allowance for the self-employed, as provided for by Articles 27, 28 and 44 of Decree-law n. 18/2020 as converted by Law n. 27/2020 and Article 84 of Decree-law  n. 34/2020 as converted by Law n. 77/2020; </w:t>
      </w:r>
    </w:p>
    <w:p>
      <w:pPr>
        <w:pStyle w:val="Point0"/>
        <w:rPr>
          <w:noProof/>
        </w:rPr>
      </w:pPr>
      <w:r>
        <w:t>(c)</w:t>
      </w:r>
      <w:r>
        <w:tab/>
      </w:r>
      <w:r>
        <w:rPr>
          <w:noProof/>
        </w:rPr>
        <w:t xml:space="preserve">allowances for fixed-term employees in agriculture, as provided for by Article 30 of Decree-law n. 18/2020 and Article 84 of Decree-law n 34/2020 as converted by Law n. 77/2020; </w:t>
      </w:r>
    </w:p>
    <w:p>
      <w:pPr>
        <w:pStyle w:val="Point0"/>
        <w:rPr>
          <w:noProof/>
        </w:rPr>
      </w:pPr>
      <w:r>
        <w:t>(d)</w:t>
      </w:r>
      <w:r>
        <w:tab/>
      </w:r>
      <w:r>
        <w:rPr>
          <w:noProof/>
        </w:rPr>
        <w:t xml:space="preserve">allowances for workers in the entertainment industry, as provided for by Article 38 of Decree-law n. 18/2020 and Article 84 of Decree-law n 34/2020 as converted by Law n. 77/2020; </w:t>
      </w:r>
    </w:p>
    <w:p>
      <w:pPr>
        <w:pStyle w:val="Point0"/>
        <w:rPr>
          <w:noProof/>
        </w:rPr>
      </w:pPr>
      <w:r>
        <w:t>(e)</w:t>
      </w:r>
      <w:r>
        <w:tab/>
      </w:r>
      <w:r>
        <w:rPr>
          <w:noProof/>
        </w:rPr>
        <w:t xml:space="preserve">allowances for collaborators of sport associations, as provided for by Article 96 of Decree-law n. 18/2020 and Article 84 of Decree-law n 34/2020 as converted by Law n. 77/2020; </w:t>
      </w:r>
    </w:p>
    <w:p>
      <w:pPr>
        <w:pStyle w:val="Point0"/>
        <w:rPr>
          <w:noProof/>
        </w:rPr>
      </w:pPr>
      <w:r>
        <w:t>(f)</w:t>
      </w:r>
      <w:r>
        <w:tab/>
      </w:r>
      <w:r>
        <w:rPr>
          <w:noProof/>
        </w:rPr>
        <w:t xml:space="preserve">an allowance for domestic workers, as provided for by Article 85 of Decree-law n. 34/2020 as converted by Law n. 77/2020; </w:t>
      </w:r>
    </w:p>
    <w:p>
      <w:pPr>
        <w:pStyle w:val="Point0"/>
        <w:rPr>
          <w:noProof/>
        </w:rPr>
      </w:pPr>
      <w:r>
        <w:t>(g)</w:t>
      </w:r>
      <w:r>
        <w:tab/>
      </w:r>
      <w:r>
        <w:rPr>
          <w:noProof/>
        </w:rPr>
        <w:t xml:space="preserve">an allowance for on-call workers, as provided for by Articles 44 of Decree-law n. 18/2020 and Article 84 of Decree-law n. 34/2020 as converted by Law n. 77/2020; </w:t>
      </w:r>
    </w:p>
    <w:p>
      <w:pPr>
        <w:pStyle w:val="Point0"/>
        <w:rPr>
          <w:noProof/>
        </w:rPr>
      </w:pPr>
      <w:r>
        <w:t>(h)</w:t>
      </w:r>
      <w:r>
        <w:tab/>
      </w:r>
      <w:r>
        <w:rPr>
          <w:noProof/>
        </w:rPr>
        <w:t xml:space="preserve">non-repayable grants to self-employed workers and individual enterprises, as provided for by Article 25 of Decree-law n. 34/2020 as converted by Law n. 77/2020, for the part of expenditure related to the support of the self-employed and one-person companies; </w:t>
      </w:r>
    </w:p>
    <w:p>
      <w:pPr>
        <w:pStyle w:val="Point0"/>
        <w:rPr>
          <w:noProof/>
        </w:rPr>
      </w:pPr>
      <w:r>
        <w:t>(i)</w:t>
      </w:r>
      <w:r>
        <w:tab/>
      </w:r>
      <w:r>
        <w:rPr>
          <w:noProof/>
        </w:rPr>
        <w:t xml:space="preserve">parental leave benefits, as provided for by Articles 23 and 25 of Decree-law n. 18/2020 as converted by Law n. 27/2020 and Article 72 of Decree-law n. 34/2020 as converted by Law n. 77/2020; </w:t>
      </w:r>
    </w:p>
    <w:p>
      <w:pPr>
        <w:pStyle w:val="Point0"/>
        <w:rPr>
          <w:noProof/>
        </w:rPr>
      </w:pPr>
      <w:r>
        <w:t>(j)</w:t>
      </w:r>
      <w:r>
        <w:tab/>
      </w:r>
      <w:r>
        <w:rPr>
          <w:noProof/>
        </w:rPr>
        <w:t xml:space="preserve">baby-sitting vouchers, as provided for by Articles 23 and 25 of Decree-law n. 18/2020 as converted by Law n. 27/2020 and Article 73 of Decree-law n. 34/2020 as converted by Law n. 77/2020; </w:t>
      </w:r>
    </w:p>
    <w:p>
      <w:pPr>
        <w:pStyle w:val="Point0"/>
        <w:rPr>
          <w:noProof/>
        </w:rPr>
      </w:pPr>
      <w:r>
        <w:t>(k)</w:t>
      </w:r>
      <w:r>
        <w:tab/>
      </w:r>
      <w:r>
        <w:rPr>
          <w:noProof/>
        </w:rPr>
        <w:t>disability leave benefits, as provided for by Articles 24 of Decree-law n. 18/2020 as converted by Law n. 27/2020 and Article 74 of Decree-law n. 34/2020 as converted by Law n. 77/2020;</w:t>
      </w:r>
    </w:p>
    <w:p>
      <w:pPr>
        <w:pStyle w:val="Point0"/>
        <w:rPr>
          <w:noProof/>
        </w:rPr>
      </w:pPr>
      <w:r>
        <w:t>(l)</w:t>
      </w:r>
      <w:r>
        <w:tab/>
      </w:r>
      <w:r>
        <w:rPr>
          <w:noProof/>
        </w:rPr>
        <w:t xml:space="preserve">tax credits in respect of improvements to the  safety of the workplace, as provided for by Article 120 of Decree-law n. 34/2020 as converted by Law n. 77/2020; </w:t>
      </w:r>
    </w:p>
    <w:p>
      <w:pPr>
        <w:pStyle w:val="Point0"/>
        <w:rPr>
          <w:noProof/>
        </w:rPr>
      </w:pPr>
      <w:r>
        <w:t>(m)</w:t>
      </w:r>
      <w:r>
        <w:tab/>
      </w:r>
      <w:r>
        <w:rPr>
          <w:noProof/>
        </w:rPr>
        <w:t>tax credits in respect of sanitisation of workplaces and purchase of safety equipment, as provided for by Article 125 of Decree-law n. 34/2020 as converted by Law n. 77/2020.</w:t>
      </w:r>
    </w:p>
    <w:p>
      <w:pPr>
        <w:pStyle w:val="Titrearticle"/>
        <w:rPr>
          <w:noProof/>
        </w:rPr>
      </w:pPr>
      <w:r>
        <w:rPr>
          <w:noProof/>
        </w:rPr>
        <w:t>Article 4</w:t>
      </w:r>
    </w:p>
    <w:p>
      <w:pPr>
        <w:rPr>
          <w:noProof/>
        </w:rPr>
      </w:pPr>
      <w:r>
        <w:rPr>
          <w:noProof/>
        </w:rPr>
        <w:t>Italy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the </w:t>
      </w:r>
      <w:r>
        <w:rPr>
          <w:noProof/>
        </w:rPr>
        <w:t>Italian Republic.</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159, 20.5.2020, p.1.</w:t>
      </w:r>
    </w:p>
  </w:footnote>
  <w:footnote w:id="3">
    <w:p>
      <w:pPr>
        <w:pStyle w:val="FootnoteText"/>
        <w:ind w:left="142" w:hanging="142"/>
      </w:pPr>
      <w:r>
        <w:rPr>
          <w:rStyle w:val="FootnoteReference"/>
        </w:rPr>
        <w:footnoteRef/>
      </w:r>
      <w:r>
        <w:tab/>
        <w:t>Decree-law n. 18/2020 as converted by Law n. 27/2020</w:t>
      </w:r>
    </w:p>
  </w:footnote>
  <w:footnote w:id="4">
    <w:p>
      <w:pPr>
        <w:pStyle w:val="FootnoteText"/>
      </w:pPr>
      <w:r>
        <w:rPr>
          <w:rStyle w:val="FootnoteReference"/>
        </w:rPr>
        <w:footnoteRef/>
      </w:r>
      <w:r>
        <w:tab/>
        <w:t>Decree-law n. 34/2020 as converted by Law n. 77/2020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8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F082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E30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BA331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61101FD2"/>
    <w:name w:val="NumPar"/>
    <w:lvl w:ilvl="0">
      <w:start w:val="1"/>
      <w:numFmt w:val="decimal"/>
      <w:lvlRestart w:val="0"/>
      <w:pStyle w:val="NumPar1"/>
      <w:lvlText w:val="%1."/>
      <w:lvlJc w:val="left"/>
      <w:pPr>
        <w:tabs>
          <w:tab w:val="num" w:pos="850"/>
        </w:tabs>
        <w:ind w:left="850" w:hanging="850"/>
      </w:pPr>
      <w:rPr>
        <w:rFonts w:ascii="Times New Roman" w:hAnsi="Times New Roman" w:cs="Times New Roman" w:hint="default"/>
        <w:sz w:val="24"/>
        <w:szCs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1"/>
  </w:num>
  <w:num w:numId="28">
    <w:abstractNumId w:val="0"/>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GOMPEL Sien (ECFIN)">
    <w15:presenceInfo w15:providerId="AD" w15:userId="S-1-5-21-1606980848-2025429265-839522115-62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0 11:29: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E508BA8-BF97-44AB-850F-78CBCDE04B43"/>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9"/>
    <w:docVar w:name="LW_REF.II.NEW.CP_YEAR" w:val="2020"/>
    <w:docVar w:name="LW_REF.INST.NEW" w:val="COM"/>
    <w:docVar w:name="LW_REF.INST.NEW_ADOPTED" w:val="final"/>
    <w:docVar w:name="LW_REF.INST.NEW_TEXT" w:val="(2020)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Italy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marker0">
    <w:name w:val="marker"/>
    <w:basedOn w:val="DefaultParagraphFont"/>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marker0">
    <w:name w:val="marker"/>
    <w:basedOn w:val="DefaultParagraphFont"/>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9996">
      <w:bodyDiv w:val="1"/>
      <w:marLeft w:val="0"/>
      <w:marRight w:val="0"/>
      <w:marTop w:val="0"/>
      <w:marBottom w:val="0"/>
      <w:divBdr>
        <w:top w:val="none" w:sz="0" w:space="0" w:color="auto"/>
        <w:left w:val="none" w:sz="0" w:space="0" w:color="auto"/>
        <w:bottom w:val="none" w:sz="0" w:space="0" w:color="auto"/>
        <w:right w:val="none" w:sz="0" w:space="0" w:color="auto"/>
      </w:divBdr>
    </w:div>
    <w:div w:id="166093505">
      <w:bodyDiv w:val="1"/>
      <w:marLeft w:val="0"/>
      <w:marRight w:val="0"/>
      <w:marTop w:val="0"/>
      <w:marBottom w:val="0"/>
      <w:divBdr>
        <w:top w:val="none" w:sz="0" w:space="0" w:color="auto"/>
        <w:left w:val="none" w:sz="0" w:space="0" w:color="auto"/>
        <w:bottom w:val="none" w:sz="0" w:space="0" w:color="auto"/>
        <w:right w:val="none" w:sz="0" w:space="0" w:color="auto"/>
      </w:divBdr>
    </w:div>
    <w:div w:id="178199314">
      <w:bodyDiv w:val="1"/>
      <w:marLeft w:val="0"/>
      <w:marRight w:val="0"/>
      <w:marTop w:val="0"/>
      <w:marBottom w:val="0"/>
      <w:divBdr>
        <w:top w:val="none" w:sz="0" w:space="0" w:color="auto"/>
        <w:left w:val="none" w:sz="0" w:space="0" w:color="auto"/>
        <w:bottom w:val="none" w:sz="0" w:space="0" w:color="auto"/>
        <w:right w:val="none" w:sz="0" w:space="0" w:color="auto"/>
      </w:divBdr>
    </w:div>
    <w:div w:id="337931380">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548028428">
      <w:bodyDiv w:val="1"/>
      <w:marLeft w:val="0"/>
      <w:marRight w:val="0"/>
      <w:marTop w:val="0"/>
      <w:marBottom w:val="0"/>
      <w:divBdr>
        <w:top w:val="none" w:sz="0" w:space="0" w:color="auto"/>
        <w:left w:val="none" w:sz="0" w:space="0" w:color="auto"/>
        <w:bottom w:val="none" w:sz="0" w:space="0" w:color="auto"/>
        <w:right w:val="none" w:sz="0" w:space="0" w:color="auto"/>
      </w:divBdr>
    </w:div>
    <w:div w:id="1769503458">
      <w:bodyDiv w:val="1"/>
      <w:marLeft w:val="0"/>
      <w:marRight w:val="0"/>
      <w:marTop w:val="0"/>
      <w:marBottom w:val="0"/>
      <w:divBdr>
        <w:top w:val="none" w:sz="0" w:space="0" w:color="auto"/>
        <w:left w:val="none" w:sz="0" w:space="0" w:color="auto"/>
        <w:bottom w:val="none" w:sz="0" w:space="0" w:color="auto"/>
        <w:right w:val="none" w:sz="0" w:space="0" w:color="auto"/>
      </w:divBdr>
    </w:div>
    <w:div w:id="1904875803">
      <w:bodyDiv w:val="1"/>
      <w:marLeft w:val="0"/>
      <w:marRight w:val="0"/>
      <w:marTop w:val="0"/>
      <w:marBottom w:val="0"/>
      <w:divBdr>
        <w:top w:val="none" w:sz="0" w:space="0" w:color="auto"/>
        <w:left w:val="none" w:sz="0" w:space="0" w:color="auto"/>
        <w:bottom w:val="none" w:sz="0" w:space="0" w:color="auto"/>
        <w:right w:val="none" w:sz="0" w:space="0" w:color="auto"/>
      </w:divBdr>
    </w:div>
    <w:div w:id="2067798666">
      <w:bodyDiv w:val="1"/>
      <w:marLeft w:val="0"/>
      <w:marRight w:val="0"/>
      <w:marTop w:val="0"/>
      <w:marBottom w:val="0"/>
      <w:divBdr>
        <w:top w:val="none" w:sz="0" w:space="0" w:color="auto"/>
        <w:left w:val="none" w:sz="0" w:space="0" w:color="auto"/>
        <w:bottom w:val="none" w:sz="0" w:space="0" w:color="auto"/>
        <w:right w:val="none" w:sz="0" w:space="0" w:color="auto"/>
      </w:divBdr>
    </w:div>
    <w:div w:id="20976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52620ba7-763e-42f0-8a8d-d357237415df" xsi:nil="true"/>
    <EC_ARES_TRANSFERRED_BY xmlns="fe36a264-c730-4012-8728-159324ca18ef" xsi:nil="true"/>
    <EC_ARES_NUMBER xmlns="fe36a264-c730-4012-8728-159324ca18ef">
      <Url xsi:nil="true"/>
      <Description xsi:nil="true"/>
    </EC_ARES_NUMBER>
    <EC_ARES_DATE_TRANSFERRED xmlns="fe36a264-c730-4012-8728-159324ca18ef" xsi:nil="true"/>
    <EC_Collab_DocumentLanguage xmlns="52620ba7-763e-42f0-8a8d-d357237415df">EN</EC_Collab_DocumentLanguage>
    <EC_Collab_Status xmlns="52620ba7-763e-42f0-8a8d-d357237415df">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C77C118D859E54EB67580662C84FC1D" ma:contentTypeVersion="5" ma:contentTypeDescription="Create a new document in this library." ma:contentTypeScope="" ma:versionID="61af9db13edfa5bf54c66ba27f679c45">
  <xsd:schema xmlns:xsd="http://www.w3.org/2001/XMLSchema" xmlns:xs="http://www.w3.org/2001/XMLSchema" xmlns:p="http://schemas.microsoft.com/office/2006/metadata/properties" xmlns:ns3="52620ba7-763e-42f0-8a8d-d357237415df" xmlns:ns4="fe36a264-c730-4012-8728-159324ca18ef" targetNamespace="http://schemas.microsoft.com/office/2006/metadata/properties" ma:root="true" ma:fieldsID="65ee4e6a5e254cbca4aec72af8b0bb00" ns3:_="" ns4:_="">
    <xsd:import namespace="52620ba7-763e-42f0-8a8d-d357237415df"/>
    <xsd:import namespace="fe36a264-c730-4012-8728-159324ca18ef"/>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0ba7-763e-42f0-8a8d-d357237415d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e36a264-c730-4012-8728-159324ca18ef" elementFormDefault="qualified">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D5CC2D-B0B1-4BCB-9C79-5256112B305A}">
  <ds:schemaRefs>
    <ds:schemaRef ds:uri="http://schemas.openxmlformats.org/package/2006/metadata/core-properties"/>
    <ds:schemaRef ds:uri="fe36a264-c730-4012-8728-159324ca18ef"/>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52620ba7-763e-42f0-8a8d-d357237415df"/>
    <ds:schemaRef ds:uri="http://www.w3.org/XML/1998/namespace"/>
    <ds:schemaRef ds:uri="http://purl.org/dc/dcmitype/"/>
  </ds:schemaRefs>
</ds:datastoreItem>
</file>

<file path=customXml/itemProps2.xml><?xml version="1.0" encoding="utf-8"?>
<ds:datastoreItem xmlns:ds="http://schemas.openxmlformats.org/officeDocument/2006/customXml" ds:itemID="{03B2DD70-A3F4-4F96-83B3-840A823FBF75}">
  <ds:schemaRefs>
    <ds:schemaRef ds:uri="http://schemas.microsoft.com/sharepoint/v3/contenttype/forms"/>
  </ds:schemaRefs>
</ds:datastoreItem>
</file>

<file path=customXml/itemProps3.xml><?xml version="1.0" encoding="utf-8"?>
<ds:datastoreItem xmlns:ds="http://schemas.openxmlformats.org/officeDocument/2006/customXml" ds:itemID="{0AEC4911-4415-4862-B8FE-EE5131E2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20ba7-763e-42f0-8a8d-d357237415df"/>
    <ds:schemaRef ds:uri="fe36a264-c730-4012-8728-159324ca1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574FD-00D2-4F01-BBD7-0522C9E4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3398</Words>
  <Characters>17675</Characters>
  <Application>Microsoft Office Word</Application>
  <DocSecurity>0</DocSecurity>
  <Lines>304</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2020-08-21T15:03:00Z</dcterms:created>
  <dcterms:modified xsi:type="dcterms:W3CDTF">2020-08-21T15:24:00Z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ContentTypeId">
    <vt:lpwstr>0x010100258AA79CEB83498886A3A0868112325000FC77C118D859E54EB67580662C84FC1D</vt:lpwstr>
  </property>
  <property fmtid="{D5CDD505-2E9C-101B-9397-08002B2CF9AE}" pid="11" name="DQCStatus">
    <vt:lpwstr>Yellow (DQC version 03)</vt:lpwstr>
  </property>
</Properties>
</file>