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D36BFBD-79F7-48D7-A527-4316BA4CF6EA"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Customs Sub-Committee of the EU-Ukraine Association Agreement in connection with the envisaged adoption of a Decision amending Protocol I of the EU-Ukraine Association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Association Agreement between the European Union and their Member States, of the one part, and Ukraine, of the other part</w:t>
      </w:r>
    </w:p>
    <w:p>
      <w:pPr>
        <w:rPr>
          <w:rFonts w:eastAsia="Arial Unicode MS"/>
          <w:noProof/>
        </w:rPr>
      </w:pPr>
      <w:r>
        <w:rPr>
          <w:rFonts w:eastAsia="Arial Unicode MS"/>
          <w:noProof/>
        </w:rPr>
        <w:t>The Association Agreement between the European Union and their Member States, of the one part, and Ukraine, of the other part</w:t>
      </w:r>
      <w:r>
        <w:rPr>
          <w:rStyle w:val="FootnoteReference"/>
          <w:noProof/>
        </w:rPr>
        <w:footnoteReference w:id="2"/>
      </w:r>
      <w:r>
        <w:rPr>
          <w:rFonts w:eastAsia="Arial Unicode MS"/>
          <w:noProof/>
        </w:rPr>
        <w:t xml:space="preserve"> (‘the Agreement’) aims to establish conditions for enhanced economic and trade relations leading towards Ukraine's gradual integration in the EU Internal Market. The Agreement entered into force on 1 September 2017</w:t>
      </w:r>
      <w:r>
        <w:rPr>
          <w:noProof/>
        </w:rPr>
        <w:t>.</w:t>
      </w:r>
    </w:p>
    <w:p>
      <w:pPr>
        <w:pStyle w:val="ManualHeading2"/>
        <w:rPr>
          <w:noProof/>
        </w:rPr>
      </w:pPr>
      <w:r>
        <w:rPr>
          <w:noProof/>
        </w:rPr>
        <w:t>2.2.</w:t>
      </w:r>
      <w:r>
        <w:rPr>
          <w:noProof/>
        </w:rPr>
        <w:tab/>
        <w:t xml:space="preserve">The Customs Sub-Committee </w:t>
      </w:r>
    </w:p>
    <w:p>
      <w:pPr>
        <w:rPr>
          <w:rFonts w:eastAsia="Arial Unicode MS"/>
          <w:noProof/>
        </w:rPr>
      </w:pPr>
      <w:r>
        <w:rPr>
          <w:rFonts w:eastAsia="Arial Unicode MS"/>
          <w:noProof/>
        </w:rPr>
        <w:t>The Customs Sub-Committee established according to the provisions of article 83 of the Agreement, may decide to amend the provisions of Protocol I concerning the definition of the concept of ‘originating products’ and methods of administrative cooperation (Article 3 of Protocol I). The Customs Sub-Committee draws up its decisions and recommendations by agreement between the two Parties.</w:t>
      </w:r>
    </w:p>
    <w:p>
      <w:pPr>
        <w:pStyle w:val="ManualHeading2"/>
        <w:rPr>
          <w:noProof/>
        </w:rPr>
      </w:pPr>
      <w:r>
        <w:rPr>
          <w:noProof/>
        </w:rPr>
        <w:t>2.3.</w:t>
      </w:r>
      <w:r>
        <w:rPr>
          <w:noProof/>
        </w:rPr>
        <w:tab/>
        <w:t>The envisaged act of the Customs Sub-Committee</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Customs Sub-Committee is to adopt a Decision regarding the amendment of the provisions of Protocol I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I concerning the definition of the concept of ‘originating products’ and methods of administrative cooperation</w:t>
      </w:r>
      <w:r>
        <w:rPr>
          <w:noProof/>
        </w:rPr>
        <w:t>.</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The Regional Convention on pan-Euro-Mediterranean preferential rules of origin (‘the Convention’) lays down provisions on the origin of goods traded under relevant Agreements concluded between the Contracting Parties. The European Union signed the Convention on 15 June 2011. On 16 May 2017, the Joint Committee established under Article 3(1) of the Convention decided that Ukraine should be invited to accede to the Convention.</w:t>
      </w:r>
    </w:p>
    <w:p>
      <w:pPr>
        <w:rPr>
          <w:rFonts w:eastAsia="Arial Unicode MS"/>
          <w:noProof/>
        </w:rPr>
      </w:pPr>
      <w:r>
        <w:rPr>
          <w:rFonts w:eastAsia="Arial Unicode MS"/>
          <w:noProof/>
        </w:rPr>
        <w:t>The EU and Ukraine deposited their instrument of acceptance with the depositary of the Convention on 26 March 2012 and 19 December 2017 respectively. As a consequence, in application of its Article 10(2), the Convention entered into force in relation to the EU and Ukraine on 1 May 2012 and on 1 February 2018 respectively.</w:t>
      </w:r>
    </w:p>
    <w:p>
      <w:pPr>
        <w:rPr>
          <w:rFonts w:eastAsia="Arial Unicode MS"/>
          <w:noProof/>
        </w:rPr>
      </w:pPr>
      <w:r>
        <w:rPr>
          <w:rFonts w:eastAsia="Arial Unicode MS"/>
          <w:noProof/>
        </w:rPr>
        <w:t xml:space="preserve">Article 6 of the Convention provides that each Contracting Party shall take appropriate measures to ensure that the Convention is effectively applied. To that effect, the Customs </w:t>
      </w:r>
      <w:r>
        <w:rPr>
          <w:rFonts w:eastAsia="Arial Unicode MS"/>
          <w:noProof/>
        </w:rPr>
        <w:lastRenderedPageBreak/>
        <w:t xml:space="preserve">Sub-Committee established by the Association Agreement between the European Union and their Member States, of the one part, and Ukraine, of the other part, should adopt a Decision introducing the rules of the Convention under Protocol I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Ukraine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Ukraine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Customs Sub-Committee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t>(a)</w:t>
      </w:r>
      <w:r>
        <w:rPr>
          <w:noProof/>
        </w:rPr>
        <w:tab/>
        <w:t>Wholly obtained products - ‘vessels’ conditions:</w:t>
      </w:r>
    </w:p>
    <w:p>
      <w:pPr>
        <w:rPr>
          <w:rFonts w:eastAsia="Arial Unicode MS"/>
          <w:noProof/>
        </w:rPr>
      </w:pPr>
      <w:r>
        <w:rPr>
          <w:rFonts w:eastAsia="Arial Unicode MS"/>
          <w:noProof/>
        </w:rPr>
        <w:t xml:space="preserve">The so-called vessel conditions contained in the alternative set of rules are simpler and provide for more flexibility. Compared to the current text (art. 5) certain conditions have been </w:t>
      </w:r>
      <w:r>
        <w:rPr>
          <w:rFonts w:eastAsia="Arial Unicode MS"/>
          <w:noProof/>
        </w:rPr>
        <w:lastRenderedPageBreak/>
        <w:t>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Ukraine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The proposed non-alteration rule (art. 14) provides for more leniencies for the movement for originating products between Contracting Parties. It should avoid situations whereby 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lastRenderedPageBreak/>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Other agricultural products (i.e. vegetable oils, nuts, tobacco) contain more flexible rules adapted to the economic reality notably for HS chapters 14, 15, 20 (including heading 2008), 23, 24. The alternative set of rules strike the balance between regional and global sourcing like for chapters 9 and 12. Rules have also been simplified (reduction of exceptions) in chapters 4, 5, 6, 8, 11, ex-13.</w:t>
      </w:r>
    </w:p>
    <w:p>
      <w:pPr>
        <w:pStyle w:val="ManualHeading3"/>
        <w:rPr>
          <w:noProof/>
        </w:rPr>
      </w:pPr>
      <w:r>
        <w:rPr>
          <w:noProof/>
        </w:rPr>
        <w:lastRenderedPageBreak/>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Customs Sub-Committee is a body set up by an agreement, namely the </w:t>
      </w:r>
      <w:r>
        <w:rPr>
          <w:rFonts w:eastAsia="Arial Unicode MS"/>
          <w:noProof/>
        </w:rPr>
        <w:t>Association Agreement between the European Union and their Member States, of the one part, and Ukraine, of the other part</w:t>
      </w:r>
      <w:r>
        <w:rPr>
          <w:noProof/>
        </w:rPr>
        <w:t>.</w:t>
      </w:r>
    </w:p>
    <w:p>
      <w:pPr>
        <w:rPr>
          <w:noProof/>
        </w:rPr>
      </w:pPr>
      <w:r>
        <w:rPr>
          <w:noProof/>
        </w:rPr>
        <w:t xml:space="preserve">The act which the Customs Sub-Committee is called upon to adopt constitutes an act having legal effects. </w:t>
      </w:r>
    </w:p>
    <w:p>
      <w:pPr>
        <w:rPr>
          <w:noProof/>
        </w:rPr>
      </w:pPr>
      <w:r>
        <w:rPr>
          <w:noProof/>
        </w:rPr>
        <w:lastRenderedPageBreak/>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 xml:space="preserve">Although the provisions on duty drawback are amended, the prohibition of duty drawback is maintained in the sector of textiles and clothing, which remains one of the main sectors of trade in the PEM zone. The amended rules codify the status quo by maintaining the prohibition currently applied with some Contracting Parties. The proposed generalisation of full cumulation in the PEM zone aims at strengthening the existing trade patterns within the </w:t>
      </w:r>
      <w:r>
        <w:rPr>
          <w:noProof/>
        </w:rPr>
        <w:lastRenderedPageBreak/>
        <w:t>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Customs Sub-Committee will amend the Association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Customs Sub-Committee established by the Association Agreement between the European Union and their Member States, of the one part, and Ukraine, of the other part, as regards the amendment of Protocol I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Association Agreement between the European Union and their Member States, of the one part, and Ukraine, of the other part (‘the Agreement’) was concluded by the Union by Council Decision 2014/295/EU</w:t>
      </w:r>
      <w:r>
        <w:rPr>
          <w:rStyle w:val="FootnoteReference"/>
          <w:noProof/>
        </w:rPr>
        <w:footnoteReference w:id="4"/>
      </w:r>
      <w:r>
        <w:rPr>
          <w:noProof/>
        </w:rPr>
        <w:t xml:space="preserve"> and entered into force on 1 September 2017.</w:t>
      </w:r>
    </w:p>
    <w:p>
      <w:pPr>
        <w:pStyle w:val="ManualConsidrant"/>
        <w:rPr>
          <w:noProof/>
        </w:rPr>
      </w:pPr>
      <w:r>
        <w:rPr>
          <w:noProof/>
        </w:rPr>
        <w:t>(2)</w:t>
      </w:r>
      <w:r>
        <w:rPr>
          <w:noProof/>
        </w:rPr>
        <w:tab/>
        <w:t>The Agreement includes Protocol I concerning the definition of the concept of ‘originating products’ and methods of administrative cooperation. Pursuant to Article 3 of that Protocol, the Customs Sub-Committee established by Article 83 of the Agreement (“Customs Sub-Committee”) may decide to amend its provisions.</w:t>
      </w:r>
    </w:p>
    <w:p>
      <w:pPr>
        <w:pStyle w:val="ManualConsidrant"/>
        <w:rPr>
          <w:noProof/>
        </w:rPr>
      </w:pPr>
      <w:r>
        <w:rPr>
          <w:noProof/>
        </w:rPr>
        <w:t>(3)</w:t>
      </w:r>
      <w:r>
        <w:rPr>
          <w:noProof/>
        </w:rPr>
        <w:tab/>
        <w:t>The Customs Sub-Committee is to adopt a Decision on an amendment of Protocol I during its next meeting.</w:t>
      </w:r>
    </w:p>
    <w:p>
      <w:pPr>
        <w:pStyle w:val="ManualConsidrant"/>
        <w:rPr>
          <w:noProof/>
        </w:rPr>
      </w:pPr>
      <w:r>
        <w:rPr>
          <w:noProof/>
        </w:rPr>
        <w:t>(4)</w:t>
      </w:r>
      <w:r>
        <w:rPr>
          <w:noProof/>
        </w:rPr>
        <w:tab/>
        <w:t>It is appropriate to establish the position to be taken on the Union’s behalf in the Customs Sub-Committee as the Customs Sub-Committee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t>(6)</w:t>
      </w:r>
      <w:r>
        <w:rPr>
          <w:noProof/>
        </w:rPr>
        <w:tab/>
        <w:t xml:space="preserve">Article 6 of the Convention provides that each Contracting Party is to take appropriate measures to ensure that the Convention is effectively applied. To that effect, the </w:t>
      </w:r>
      <w:r>
        <w:rPr>
          <w:noProof/>
        </w:rPr>
        <w:lastRenderedPageBreak/>
        <w:t>Customs Sub-Committee should adopt a decision introducing in Protocol I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Ukraine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 xml:space="preserve">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 </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Customs Sub-Committee shall be based on the draft act of the Customs Sub-Committee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161, 29.5.2014, p. 3</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Decision of 17 March 2014 on the signing, on behalf of the European Union, and provisional application of the Association Agreement between the European Union and the European Atomic Energy Community and their Member States, of the one part, and Ukraine, of the other part, as regards the Preamble, Article 1, and Titles I, II and VII thereof (OJ L 161, 29.5.2014, p. 1).</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3 13:21: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DD36BFBD-79F7-48D7-A527-4316BA4CF6EA"/>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4"/>
    <w:docVar w:name="LW_REF.II.NEW.CP_YEAR" w:val="2020"/>
    <w:docVar w:name="LW_REF.INST.NEW" w:val="COM"/>
    <w:docVar w:name="LW_REF.INST.NEW_ADOPTED" w:val="final"/>
    <w:docVar w:name="LW_REF.INST.NEW_TEXT" w:val="(2020)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Customs Sub-Committee established by the Association Agreement between the European Union and their Member States, of the one part, and Ukraine, of the other part, as regards the amendment of Protocol I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779A-FDC9-46DB-B29B-D6EAD05D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3648</Words>
  <Characters>19773</Characters>
  <Application>Microsoft Office Word</Application>
  <DocSecurity>0</DocSecurity>
  <Lines>340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2020-07-28T08:17:00Z</dcterms:created>
  <dcterms:modified xsi:type="dcterms:W3CDTF">2020-08-13T11:21:00Z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