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F323008-2297-4244-A357-C19BEE694D20"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DECISION No … OF THE EUROPEAN UNION – REPUBLIC OF NORTH MACEDONIA STABILISATION AND ASSOCIATION COUNCIL</w:t>
      </w:r>
    </w:p>
    <w:p>
      <w:pPr>
        <w:spacing w:before="360" w:after="0"/>
        <w:jc w:val="center"/>
        <w:rPr>
          <w:b/>
          <w:noProof/>
        </w:rPr>
      </w:pPr>
      <w:r>
        <w:rPr>
          <w:b/>
          <w:noProof/>
        </w:rPr>
        <w:t>on</w:t>
      </w:r>
    </w:p>
    <w:p>
      <w:pPr>
        <w:spacing w:before="360" w:after="0"/>
        <w:jc w:val="center"/>
        <w:rPr>
          <w:b/>
          <w:noProof/>
        </w:rPr>
      </w:pPr>
      <w:r>
        <w:rPr>
          <w:b/>
          <w:noProof/>
        </w:rPr>
        <w:t>amending Protocol 4 to the Stabilisation and Association Agreement between the European Communities and their Member States, of the one part, and the former Yugoslav Republic of Macedonia, of the other part, concerning the definition of the concept of 'originating products' and methods of administrative cooperation</w:t>
      </w:r>
    </w:p>
    <w:p>
      <w:pPr>
        <w:keepNext/>
        <w:spacing w:before="600"/>
        <w:rPr>
          <w:caps/>
          <w:noProof/>
        </w:rPr>
      </w:pPr>
      <w:r>
        <w:rPr>
          <w:caps/>
          <w:noProof/>
        </w:rPr>
        <w:t>The Stabilisation and Association Council,</w:t>
      </w:r>
    </w:p>
    <w:p>
      <w:pPr>
        <w:rPr>
          <w:noProof/>
        </w:rPr>
      </w:pPr>
      <w:r>
        <w:rPr>
          <w:noProof/>
        </w:rPr>
        <w:t>Having regard to the Stabilisation and Association Agreement between the European Communities and their Member States, of the one part, and the former Yugoslav Republic of Macedonia, of the other part</w:t>
      </w:r>
      <w:r>
        <w:rPr>
          <w:rStyle w:val="FootnoteReference"/>
          <w:noProof/>
        </w:rPr>
        <w:footnoteReference w:id="2"/>
      </w:r>
      <w:r>
        <w:rPr>
          <w:noProof/>
        </w:rPr>
        <w:t>, and in particular Article 3 of its Protocol 4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rPr>
          <w:noProof/>
        </w:rPr>
      </w:pPr>
      <w:r>
        <w:rPr>
          <w:noProof/>
        </w:rPr>
        <w:t>Article 40 of the Stabilisation and Association Agreement between the European Communities and their Member States, of the one part, and the former Yugoslav Republic of Macedonia, of the other part ('the Agreement'), refers to Protocol 4 to the Agreement ('Protocol 4') which lays down the rules of origin.</w:t>
      </w:r>
    </w:p>
    <w:p>
      <w:pPr>
        <w:pStyle w:val="Point0number"/>
        <w:ind w:left="851" w:hanging="851"/>
        <w:rPr>
          <w:noProof/>
        </w:rPr>
      </w:pPr>
      <w:r>
        <w:rPr>
          <w:noProof/>
        </w:rPr>
        <w:t>Article 3 of Protocol 4 provides that the Stabilisation and Association Council  established by Article 108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 xml:space="preserve">The European Union and </w:t>
      </w:r>
      <w:r>
        <w:rPr>
          <w:rFonts w:eastAsia="Times New Roman"/>
          <w:noProof/>
          <w:szCs w:val="24"/>
        </w:rPr>
        <w:t xml:space="preserve">North Macedonia </w:t>
      </w:r>
      <w:r>
        <w:rPr>
          <w:noProof/>
        </w:rPr>
        <w:t>signed the Convention on 15 June 2011</w:t>
      </w:r>
      <w:r>
        <w:rPr>
          <w:rFonts w:eastAsia="Times New Roman"/>
          <w:noProof/>
          <w:szCs w:val="24"/>
        </w:rPr>
        <w:t>.</w:t>
      </w:r>
    </w:p>
    <w:p>
      <w:pPr>
        <w:pStyle w:val="Point0number"/>
        <w:rPr>
          <w:noProof/>
        </w:rPr>
      </w:pPr>
      <w:r>
        <w:rPr>
          <w:noProof/>
        </w:rPr>
        <w:t xml:space="preserve">The European Union and </w:t>
      </w:r>
      <w:r>
        <w:rPr>
          <w:rFonts w:eastAsia="Times New Roman"/>
          <w:noProof/>
          <w:szCs w:val="24"/>
        </w:rPr>
        <w:t xml:space="preserve">North Macedonia </w:t>
      </w:r>
      <w:r>
        <w:rPr>
          <w:noProof/>
        </w:rPr>
        <w:t xml:space="preserve">deposited their instruments of acceptance with the depositary of the Convention on 26 March 2012 and </w:t>
      </w:r>
      <w:r>
        <w:rPr>
          <w:rFonts w:eastAsia="Times New Roman"/>
          <w:noProof/>
          <w:szCs w:val="24"/>
        </w:rPr>
        <w:t xml:space="preserve">14 June 2012, </w:t>
      </w:r>
      <w:r>
        <w:rPr>
          <w:noProof/>
        </w:rPr>
        <w:t xml:space="preserve">respectively. Consequently, in application of Article 10(3) of the Convention, the Convention entered into force in relation to the European Union and </w:t>
      </w:r>
      <w:r>
        <w:rPr>
          <w:rFonts w:eastAsia="Times New Roman"/>
          <w:noProof/>
          <w:szCs w:val="24"/>
        </w:rPr>
        <w:t xml:space="preserve">North Macedonia </w:t>
      </w:r>
      <w:r>
        <w:rPr>
          <w:noProof/>
        </w:rPr>
        <w:t xml:space="preserve">on 1 May 2012 and on </w:t>
      </w:r>
      <w:r>
        <w:rPr>
          <w:rFonts w:eastAsia="Times New Roman"/>
          <w:noProof/>
          <w:szCs w:val="24"/>
        </w:rPr>
        <w:t>1 August 2012, respectively</w:t>
      </w:r>
      <w:r>
        <w:rPr>
          <w:noProof/>
        </w:rPr>
        <w:t>.</w:t>
      </w:r>
    </w:p>
    <w:p>
      <w:pPr>
        <w:pStyle w:val="Point0number"/>
        <w:rPr>
          <w:noProof/>
        </w:rPr>
      </w:pPr>
      <w:r>
        <w:rPr>
          <w:noProof/>
        </w:rPr>
        <w:t>The European Union and North Macedonia agreed to introduce an amended set of rules which could be used bilaterally as alternative rules of origin to those laid down by the Convention, pending the finalisation and entry into force of the amendment of the Convention currently ongoing, on which the Transitional rules are based.</w:t>
      </w:r>
    </w:p>
    <w:p>
      <w:pPr>
        <w:pStyle w:val="Point0number"/>
        <w:rPr>
          <w:noProof/>
        </w:rPr>
      </w:pPr>
      <w:r>
        <w:rPr>
          <w:noProof/>
        </w:rPr>
        <w:lastRenderedPageBreak/>
        <w:t>Protocol 4 should therefore be amended in order to make a dynamic reference to the Convention as it may be subsequently amended and to provide for an alternative set of rules.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4 to the Stabilisation and Association Agreement between the European Communities and their Member States, of the one part, and the former Yugoslav Republic of Macedonia, of the other part,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Stabilisation and Association Council</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lastRenderedPageBreak/>
        <w:t>Annex</w:t>
      </w:r>
    </w:p>
    <w:p>
      <w:pPr>
        <w:spacing w:before="0" w:after="240"/>
        <w:jc w:val="center"/>
        <w:rPr>
          <w:b/>
          <w:noProof/>
        </w:rPr>
      </w:pPr>
      <w:r>
        <w:rPr>
          <w:b/>
          <w:noProof/>
        </w:rPr>
        <w:t>“Protocol 4</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4"/>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Agreement.</w:t>
      </w:r>
    </w:p>
    <w:p>
      <w:pPr>
        <w:rPr>
          <w:noProof/>
        </w:rPr>
      </w:pPr>
      <w:r>
        <w:rPr>
          <w:noProof/>
        </w:rPr>
        <w:t>3.</w:t>
      </w:r>
      <w:r>
        <w:rPr>
          <w:noProof/>
        </w:rPr>
        <w:tab/>
        <w:t>Notwithstanding Articles 16(5) and 21(3) of Appendix I of the Convention, where cumulation involves only EFTA States, the Faroe Islands, the European Union, Turkey, the participants in the Stabilisation and Association Process, the Republic of Moldova, Georgia and Ukraine, the proof of origin may be a movement certificate EUR.1 or an origin declaration.</w:t>
      </w:r>
    </w:p>
    <w:p>
      <w:pPr>
        <w:rPr>
          <w:noProof/>
        </w:rPr>
      </w:pP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Agreement, products which acquire preferential origin in accordance with the provisions set out in Appendix A to this Protocol shall also be considered as originating in the European Union or in North Macedonia. </w:t>
      </w:r>
    </w:p>
    <w:p>
      <w:pPr>
        <w:rPr>
          <w:noProof/>
        </w:rPr>
      </w:pPr>
      <w:r>
        <w:rPr>
          <w:noProof/>
        </w:rPr>
        <w:t>2.</w:t>
      </w:r>
      <w:r>
        <w:rPr>
          <w:noProof/>
        </w:rPr>
        <w:tab/>
        <w:t>The alternative rules shall apply until the amendment of the Convention on which the alternative rules are based,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34 of Appendix A to this Protocol that cannot be settled between the customs authorities requesting the verification and the customs authorities responsible for carrying out that verification, they shall be submitted to the Stabilisation and Association Council.</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rPr>
          <w:noProof/>
        </w:rPr>
      </w:pP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Stabilisation and Association Council may decide to amend the provisions of this Protocol.</w:t>
      </w:r>
    </w:p>
    <w:p>
      <w:pPr>
        <w:rPr>
          <w:noProof/>
        </w:rPr>
      </w:pP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w:t>
      </w:r>
      <w:r>
        <w:rPr>
          <w:rFonts w:eastAsia="Times New Roman"/>
          <w:noProof/>
          <w:szCs w:val="24"/>
        </w:rPr>
        <w:t xml:space="preserve">North Macedonia </w:t>
      </w:r>
      <w:r>
        <w:rPr>
          <w:noProof/>
        </w:rPr>
        <w:t xml:space="preserve">give notice in writing to the depositary of the Convention of their intention to withdraw from the Convention according to Article 9 thereof, the European Union and </w:t>
      </w:r>
      <w:r>
        <w:rPr>
          <w:rFonts w:eastAsia="Times New Roman"/>
          <w:noProof/>
          <w:szCs w:val="24"/>
        </w:rPr>
        <w:t xml:space="preserve">North Macedonia </w:t>
      </w:r>
      <w:r>
        <w:rPr>
          <w:noProof/>
        </w:rPr>
        <w:t>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North Macedonia.</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APPENDIX A</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European Economic Area</w:t>
      </w:r>
    </w:p>
    <w:p>
      <w:pPr>
        <w:pStyle w:val="Text1"/>
        <w:tabs>
          <w:tab w:val="left" w:pos="2268"/>
        </w:tabs>
        <w:rPr>
          <w:noProof/>
        </w:rPr>
      </w:pPr>
      <w:r>
        <w:rPr>
          <w:noProof/>
        </w:rPr>
        <w:t>Article 38</w:t>
      </w:r>
      <w:r>
        <w:rPr>
          <w:noProof/>
          <w:lang w:eastAsia="en-GB"/>
        </w:rPr>
        <w:tab/>
      </w:r>
      <w:r>
        <w:rPr>
          <w:b/>
          <w:noProof/>
        </w:rPr>
        <w:t>Liechtenstein</w:t>
      </w:r>
    </w:p>
    <w:p>
      <w:pPr>
        <w:pStyle w:val="Text1"/>
        <w:tabs>
          <w:tab w:val="left" w:pos="2268"/>
        </w:tabs>
        <w:rPr>
          <w:noProof/>
        </w:rPr>
      </w:pPr>
      <w:r>
        <w:rPr>
          <w:noProof/>
        </w:rPr>
        <w:t>Article 39</w:t>
      </w:r>
      <w:r>
        <w:rPr>
          <w:noProof/>
          <w:lang w:eastAsia="en-GB"/>
        </w:rPr>
        <w:tab/>
      </w:r>
      <w:r>
        <w:rPr>
          <w:b/>
          <w:noProof/>
        </w:rPr>
        <w:t>Republic of San Marino</w:t>
      </w:r>
    </w:p>
    <w:p>
      <w:pPr>
        <w:pStyle w:val="Text1"/>
        <w:tabs>
          <w:tab w:val="left" w:pos="2268"/>
        </w:tabs>
        <w:rPr>
          <w:noProof/>
        </w:rPr>
      </w:pPr>
      <w:r>
        <w:rPr>
          <w:noProof/>
        </w:rPr>
        <w:t>Article 40</w:t>
      </w:r>
      <w:r>
        <w:rPr>
          <w:noProof/>
          <w:lang w:eastAsia="en-GB"/>
        </w:rPr>
        <w:tab/>
      </w:r>
      <w:r>
        <w:rPr>
          <w:b/>
          <w:noProof/>
        </w:rPr>
        <w:t>Principality of Andorra</w:t>
      </w:r>
    </w:p>
    <w:p>
      <w:pPr>
        <w:pStyle w:val="Text1"/>
        <w:tabs>
          <w:tab w:val="left" w:pos="2268"/>
        </w:tabs>
        <w:rPr>
          <w:noProof/>
        </w:rPr>
      </w:pPr>
      <w:r>
        <w:rPr>
          <w:noProof/>
        </w:rPr>
        <w:t>Article 41</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autoSpaceDE w:val="0"/>
        <w:autoSpaceDN w:val="0"/>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i/>
          <w:noProof/>
        </w:rPr>
      </w:pPr>
      <w:r>
        <w:rPr>
          <w:i/>
          <w:noProof/>
        </w:rPr>
        <w:t>Article 2</w:t>
      </w:r>
      <w:r>
        <w:rPr>
          <w:i/>
          <w:noProof/>
          <w:lang w:eastAsia="en-GB"/>
        </w:rPr>
        <w:br/>
      </w:r>
      <w:r>
        <w:rPr>
          <w:b/>
          <w:noProof/>
        </w:rPr>
        <w:t>General requirements</w:t>
      </w:r>
    </w:p>
    <w:p>
      <w:pPr>
        <w:autoSpaceDE w:val="0"/>
        <w:autoSpaceDN w:val="0"/>
        <w:ind w:left="851" w:hanging="1"/>
        <w:rPr>
          <w:noProof/>
        </w:rPr>
      </w:pPr>
      <w:r>
        <w:rPr>
          <w:noProof/>
        </w:rPr>
        <w:t xml:space="preserve">For the purpose of implementing this Agreement, the following products shall be considered as originating in a Party when exported to </w:t>
      </w:r>
      <w:r>
        <w:rPr>
          <w:rFonts w:eastAsia="Times New Roman"/>
          <w:noProof/>
          <w:szCs w:val="24"/>
          <w:lang w:eastAsia="en-GB"/>
        </w:rPr>
        <w:t>the other</w:t>
      </w:r>
      <w:r>
        <w:rPr>
          <w:noProof/>
        </w:rPr>
        <w:t xml:space="preserve"> Party:</w:t>
      </w:r>
    </w:p>
    <w:p>
      <w:pPr>
        <w:pStyle w:val="Point2letter"/>
        <w:rPr>
          <w:noProof/>
        </w:rPr>
      </w:pPr>
      <w:r>
        <w:rPr>
          <w:noProof/>
        </w:rPr>
        <w:t xml:space="preserve">products wholly obtained in </w:t>
      </w:r>
      <w:r>
        <w:rPr>
          <w:rFonts w:eastAsia="Times New Roman"/>
          <w:noProof/>
          <w:szCs w:val="24"/>
          <w:lang w:eastAsia="en-GB"/>
        </w:rPr>
        <w:t xml:space="preserve">a </w:t>
      </w:r>
      <w:r>
        <w:rPr>
          <w:noProof/>
        </w:rPr>
        <w:t xml:space="preserve"> Party, within the meaning of Article 3;</w:t>
      </w:r>
    </w:p>
    <w:p>
      <w:pPr>
        <w:pStyle w:val="Point2letter"/>
        <w:rPr>
          <w:noProof/>
        </w:rPr>
      </w:pPr>
      <w:r>
        <w:rPr>
          <w:noProof/>
        </w:rPr>
        <w:t xml:space="preserve">products obtained in </w:t>
      </w:r>
      <w:r>
        <w:rPr>
          <w:rFonts w:eastAsia="Times New Roman"/>
          <w:noProof/>
          <w:szCs w:val="24"/>
          <w:lang w:eastAsia="en-GB"/>
        </w:rPr>
        <w:t xml:space="preserve">a </w:t>
      </w:r>
      <w:r>
        <w:rPr>
          <w:noProof/>
        </w:rPr>
        <w:t xml:space="preserve"> Party incorporating materials which have not been wholly obtained there, provided that such materials have undergone sufficient working or processing in that  Party within the meaning of 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w:t>
      </w:r>
    </w:p>
    <w:p>
      <w:pPr>
        <w:pStyle w:val="Point2"/>
        <w:rPr>
          <w:noProof/>
        </w:rPr>
      </w:pPr>
      <w:r>
        <w:rPr>
          <w:noProof/>
        </w:rPr>
        <w:t>(p)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an official publication in North Macedonia,</w:t>
      </w:r>
      <w:r>
        <w:rPr>
          <w:noProof/>
        </w:rPr>
        <w:t xml:space="preserve"> 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noProof/>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5"/>
      </w:r>
      <w:r>
        <w:rPr>
          <w:noProof/>
        </w:rPr>
        <w:t>.</w:t>
      </w:r>
    </w:p>
    <w:p>
      <w:pPr>
        <w:pStyle w:val="Point1"/>
        <w:ind w:firstLine="0"/>
        <w:rPr>
          <w:noProof/>
        </w:rPr>
      </w:pPr>
      <w:r>
        <w:rPr>
          <w:noProof/>
        </w:rPr>
        <w:t>The Parties shall provide the European Commission with a notification of this waiver according to Article 8(2).</w:t>
      </w: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rPr>
          <w:noProof/>
        </w:rPr>
      </w:pP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r>
        <w:rPr>
          <w:noProof/>
        </w:rPr>
        <w:t>4.</w:t>
      </w:r>
      <w:r>
        <w:rPr>
          <w:rFonts w:eastAsia="Times New Roman"/>
          <w:noProof/>
          <w:szCs w:val="24"/>
          <w:lang w:eastAsia="en-GB"/>
        </w:rPr>
        <w:tab/>
      </w:r>
      <w:r>
        <w:rPr>
          <w:noProof/>
        </w:rPr>
        <w:t xml:space="preserve">The prohibition in paragraph 1 of this Article shall not apply to trade between </w:t>
      </w:r>
      <w:r>
        <w:rPr>
          <w:rFonts w:eastAsia="Times New Roman"/>
          <w:noProof/>
          <w:szCs w:val="24"/>
          <w:lang w:eastAsia="en-GB"/>
        </w:rPr>
        <w:t>the</w:t>
      </w:r>
      <w:r>
        <w:rPr>
          <w:noProof/>
        </w:rPr>
        <w:t xml:space="preserve"> Parties for products that obtained originating status by application of cumulation of origin covered by Article 7 (4) or (5). </w:t>
      </w:r>
    </w:p>
    <w:p>
      <w:pPr>
        <w:pStyle w:val="Point1"/>
        <w:rPr>
          <w:rFonts w:eastAsia="Times New Roman"/>
          <w:noProof/>
          <w:szCs w:val="24"/>
          <w:lang w:eastAsia="en-GB"/>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EYR.1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ind w:left="1440"/>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of this Article shall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w:t>
      </w:r>
      <w:r>
        <w:rPr>
          <w:rFonts w:eastAsia="Times New Roman"/>
          <w:noProof/>
          <w:szCs w:val="24"/>
          <w:lang w:eastAsia="en-GB"/>
        </w:rPr>
        <w:t xml:space="preserve">Stabilisation and Association Council </w:t>
      </w:r>
      <w:r>
        <w:rPr>
          <w:noProof/>
        </w:rPr>
        <w:t xml:space="preserve">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 xml:space="preserve">Stabilisation and Association Council </w:t>
      </w:r>
      <w:r>
        <w:rPr>
          <w:noProof/>
        </w:rPr>
        <w:t>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Stabilisation and </w:t>
      </w:r>
      <w:r>
        <w:rPr>
          <w:rFonts w:eastAsia="Times New Roman"/>
          <w:noProof/>
          <w:szCs w:val="24"/>
          <w:lang w:eastAsia="en-GB"/>
        </w:rPr>
        <w:t>Association</w:t>
      </w:r>
      <w:r>
        <w:rPr>
          <w:noProof/>
        </w:rPr>
        <w:t xml:space="preserve"> Council</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jc w:val="center"/>
        <w:rPr>
          <w:noProof/>
        </w:rPr>
      </w:pP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rPr>
          <w:noProof/>
        </w:rPr>
      </w:pPr>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ext1"/>
        <w:jc w:val="center"/>
        <w:rPr>
          <w:i/>
          <w:noProof/>
        </w:rPr>
      </w:pPr>
      <w:r>
        <w:rPr>
          <w:i/>
          <w:noProof/>
        </w:rPr>
        <w:t>Article 37</w:t>
      </w:r>
      <w:r>
        <w:rPr>
          <w:i/>
          <w:iCs/>
          <w:noProof/>
          <w:lang w:eastAsia="en-GB"/>
        </w:rPr>
        <w:br/>
      </w:r>
      <w:r>
        <w:rPr>
          <w:b/>
          <w:noProof/>
        </w:rPr>
        <w:t>European Economic Area</w:t>
      </w:r>
    </w:p>
    <w:p>
      <w:pPr>
        <w:autoSpaceDE w:val="0"/>
        <w:autoSpaceDN w:val="0"/>
        <w:ind w:left="720"/>
        <w:rPr>
          <w:noProof/>
        </w:rPr>
      </w:pPr>
      <w:r>
        <w:rPr>
          <w:rFonts w:eastAsia="Times New Roman"/>
          <w:noProof/>
          <w:szCs w:val="24"/>
          <w:lang w:eastAsia="en-GB"/>
        </w:rPr>
        <w:t>Goods</w:t>
      </w:r>
      <w:r>
        <w:rPr>
          <w:noProof/>
        </w:rPr>
        <w:t xml:space="preserve"> originating in the European Economic Area (EEA) within the meaning of Protocol</w:t>
      </w:r>
      <w:r>
        <w:rPr>
          <w:rFonts w:eastAsia="Times New Roman"/>
          <w:noProof/>
          <w:szCs w:val="24"/>
          <w:lang w:eastAsia="en-GB"/>
        </w:rPr>
        <w:t> </w:t>
      </w:r>
      <w:r>
        <w:rPr>
          <w:noProof/>
        </w:rPr>
        <w:t xml:space="preserve">4 to the Agreement on the European Economic Area shall be considered as originating in the European Union, Iceland, Liechtenstein or Norway </w:t>
      </w:r>
      <w:r>
        <w:rPr>
          <w:rFonts w:eastAsia="Times New Roman"/>
          <w:noProof/>
          <w:szCs w:val="24"/>
          <w:lang w:eastAsia="en-GB"/>
        </w:rPr>
        <w:t>(the ‘</w:t>
      </w:r>
      <w:r>
        <w:rPr>
          <w:noProof/>
        </w:rPr>
        <w:t xml:space="preserve">EEA Parties’) when exported respectively from the European Union, Iceland, Liechtenstein or Norway to </w:t>
      </w:r>
      <w:r>
        <w:rPr>
          <w:rFonts w:eastAsia="Times New Roman"/>
          <w:noProof/>
          <w:szCs w:val="24"/>
          <w:lang w:eastAsia="en-GB"/>
        </w:rPr>
        <w:t>North Macedonia,</w:t>
      </w:r>
      <w:r>
        <w:rPr>
          <w:noProof/>
        </w:rPr>
        <w:t xml:space="preserve"> provided that free trade agreements </w:t>
      </w:r>
      <w:r>
        <w:rPr>
          <w:rFonts w:eastAsia="Times New Roman"/>
          <w:noProof/>
          <w:szCs w:val="24"/>
          <w:lang w:eastAsia="en-GB"/>
        </w:rPr>
        <w:t xml:space="preserve">using these Rules </w:t>
      </w:r>
      <w:r>
        <w:rPr>
          <w:noProof/>
        </w:rPr>
        <w:t xml:space="preserve">are applicable between </w:t>
      </w:r>
      <w:r>
        <w:rPr>
          <w:rFonts w:eastAsia="Times New Roman"/>
          <w:noProof/>
          <w:szCs w:val="24"/>
          <w:lang w:eastAsia="en-GB"/>
        </w:rPr>
        <w:t>North Macedonia</w:t>
      </w:r>
      <w:r>
        <w:rPr>
          <w:noProof/>
        </w:rPr>
        <w:t xml:space="preserve"> and the EEA Parties.</w:t>
      </w:r>
    </w:p>
    <w:p>
      <w:pPr>
        <w:autoSpaceDE w:val="0"/>
        <w:autoSpaceDN w:val="0"/>
        <w:rPr>
          <w:noProof/>
        </w:rPr>
      </w:pPr>
    </w:p>
    <w:p>
      <w:pPr>
        <w:pStyle w:val="Text1"/>
        <w:jc w:val="center"/>
        <w:rPr>
          <w:i/>
          <w:noProof/>
        </w:rPr>
      </w:pPr>
      <w:r>
        <w:rPr>
          <w:i/>
          <w:noProof/>
        </w:rPr>
        <w:t>Article 38</w:t>
      </w:r>
      <w:r>
        <w:rPr>
          <w:i/>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pStyle w:val="Text1"/>
        <w:jc w:val="center"/>
        <w:rPr>
          <w:i/>
          <w:noProof/>
        </w:rPr>
      </w:pPr>
      <w:r>
        <w:rPr>
          <w:i/>
          <w:noProof/>
        </w:rPr>
        <w:t>Article 39</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40</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41</w:t>
      </w:r>
      <w:r>
        <w:rPr>
          <w:i/>
          <w:iCs/>
          <w:noProof/>
          <w:lang w:eastAsia="en-GB"/>
        </w:rPr>
        <w:br/>
      </w:r>
      <w:r>
        <w:rPr>
          <w:b/>
          <w:noProof/>
        </w:rPr>
        <w:t>Ceuta and Melilla</w:t>
      </w:r>
    </w:p>
    <w:p>
      <w:pPr>
        <w:pStyle w:val="Point1"/>
        <w:rPr>
          <w:noProof/>
        </w:rPr>
      </w:pPr>
      <w:r>
        <w:rPr>
          <w:noProof/>
        </w:rPr>
        <w:t>1.</w:t>
      </w:r>
      <w:r>
        <w:rPr>
          <w:noProof/>
        </w:rPr>
        <w:tab/>
        <w:t xml:space="preserve">For the purposes of implementing </w:t>
      </w:r>
      <w:r>
        <w:rPr>
          <w:rFonts w:eastAsia="Times New Roman"/>
          <w:noProof/>
          <w:szCs w:val="24"/>
          <w:lang w:eastAsia="en-GB"/>
        </w:rPr>
        <w:t>these Rules</w:t>
      </w:r>
      <w:r>
        <w:rPr>
          <w:noProof/>
        </w:rPr>
        <w:t>, the term ‘European Union’ shall not cover Ceuta and Melilla.</w:t>
      </w:r>
    </w:p>
    <w:p>
      <w:pPr>
        <w:pStyle w:val="Point1"/>
        <w:rPr>
          <w:noProof/>
        </w:rPr>
      </w:pPr>
      <w:r>
        <w:rPr>
          <w:noProof/>
        </w:rPr>
        <w:t>2.</w:t>
      </w:r>
      <w:r>
        <w:rPr>
          <w:noProof/>
        </w:rPr>
        <w:tab/>
        <w:t xml:space="preserve">Products originating in </w:t>
      </w:r>
      <w:r>
        <w:rPr>
          <w:rFonts w:eastAsia="Times New Roman"/>
          <w:noProof/>
          <w:szCs w:val="24"/>
          <w:lang w:eastAsia="en-GB"/>
        </w:rPr>
        <w:t>North Macedonia</w:t>
      </w:r>
      <w:r>
        <w:rPr>
          <w:noProof/>
        </w:rPr>
        <w:t>,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w:t>
      </w:r>
      <w:r>
        <w:rPr>
          <w:rStyle w:val="FootnoteReference"/>
          <w:noProof/>
        </w:rPr>
        <w:footnoteReference w:id="6"/>
      </w:r>
      <w:r>
        <w:rPr>
          <w:rFonts w:eastAsia="Times New Roman"/>
          <w:noProof/>
          <w:szCs w:val="24"/>
          <w:lang w:eastAsia="en-GB"/>
        </w:rPr>
        <w:t>. North Macedonia</w:t>
      </w:r>
      <w:r>
        <w:rPr>
          <w:noProof/>
        </w:rPr>
        <w:t xml:space="preserve"> shall grant to imports of products covered by the relevant Agreement and originating in Ceuta and Melilla the same customs regime as that which is granted to products imported from and originating in the European Union.</w:t>
      </w:r>
    </w:p>
    <w:p>
      <w:pPr>
        <w:ind w:left="1418" w:hanging="567"/>
        <w:rPr>
          <w:noProof/>
        </w:rPr>
      </w:pPr>
      <w:r>
        <w:rPr>
          <w:noProof/>
        </w:rPr>
        <w:t>3.</w:t>
      </w:r>
      <w:r>
        <w:rPr>
          <w:noProof/>
        </w:rPr>
        <w:tab/>
        <w:t xml:space="preserve">For the </w:t>
      </w:r>
      <w:r>
        <w:rPr>
          <w:rFonts w:eastAsia="Times New Roman"/>
          <w:noProof/>
          <w:szCs w:val="24"/>
          <w:lang w:eastAsia="en-GB"/>
        </w:rPr>
        <w:t>purposes</w:t>
      </w:r>
      <w:r>
        <w:rPr>
          <w:noProof/>
        </w:rPr>
        <w:t xml:space="preserve"> of paragraph 2 of this Article concerning products originating in Ceuta and Melilla, </w:t>
      </w:r>
      <w:r>
        <w:rPr>
          <w:rFonts w:eastAsia="Times New Roman"/>
          <w:noProof/>
          <w:szCs w:val="24"/>
          <w:lang w:eastAsia="en-GB"/>
        </w:rPr>
        <w:t>these Rules</w:t>
      </w:r>
      <w:r>
        <w:rPr>
          <w:noProof/>
        </w:rPr>
        <w:t xml:space="preserve"> shall apply </w:t>
      </w:r>
      <w:r>
        <w:rPr>
          <w:i/>
          <w:noProof/>
        </w:rPr>
        <w:t>mutatis mutandis</w:t>
      </w:r>
      <w:r>
        <w:rPr>
          <w:noProof/>
        </w:rPr>
        <w:t xml:space="preserve"> subject to the special conditions set out in Annex</w:t>
      </w:r>
      <w:r>
        <w:rPr>
          <w:rFonts w:eastAsia="Times New Roman"/>
          <w:noProof/>
          <w:szCs w:val="24"/>
          <w:lang w:eastAsia="en-GB"/>
        </w:rPr>
        <w:t> </w:t>
      </w:r>
      <w:r>
        <w:rPr>
          <w:noProof/>
        </w:rPr>
        <w:t>V.</w:t>
      </w: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7"/>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w:t>
      </w:r>
      <w:r>
        <w:rPr>
          <w:rFonts w:eastAsia="Times New Roman"/>
          <w:noProof/>
          <w:szCs w:val="24"/>
          <w:lang w:eastAsia="en-GB"/>
        </w:rPr>
        <w:t>North Macedonia</w:t>
      </w:r>
      <w:r>
        <w:rPr>
          <w:noProof/>
        </w:rPr>
        <w:t xml:space="preserve"> or in the European Union,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North Macedonia:</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North Macedonia</w:t>
      </w:r>
      <w:r>
        <w:rPr>
          <w:noProof/>
          <w:lang w:eastAsia="en-GB"/>
        </w:rPr>
        <w:t xml:space="preserve">;   </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North Macedonia</w:t>
      </w:r>
      <w:r>
        <w:rPr>
          <w:noProof/>
          <w:lang w:eastAsia="en-GB"/>
        </w:rPr>
        <w:t>,</w:t>
      </w:r>
      <w:r>
        <w:rPr>
          <w:noProof/>
        </w:rPr>
        <w:t xml:space="preserve"> 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European Union,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 may be used.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Point1"/>
        <w:spacing w:before="60" w:after="60"/>
        <w:ind w:left="1418"/>
        <w:rPr>
          <w:noProof/>
          <w:lang w:eastAsia="en-GB"/>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t>OJ L 84, 20.3.2004, p. 13.</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pl-PL"/>
        </w:rPr>
      </w:pPr>
      <w:r>
        <w:rPr>
          <w:rStyle w:val="FootnoteReference"/>
        </w:rPr>
        <w:footnoteRef/>
      </w:r>
      <w:r>
        <w:rPr>
          <w:lang w:val="pl-PL"/>
        </w:rPr>
        <w:tab/>
      </w:r>
      <w:r>
        <w:rPr>
          <w:iCs/>
          <w:lang w:val="pl-PL"/>
        </w:rPr>
        <w:t>OJ L 54, 26.2.2013, p. 4.</w:t>
      </w:r>
    </w:p>
  </w:footnote>
  <w:footnote w:id="5">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6">
    <w:p>
      <w:pPr>
        <w:pStyle w:val="FootnoteText"/>
        <w:rPr>
          <w:lang w:val="en-US"/>
        </w:rPr>
      </w:pPr>
      <w:r>
        <w:rPr>
          <w:rStyle w:val="FootnoteReference"/>
        </w:rPr>
        <w:footnoteRef/>
      </w:r>
      <w:r>
        <w:tab/>
      </w:r>
      <w:r>
        <w:rPr>
          <w:sz w:val="18"/>
          <w:szCs w:val="18"/>
        </w:rPr>
        <w:t>OJ EC L 302, 15.11.1985, p. 23.</w:t>
      </w:r>
    </w:p>
  </w:footnote>
  <w:footnote w:id="7">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7 13:01:56"/>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43"/>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F323008-2297-4244-A357-C19BEE694D20"/>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within the Stabilisation and Association Council established by the Stabilisation and Association Agreement between the European Communities and their Member States, of the one part, and the former Yugoslav Republic of Macedonia, of the other part, as regards the amendment of Protocol 4 to that Agreement concerning the definition of the concept of 'originating products' and methods of administrative cooperation"/>
    <w:docVar w:name="LW_OBJETACTEPRINCIPAL.CP" w:val="on the position to be taken on behalf of the European Union within the Stabilisation and Association Council established by the Stabilisation and Association Agreement between the European Communities and their Member States, of the one part, and the former Yugoslav Republic of Macedonia, of the other part, as regards the amendment of Protocol 4 to that Agreement concerning the definition of the concept of 'originating products' and methods of administrative cooperation"/>
    <w:docVar w:name="LW_PART_NBR" w:val="1"/>
    <w:docVar w:name="LW_PART_NBR_TOTAL" w:val="1"/>
    <w:docVar w:name="LW_REF.INST.NEW" w:val="COM"/>
    <w:docVar w:name="LW_REF.INST.NEW_ADOPTED" w:val="final"/>
    <w:docVar w:name="LW_REF.INST.NEW_TEXT" w:val="(2020) 4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C1A6F-A348-45F4-BA62-DC38AED6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55</Pages>
  <Words>29511</Words>
  <Characters>158479</Characters>
  <Application>Microsoft Office Word</Application>
  <DocSecurity>0</DocSecurity>
  <Lines>4170</Lines>
  <Paragraphs>2410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2020-07-28T14:53:00Z</dcterms:created>
  <dcterms:modified xsi:type="dcterms:W3CDTF">2020-08-17T11:01:00Z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