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86D6BB6-E1ED-4008-9683-F1E59E226DD8"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 xml:space="preserve">DECISION No … OF THE EU- REPUBLIC OF MOLDOVA CUSTOMS SUB-COMMITTEE </w:t>
      </w:r>
    </w:p>
    <w:p>
      <w:pPr>
        <w:spacing w:before="360" w:after="0"/>
        <w:jc w:val="center"/>
        <w:rPr>
          <w:b/>
          <w:noProof/>
        </w:rPr>
      </w:pPr>
      <w:r>
        <w:rPr>
          <w:b/>
          <w:noProof/>
        </w:rPr>
        <w:t>on</w:t>
      </w:r>
    </w:p>
    <w:p>
      <w:pPr>
        <w:spacing w:before="360" w:after="0"/>
        <w:jc w:val="center"/>
        <w:rPr>
          <w:b/>
          <w:noProof/>
        </w:rPr>
      </w:pPr>
      <w:r>
        <w:rPr>
          <w:b/>
          <w:noProof/>
        </w:rPr>
        <w:t>amending Protocol II to the Association Agreement establishing an association between the European Union and the European Atomic Energy Community and their Member States, of the one part, and the Republic of Moldova, of the other part, concerning the definition of the concept of 'originating products' and methods of administrative cooperation</w:t>
      </w:r>
    </w:p>
    <w:p>
      <w:pPr>
        <w:keepNext/>
        <w:spacing w:before="600"/>
        <w:rPr>
          <w:caps/>
          <w:noProof/>
        </w:rPr>
      </w:pPr>
      <w:r>
        <w:rPr>
          <w:caps/>
          <w:noProof/>
        </w:rPr>
        <w:t>The EU- REPUBLIC OF MOLDOVA CUSTOMS SUB-COMMITTEE,</w:t>
      </w:r>
    </w:p>
    <w:p>
      <w:pPr>
        <w:rPr>
          <w:noProof/>
        </w:rPr>
      </w:pPr>
      <w:r>
        <w:rPr>
          <w:noProof/>
        </w:rPr>
        <w:t>Having regard to the Association Agreement establishing an association between the European Union and the European Atomic Energy Community and their Member States, of the one part, and the Republic of Moldova, of the other part</w:t>
      </w:r>
      <w:r>
        <w:rPr>
          <w:rStyle w:val="FootnoteReference"/>
          <w:noProof/>
        </w:rPr>
        <w:footnoteReference w:id="2"/>
      </w:r>
      <w:r>
        <w:rPr>
          <w:noProof/>
        </w:rPr>
        <w:t>, and in particular Article 3 of its Protocol II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144(2) of the Association Agreement establishing an association between the European Union and the European Atomic Energy Community and their Member States, of the one part, and the Republic of Moldova, of the other part ('the Agreement'), refers to Protocol II to the Agreement ('Protocol II') which lays down the rules of origin.</w:t>
      </w:r>
    </w:p>
    <w:p>
      <w:pPr>
        <w:pStyle w:val="Point0number"/>
        <w:ind w:left="851" w:hanging="851"/>
        <w:rPr>
          <w:noProof/>
        </w:rPr>
      </w:pPr>
      <w:r>
        <w:rPr>
          <w:noProof/>
        </w:rPr>
        <w:t>Article 3 of Protocol II provides that the Customs Sub-Committee  established by Article 200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The Union signed the Convention on 15 June 2011. With its Decision No 2 of 21 May 2014, the Joint Committee</w:t>
      </w:r>
      <w:r>
        <w:rPr>
          <w:rFonts w:eastAsia="Arial Unicode MS"/>
          <w:noProof/>
        </w:rPr>
        <w:t xml:space="preserve"> </w:t>
      </w:r>
      <w:r>
        <w:rPr>
          <w:noProof/>
        </w:rPr>
        <w:t>established by Article 3(1) of the Convention decided that the Republic of Moldova should be invited to accede to the Convention.</w:t>
      </w:r>
    </w:p>
    <w:p>
      <w:pPr>
        <w:pStyle w:val="Point0number"/>
        <w:rPr>
          <w:noProof/>
        </w:rPr>
      </w:pPr>
      <w:r>
        <w:rPr>
          <w:noProof/>
        </w:rPr>
        <w:t>The European Union and t</w:t>
      </w:r>
      <w:r>
        <w:rPr>
          <w:rFonts w:eastAsia="Times New Roman"/>
          <w:noProof/>
          <w:szCs w:val="24"/>
        </w:rPr>
        <w:t xml:space="preserve">he Republic of Moldova </w:t>
      </w:r>
      <w:r>
        <w:rPr>
          <w:noProof/>
        </w:rPr>
        <w:t xml:space="preserve">deposited their instruments of acceptance with the depositary of the Convention on 26 March 2012 and </w:t>
      </w:r>
      <w:r>
        <w:rPr>
          <w:rFonts w:eastAsia="Times New Roman"/>
          <w:noProof/>
          <w:szCs w:val="24"/>
        </w:rPr>
        <w:t xml:space="preserve">31 July 2015, </w:t>
      </w:r>
      <w:r>
        <w:rPr>
          <w:noProof/>
        </w:rPr>
        <w:t>respectively. Consequently, in application of Article 10(3) of the Convention, the Convention entered into force in relation to the European Union and the</w:t>
      </w:r>
      <w:r>
        <w:rPr>
          <w:rFonts w:eastAsia="Times New Roman"/>
          <w:noProof/>
          <w:szCs w:val="24"/>
        </w:rPr>
        <w:t xml:space="preserve"> Republic of Moldova </w:t>
      </w:r>
      <w:r>
        <w:rPr>
          <w:noProof/>
        </w:rPr>
        <w:t xml:space="preserve">on 1 May 2012 and on </w:t>
      </w:r>
      <w:r>
        <w:rPr>
          <w:rFonts w:eastAsia="Times New Roman"/>
          <w:noProof/>
          <w:szCs w:val="24"/>
        </w:rPr>
        <w:t>1 September 2015, respectively</w:t>
      </w:r>
      <w:r>
        <w:rPr>
          <w:noProof/>
        </w:rPr>
        <w:t>.</w:t>
      </w:r>
    </w:p>
    <w:p>
      <w:pPr>
        <w:pStyle w:val="Point0number"/>
        <w:rPr>
          <w:noProof/>
        </w:rPr>
      </w:pPr>
      <w:r>
        <w:rPr>
          <w:noProof/>
        </w:rPr>
        <w:t>Protocol II was replaced by a new protocol making reference to the Convention, by Decision No 1/2016 of the EU-Republic of Moldova Customs Sub-Committee of 6 October 2016</w:t>
      </w:r>
      <w:r>
        <w:rPr>
          <w:rStyle w:val="FootnoteReference"/>
          <w:noProof/>
        </w:rPr>
        <w:footnoteReference w:id="4"/>
      </w:r>
      <w:r>
        <w:rPr>
          <w:noProof/>
        </w:rPr>
        <w:t>.</w:t>
      </w:r>
    </w:p>
    <w:p>
      <w:pPr>
        <w:pStyle w:val="Point0number"/>
        <w:rPr>
          <w:noProof/>
        </w:rPr>
      </w:pPr>
      <w:r>
        <w:rPr>
          <w:noProof/>
        </w:rPr>
        <w:t>The European Union and the Republic of Moldova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II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II to the Association Agreement establishing an association between the European Union and the European Atomic Energy Community and their Member States, of the one part, and the Republic of Moldova,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 xml:space="preserve">For the Customs Sub-Committee </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II</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5"/>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the Republic of Moldova.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Customs Sub-Committee .</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Customs Sub-Committee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the Republic of Moldova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the Republic of Moldova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the Republic of Moldova.</w:t>
      </w:r>
    </w:p>
    <w:p>
      <w:pPr>
        <w:rPr>
          <w:noProof/>
        </w:rPr>
      </w:pP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the Republic of Moldova,</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6"/>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 xml:space="preserve">Customs Sub-Committee </w:t>
      </w:r>
      <w:r>
        <w:rPr>
          <w:noProof/>
        </w:rPr>
        <w:t xml:space="preserve"> 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 xml:space="preserve">Customs Sub-Committee </w:t>
      </w:r>
      <w:r>
        <w:rPr>
          <w:noProof/>
        </w:rPr>
        <w:t xml:space="preserve"> 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 xml:space="preserve">Customs Sub-Committee </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the Republic of Moldova,</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the Republic of Moldova</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the Republic of Moldova</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7"/>
      </w:r>
      <w:r>
        <w:rPr>
          <w:rFonts w:eastAsia="Times New Roman"/>
          <w:noProof/>
          <w:szCs w:val="24"/>
          <w:lang w:eastAsia="en-GB"/>
        </w:rPr>
        <w:t>. The Republic of Moldova</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8"/>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the Republic of Moldova</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the Republic of Moldova:</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the Republic of Moldova</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the Republic of Moldova</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260, 30.08.2014, p4.</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en-US"/>
        </w:rPr>
      </w:pPr>
      <w:r>
        <w:rPr>
          <w:rStyle w:val="FootnoteReference"/>
        </w:rPr>
        <w:footnoteRef/>
      </w:r>
      <w:r>
        <w:tab/>
        <w:t>OJ L 39, 16.02.2017, p. 45</w:t>
      </w:r>
    </w:p>
  </w:footnote>
  <w:footnote w:id="5">
    <w:p>
      <w:pPr>
        <w:pStyle w:val="FootnoteText"/>
        <w:rPr>
          <w:lang w:val="pl-PL"/>
        </w:rPr>
      </w:pPr>
      <w:r>
        <w:rPr>
          <w:rStyle w:val="FootnoteReference"/>
        </w:rPr>
        <w:footnoteRef/>
      </w:r>
      <w:r>
        <w:rPr>
          <w:lang w:val="pl-PL"/>
        </w:rPr>
        <w:tab/>
      </w:r>
      <w:r>
        <w:rPr>
          <w:iCs/>
          <w:lang w:val="pl-PL"/>
        </w:rPr>
        <w:t>OJ L 54, 26.2.2013, p. 4.</w:t>
      </w:r>
    </w:p>
  </w:footnote>
  <w:footnote w:id="6">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7">
    <w:p>
      <w:pPr>
        <w:pStyle w:val="FootnoteText"/>
        <w:rPr>
          <w:lang w:val="en-US"/>
        </w:rPr>
      </w:pPr>
      <w:r>
        <w:rPr>
          <w:rStyle w:val="FootnoteReference"/>
        </w:rPr>
        <w:footnoteRef/>
      </w:r>
      <w:r>
        <w:tab/>
      </w:r>
      <w:r>
        <w:rPr>
          <w:sz w:val="18"/>
          <w:szCs w:val="18"/>
        </w:rPr>
        <w:t>OJ EC L 302, 15.11.1985, p. 23.</w:t>
      </w:r>
    </w:p>
  </w:footnote>
  <w:footnote w:id="8">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3:04:50"/>
    <w:docVar w:name="DQCNUMB_1" w:val="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47"/>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86D6BB6-E1ED-4008-9683-F1E59E226DD8"/>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Customs Sub-Committee established by the Association Agreement between the European Union and the European Atomic Energy Community and their Memeber States, of the one part, and the Republic of Moldova, of the other part, as regards the amendment of Protocol II to that Agreement concerning the definition of the concept of 'originating products' and methods of administrative cooperation&lt;/FMT&gt;"/>
    <w:docVar w:name="LW_OBJETACTEPRINCIPAL.CP" w:val="&lt;FMT:Bold&gt;on the position to be taken on behalf of the European Union within the Customs Sub-Committee established by the Association Agreement between the European Union and the European Atomic Energy Community and their Memeber States, of the one part, and the Republic of Moldova, of the other part, as regards the amendment of Protocol II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3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ChapterTitlefc">
    <w:name w:val="ChapterTitle"/>
    <w:basedOn w:val="Normal"/>
    <w:next w:val="Normal"/>
    <w:pPr>
      <w:keepNext/>
      <w:spacing w:after="360"/>
      <w:jc w:val="center"/>
    </w:pPr>
    <w:rPr>
      <w:b/>
      <w:sz w:val="32"/>
    </w:rPr>
  </w:style>
  <w:style w:type="paragraph" w:customStyle="1" w:styleId="PartTitlefc">
    <w:name w:val="PartTitle"/>
    <w:basedOn w:val="Normal"/>
    <w:next w:val="ChapterTitlefc"/>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d">
    <w:name w:val="ChapterTitle"/>
    <w:basedOn w:val="Normal"/>
    <w:next w:val="Normal"/>
    <w:pPr>
      <w:keepNext/>
      <w:spacing w:after="360"/>
      <w:jc w:val="center"/>
    </w:pPr>
    <w:rPr>
      <w:b/>
      <w:sz w:val="32"/>
    </w:rPr>
  </w:style>
  <w:style w:type="paragraph" w:customStyle="1" w:styleId="PartTitlefd">
    <w:name w:val="PartTitle"/>
    <w:basedOn w:val="Normal"/>
    <w:next w:val="ChapterTitlefd"/>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ChapterTitlefc">
    <w:name w:val="ChapterTitle"/>
    <w:basedOn w:val="Normal"/>
    <w:next w:val="Normal"/>
    <w:pPr>
      <w:keepNext/>
      <w:spacing w:after="360"/>
      <w:jc w:val="center"/>
    </w:pPr>
    <w:rPr>
      <w:b/>
      <w:sz w:val="32"/>
    </w:rPr>
  </w:style>
  <w:style w:type="paragraph" w:customStyle="1" w:styleId="PartTitlefc">
    <w:name w:val="PartTitle"/>
    <w:basedOn w:val="Normal"/>
    <w:next w:val="ChapterTitlefc"/>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d">
    <w:name w:val="ChapterTitle"/>
    <w:basedOn w:val="Normal"/>
    <w:next w:val="Normal"/>
    <w:pPr>
      <w:keepNext/>
      <w:spacing w:after="360"/>
      <w:jc w:val="center"/>
    </w:pPr>
    <w:rPr>
      <w:b/>
      <w:sz w:val="32"/>
    </w:rPr>
  </w:style>
  <w:style w:type="paragraph" w:customStyle="1" w:styleId="PartTitlefd">
    <w:name w:val="PartTitle"/>
    <w:basedOn w:val="Normal"/>
    <w:next w:val="ChapterTitlefd"/>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A9A8D-AFCF-4DBD-8319-55483DF6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49</Pages>
  <Words>29582</Words>
  <Characters>158858</Characters>
  <Application>Microsoft Office Word</Application>
  <DocSecurity>0</DocSecurity>
  <Lines>4180</Lines>
  <Paragraphs>2415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2020-07-28T13:10:00Z</dcterms:created>
  <dcterms:modified xsi:type="dcterms:W3CDTF">2020-08-17T11:04:00Z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