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021C24A-BEFD-4B45-A1A4-8F7F27E74691" style="width:451.25pt;height:406.9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noProof/>
        </w:rPr>
      </w:pPr>
      <w:r>
        <w:rPr>
          <w:noProof/>
        </w:rPr>
        <w:t>Настоящото предложение се отнася до решение на Съвета относно позицията, която трябва да се заеме от името на Съюза в рамките на Съвета за асоцииране ЕС — Централна Америка във връзка с предвиденото приемане на две решения на Съвета за асоцииране, създаден по силата на Споразумението за асоцииране между Европейския съюз и неговите държави членки, от една страна, и Централна Америка, от друга страна („споразумението“).</w:t>
      </w:r>
    </w:p>
    <w:p>
      <w:pPr>
        <w:rPr>
          <w:rFonts w:eastAsia="Arial Unicode MS"/>
          <w:noProof/>
        </w:rPr>
      </w:pPr>
      <w:r>
        <w:rPr>
          <w:noProof/>
        </w:rPr>
        <w:t>Тези решения ще се отнасят, от една страна, до актуализация от 2012 и 2017 г. на съдържащия се в Хармонизираната система списък на видовете обработка или преработка, които се изисква да бъдат извършени по отношение на материалите без произход, за да може произведеният продукт да придобие статут на продукт с произход (по-долу „специфични за отделните продукти правила за произход“), съдържащ се в допълнение 2 към приложение II „Относно определението на понятието „продукти с произход“ и методите на административно сътрудничество“ („приложение II“) към споразумението, и от друга страна, обяснителните бележки във връзка с разпоредбите на посоченото приложение II.</w:t>
      </w:r>
    </w:p>
    <w:p>
      <w:pPr>
        <w:pStyle w:val="ManualHeading1"/>
        <w:rPr>
          <w:noProof/>
        </w:rPr>
      </w:pPr>
      <w:r>
        <w:t>2.</w:t>
      </w:r>
      <w:r>
        <w:tab/>
      </w:r>
      <w:r>
        <w:rPr>
          <w:noProof/>
        </w:rPr>
        <w:t>Контекст на предложението</w:t>
      </w:r>
    </w:p>
    <w:p>
      <w:pPr>
        <w:pStyle w:val="ManualHeading2"/>
        <w:rPr>
          <w:noProof/>
        </w:rPr>
      </w:pPr>
      <w:r>
        <w:t>2.1.</w:t>
      </w:r>
      <w:r>
        <w:tab/>
      </w:r>
      <w:r>
        <w:rPr>
          <w:noProof/>
        </w:rPr>
        <w:t>Споразумението за асоцииране между ЕС и държавите от Централна Америка</w:t>
      </w:r>
    </w:p>
    <w:p>
      <w:pPr>
        <w:rPr>
          <w:rFonts w:eastAsia="Arial Unicode MS"/>
          <w:noProof/>
        </w:rPr>
      </w:pPr>
      <w:r>
        <w:rPr>
          <w:noProof/>
        </w:rPr>
        <w:t>Споразумението има за цел да увеличи двустранната търговия между ЕС и Централна Америка и по този начин да укрепи процеса на регионална интеграция между държавите от региона. Споразумението се прилага временно от 1 август 2013 г. с Хондурас, Никарагуа и Панама, от 1 октомври 2013 г. с Коста Рика и Ел Салвадор и от 1 декември 2013 г. с Гватемала.</w:t>
      </w:r>
    </w:p>
    <w:p>
      <w:pPr>
        <w:pStyle w:val="ManualHeading2"/>
        <w:rPr>
          <w:noProof/>
        </w:rPr>
      </w:pPr>
      <w:r>
        <w:t>2.2.</w:t>
      </w:r>
      <w:r>
        <w:tab/>
      </w:r>
      <w:r>
        <w:rPr>
          <w:noProof/>
        </w:rPr>
        <w:t>Съветът за асоцииране</w:t>
      </w:r>
    </w:p>
    <w:p>
      <w:pPr>
        <w:rPr>
          <w:rFonts w:eastAsia="Arial Unicode MS"/>
          <w:noProof/>
        </w:rPr>
      </w:pPr>
      <w:r>
        <w:rPr>
          <w:noProof/>
        </w:rPr>
        <w:t>Съветът за асоцииране упражнява надзор върху изпълнението на целите на споразумението и следи прилагането му. Той разглежда всеки сериозен проблем, възникнал в рамките на споразумението, както и всеки друг двустранен, многостранен или международен въпрос от общ интерес, и също така разглежда предложения и препоръки на страните за подобряване на отношенията, установени по силата на споразумението. Съветът за асоцииране приема решения и препоръки по взаимно съгласие между страните. Подкомитетът по митниците, улесняването на търговията и правилата за произход, който приключи подготвителната работа, препоръчва одобрение от Съвета за асоцииране.</w:t>
      </w:r>
    </w:p>
    <w:p>
      <w:pPr>
        <w:pStyle w:val="ManualHeading2"/>
        <w:rPr>
          <w:noProof/>
        </w:rPr>
      </w:pPr>
      <w:r>
        <w:t>2.3.</w:t>
      </w:r>
      <w:r>
        <w:tab/>
      </w:r>
      <w:r>
        <w:rPr>
          <w:noProof/>
        </w:rPr>
        <w:t>Предвидените актове на Съвета за асоцииране</w:t>
      </w:r>
    </w:p>
    <w:p>
      <w:pPr>
        <w:rPr>
          <w:rFonts w:eastAsia="Arial Unicode MS"/>
          <w:noProof/>
        </w:rPr>
      </w:pPr>
      <w:r>
        <w:rPr>
          <w:noProof/>
        </w:rPr>
        <w:t>Съветът за асоцииране трябва да приеме два акта:</w:t>
      </w:r>
    </w:p>
    <w:p>
      <w:pPr>
        <w:rPr>
          <w:rFonts w:eastAsia="Arial Unicode MS"/>
          <w:b/>
          <w:noProof/>
        </w:rPr>
      </w:pPr>
      <w:r>
        <w:rPr>
          <w:b/>
          <w:noProof/>
        </w:rPr>
        <w:t>Решение за замяна на допълнение 2 към приложение II</w:t>
      </w:r>
    </w:p>
    <w:p>
      <w:pPr>
        <w:rPr>
          <w:noProof/>
        </w:rPr>
      </w:pPr>
      <w:r>
        <w:rPr>
          <w:noProof/>
        </w:rPr>
        <w:lastRenderedPageBreak/>
        <w:t>Изменението на допълнение 2 към приложение II има за цел да се актуализират специфичните за отделните продукти правила за произход  съгласно версиите от 2012 и 2017 г. на Хармонизираната система за описание и кодиране на стоките (ХС)</w:t>
      </w:r>
      <w:r>
        <w:rPr>
          <w:rStyle w:val="FootnoteReference"/>
          <w:noProof/>
        </w:rPr>
        <w:footnoteReference w:id="1"/>
      </w:r>
      <w:r>
        <w:rPr>
          <w:noProof/>
        </w:rPr>
        <w:t>.</w:t>
      </w:r>
    </w:p>
    <w:p>
      <w:pPr>
        <w:rPr>
          <w:rFonts w:eastAsia="Arial Unicode MS"/>
          <w:b/>
          <w:noProof/>
        </w:rPr>
      </w:pPr>
      <w:r>
        <w:rPr>
          <w:b/>
          <w:noProof/>
        </w:rPr>
        <w:t>Решение относно обяснителните бележки към членове 15, 16, 19, 20 и 30 от приложение II</w:t>
      </w:r>
    </w:p>
    <w:p>
      <w:pPr>
        <w:rPr>
          <w:noProof/>
        </w:rPr>
      </w:pPr>
      <w:r>
        <w:rPr>
          <w:noProof/>
        </w:rPr>
        <w:t>Тези обяснителни бележки обхващат попълването на доказателството за произход, познато като „сертификат за движение EUR.1“, както и третирането на грешките и неточностите с този сертификат. Дават се и насоки относно декларациите върху фактура, с които одобрен износител самоудостоверява доказателството за произход, издаването на разрешения и наблюдението на одобрените износители, както и границата за стойността, под която всеки износител може да състави декларация върху фактура.</w:t>
      </w:r>
    </w:p>
    <w:p>
      <w:pPr>
        <w:pStyle w:val="ManualHeading1"/>
        <w:rPr>
          <w:rFonts w:eastAsia="Arial Unicode MS"/>
          <w:noProof/>
        </w:rPr>
      </w:pPr>
      <w:r>
        <w:t>3.</w:t>
      </w:r>
      <w:r>
        <w:tab/>
      </w:r>
      <w:r>
        <w:rPr>
          <w:noProof/>
        </w:rPr>
        <w:t>Позиция, която трябва да се заеме от името на Съюза</w:t>
      </w:r>
    </w:p>
    <w:p>
      <w:pPr>
        <w:rPr>
          <w:noProof/>
        </w:rPr>
      </w:pPr>
      <w:r>
        <w:rPr>
          <w:noProof/>
        </w:rPr>
        <w:t xml:space="preserve">Настоящото предложение за действие обхваща два аспекта на приложение II. </w:t>
      </w:r>
    </w:p>
    <w:p>
      <w:pPr>
        <w:rPr>
          <w:b/>
          <w:noProof/>
        </w:rPr>
      </w:pPr>
      <w:r>
        <w:rPr>
          <w:b/>
          <w:noProof/>
        </w:rPr>
        <w:t>Актуализиране на специфичните за отделните продукти правила за произход  за ХС от 2012 и 2017 г.</w:t>
      </w:r>
    </w:p>
    <w:p>
      <w:pPr>
        <w:rPr>
          <w:noProof/>
        </w:rPr>
      </w:pPr>
      <w:r>
        <w:rPr>
          <w:noProof/>
        </w:rPr>
        <w:t>Списъкът на видовете обработка или преработка, които се изисква да бъдат извършени върху материали без произход, за да може произведеният продукт да придобие статут на продукт с произход, е посочен в допълнение 2 към приложение II. Тези специфични за отделните продукти правила за произход се основават на Хармонизираната система (ХС) от 2007 г. за класификацията на стоките, която вече е остаряла поради актуализации през 2012 и 2017 г. Настоящото действие обхваща тези актуализации.</w:t>
      </w:r>
    </w:p>
    <w:p>
      <w:pPr>
        <w:rPr>
          <w:noProof/>
        </w:rPr>
      </w:pPr>
      <w:r>
        <w:rPr>
          <w:noProof/>
        </w:rPr>
        <w:t>Централна Америка и Европейският съюз временно се споразумяха да актуализират специфичните за отделните продукти правила за произход, като ги приведат в съответствие с ХС от 2012 г. С Решение (ЕС) 2016/1336 на Съвета от 18 юли 2016 г. беше определена позицията, която да се заеме от името на ЕС във връзка с актуализациите в Съвета за асоцииране. Тъй като решението на Съвета беше прието след заседанието на Комитета за асоцииране от 23 юни 2016 г. и тъй като се налагаше актуализация с оглед предстоящите изменения на ХС от 2017 г., страните се договориха вместо това да работят за постигане на съгласие за приемане на промените както за ХС от 2012 г., така и от 2017 г.</w:t>
      </w:r>
    </w:p>
    <w:p>
      <w:pPr>
        <w:rPr>
          <w:noProof/>
        </w:rPr>
      </w:pPr>
      <w:r>
        <w:rPr>
          <w:noProof/>
        </w:rPr>
        <w:t xml:space="preserve">След заседанието на Подкомитета по митниците, улесняването на търговията и правилата за произход ЕС — Централна Америка, проведено на 18—19 юни 2019 г. в Гватемала, и последвалата кореспонденция беше постигнато съгласие относно актуализирането на специфичните за отделните продукти правила за произход за ХС от 2012 и от 2017 г. </w:t>
      </w:r>
    </w:p>
    <w:p>
      <w:pPr>
        <w:rPr>
          <w:b/>
          <w:noProof/>
        </w:rPr>
      </w:pPr>
      <w:r>
        <w:rPr>
          <w:b/>
          <w:noProof/>
        </w:rPr>
        <w:t>Обяснителни бележки</w:t>
      </w:r>
    </w:p>
    <w:p>
      <w:pPr>
        <w:rPr>
          <w:noProof/>
        </w:rPr>
      </w:pPr>
      <w:r>
        <w:rPr>
          <w:noProof/>
        </w:rPr>
        <w:t>Член 37 от приложение II гласи, че страните по споразумението постигат съгласие относно „Обяснителните бележки“ по отношение на тълкуването, прилагането и администрирането на приложение II в рамките на Подкомитета по митниците, улесняването на търговията и правилата за произход, с оглед да се препоръча одобряването им от Съвета за асоцииране. Настоящото действие обхваща приемането на обяснителни бележки.</w:t>
      </w:r>
    </w:p>
    <w:p>
      <w:pPr>
        <w:rPr>
          <w:noProof/>
        </w:rPr>
      </w:pPr>
      <w:r>
        <w:rPr>
          <w:noProof/>
        </w:rPr>
        <w:lastRenderedPageBreak/>
        <w:t xml:space="preserve">Подкомитетът по митниците, улесняването на търговията и правилата за произход ЕС — Централна Америка проведе заседание на 1—2 юни 2015 г. в Брюксел, на което участниците се споразумяха за обяснителните бележки. Те включват насоки за член 15 от приложение II относно издаването и попълването на сертификатите за движение EUR.1, които могат да се използват като доказателство за произход. С Решение (ЕС) 2016/1001 на Съвета от 20 юни 2016 г. беше определена позицията, която да се заеме от името на ЕС в рамките на Съвета за асоцииране във връзка с тези обяснителни бележки. </w:t>
      </w:r>
    </w:p>
    <w:p>
      <w:pPr>
        <w:rPr>
          <w:noProof/>
        </w:rPr>
      </w:pPr>
      <w:r>
        <w:rPr>
          <w:noProof/>
        </w:rPr>
        <w:t>На заседанието си на 23 юни 2016 г. в Хондурас обаче Комитетът за асоцииране не успя да постигне съгласие без включването на допълнителни насоки, основно по отношение на отхвърлянето на сертификати за движение EUR.1. Подкомитетът по митниците, улесняването на търговията и правилата за произход ЕС — Централна Америка работи допълнително на заседанията си през 2017, 2018 и 2019 г. за постигане на съгласие по актуализираните обяснителни бележки.</w:t>
      </w:r>
    </w:p>
    <w:p>
      <w:pPr>
        <w:rPr>
          <w:noProof/>
        </w:rPr>
      </w:pPr>
      <w:r>
        <w:rPr>
          <w:noProof/>
        </w:rPr>
        <w:t>Обяснителните бележки вече съдържат насоки за техническите причини за отказ на сертификат за движение EUR.1 и за отказ на преференциално третиране без проверка. Осигурени са насоки по отношение на прилагането на разпоредбите за декларацията върху фактура, основата за прилагането на ограничението на стойността за всеки износител при изготвяне на декларация върху фактура, както и за издаването на разрешения и наблюдението на одобрените износители.</w:t>
      </w:r>
    </w:p>
    <w:p>
      <w:pPr>
        <w:rPr>
          <w:b/>
          <w:noProof/>
        </w:rPr>
      </w:pPr>
      <w:r>
        <w:rPr>
          <w:b/>
          <w:noProof/>
        </w:rPr>
        <w:t>Единно решение на Съвета относно позицията, която да бъде заета от името на Европейския съюз</w:t>
      </w:r>
    </w:p>
    <w:p>
      <w:pPr>
        <w:rPr>
          <w:noProof/>
        </w:rPr>
      </w:pPr>
      <w:r>
        <w:rPr>
          <w:noProof/>
        </w:rPr>
        <w:t>Предложеното решение на Съвета относно позицията, която трябва да се заеме от името на Европейския съюз в рамките на Съвета за асоцииране ЕС — Централна Америка във връзка както с измененията на допълнение 2, така и с обяснителните бележки към приложение II, ще отмени и замени съответно Решение (ЕС) 2016/1336 на Съвета от 18 юли 2016 г. и Решение (ЕС) 2016/1001 на Съвета от 20 юни 2016 г., които вече не са актуални.</w:t>
      </w:r>
    </w:p>
    <w:p>
      <w:pPr>
        <w:rPr>
          <w:noProof/>
        </w:rPr>
      </w:pPr>
      <w:r>
        <w:rPr>
          <w:noProof/>
        </w:rPr>
        <w:t>Най-добрата практика в ЕС е актуализирането на специфичните за отделните продукти правила за произход в Хармонизираната система на всеки пет години. Обяснителните бележки са в съответствие с други обяснителни бележки, договорени в споразуменията за свободна търговия между Европейския съюз и Чили и Европейския съюз и Мексико, както и с тези в паневросредиземноморските протоколи за правилата за произход.</w:t>
      </w:r>
    </w:p>
    <w:p>
      <w:pPr>
        <w:rPr>
          <w:noProof/>
        </w:rPr>
      </w:pPr>
      <w:r>
        <w:rPr>
          <w:noProof/>
        </w:rPr>
        <w:t xml:space="preserve">Предложението се отнася до прилагането на преференциално търговско споразумение, сключено като част от общата търговска политика, която е област от изключителната компетентност на Съюза. </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lastRenderedPageBreak/>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2"/>
      </w:r>
      <w:r>
        <w:rPr>
          <w:noProof/>
        </w:rPr>
        <w:t>.</w:t>
      </w:r>
    </w:p>
    <w:p>
      <w:pPr>
        <w:pStyle w:val="ManualHeading3"/>
        <w:rPr>
          <w:noProof/>
        </w:rPr>
      </w:pPr>
      <w:r>
        <w:t>4.1.2.</w:t>
      </w:r>
      <w:r>
        <w:tab/>
      </w:r>
      <w:r>
        <w:rPr>
          <w:noProof/>
        </w:rPr>
        <w:t>Приложение в конкретния случай</w:t>
      </w:r>
    </w:p>
    <w:p>
      <w:pPr>
        <w:rPr>
          <w:noProof/>
        </w:rPr>
      </w:pPr>
      <w:r>
        <w:rPr>
          <w:noProof/>
        </w:rPr>
        <w:t>Съветът за асоцииране е орган, създаден по силата на Споразумението за асоцииране между Европейския съюз и неговите държави членки, от една страна, и Централна Америка, от друга страна</w:t>
      </w:r>
      <w:r>
        <w:t>.</w:t>
      </w:r>
    </w:p>
    <w:p>
      <w:pPr>
        <w:rPr>
          <w:noProof/>
        </w:rPr>
      </w:pPr>
      <w:r>
        <w:rPr>
          <w:noProof/>
        </w:rPr>
        <w:t>Актът, в този случай — решението, което Съветът за асоцииране има за задача да приеме, представлява акт с правно действие. Предвиденият акт ще бъде обвързващ съгласно международното право в съответствие с член 6 от Споразумението за асоцииране между Европейския съюз и неговите държави членки, от една страна, и Централна Америка, от друга страна.</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noProof/>
        </w:rPr>
      </w:pPr>
      <w:r>
        <w:rPr>
          <w:noProof/>
        </w:rPr>
        <w:t>Основната цел и съдържанието на предвидения акт са свързани с общата търговска политика на Съюза.</w:t>
      </w:r>
    </w:p>
    <w:p>
      <w:pPr>
        <w:rPr>
          <w:i/>
          <w:noProof/>
        </w:rPr>
      </w:pPr>
      <w:r>
        <w:rPr>
          <w:noProof/>
        </w:rPr>
        <w:t>Поради това материалноправното основание за предложеното решение е член 207, параграф 4, първа алинея от ДФЕС.</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207, параграф 4</w:t>
      </w:r>
      <w:r>
        <w:t>,</w:t>
      </w:r>
      <w:r>
        <w:rPr>
          <w:noProof/>
        </w:rPr>
        <w:t xml:space="preserve"> първа алинея от ДФЕС във връзка с член 218, параграф 9 от него.</w:t>
      </w:r>
    </w:p>
    <w:p>
      <w:pPr>
        <w:pStyle w:val="ManualHeading1"/>
        <w:rPr>
          <w:noProof/>
        </w:rPr>
      </w:pPr>
      <w:r>
        <w:t>5.</w:t>
      </w:r>
      <w:r>
        <w:tab/>
      </w:r>
      <w:r>
        <w:rPr>
          <w:noProof/>
        </w:rPr>
        <w:t>Публикуване на предвидените актове</w:t>
      </w:r>
    </w:p>
    <w:p>
      <w:pPr>
        <w:rPr>
          <w:noProof/>
        </w:rPr>
      </w:pPr>
      <w:r>
        <w:rPr>
          <w:noProof/>
        </w:rPr>
        <w:t>Тъй като актовете на Съвета за асоцииране ще изменят допълнение 2 и ще служат за изпълнението на приложение II към споразумението</w:t>
      </w:r>
      <w:r>
        <w:t>,</w:t>
      </w:r>
      <w:r>
        <w:rPr>
          <w:noProof/>
        </w:rPr>
        <w:t xml:space="preserve"> е целесъобразно след приемането им те да бъдат публикувани в </w:t>
      </w:r>
      <w:r>
        <w:rPr>
          <w:i/>
          <w:noProof/>
        </w:rPr>
        <w:t>Официален вестник на Европейския съюз</w:t>
      </w:r>
      <w:r>
        <w:rPr>
          <w:noProof/>
        </w:rPr>
        <w: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2020/0202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Съвета за асоцииране ЕС — Централна Америка във връзка с измененията на допълнение 2 и обяснителните бележки към членове 15, 16, 19, 20 и 30 от приложение II към Споразумението за асоцииране между Европейския съюз и неговите държави членки, от една страна, и Централна Америка, от друга страна</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асоцииране между Европейския съюз и неговите държави членки, от една страна, и Централна Америка, от друга страна (наричано по-долу „споразумението“), беше сключено от Съюза с Решение 2012/734/ЕС на Съвета от 25 юни 2012 г.</w:t>
      </w:r>
      <w:r>
        <w:rPr>
          <w:rStyle w:val="FootnoteReference"/>
          <w:noProof/>
        </w:rPr>
        <w:footnoteReference w:id="3"/>
      </w:r>
      <w:r>
        <w:rPr>
          <w:noProof/>
        </w:rPr>
        <w:t xml:space="preserve"> и се прилага временно от 1 август 2013 г. между Съюза, Никарагуа, Хондурас и Панама, от 1 октомври 2013 г. — между тези страни и Ел Салвадор и Коста Рика, а от 1 декември 2013 г. — между Съюза, Никарагуа, Хондурас, Панама, Ел Салвадор и Коста Рика, от една страна, и Гватемала, от друга страна. </w:t>
      </w:r>
    </w:p>
    <w:p>
      <w:pPr>
        <w:pStyle w:val="ManualConsidrant"/>
        <w:rPr>
          <w:noProof/>
        </w:rPr>
      </w:pPr>
      <w:r>
        <w:t>(2)</w:t>
      </w:r>
      <w:r>
        <w:tab/>
      </w:r>
      <w:r>
        <w:rPr>
          <w:noProof/>
        </w:rPr>
        <w:t>Съгласно член 36</w:t>
      </w:r>
      <w:r>
        <w:t xml:space="preserve"> </w:t>
      </w:r>
      <w:r>
        <w:rPr>
          <w:noProof/>
        </w:rPr>
        <w:t>от приложение II „Относно определението на понятието „продукти с произход“ и методите на административно сътрудничество“ към споразумението Съветът за асоцииране може да изменя разпоредбите на допълненията към приложение II. Съгласно член 37 от приложение II към споразумението Съветът за асоцииране може да одобрява обяснителни бележки по отношение на тълкуването, прилагането и администрирането на приложение II.</w:t>
      </w:r>
    </w:p>
    <w:p>
      <w:pPr>
        <w:pStyle w:val="ManualConsidrant"/>
        <w:rPr>
          <w:noProof/>
        </w:rPr>
      </w:pPr>
      <w:r>
        <w:t>(3)</w:t>
      </w:r>
      <w:r>
        <w:tab/>
      </w:r>
      <w:r>
        <w:rPr>
          <w:noProof/>
        </w:rPr>
        <w:t>Съветът за асоцииране трябва да приеме решение за изменение на допълнение 2 („Списък на видовете обработка или преработка, които се изисква да бъдат извършени върху материали без произход, за да може произведеният продукт да придобие статут на продукт с произход“) към приложение II, което се основава на Хармонизираната система (ХС) от 2007 г., за да приведе специфичните за отделните продукти правила за произход  в съответствие с актуализацията на Хармонизираната система от 2017 г. Това привеждане в съответствие включва промените, въведени с ХС от 2012 г., както и несъществените промени в ХС от 2017 г., в специалните правила за продуктите в допълнение 2.</w:t>
      </w:r>
    </w:p>
    <w:p>
      <w:pPr>
        <w:pStyle w:val="ManualConsidrant"/>
        <w:rPr>
          <w:noProof/>
        </w:rPr>
      </w:pPr>
      <w:r>
        <w:t>(4)</w:t>
      </w:r>
      <w:r>
        <w:tab/>
      </w:r>
      <w:r>
        <w:rPr>
          <w:noProof/>
        </w:rPr>
        <w:t xml:space="preserve">Съветът за асоцииране също така трябва да приеме решение за въвеждане на обяснителни бележки към членове 15, 16, 19, 20 и 30 от приложение II към </w:t>
      </w:r>
      <w:r>
        <w:rPr>
          <w:noProof/>
        </w:rPr>
        <w:lastRenderedPageBreak/>
        <w:t>споразумението, за да се осигурят прозрачност и единно прилагане на правилата за произход по отношение на сертификата за движение EUR.1, декларациите върху фактура, одобрените износители и проверката на доказателствата за произход.</w:t>
      </w:r>
    </w:p>
    <w:p>
      <w:pPr>
        <w:pStyle w:val="ManualConsidrant"/>
        <w:rPr>
          <w:noProof/>
        </w:rPr>
      </w:pPr>
      <w:r>
        <w:t>(5)</w:t>
      </w:r>
      <w:r>
        <w:tab/>
      </w:r>
      <w:r>
        <w:rPr>
          <w:noProof/>
        </w:rPr>
        <w:t>Тъй като двете решения ще породят правно действие в Съюза</w:t>
      </w:r>
      <w:r>
        <w:t>,</w:t>
      </w:r>
      <w:r>
        <w:rPr>
          <w:noProof/>
        </w:rPr>
        <w:t xml:space="preserve"> е целесъобразно да се определи позицията, която трябва да се заеме от името на Съюза в рамките на Съвета за асоцииране. Също така е целесъобразно да се отменят Решение (ЕС) 2016/1001 на Съвета от 20 юни 2016 г.</w:t>
      </w:r>
      <w:r>
        <w:rPr>
          <w:rStyle w:val="FootnoteReference"/>
          <w:noProof/>
        </w:rPr>
        <w:footnoteReference w:id="4"/>
      </w:r>
      <w:r>
        <w:rPr>
          <w:noProof/>
        </w:rPr>
        <w:t xml:space="preserve"> и Решение (ЕС) 2016/1336 на Съвета от 18 юли 2016 г.</w:t>
      </w:r>
      <w:r>
        <w:rPr>
          <w:rStyle w:val="FootnoteReference"/>
          <w:noProof/>
        </w:rPr>
        <w:footnoteReference w:id="5"/>
      </w:r>
      <w:r>
        <w:rPr>
          <w:noProof/>
        </w:rPr>
        <w:t>, с които се определят позициите, които да се заемат от името на Съюза във връзка с актове, които Съветът за асоцииране вече няма да приеме,</w:t>
      </w:r>
    </w:p>
    <w:p>
      <w:pPr>
        <w:pStyle w:val="Formuledadoption"/>
        <w:rPr>
          <w:noProof/>
        </w:rPr>
      </w:pPr>
      <w:r>
        <w:rPr>
          <w:noProof/>
        </w:rPr>
        <w:t>ПРИЕ НАСТОЯЩОТО РЕШЕНИЕ:</w:t>
      </w:r>
    </w:p>
    <w:p>
      <w:pPr>
        <w:pStyle w:val="Titrearticle"/>
        <w:rPr>
          <w:noProof/>
        </w:rPr>
      </w:pPr>
      <w:r>
        <w:rPr>
          <w:noProof/>
        </w:rPr>
        <w:t>Член 1</w:t>
      </w:r>
    </w:p>
    <w:p>
      <w:pPr>
        <w:jc w:val="left"/>
        <w:rPr>
          <w:noProof/>
        </w:rPr>
      </w:pPr>
      <w:r>
        <w:rPr>
          <w:noProof/>
        </w:rPr>
        <w:t>1. Позицията, която трябва да се заеме от името на Съюза в Съвета за асоцииране, се основава на двете проекторешения, поместени като приложения 1 и 2 към настоящото решение.</w:t>
      </w:r>
    </w:p>
    <w:p>
      <w:pPr>
        <w:jc w:val="left"/>
        <w:rPr>
          <w:noProof/>
        </w:rPr>
      </w:pPr>
      <w:r>
        <w:rPr>
          <w:noProof/>
        </w:rPr>
        <w:t>2. Решения (ЕС) 2016/1336 от 18 юли 2016 г.</w:t>
      </w:r>
      <w:r>
        <w:rPr>
          <w:rStyle w:val="FootnoteReference"/>
          <w:noProof/>
          <w:szCs w:val="24"/>
          <w:vertAlign w:val="baseline"/>
        </w:rPr>
        <w:t xml:space="preserve"> и</w:t>
      </w:r>
      <w:r>
        <w:rPr>
          <w:rStyle w:val="FootnoteReference"/>
          <w:noProof/>
          <w:szCs w:val="24"/>
        </w:rPr>
        <w:t xml:space="preserve"> </w:t>
      </w:r>
      <w:r>
        <w:rPr>
          <w:noProof/>
        </w:rPr>
        <w:t xml:space="preserve"> (ЕС) 2016/1001 от 20 юни 2016 г. се отменят.</w:t>
      </w:r>
    </w:p>
    <w:p>
      <w:pPr>
        <w:pStyle w:val="Titrearticle"/>
        <w:rPr>
          <w:noProof/>
        </w:rPr>
      </w:pPr>
      <w:r>
        <w:rPr>
          <w:noProof/>
        </w:rPr>
        <w:t>Член 2</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Международна конвенция по хармонизираната система за описание и кодиране на стоките на Световната митническа организация, 1983 г.</w:t>
      </w:r>
    </w:p>
  </w:footnote>
  <w:footnote w:id="2">
    <w:p>
      <w:pPr>
        <w:pStyle w:val="FootnoteText"/>
      </w:pPr>
      <w:r>
        <w:rPr>
          <w:rStyle w:val="FootnoteReference"/>
        </w:rPr>
        <w:footnoteRef/>
      </w:r>
      <w:r>
        <w:tab/>
        <w:t xml:space="preserve">Решение на Съда на ЕС от 7 октомври 2014 г. по дело Германия/Съвет, C-399/12, ECLI:EU:C:2014:2258, т. 61—64. </w:t>
      </w:r>
    </w:p>
  </w:footnote>
  <w:footnote w:id="3">
    <w:p>
      <w:pPr>
        <w:pStyle w:val="FootnoteText"/>
      </w:pPr>
      <w:r>
        <w:rPr>
          <w:rStyle w:val="FootnoteReference"/>
        </w:rPr>
        <w:footnoteRef/>
      </w:r>
      <w:r>
        <w:tab/>
        <w:t>ОВ L 346, 15.12.2012 г., стр. 1.</w:t>
      </w:r>
    </w:p>
  </w:footnote>
  <w:footnote w:id="4">
    <w:p>
      <w:pPr>
        <w:pStyle w:val="FootnoteText"/>
      </w:pPr>
      <w:r>
        <w:rPr>
          <w:rStyle w:val="FootnoteReference"/>
        </w:rPr>
        <w:footnoteRef/>
      </w:r>
      <w:r>
        <w:tab/>
        <w:t>ОВ L 212, 5.8.2016 г., стр. 8—106.</w:t>
      </w:r>
    </w:p>
  </w:footnote>
  <w:footnote w:id="5">
    <w:p>
      <w:pPr>
        <w:pStyle w:val="FootnoteText"/>
      </w:pPr>
      <w:r>
        <w:rPr>
          <w:rStyle w:val="FootnoteReference"/>
        </w:rPr>
        <w:footnoteRef/>
      </w:r>
      <w:r>
        <w:tab/>
        <w:t>ОВ L 164, 22.6.2016 г., стр. 15—21.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8C413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A4A48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30230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BC8A8AB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EDC00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1AAD3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83A7728"/>
    <w:lvl w:ilvl="0">
      <w:start w:val="1"/>
      <w:numFmt w:val="decimal"/>
      <w:pStyle w:val="ListNumber"/>
      <w:lvlText w:val="%1."/>
      <w:lvlJc w:val="left"/>
      <w:pPr>
        <w:tabs>
          <w:tab w:val="num" w:pos="360"/>
        </w:tabs>
        <w:ind w:left="360" w:hanging="360"/>
      </w:pPr>
    </w:lvl>
  </w:abstractNum>
  <w:abstractNum w:abstractNumId="7">
    <w:nsid w:val="FFFFFF89"/>
    <w:multiLevelType w:val="singleLevel"/>
    <w:tmpl w:val="6DEC94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s-ES"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8 08:37:5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021C24A-BEFD-4B45-A1A4-8F7F27E74691"/>
    <w:docVar w:name="LW_COVERPAGE_TYPE" w:val="1"/>
    <w:docVar w:name="LW_CROSSREFERENCE" w:val="&lt;UNUSED&gt;"/>
    <w:docVar w:name="LW_DocType" w:val="COM"/>
    <w:docVar w:name="LW_EMISSION" w:val="25.8.2020"/>
    <w:docVar w:name="LW_EMISSION_ISODATE" w:val="2020-08-25"/>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02"/>
    <w:docVar w:name="LW_REF.II.NEW.CP_YEAR" w:val="2020"/>
    <w:docVar w:name="LW_REF.INST.NEW" w:val="COM"/>
    <w:docVar w:name="LW_REF.INST.NEW_ADOPTED" w:val="final"/>
    <w:docVar w:name="LW_REF.INST.NEW_TEXT" w:val="(2020) 4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77?\u1090?\u1072? \u1079?\u1072? \u1072?\u1089?\u1086?\u1094?\u1080?\u1080?\u1088?\u1072?\u1085?\u1077? \u1045?\u1057? \u8212? \u1062?\u1077?\u1085?\u1090?\u1088?\u1072?\u1083?\u1085?\u1072? \u1040?\u1084?\u1077?\u1088?\u1080?\u1082?\u1072? \u1074?\u1098?\u1074? \u1074?\u1088?\u1098?\u1079?\u1082?\u1072? \u1089? \u1080?\u1079?\u1084?\u1077?\u1085?\u1077?\u1085?\u1080?\u1103?\u1090?\u1072? \u1085?\u1072? \u1076?\u1086?\u1087?\u1098?\u1083?\u1085?\u1077?\u1085?\u1080?\u1077? 2 \u1080? \u1086?\u1073?\u1103?\u1089?\u1085?\u1080?\u1090?\u1077?\u1083?\u1085?\u1080?\u1090?\u1077? \u1073?\u1077?\u1083?\u1077?\u1078?\u1082?\u1080? \u1082?\u1098?\u1084? \u1095?\u1083?\u1077?\u1085?\u1086?\u1074?\u1077? 15, 16, 19, 20 \u1080? 30 \u1086?\u1090? \u1087?\u1088?\u1080?\u1083?\u1086?\u1078?\u1077?\u1085?\u1080?\u1077? II \u1082?\u1098?\u1084? \u1057?\u1087?\u1086?\u1088?\u1072?\u1079?\u1091?\u1084?\u1077?\u1085?\u1080?\u1077?\u1090?\u1086? \u1079?\u1072? \u1072?\u1089?\u1086?\u1094?\u1080?\u1080?\u1088?\u1072?\u1085?\u1077?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62?\u1077?\u1085?\u1090?\u1088?\u1072?\u1083?\u1085?\u1072? \u1040?\u1084?\u1077?\u1088?\u1080?\u1082?\u1072?, \u1086?\u1090? \u1076?\u1088?\u1091?\u1075?\u1072? \u1089?\u1090?\u1088?\u1072?\u1085?\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7A4A2AB-93A5-4A44-95F2-72937727E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2204</Words>
  <Characters>12216</Characters>
  <Application>Microsoft Office Word</Application>
  <DocSecurity>0</DocSecurity>
  <Lines>230</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2020-08-11T10:42:00Z</dcterms:created>
  <dcterms:modified xsi:type="dcterms:W3CDTF">2020-08-18T06:37:00Z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