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4CF7324-1A99-47FF-B42B-F6C3C1A063ED"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pStyle w:val="TOCHeading"/>
        <w:rPr>
          <w:rFonts w:ascii="Times New Roman" w:hAnsi="Times New Roman"/>
          <w:lang w:val="en-GB"/>
        </w:rPr>
      </w:pPr>
      <w:bookmarkStart w:id="1" w:name="_GoBack"/>
      <w:bookmarkEnd w:id="1"/>
      <w:r>
        <w:rPr>
          <w:rFonts w:ascii="Times New Roman" w:hAnsi="Times New Roman"/>
          <w:lang w:val="en-GB"/>
        </w:rPr>
        <w:lastRenderedPageBreak/>
        <w:t>Table of Contents</w:t>
      </w:r>
    </w:p>
    <w:p>
      <w:pPr>
        <w:pStyle w:val="TOC1"/>
        <w:rPr>
          <w:rFonts w:asciiTheme="minorHAnsi" w:eastAsiaTheme="minorEastAsia" w:hAnsiTheme="minorHAnsi" w:cstheme="minorBidi"/>
          <w:noProof/>
          <w:lang w:val="en-GB" w:eastAsia="en-GB"/>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34317083" w:history="1">
        <w:r>
          <w:rPr>
            <w:rStyle w:val="Hyperlink"/>
            <w:rFonts w:ascii="Times New Roman" w:hAnsi="Times New Roman"/>
            <w:noProof/>
          </w:rPr>
          <w:t>1.</w:t>
        </w:r>
        <w:r>
          <w:rPr>
            <w:rFonts w:asciiTheme="minorHAnsi" w:eastAsiaTheme="minorEastAsia" w:hAnsiTheme="minorHAnsi" w:cstheme="minorBidi"/>
            <w:noProof/>
            <w:lang w:val="en-GB" w:eastAsia="en-GB"/>
          </w:rPr>
          <w:tab/>
        </w:r>
        <w:r>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_Toc34317083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lang w:val="en-GB" w:eastAsia="en-GB"/>
        </w:rPr>
      </w:pPr>
      <w:hyperlink w:anchor="_Toc34317084" w:history="1">
        <w:r>
          <w:rPr>
            <w:rStyle w:val="Hyperlink"/>
            <w:rFonts w:ascii="Times New Roman" w:hAnsi="Times New Roman"/>
            <w:noProof/>
          </w:rPr>
          <w:t>2.</w:t>
        </w:r>
        <w:r>
          <w:rPr>
            <w:rFonts w:asciiTheme="minorHAnsi" w:eastAsiaTheme="minorEastAsia" w:hAnsiTheme="minorHAnsi" w:cstheme="minorBidi"/>
            <w:noProof/>
            <w:lang w:val="en-GB" w:eastAsia="en-GB"/>
          </w:rPr>
          <w:tab/>
        </w:r>
        <w:r>
          <w:rPr>
            <w:rStyle w:val="Hyperlink"/>
            <w:rFonts w:ascii="Times New Roman" w:hAnsi="Times New Roman"/>
            <w:noProof/>
          </w:rPr>
          <w:t>LEGAL BASIS</w:t>
        </w:r>
        <w:r>
          <w:rPr>
            <w:noProof/>
            <w:webHidden/>
          </w:rPr>
          <w:tab/>
        </w:r>
        <w:r>
          <w:rPr>
            <w:noProof/>
            <w:webHidden/>
          </w:rPr>
          <w:fldChar w:fldCharType="begin"/>
        </w:r>
        <w:r>
          <w:rPr>
            <w:noProof/>
            <w:webHidden/>
          </w:rPr>
          <w:instrText xml:space="preserve"> PAGEREF _Toc34317084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GB" w:eastAsia="en-GB"/>
        </w:rPr>
      </w:pPr>
      <w:hyperlink w:anchor="_Toc34317085" w:history="1">
        <w:r>
          <w:rPr>
            <w:rStyle w:val="Hyperlink"/>
            <w:rFonts w:ascii="Times New Roman" w:hAnsi="Times New Roman"/>
            <w:noProof/>
          </w:rPr>
          <w:t>3.</w:t>
        </w:r>
        <w:r>
          <w:rPr>
            <w:rFonts w:asciiTheme="minorHAnsi" w:eastAsiaTheme="minorEastAsia" w:hAnsiTheme="minorHAnsi" w:cstheme="minorBidi"/>
            <w:noProof/>
            <w:lang w:val="en-GB" w:eastAsia="en-GB"/>
          </w:rPr>
          <w:tab/>
        </w:r>
        <w:r>
          <w:rPr>
            <w:rStyle w:val="Hyperlink"/>
            <w:rFonts w:ascii="Times New Roman" w:hAnsi="Times New Roman"/>
            <w:noProof/>
          </w:rPr>
          <w:t>METHODOLOGY AND INFORMATION RECEIVED FROM MEMBER STATES</w:t>
        </w:r>
        <w:r>
          <w:rPr>
            <w:noProof/>
            <w:webHidden/>
          </w:rPr>
          <w:tab/>
        </w:r>
        <w:r>
          <w:rPr>
            <w:noProof/>
            <w:webHidden/>
          </w:rPr>
          <w:fldChar w:fldCharType="begin"/>
        </w:r>
        <w:r>
          <w:rPr>
            <w:noProof/>
            <w:webHidden/>
          </w:rPr>
          <w:instrText xml:space="preserve"> PAGEREF _Toc34317085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lang w:val="en-GB" w:eastAsia="en-GB"/>
        </w:rPr>
      </w:pPr>
      <w:hyperlink w:anchor="_Toc34317086" w:history="1">
        <w:r>
          <w:rPr>
            <w:rStyle w:val="Hyperlink"/>
            <w:rFonts w:ascii="Times New Roman" w:hAnsi="Times New Roman"/>
            <w:noProof/>
          </w:rPr>
          <w:t>4.</w:t>
        </w:r>
        <w:r>
          <w:rPr>
            <w:rFonts w:asciiTheme="minorHAnsi" w:eastAsiaTheme="minorEastAsia" w:hAnsiTheme="minorHAnsi" w:cstheme="minorBidi"/>
            <w:noProof/>
            <w:lang w:val="en-GB" w:eastAsia="en-GB"/>
          </w:rPr>
          <w:tab/>
        </w:r>
        <w:r>
          <w:rPr>
            <w:rStyle w:val="Hyperlink"/>
            <w:rFonts w:ascii="Times New Roman" w:hAnsi="Times New Roman"/>
            <w:noProof/>
          </w:rPr>
          <w:t>THE OFFSHORE SECTOR FOR OIL AND GAS IN THE EUROPEAN UNION</w:t>
        </w:r>
        <w:r>
          <w:rPr>
            <w:noProof/>
            <w:webHidden/>
          </w:rPr>
          <w:tab/>
        </w:r>
        <w:r>
          <w:rPr>
            <w:noProof/>
            <w:webHidden/>
          </w:rPr>
          <w:fldChar w:fldCharType="begin"/>
        </w:r>
        <w:r>
          <w:rPr>
            <w:noProof/>
            <w:webHidden/>
          </w:rPr>
          <w:instrText xml:space="preserve"> PAGEREF _Toc34317086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736"/>
        </w:tabs>
        <w:rPr>
          <w:rFonts w:asciiTheme="minorHAnsi" w:eastAsiaTheme="minorEastAsia" w:hAnsiTheme="minorHAnsi" w:cstheme="minorBidi"/>
          <w:noProof/>
          <w:lang w:val="en-GB" w:eastAsia="en-GB"/>
        </w:rPr>
      </w:pPr>
      <w:hyperlink w:anchor="_Toc34317087" w:history="1">
        <w:r>
          <w:rPr>
            <w:rStyle w:val="Hyperlink"/>
            <w:rFonts w:ascii="Times New Roman" w:hAnsi="Times New Roman"/>
            <w:noProof/>
          </w:rPr>
          <w:t>4.1 Installations and production</w:t>
        </w:r>
        <w:r>
          <w:rPr>
            <w:noProof/>
            <w:webHidden/>
          </w:rPr>
          <w:tab/>
        </w:r>
        <w:r>
          <w:rPr>
            <w:noProof/>
            <w:webHidden/>
          </w:rPr>
          <w:fldChar w:fldCharType="begin"/>
        </w:r>
        <w:r>
          <w:rPr>
            <w:noProof/>
            <w:webHidden/>
          </w:rPr>
          <w:instrText xml:space="preserve"> PAGEREF _Toc34317087 \h </w:instrText>
        </w:r>
        <w:r>
          <w:rPr>
            <w:noProof/>
            <w:webHidden/>
          </w:rPr>
        </w:r>
        <w:r>
          <w:rPr>
            <w:noProof/>
            <w:webHidden/>
          </w:rPr>
          <w:fldChar w:fldCharType="separate"/>
        </w:r>
        <w:r>
          <w:rPr>
            <w:noProof/>
            <w:webHidden/>
          </w:rPr>
          <w:t>4</w:t>
        </w:r>
        <w:r>
          <w:rPr>
            <w:noProof/>
            <w:webHidden/>
          </w:rPr>
          <w:fldChar w:fldCharType="end"/>
        </w:r>
      </w:hyperlink>
    </w:p>
    <w:p>
      <w:pPr>
        <w:pStyle w:val="TOC2"/>
        <w:tabs>
          <w:tab w:val="right" w:leader="dot" w:pos="9736"/>
        </w:tabs>
        <w:rPr>
          <w:rFonts w:asciiTheme="minorHAnsi" w:eastAsiaTheme="minorEastAsia" w:hAnsiTheme="minorHAnsi" w:cstheme="minorBidi"/>
          <w:noProof/>
          <w:lang w:val="en-GB" w:eastAsia="en-GB"/>
        </w:rPr>
      </w:pPr>
      <w:hyperlink w:anchor="_Toc34317088" w:history="1">
        <w:r>
          <w:rPr>
            <w:rStyle w:val="Hyperlink"/>
            <w:rFonts w:ascii="Times New Roman" w:hAnsi="Times New Roman"/>
            <w:noProof/>
          </w:rPr>
          <w:t>4.2 Offshore inspections, investigations, enforcement actions and regulatory framework</w:t>
        </w:r>
        <w:r>
          <w:rPr>
            <w:noProof/>
            <w:webHidden/>
          </w:rPr>
          <w:tab/>
        </w:r>
        <w:r>
          <w:rPr>
            <w:noProof/>
            <w:webHidden/>
          </w:rPr>
          <w:fldChar w:fldCharType="begin"/>
        </w:r>
        <w:r>
          <w:rPr>
            <w:noProof/>
            <w:webHidden/>
          </w:rPr>
          <w:instrText xml:space="preserve"> PAGEREF _Toc34317088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lang w:val="en-GB" w:eastAsia="en-GB"/>
        </w:rPr>
      </w:pPr>
      <w:hyperlink w:anchor="_Toc34317089" w:history="1">
        <w:r>
          <w:rPr>
            <w:rStyle w:val="Hyperlink"/>
            <w:rFonts w:ascii="Times New Roman" w:hAnsi="Times New Roman"/>
            <w:noProof/>
          </w:rPr>
          <w:t>5.</w:t>
        </w:r>
        <w:r>
          <w:rPr>
            <w:rFonts w:asciiTheme="minorHAnsi" w:eastAsiaTheme="minorEastAsia" w:hAnsiTheme="minorHAnsi" w:cstheme="minorBidi"/>
            <w:noProof/>
            <w:lang w:val="en-GB" w:eastAsia="en-GB"/>
          </w:rPr>
          <w:tab/>
        </w:r>
        <w:r>
          <w:rPr>
            <w:rStyle w:val="Hyperlink"/>
            <w:rFonts w:ascii="Times New Roman" w:hAnsi="Times New Roman"/>
            <w:noProof/>
          </w:rPr>
          <w:t>INCIDENT DATA AND SAFETY PERFORMANCE OF OFFSHORE OPERATIONS</w:t>
        </w:r>
        <w:r>
          <w:rPr>
            <w:noProof/>
            <w:webHidden/>
          </w:rPr>
          <w:tab/>
        </w:r>
        <w:r>
          <w:rPr>
            <w:noProof/>
            <w:webHidden/>
          </w:rPr>
          <w:fldChar w:fldCharType="begin"/>
        </w:r>
        <w:r>
          <w:rPr>
            <w:noProof/>
            <w:webHidden/>
          </w:rPr>
          <w:instrText xml:space="preserve"> PAGEREF _Toc34317089 \h </w:instrText>
        </w:r>
        <w:r>
          <w:rPr>
            <w:noProof/>
            <w:webHidden/>
          </w:rPr>
        </w:r>
        <w:r>
          <w:rPr>
            <w:noProof/>
            <w:webHidden/>
          </w:rPr>
          <w:fldChar w:fldCharType="separate"/>
        </w:r>
        <w:r>
          <w:rPr>
            <w:noProof/>
            <w:webHidden/>
          </w:rPr>
          <w:t>9</w:t>
        </w:r>
        <w:r>
          <w:rPr>
            <w:noProof/>
            <w:webHidden/>
          </w:rPr>
          <w:fldChar w:fldCharType="end"/>
        </w:r>
      </w:hyperlink>
    </w:p>
    <w:p>
      <w:pPr>
        <w:pStyle w:val="TOC1"/>
        <w:rPr>
          <w:rFonts w:asciiTheme="minorHAnsi" w:eastAsiaTheme="minorEastAsia" w:hAnsiTheme="minorHAnsi" w:cstheme="minorBidi"/>
          <w:noProof/>
          <w:lang w:val="en-GB" w:eastAsia="en-GB"/>
        </w:rPr>
      </w:pPr>
      <w:hyperlink w:anchor="_Toc34317090" w:history="1">
        <w:r>
          <w:rPr>
            <w:rStyle w:val="Hyperlink"/>
            <w:rFonts w:ascii="Times New Roman" w:hAnsi="Times New Roman"/>
            <w:noProof/>
          </w:rPr>
          <w:t>6.</w:t>
        </w:r>
        <w:r>
          <w:rPr>
            <w:rFonts w:asciiTheme="minorHAnsi" w:eastAsiaTheme="minorEastAsia" w:hAnsiTheme="minorHAnsi" w:cstheme="minorBidi"/>
            <w:noProof/>
            <w:lang w:val="en-GB" w:eastAsia="en-GB"/>
          </w:rPr>
          <w:tab/>
        </w:r>
        <w:r>
          <w:rPr>
            <w:rStyle w:val="Hyperlink"/>
            <w:rFonts w:ascii="Times New Roman" w:hAnsi="Times New Roman"/>
            <w:noProof/>
          </w:rPr>
          <w:t>CONCLUSIONS</w:t>
        </w:r>
        <w:r>
          <w:rPr>
            <w:noProof/>
            <w:webHidden/>
          </w:rPr>
          <w:tab/>
        </w:r>
        <w:r>
          <w:rPr>
            <w:noProof/>
            <w:webHidden/>
          </w:rPr>
          <w:fldChar w:fldCharType="begin"/>
        </w:r>
        <w:r>
          <w:rPr>
            <w:noProof/>
            <w:webHidden/>
          </w:rPr>
          <w:instrText xml:space="preserve"> PAGEREF _Toc34317090 \h </w:instrText>
        </w:r>
        <w:r>
          <w:rPr>
            <w:noProof/>
            <w:webHidden/>
          </w:rPr>
        </w:r>
        <w:r>
          <w:rPr>
            <w:noProof/>
            <w:webHidden/>
          </w:rPr>
          <w:fldChar w:fldCharType="separate"/>
        </w:r>
        <w:r>
          <w:rPr>
            <w:noProof/>
            <w:webHidden/>
          </w:rPr>
          <w:t>12</w:t>
        </w:r>
        <w:r>
          <w:rPr>
            <w:noProof/>
            <w:webHidden/>
          </w:rPr>
          <w:fldChar w:fldCharType="end"/>
        </w:r>
      </w:hyperlink>
    </w:p>
    <w:p>
      <w:pPr>
        <w:pStyle w:val="TOC1"/>
        <w:rPr>
          <w:rFonts w:ascii="Times New Roman" w:hAnsi="Times New Roman"/>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720" w:gutter="0"/>
          <w:cols w:space="720"/>
          <w:docGrid w:linePitch="360"/>
        </w:sectPr>
      </w:pPr>
      <w:r>
        <w:rPr>
          <w:rFonts w:ascii="Times New Roman" w:hAnsi="Times New Roman"/>
          <w:b/>
          <w:bCs/>
          <w:noProof/>
        </w:rPr>
        <w:fldChar w:fldCharType="end"/>
      </w:r>
    </w:p>
    <w:p>
      <w:pPr>
        <w:pStyle w:val="Heading1"/>
        <w:rPr>
          <w:rFonts w:ascii="Times New Roman" w:hAnsi="Times New Roman"/>
        </w:rPr>
      </w:pPr>
      <w:bookmarkStart w:id="2" w:name="_Toc34317083"/>
      <w:r>
        <w:rPr>
          <w:rFonts w:ascii="Times New Roman" w:hAnsi="Times New Roman"/>
        </w:rPr>
        <w:t>1.</w:t>
      </w:r>
      <w:r>
        <w:rPr>
          <w:rFonts w:ascii="Times New Roman" w:hAnsi="Times New Roman"/>
        </w:rPr>
        <w:tab/>
        <w:t>INTRODUCTION</w:t>
      </w:r>
      <w:bookmarkEnd w:id="2"/>
    </w:p>
    <w:p>
      <w:pPr>
        <w:jc w:val="both"/>
        <w:rPr>
          <w:rFonts w:ascii="Times New Roman" w:hAnsi="Times New Roman"/>
          <w:noProof/>
          <w:sz w:val="24"/>
          <w:szCs w:val="24"/>
        </w:rPr>
      </w:pPr>
      <w:r>
        <w:rPr>
          <w:rFonts w:ascii="Times New Roman" w:hAnsi="Times New Roman"/>
          <w:noProof/>
          <w:sz w:val="24"/>
          <w:szCs w:val="24"/>
        </w:rPr>
        <w:t>Following the preceding reports for the yeas 2016 and 2017, this report of the European Commission covers the safety of offshore oil and gas operations in the European Union (EU) in the year 2018.</w:t>
      </w:r>
    </w:p>
    <w:p>
      <w:pPr>
        <w:jc w:val="both"/>
        <w:rPr>
          <w:rFonts w:ascii="Times New Roman" w:hAnsi="Times New Roman"/>
          <w:noProof/>
          <w:sz w:val="24"/>
          <w:szCs w:val="24"/>
        </w:rPr>
      </w:pPr>
      <w:r>
        <w:rPr>
          <w:rFonts w:ascii="Times New Roman" w:hAnsi="Times New Roman"/>
          <w:noProof/>
          <w:sz w:val="24"/>
          <w:szCs w:val="24"/>
        </w:rPr>
        <w:t>The legal basis for this report is Directive 2013/30/EU</w:t>
      </w:r>
      <w:r>
        <w:rPr>
          <w:rStyle w:val="FootnoteReference"/>
          <w:rFonts w:ascii="Times New Roman" w:hAnsi="Times New Roman"/>
          <w:noProof/>
          <w:sz w:val="24"/>
          <w:szCs w:val="24"/>
        </w:rPr>
        <w:footnoteReference w:id="1"/>
      </w:r>
      <w:r>
        <w:rPr>
          <w:rFonts w:ascii="Times New Roman" w:hAnsi="Times New Roman"/>
          <w:noProof/>
          <w:sz w:val="24"/>
          <w:szCs w:val="24"/>
        </w:rPr>
        <w:t xml:space="preserve"> of the European Parliament and of the Council of 12 June 2013</w:t>
      </w:r>
      <w:r>
        <w:rPr>
          <w:rFonts w:ascii="Times New Roman" w:hAnsi="Times New Roman"/>
          <w:noProof/>
        </w:rPr>
        <w:t xml:space="preserve"> </w:t>
      </w:r>
      <w:r>
        <w:rPr>
          <w:rFonts w:ascii="Times New Roman" w:hAnsi="Times New Roman"/>
          <w:noProof/>
          <w:sz w:val="24"/>
          <w:szCs w:val="24"/>
        </w:rPr>
        <w:t>on safety of offshore oil and gas operations and amending Directive 2004/35/EC (‘Offshore Safety Directive’). This legislation aims at achieving a high level of safety in offshore oil and gas operations, for the benefit of: workers; the environment; offshore platforms and equipment; and economic activities such as fishing and tourism. The provisions of the Directive, as implemented by Member States, will help to: (i) prevent major accidents; (ii) reduce the number of incidents; and (iii) ensure effective follow-up of accidents and incidents in order to mitigate their consequences.</w:t>
      </w:r>
    </w:p>
    <w:p>
      <w:pPr>
        <w:jc w:val="both"/>
        <w:rPr>
          <w:rFonts w:ascii="Times New Roman" w:hAnsi="Times New Roman"/>
          <w:noProof/>
          <w:sz w:val="24"/>
          <w:szCs w:val="24"/>
        </w:rPr>
      </w:pPr>
      <w:r>
        <w:rPr>
          <w:rFonts w:ascii="Times New Roman" w:hAnsi="Times New Roman"/>
          <w:noProof/>
          <w:sz w:val="24"/>
          <w:szCs w:val="24"/>
        </w:rPr>
        <w:t xml:space="preserve">As in the preceding reports, the purpose of this annual report is: (i) to provide data on the number and type of installations in the EU; and (ii) to give information about incidents and an assessment of the safety performance of offshore oil and gas operations. With every additional </w:t>
      </w:r>
      <w:r>
        <w:rPr>
          <w:rFonts w:ascii="Times New Roman" w:hAnsi="Times New Roman"/>
          <w:noProof/>
          <w:sz w:val="24"/>
          <w:szCs w:val="24"/>
          <w:lang w:val="en-IE"/>
        </w:rPr>
        <w:t xml:space="preserve">report the analysis of trends will become more meaningful. Futhermore </w:t>
      </w:r>
      <w:r>
        <w:rPr>
          <w:rFonts w:ascii="Times New Roman" w:hAnsi="Times New Roman"/>
          <w:noProof/>
          <w:sz w:val="24"/>
          <w:szCs w:val="24"/>
        </w:rPr>
        <w:t>the series of annual reports will serve as a record of safety performance in Member States’ offshore oil and gas activities.</w:t>
      </w:r>
    </w:p>
    <w:p>
      <w:pPr>
        <w:jc w:val="both"/>
        <w:rPr>
          <w:rFonts w:ascii="Times New Roman" w:hAnsi="Times New Roman"/>
          <w:noProof/>
          <w:sz w:val="24"/>
          <w:szCs w:val="24"/>
        </w:rPr>
      </w:pPr>
      <w:r>
        <w:rPr>
          <w:rFonts w:ascii="Times New Roman" w:hAnsi="Times New Roman"/>
          <w:noProof/>
          <w:sz w:val="24"/>
          <w:szCs w:val="24"/>
        </w:rPr>
        <w:t>This report is based on annual reports and data notified by Member States as required by the Offshore Safety Directive. The Commission has received data from Bulgaria, Croatia, Cyprus, Denmark, Germany, France, Greece, Ireland, Italy, the Netherlands, Poland, Romania, Spain and the United Kingdom, which was still an EU Member State in the year 2018. Most of the installations are located in the North Sea and Atlantic Ocean (380 installations), while there are 166 installations in the Mediterranean Sea, 8 in the Black Sea and 2 in the Baltic Sea.</w:t>
      </w:r>
    </w:p>
    <w:p>
      <w:pPr>
        <w:jc w:val="both"/>
        <w:rPr>
          <w:rFonts w:ascii="Times New Roman" w:hAnsi="Times New Roman"/>
          <w:noProof/>
          <w:sz w:val="24"/>
          <w:szCs w:val="24"/>
        </w:rPr>
      </w:pPr>
      <w:r>
        <w:rPr>
          <w:rFonts w:ascii="Times New Roman" w:hAnsi="Times New Roman"/>
          <w:noProof/>
          <w:sz w:val="24"/>
          <w:szCs w:val="24"/>
        </w:rPr>
        <w:t>The competent authorities of the Member States inspected 318 offshore installations in their jurisdictions in 2018. Following certain incidents, three</w:t>
      </w:r>
      <w:r>
        <w:rPr>
          <w:rFonts w:ascii="Times New Roman" w:hAnsi="Times New Roman"/>
          <w:b/>
          <w:noProof/>
          <w:color w:val="538135"/>
          <w:sz w:val="24"/>
          <w:szCs w:val="24"/>
        </w:rPr>
        <w:t xml:space="preserve"> </w:t>
      </w:r>
      <w:r>
        <w:rPr>
          <w:rFonts w:ascii="Times New Roman" w:hAnsi="Times New Roman"/>
          <w:noProof/>
          <w:sz w:val="24"/>
          <w:szCs w:val="24"/>
        </w:rPr>
        <w:t>Member States (the United Kingdom, Denmark and the Netherlands) carried out investigations during the reporting period. The United Kingdom carried out 41 investigations for safety and environmental concerns, and 5 investigations for major accidents.. Denmark carried out 3 investigations for safety and environmental concerns (no investigation on major accidents) and the Netherlands one investigation on a major accident (no investigation on safety and environmental concerns).</w:t>
      </w:r>
    </w:p>
    <w:p>
      <w:pPr>
        <w:jc w:val="both"/>
        <w:rPr>
          <w:rFonts w:ascii="Times New Roman" w:hAnsi="Times New Roman"/>
          <w:noProof/>
          <w:sz w:val="24"/>
          <w:szCs w:val="24"/>
        </w:rPr>
      </w:pPr>
      <w:r>
        <w:rPr>
          <w:rFonts w:ascii="Times New Roman" w:hAnsi="Times New Roman"/>
          <w:noProof/>
          <w:sz w:val="24"/>
          <w:szCs w:val="24"/>
        </w:rPr>
        <w:t>The figures provided by Member States, specifically on the number and severity of accidents reported in relation to the number of installations, indicate a noticablyy lower level of safety in the European offshore sector compared to the two preceding years, which require a follow-up by the Member States’ compentent authorities.</w:t>
      </w:r>
    </w:p>
    <w:p>
      <w:pPr>
        <w:jc w:val="both"/>
        <w:rPr>
          <w:rFonts w:ascii="Times New Roman" w:hAnsi="Times New Roman"/>
          <w:noProof/>
          <w:sz w:val="24"/>
          <w:szCs w:val="24"/>
        </w:rPr>
      </w:pPr>
    </w:p>
    <w:p>
      <w:pPr>
        <w:pStyle w:val="Heading1"/>
        <w:rPr>
          <w:rFonts w:ascii="Times New Roman" w:hAnsi="Times New Roman"/>
        </w:rPr>
      </w:pPr>
      <w:bookmarkStart w:id="3" w:name="_Toc34317084"/>
      <w:r>
        <w:rPr>
          <w:rFonts w:ascii="Times New Roman" w:hAnsi="Times New Roman"/>
        </w:rPr>
        <w:t>2.</w:t>
      </w:r>
      <w:r>
        <w:rPr>
          <w:rFonts w:ascii="Times New Roman" w:hAnsi="Times New Roman"/>
        </w:rPr>
        <w:tab/>
        <w:t>LEGAL BASIS</w:t>
      </w:r>
      <w:bookmarkEnd w:id="3"/>
    </w:p>
    <w:p>
      <w:pPr>
        <w:jc w:val="both"/>
        <w:rPr>
          <w:rFonts w:ascii="Times New Roman" w:hAnsi="Times New Roman"/>
          <w:noProof/>
          <w:sz w:val="24"/>
          <w:szCs w:val="24"/>
        </w:rPr>
      </w:pPr>
      <w:r>
        <w:rPr>
          <w:rFonts w:ascii="Times New Roman" w:hAnsi="Times New Roman"/>
          <w:noProof/>
          <w:sz w:val="24"/>
          <w:szCs w:val="24"/>
        </w:rPr>
        <w:t>In accordance with Article 25 of the Offshore Safety Directive, the Commission is required to publish an annual report on the safety and environmental impact of offshore oil and gas operations based on information reported by Member States. Member States must submit to the Commission an annual report containing information specified in Annex IX (point 3) of the Offshore Safety Directive, by 1 June each year.</w:t>
      </w:r>
    </w:p>
    <w:p>
      <w:pPr>
        <w:jc w:val="both"/>
        <w:rPr>
          <w:rFonts w:ascii="Times New Roman" w:hAnsi="Times New Roman"/>
          <w:noProof/>
          <w:sz w:val="24"/>
          <w:szCs w:val="24"/>
        </w:rPr>
      </w:pPr>
      <w:r>
        <w:rPr>
          <w:rFonts w:ascii="Times New Roman" w:hAnsi="Times New Roman"/>
          <w:noProof/>
          <w:sz w:val="24"/>
          <w:szCs w:val="24"/>
        </w:rPr>
        <w:t>The annual reports to be submitted by Member States pursuant to Article 25 shall contain, as a minimum, the following information:</w:t>
      </w:r>
    </w:p>
    <w:p>
      <w:pPr>
        <w:spacing w:after="0"/>
        <w:jc w:val="both"/>
        <w:rPr>
          <w:rFonts w:ascii="Times New Roman" w:hAnsi="Times New Roman"/>
          <w:noProof/>
          <w:sz w:val="24"/>
          <w:szCs w:val="24"/>
        </w:rPr>
      </w:pPr>
      <w:r>
        <w:rPr>
          <w:rFonts w:ascii="Times New Roman" w:hAnsi="Times New Roman"/>
          <w:noProof/>
          <w:sz w:val="24"/>
          <w:szCs w:val="24"/>
        </w:rPr>
        <w:t>(a) the number, age and location of installations;</w:t>
      </w:r>
    </w:p>
    <w:p>
      <w:pPr>
        <w:spacing w:after="0"/>
        <w:jc w:val="both"/>
        <w:rPr>
          <w:rFonts w:ascii="Times New Roman" w:hAnsi="Times New Roman"/>
          <w:noProof/>
          <w:sz w:val="24"/>
          <w:szCs w:val="24"/>
        </w:rPr>
      </w:pPr>
      <w:r>
        <w:rPr>
          <w:rFonts w:ascii="Times New Roman" w:hAnsi="Times New Roman"/>
          <w:noProof/>
          <w:sz w:val="24"/>
          <w:szCs w:val="24"/>
        </w:rPr>
        <w:t>(b) the number and type of inspections and investigations carried out, in addition to any enforcement actions or convictions;</w:t>
      </w:r>
    </w:p>
    <w:p>
      <w:pPr>
        <w:spacing w:after="0"/>
        <w:jc w:val="both"/>
        <w:rPr>
          <w:rFonts w:ascii="Times New Roman" w:hAnsi="Times New Roman"/>
          <w:noProof/>
          <w:sz w:val="24"/>
          <w:szCs w:val="24"/>
        </w:rPr>
      </w:pPr>
      <w:r>
        <w:rPr>
          <w:rFonts w:ascii="Times New Roman" w:hAnsi="Times New Roman"/>
          <w:noProof/>
          <w:sz w:val="24"/>
          <w:szCs w:val="24"/>
        </w:rPr>
        <w:t>(c) incident data pursuant to the common reporting system required in Article 23;</w:t>
      </w:r>
    </w:p>
    <w:p>
      <w:pPr>
        <w:spacing w:after="0"/>
        <w:jc w:val="both"/>
        <w:rPr>
          <w:rFonts w:ascii="Times New Roman" w:hAnsi="Times New Roman"/>
          <w:noProof/>
          <w:sz w:val="24"/>
          <w:szCs w:val="24"/>
        </w:rPr>
      </w:pPr>
      <w:r>
        <w:rPr>
          <w:rFonts w:ascii="Times New Roman" w:hAnsi="Times New Roman"/>
          <w:noProof/>
          <w:sz w:val="24"/>
          <w:szCs w:val="24"/>
        </w:rPr>
        <w:t>(d) any major change in the offshore regulatory framework;</w:t>
      </w:r>
    </w:p>
    <w:p>
      <w:pPr>
        <w:jc w:val="both"/>
        <w:rPr>
          <w:rFonts w:ascii="Times New Roman" w:hAnsi="Times New Roman"/>
          <w:noProof/>
          <w:sz w:val="24"/>
          <w:szCs w:val="24"/>
        </w:rPr>
      </w:pPr>
      <w:r>
        <w:rPr>
          <w:rFonts w:ascii="Times New Roman" w:hAnsi="Times New Roman"/>
          <w:noProof/>
          <w:sz w:val="24"/>
          <w:szCs w:val="24"/>
        </w:rPr>
        <w:t>(e) the performance of offshore oil and gas operations.</w:t>
      </w:r>
    </w:p>
    <w:p>
      <w:pPr>
        <w:jc w:val="both"/>
        <w:rPr>
          <w:rFonts w:ascii="Times New Roman" w:hAnsi="Times New Roman"/>
          <w:noProof/>
          <w:sz w:val="24"/>
          <w:szCs w:val="24"/>
        </w:rPr>
      </w:pPr>
      <w:r>
        <w:rPr>
          <w:rFonts w:ascii="Times New Roman" w:hAnsi="Times New Roman"/>
          <w:noProof/>
          <w:sz w:val="24"/>
          <w:szCs w:val="24"/>
        </w:rPr>
        <w:t>Member States’ deadline for publishing the required information is 1 June of the year following the reporting period (e.g. 1 June 2019 for the year 2018).</w:t>
      </w:r>
    </w:p>
    <w:p>
      <w:pPr>
        <w:jc w:val="both"/>
        <w:rPr>
          <w:rFonts w:ascii="Times New Roman" w:hAnsi="Times New Roman"/>
          <w:noProof/>
          <w:sz w:val="24"/>
          <w:szCs w:val="24"/>
        </w:rPr>
      </w:pPr>
      <w:r>
        <w:rPr>
          <w:rFonts w:ascii="Times New Roman" w:hAnsi="Times New Roman"/>
          <w:noProof/>
          <w:sz w:val="24"/>
          <w:szCs w:val="24"/>
        </w:rPr>
        <w:t>They shall report using a common format provided by Commission Implementing Regulation (EU) No 1112/2014 of 13 October 2014</w:t>
      </w:r>
      <w:r>
        <w:rPr>
          <w:rStyle w:val="FootnoteReference"/>
          <w:rFonts w:ascii="Times New Roman" w:hAnsi="Times New Roman"/>
          <w:noProof/>
          <w:sz w:val="24"/>
          <w:szCs w:val="24"/>
        </w:rPr>
        <w:footnoteReference w:id="2"/>
      </w:r>
      <w:r>
        <w:rPr>
          <w:rFonts w:ascii="Times New Roman" w:hAnsi="Times New Roman"/>
          <w:noProof/>
          <w:sz w:val="24"/>
          <w:szCs w:val="24"/>
        </w:rPr>
        <w:t>. This Implementing Regulation sets a common format for the sharing of information on major hazard indicators by the operators and owners of offshore oil and gas installations. It also sets a common format for the publication of information on major hazard indicators by the Member States. A Commission Guidance Document</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dated 25 November 2015 provides further specific information on the Implementing Regulation, and explains how to use the reporting format.</w:t>
      </w:r>
    </w:p>
    <w:p>
      <w:pPr>
        <w:pStyle w:val="Heading1"/>
        <w:ind w:left="720" w:hanging="720"/>
        <w:rPr>
          <w:rFonts w:ascii="Times New Roman" w:hAnsi="Times New Roman"/>
        </w:rPr>
      </w:pPr>
      <w:bookmarkStart w:id="4" w:name="_Toc34317085"/>
      <w:r>
        <w:rPr>
          <w:rFonts w:ascii="Times New Roman" w:hAnsi="Times New Roman"/>
        </w:rPr>
        <w:t>3.</w:t>
      </w:r>
      <w:r>
        <w:rPr>
          <w:rFonts w:ascii="Times New Roman" w:hAnsi="Times New Roman"/>
        </w:rPr>
        <w:tab/>
        <w:t>METHODOLOGY AND INFORMATION RECEIVED FROM MEMBER STATES</w:t>
      </w:r>
      <w:bookmarkEnd w:id="4"/>
    </w:p>
    <w:p>
      <w:pPr>
        <w:jc w:val="both"/>
        <w:rPr>
          <w:rFonts w:ascii="Times New Roman" w:hAnsi="Times New Roman"/>
          <w:noProof/>
          <w:sz w:val="24"/>
          <w:szCs w:val="24"/>
        </w:rPr>
      </w:pPr>
      <w:r>
        <w:rPr>
          <w:rFonts w:ascii="Times New Roman" w:hAnsi="Times New Roman"/>
          <w:noProof/>
          <w:sz w:val="24"/>
          <w:szCs w:val="24"/>
        </w:rPr>
        <w:t>Pursuant to Annex IX (point 3) of the Offshore Safety Directive, Member States are obliged to submit clearly defined information on incidents in their offshore oil and gas sector, using the templates provided by Implementing Regulation 1112/2014. The data submitted must include information on the offshore oil and gas installations in the EU, such as number, type, location and age. Reports from Member States must also provide information on the number of: (i) offshore inspections, investigations and enforcement actions taken; (ii) incidents by category; and (iii) injuries.</w:t>
      </w:r>
    </w:p>
    <w:p>
      <w:pPr>
        <w:jc w:val="both"/>
        <w:rPr>
          <w:rFonts w:ascii="Times New Roman" w:hAnsi="Times New Roman"/>
          <w:noProof/>
          <w:sz w:val="24"/>
          <w:szCs w:val="24"/>
        </w:rPr>
      </w:pPr>
      <w:r>
        <w:rPr>
          <w:rFonts w:ascii="Times New Roman" w:hAnsi="Times New Roman"/>
          <w:noProof/>
          <w:sz w:val="24"/>
          <w:szCs w:val="24"/>
        </w:rPr>
        <w:t>In addition to data on individual Member States, the Commission has assessed the safety performance of offshore regions. For this purpose, the Commission considers: (i) Germany, Denmark, France, the United Kingdom, Ireland and the Netherlands as the North Sea and Atlantic region; (ii) Spain, Greece, Croatia, Cyprus, Italy and Malta as the Mediterranean region; (iii) Bulgaria and Romania as the Black Sea region; and (iv) Latvia and Poland as the Baltic Sea region.</w:t>
      </w:r>
    </w:p>
    <w:p>
      <w:pPr>
        <w:jc w:val="both"/>
        <w:rPr>
          <w:rFonts w:ascii="Times New Roman" w:hAnsi="Times New Roman"/>
          <w:noProof/>
          <w:sz w:val="24"/>
          <w:szCs w:val="24"/>
        </w:rPr>
      </w:pPr>
      <w:r>
        <w:rPr>
          <w:rFonts w:ascii="Times New Roman" w:hAnsi="Times New Roman"/>
          <w:noProof/>
          <w:sz w:val="24"/>
          <w:szCs w:val="24"/>
        </w:rPr>
        <w:t>For its annual report for 2018, the Commission has used information provided by Bulgaria, Croatia, Cyprus, Greece, France, the Netherlands, Denmark, Germany, Ireland, Italy, Poland, Romania, Spain and the United Kingdom. Other Member States were not active in the offshore oil and gas sector or did not submit information relevant for this report.</w:t>
      </w:r>
    </w:p>
    <w:p>
      <w:pPr>
        <w:jc w:val="both"/>
        <w:rPr>
          <w:rFonts w:ascii="Times New Roman" w:hAnsi="Times New Roman"/>
          <w:noProof/>
          <w:sz w:val="24"/>
          <w:szCs w:val="24"/>
        </w:rPr>
      </w:pPr>
      <w:r>
        <w:rPr>
          <w:rFonts w:ascii="Times New Roman" w:hAnsi="Times New Roman"/>
          <w:noProof/>
          <w:sz w:val="24"/>
          <w:szCs w:val="24"/>
        </w:rPr>
        <w:t>With the exception of the United Kingdom, all Member States with offshore oil and gas operations provided complete data on all their installations. In contrast, the United Kingdom limited parts of its report to installations, which were subject to a regulatory review of their risk-assessment documentation (see also Article 42(2) of the Offshore Safety Directive). This means that information from the United Kingdom on investigations, enforcement actions, incident data, and the safety performance of offshore operations covers a range of installations continously expanding during the first half of 2018. Installations covered started with an estimated number of 139 installations in January 2018 and ended with an estimated number of 191 from 19 July 2018. That date was the end of the transitional period for all installations.</w:t>
      </w:r>
    </w:p>
    <w:p>
      <w:pPr>
        <w:pStyle w:val="Heading1"/>
        <w:ind w:left="720" w:hanging="720"/>
        <w:rPr>
          <w:rFonts w:ascii="Times New Roman" w:hAnsi="Times New Roman"/>
        </w:rPr>
      </w:pPr>
      <w:bookmarkStart w:id="5" w:name="_Toc34317086"/>
      <w:r>
        <w:rPr>
          <w:rFonts w:ascii="Times New Roman" w:hAnsi="Times New Roman"/>
        </w:rPr>
        <w:t>4.</w:t>
      </w:r>
      <w:r>
        <w:rPr>
          <w:rFonts w:ascii="Times New Roman" w:hAnsi="Times New Roman"/>
        </w:rPr>
        <w:tab/>
        <w:t>THE OFFSHORE SECTOR FOR OIL AND GAS IN THE EUROPEAN UNION</w:t>
      </w:r>
      <w:bookmarkEnd w:id="5"/>
    </w:p>
    <w:p>
      <w:pPr>
        <w:pStyle w:val="Heading2"/>
        <w:spacing w:after="120"/>
        <w:rPr>
          <w:rFonts w:ascii="Times New Roman" w:hAnsi="Times New Roman"/>
          <w:noProof/>
        </w:rPr>
      </w:pPr>
      <w:bookmarkStart w:id="6" w:name="_Toc34317087"/>
      <w:r>
        <w:rPr>
          <w:rFonts w:ascii="Times New Roman" w:hAnsi="Times New Roman"/>
          <w:noProof/>
        </w:rPr>
        <w:t>4.1 Installations and production</w:t>
      </w:r>
      <w:bookmarkEnd w:id="6"/>
    </w:p>
    <w:p>
      <w:pPr>
        <w:jc w:val="both"/>
        <w:rPr>
          <w:rFonts w:ascii="Times New Roman" w:hAnsi="Times New Roman"/>
          <w:noProof/>
          <w:sz w:val="24"/>
          <w:szCs w:val="24"/>
        </w:rPr>
      </w:pPr>
      <w:r>
        <w:rPr>
          <w:rFonts w:ascii="Times New Roman" w:hAnsi="Times New Roman"/>
          <w:noProof/>
          <w:sz w:val="24"/>
          <w:szCs w:val="24"/>
        </w:rPr>
        <w:t>The vast majority of offshore installations</w:t>
      </w:r>
      <w:r>
        <w:rPr>
          <w:rStyle w:val="FootnoteReference"/>
          <w:rFonts w:ascii="Times New Roman" w:hAnsi="Times New Roman"/>
          <w:noProof/>
          <w:sz w:val="24"/>
          <w:szCs w:val="24"/>
        </w:rPr>
        <w:footnoteReference w:id="4"/>
      </w:r>
      <w:r>
        <w:rPr>
          <w:rFonts w:ascii="Times New Roman" w:hAnsi="Times New Roman"/>
          <w:noProof/>
          <w:sz w:val="24"/>
          <w:szCs w:val="24"/>
        </w:rPr>
        <w:t xml:space="preserve"> in EU waters are located in the North Sea (see table 1), specifically in the exclusive economic zones of the United Kingdom and the Netherlands (approximately 34% and 28% of offshore installations in EU waters, respectively). In the Mediterranean, Italy is the most active Member State (25% of all installations in the EU waters) followed by Croatia. In the Black Sea region, Romania has an established offshore oil and gas industry, while Bulgaria has continued exploration activities for offshore hydrocarbons but provides with one installaion a very limited production. According to the reports received from Member States on the Baltic Sea, only Poland has offshore installations in this region. In total, there were 556 production and non-production installations reported in EU waters in 2018, which constitutes an increase of two installations compared to 2017, despite several decommissioned installations</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pPr>
        <w:spacing w:after="0" w:line="240" w:lineRule="auto"/>
        <w:rPr>
          <w:rFonts w:ascii="Times New Roman" w:hAnsi="Times New Roman"/>
          <w:noProof/>
          <w:sz w:val="24"/>
          <w:szCs w:val="24"/>
        </w:rPr>
      </w:pPr>
      <w:r>
        <w:rPr>
          <w:rFonts w:ascii="Times New Roman" w:hAnsi="Times New Roman"/>
          <w:noProof/>
          <w:sz w:val="24"/>
          <w:szCs w:val="24"/>
        </w:rPr>
        <w:br w:type="page"/>
      </w:r>
    </w:p>
    <w:p>
      <w:pPr>
        <w:jc w:val="both"/>
        <w:rPr>
          <w:rFonts w:ascii="Times New Roman" w:hAnsi="Times New Roman"/>
          <w:noProof/>
          <w:sz w:val="24"/>
          <w:szCs w:val="24"/>
        </w:rPr>
      </w:pPr>
    </w:p>
    <w:p>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1</w:t>
      </w:r>
      <w:r>
        <w:rPr>
          <w:noProof/>
          <w:lang w:val="en-GB"/>
        </w:rPr>
        <w:fldChar w:fldCharType="end"/>
      </w:r>
      <w:r>
        <w:rPr>
          <w:noProof/>
          <w:lang w:val="en-GB"/>
        </w:rPr>
        <w:t>: Fixed installations on 1</w:t>
      </w:r>
      <w:r>
        <w:rPr>
          <w:noProof/>
          <w:vertAlign w:val="superscript"/>
          <w:lang w:val="en-GB"/>
        </w:rPr>
        <w:t>st</w:t>
      </w:r>
      <w:r>
        <w:rPr>
          <w:noProof/>
          <w:lang w:val="en-GB"/>
        </w:rPr>
        <w:t xml:space="preserve"> January 2018: ‘Type of installation’, by region and Member State</w:t>
      </w:r>
    </w:p>
    <w:tbl>
      <w:tblPr>
        <w:tblStyle w:val="TableGrid"/>
        <w:tblW w:w="9167" w:type="dxa"/>
        <w:tblLook w:val="04A0" w:firstRow="1" w:lastRow="0" w:firstColumn="1" w:lastColumn="0" w:noHBand="0" w:noVBand="1"/>
      </w:tblPr>
      <w:tblGrid>
        <w:gridCol w:w="2376"/>
        <w:gridCol w:w="1985"/>
        <w:gridCol w:w="1002"/>
        <w:gridCol w:w="986"/>
        <w:gridCol w:w="1034"/>
        <w:gridCol w:w="804"/>
        <w:gridCol w:w="980"/>
      </w:tblGrid>
      <w:tr>
        <w:trPr>
          <w:trHeight w:val="300"/>
        </w:trPr>
        <w:tc>
          <w:tcPr>
            <w:tcW w:w="4361" w:type="dxa"/>
            <w:gridSpan w:val="2"/>
            <w:noWrap/>
            <w:hideMark/>
          </w:tcPr>
          <w:p>
            <w:pPr>
              <w:rPr>
                <w:noProof/>
              </w:rPr>
            </w:pPr>
            <w:r>
              <w:rPr>
                <w:noProof/>
              </w:rPr>
              <w:t>Region/Country</w:t>
            </w:r>
          </w:p>
        </w:tc>
        <w:tc>
          <w:tcPr>
            <w:tcW w:w="4806" w:type="dxa"/>
            <w:gridSpan w:val="5"/>
            <w:noWrap/>
            <w:hideMark/>
          </w:tcPr>
          <w:p>
            <w:pPr>
              <w:rPr>
                <w:noProof/>
              </w:rPr>
            </w:pPr>
            <w:r>
              <w:rPr>
                <w:noProof/>
              </w:rPr>
              <w:t>Type of installation(*)</w:t>
            </w:r>
          </w:p>
        </w:tc>
      </w:tr>
      <w:tr>
        <w:trPr>
          <w:trHeight w:val="300"/>
        </w:trPr>
        <w:tc>
          <w:tcPr>
            <w:tcW w:w="4361" w:type="dxa"/>
            <w:gridSpan w:val="2"/>
            <w:noWrap/>
            <w:hideMark/>
          </w:tcPr>
          <w:p>
            <w:pPr>
              <w:rPr>
                <w:noProof/>
              </w:rPr>
            </w:pPr>
          </w:p>
        </w:tc>
        <w:tc>
          <w:tcPr>
            <w:tcW w:w="1002" w:type="dxa"/>
            <w:noWrap/>
            <w:hideMark/>
          </w:tcPr>
          <w:p>
            <w:pPr>
              <w:rPr>
                <w:noProof/>
              </w:rPr>
            </w:pPr>
            <w:r>
              <w:rPr>
                <w:noProof/>
              </w:rPr>
              <w:t>FMI</w:t>
            </w:r>
          </w:p>
        </w:tc>
        <w:tc>
          <w:tcPr>
            <w:tcW w:w="986" w:type="dxa"/>
            <w:noWrap/>
            <w:hideMark/>
          </w:tcPr>
          <w:p>
            <w:pPr>
              <w:rPr>
                <w:noProof/>
              </w:rPr>
            </w:pPr>
            <w:r>
              <w:rPr>
                <w:noProof/>
              </w:rPr>
              <w:t>FNP</w:t>
            </w:r>
          </w:p>
        </w:tc>
        <w:tc>
          <w:tcPr>
            <w:tcW w:w="1034" w:type="dxa"/>
            <w:noWrap/>
            <w:hideMark/>
          </w:tcPr>
          <w:p>
            <w:pPr>
              <w:rPr>
                <w:noProof/>
              </w:rPr>
            </w:pPr>
            <w:r>
              <w:rPr>
                <w:noProof/>
              </w:rPr>
              <w:t>FPI</w:t>
            </w:r>
          </w:p>
        </w:tc>
        <w:tc>
          <w:tcPr>
            <w:tcW w:w="804" w:type="dxa"/>
            <w:noWrap/>
            <w:hideMark/>
          </w:tcPr>
          <w:p>
            <w:pPr>
              <w:rPr>
                <w:noProof/>
              </w:rPr>
            </w:pPr>
            <w:r>
              <w:rPr>
                <w:noProof/>
              </w:rPr>
              <w:t>NUI</w:t>
            </w:r>
          </w:p>
        </w:tc>
        <w:tc>
          <w:tcPr>
            <w:tcW w:w="980" w:type="dxa"/>
            <w:noWrap/>
            <w:hideMark/>
          </w:tcPr>
          <w:p>
            <w:pPr>
              <w:rPr>
                <w:noProof/>
              </w:rPr>
            </w:pPr>
            <w:r>
              <w:rPr>
                <w:noProof/>
              </w:rPr>
              <w:t>Total</w:t>
            </w:r>
          </w:p>
        </w:tc>
      </w:tr>
      <w:tr>
        <w:trPr>
          <w:trHeight w:val="300"/>
        </w:trPr>
        <w:tc>
          <w:tcPr>
            <w:tcW w:w="2376" w:type="dxa"/>
            <w:noWrap/>
            <w:hideMark/>
          </w:tcPr>
          <w:p>
            <w:pPr>
              <w:rPr>
                <w:noProof/>
              </w:rPr>
            </w:pPr>
            <w:r>
              <w:rPr>
                <w:noProof/>
              </w:rPr>
              <w:t>Baltic Sea</w:t>
            </w:r>
          </w:p>
        </w:tc>
        <w:tc>
          <w:tcPr>
            <w:tcW w:w="1985" w:type="dxa"/>
            <w:noWrap/>
            <w:hideMark/>
          </w:tcPr>
          <w:p>
            <w:pPr>
              <w:rPr>
                <w:noProof/>
              </w:rPr>
            </w:pPr>
          </w:p>
        </w:tc>
        <w:tc>
          <w:tcPr>
            <w:tcW w:w="1002" w:type="dxa"/>
            <w:noWrap/>
            <w:hideMark/>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hideMark/>
          </w:tcPr>
          <w:p>
            <w:pPr>
              <w:rPr>
                <w:noProof/>
              </w:rPr>
            </w:pPr>
            <w:r>
              <w:rPr>
                <w:noProof/>
              </w:rPr>
              <w:t>2</w:t>
            </w:r>
          </w:p>
        </w:tc>
      </w:tr>
      <w:tr>
        <w:trPr>
          <w:trHeight w:val="300"/>
        </w:trPr>
        <w:tc>
          <w:tcPr>
            <w:tcW w:w="2376" w:type="dxa"/>
            <w:noWrap/>
            <w:hideMark/>
          </w:tcPr>
          <w:p>
            <w:pPr>
              <w:rPr>
                <w:noProof/>
              </w:rPr>
            </w:pPr>
          </w:p>
        </w:tc>
        <w:tc>
          <w:tcPr>
            <w:tcW w:w="1985" w:type="dxa"/>
            <w:noWrap/>
            <w:hideMark/>
          </w:tcPr>
          <w:p>
            <w:pPr>
              <w:rPr>
                <w:noProof/>
              </w:rPr>
            </w:pPr>
            <w:r>
              <w:rPr>
                <w:noProof/>
              </w:rPr>
              <w:t>Poland</w:t>
            </w:r>
          </w:p>
        </w:tc>
        <w:tc>
          <w:tcPr>
            <w:tcW w:w="1002" w:type="dxa"/>
            <w:noWrap/>
            <w:hideMark/>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hideMark/>
          </w:tcPr>
          <w:p>
            <w:pPr>
              <w:rPr>
                <w:noProof/>
              </w:rPr>
            </w:pPr>
            <w:r>
              <w:rPr>
                <w:noProof/>
              </w:rPr>
              <w:t>2</w:t>
            </w:r>
          </w:p>
        </w:tc>
      </w:tr>
      <w:tr>
        <w:trPr>
          <w:trHeight w:val="300"/>
        </w:trPr>
        <w:tc>
          <w:tcPr>
            <w:tcW w:w="2376" w:type="dxa"/>
            <w:noWrap/>
          </w:tcPr>
          <w:p>
            <w:pPr>
              <w:rPr>
                <w:noProof/>
              </w:rPr>
            </w:pPr>
            <w:r>
              <w:rPr>
                <w:noProof/>
              </w:rPr>
              <w:t>Black Sea</w:t>
            </w:r>
          </w:p>
        </w:tc>
        <w:tc>
          <w:tcPr>
            <w:tcW w:w="1985" w:type="dxa"/>
            <w:noWrap/>
          </w:tcPr>
          <w:p>
            <w:pPr>
              <w:rPr>
                <w:noProof/>
              </w:rPr>
            </w:pPr>
          </w:p>
        </w:tc>
        <w:tc>
          <w:tcPr>
            <w:tcW w:w="1002" w:type="dxa"/>
            <w:noWrap/>
          </w:tcPr>
          <w:p>
            <w:pPr>
              <w:rPr>
                <w:noProof/>
              </w:rPr>
            </w:pPr>
            <w:r>
              <w:rPr>
                <w:noProof/>
              </w:rPr>
              <w:t>7</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8</w:t>
            </w:r>
          </w:p>
        </w:tc>
      </w:tr>
      <w:tr>
        <w:trPr>
          <w:trHeight w:val="300"/>
        </w:trPr>
        <w:tc>
          <w:tcPr>
            <w:tcW w:w="2376" w:type="dxa"/>
            <w:noWrap/>
          </w:tcPr>
          <w:p>
            <w:pPr>
              <w:rPr>
                <w:noProof/>
              </w:rPr>
            </w:pPr>
          </w:p>
        </w:tc>
        <w:tc>
          <w:tcPr>
            <w:tcW w:w="1985" w:type="dxa"/>
            <w:noWrap/>
          </w:tcPr>
          <w:p>
            <w:pPr>
              <w:rPr>
                <w:noProof/>
              </w:rPr>
            </w:pPr>
            <w:r>
              <w:rPr>
                <w:noProof/>
              </w:rPr>
              <w:t>Bulgaria</w:t>
            </w:r>
          </w:p>
        </w:tc>
        <w:tc>
          <w:tcPr>
            <w:tcW w:w="1002" w:type="dxa"/>
            <w:noWrap/>
          </w:tcPr>
          <w:p>
            <w:pPr>
              <w:rPr>
                <w:noProof/>
              </w:rPr>
            </w:pPr>
            <w:r>
              <w:rPr>
                <w:noProof/>
              </w:rPr>
              <w:t>0</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1</w:t>
            </w:r>
          </w:p>
        </w:tc>
      </w:tr>
      <w:tr>
        <w:trPr>
          <w:trHeight w:val="300"/>
        </w:trPr>
        <w:tc>
          <w:tcPr>
            <w:tcW w:w="2376" w:type="dxa"/>
            <w:noWrap/>
          </w:tcPr>
          <w:p>
            <w:pPr>
              <w:rPr>
                <w:noProof/>
              </w:rPr>
            </w:pPr>
          </w:p>
        </w:tc>
        <w:tc>
          <w:tcPr>
            <w:tcW w:w="1985" w:type="dxa"/>
            <w:noWrap/>
          </w:tcPr>
          <w:p>
            <w:pPr>
              <w:rPr>
                <w:noProof/>
              </w:rPr>
            </w:pPr>
            <w:r>
              <w:rPr>
                <w:noProof/>
              </w:rPr>
              <w:t>Romania</w:t>
            </w:r>
          </w:p>
        </w:tc>
        <w:tc>
          <w:tcPr>
            <w:tcW w:w="1002" w:type="dxa"/>
            <w:noWrap/>
          </w:tcPr>
          <w:p>
            <w:pPr>
              <w:rPr>
                <w:noProof/>
              </w:rPr>
            </w:pPr>
            <w:r>
              <w:rPr>
                <w:noProof/>
              </w:rPr>
              <w:t>7</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0</w:t>
            </w:r>
          </w:p>
        </w:tc>
        <w:tc>
          <w:tcPr>
            <w:tcW w:w="980" w:type="dxa"/>
            <w:noWrap/>
          </w:tcPr>
          <w:p>
            <w:pPr>
              <w:rPr>
                <w:noProof/>
              </w:rPr>
            </w:pPr>
            <w:r>
              <w:rPr>
                <w:noProof/>
              </w:rPr>
              <w:t>7</w:t>
            </w:r>
          </w:p>
        </w:tc>
      </w:tr>
      <w:tr>
        <w:trPr>
          <w:trHeight w:val="300"/>
        </w:trPr>
        <w:tc>
          <w:tcPr>
            <w:tcW w:w="2376" w:type="dxa"/>
            <w:noWrap/>
            <w:hideMark/>
          </w:tcPr>
          <w:p>
            <w:pPr>
              <w:rPr>
                <w:noProof/>
              </w:rPr>
            </w:pPr>
            <w:r>
              <w:rPr>
                <w:noProof/>
              </w:rPr>
              <w:t>Mediterranean</w:t>
            </w:r>
          </w:p>
        </w:tc>
        <w:tc>
          <w:tcPr>
            <w:tcW w:w="1985" w:type="dxa"/>
            <w:noWrap/>
            <w:hideMark/>
          </w:tcPr>
          <w:p>
            <w:pPr>
              <w:rPr>
                <w:noProof/>
              </w:rPr>
            </w:pPr>
          </w:p>
        </w:tc>
        <w:tc>
          <w:tcPr>
            <w:tcW w:w="1002" w:type="dxa"/>
            <w:noWrap/>
            <w:hideMark/>
          </w:tcPr>
          <w:p>
            <w:pPr>
              <w:rPr>
                <w:noProof/>
              </w:rPr>
            </w:pPr>
            <w:r>
              <w:rPr>
                <w:noProof/>
              </w:rPr>
              <w:t>16</w:t>
            </w:r>
          </w:p>
        </w:tc>
        <w:tc>
          <w:tcPr>
            <w:tcW w:w="986" w:type="dxa"/>
            <w:noWrap/>
          </w:tcPr>
          <w:p>
            <w:pPr>
              <w:rPr>
                <w:noProof/>
              </w:rPr>
            </w:pPr>
            <w:r>
              <w:rPr>
                <w:noProof/>
              </w:rPr>
              <w:t>0</w:t>
            </w:r>
          </w:p>
        </w:tc>
        <w:tc>
          <w:tcPr>
            <w:tcW w:w="1034" w:type="dxa"/>
            <w:noWrap/>
          </w:tcPr>
          <w:p>
            <w:pPr>
              <w:rPr>
                <w:noProof/>
              </w:rPr>
            </w:pPr>
            <w:r>
              <w:rPr>
                <w:noProof/>
              </w:rPr>
              <w:t>3</w:t>
            </w:r>
          </w:p>
        </w:tc>
        <w:tc>
          <w:tcPr>
            <w:tcW w:w="804" w:type="dxa"/>
            <w:noWrap/>
          </w:tcPr>
          <w:p>
            <w:pPr>
              <w:rPr>
                <w:noProof/>
              </w:rPr>
            </w:pPr>
            <w:r>
              <w:rPr>
                <w:noProof/>
              </w:rPr>
              <w:t>147</w:t>
            </w:r>
          </w:p>
        </w:tc>
        <w:tc>
          <w:tcPr>
            <w:tcW w:w="980" w:type="dxa"/>
            <w:noWrap/>
            <w:hideMark/>
          </w:tcPr>
          <w:p>
            <w:pPr>
              <w:rPr>
                <w:noProof/>
              </w:rPr>
            </w:pPr>
            <w:r>
              <w:rPr>
                <w:noProof/>
              </w:rPr>
              <w:t>166</w:t>
            </w:r>
          </w:p>
        </w:tc>
      </w:tr>
      <w:tr>
        <w:trPr>
          <w:trHeight w:val="300"/>
        </w:trPr>
        <w:tc>
          <w:tcPr>
            <w:tcW w:w="2376" w:type="dxa"/>
            <w:noWrap/>
          </w:tcPr>
          <w:p>
            <w:pPr>
              <w:rPr>
                <w:noProof/>
              </w:rPr>
            </w:pPr>
          </w:p>
        </w:tc>
        <w:tc>
          <w:tcPr>
            <w:tcW w:w="1985" w:type="dxa"/>
            <w:noWrap/>
          </w:tcPr>
          <w:p>
            <w:pPr>
              <w:rPr>
                <w:noProof/>
              </w:rPr>
            </w:pPr>
            <w:r>
              <w:rPr>
                <w:noProof/>
              </w:rPr>
              <w:t>Croatia</w:t>
            </w:r>
          </w:p>
        </w:tc>
        <w:tc>
          <w:tcPr>
            <w:tcW w:w="1002" w:type="dxa"/>
            <w:noWrap/>
          </w:tcPr>
          <w:p>
            <w:pPr>
              <w:rPr>
                <w:noProof/>
              </w:rPr>
            </w:pPr>
            <w:r>
              <w:rPr>
                <w:noProof/>
              </w:rPr>
              <w:t>2</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18</w:t>
            </w:r>
          </w:p>
        </w:tc>
        <w:tc>
          <w:tcPr>
            <w:tcW w:w="980" w:type="dxa"/>
            <w:noWrap/>
          </w:tcPr>
          <w:p>
            <w:pPr>
              <w:rPr>
                <w:noProof/>
              </w:rPr>
            </w:pPr>
            <w:r>
              <w:rPr>
                <w:noProof/>
              </w:rPr>
              <w:t>20</w:t>
            </w:r>
          </w:p>
        </w:tc>
      </w:tr>
      <w:tr>
        <w:trPr>
          <w:trHeight w:val="300"/>
        </w:trPr>
        <w:tc>
          <w:tcPr>
            <w:tcW w:w="2376" w:type="dxa"/>
            <w:noWrap/>
            <w:hideMark/>
          </w:tcPr>
          <w:p>
            <w:pPr>
              <w:rPr>
                <w:noProof/>
              </w:rPr>
            </w:pPr>
          </w:p>
        </w:tc>
        <w:tc>
          <w:tcPr>
            <w:tcW w:w="1985" w:type="dxa"/>
            <w:noWrap/>
          </w:tcPr>
          <w:p>
            <w:pPr>
              <w:rPr>
                <w:noProof/>
              </w:rPr>
            </w:pPr>
            <w:r>
              <w:rPr>
                <w:noProof/>
              </w:rPr>
              <w:t>Greece</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Italy</w:t>
            </w:r>
          </w:p>
        </w:tc>
        <w:tc>
          <w:tcPr>
            <w:tcW w:w="1002" w:type="dxa"/>
            <w:noWrap/>
          </w:tcPr>
          <w:p>
            <w:pPr>
              <w:rPr>
                <w:noProof/>
              </w:rPr>
            </w:pPr>
            <w:r>
              <w:rPr>
                <w:noProof/>
              </w:rPr>
              <w:t>12</w:t>
            </w:r>
          </w:p>
        </w:tc>
        <w:tc>
          <w:tcPr>
            <w:tcW w:w="986" w:type="dxa"/>
            <w:noWrap/>
          </w:tcPr>
          <w:p>
            <w:pPr>
              <w:rPr>
                <w:noProof/>
              </w:rPr>
            </w:pPr>
            <w:r>
              <w:rPr>
                <w:noProof/>
              </w:rPr>
              <w:t>0</w:t>
            </w:r>
          </w:p>
        </w:tc>
        <w:tc>
          <w:tcPr>
            <w:tcW w:w="1034" w:type="dxa"/>
            <w:noWrap/>
          </w:tcPr>
          <w:p>
            <w:pPr>
              <w:rPr>
                <w:noProof/>
              </w:rPr>
            </w:pPr>
            <w:r>
              <w:rPr>
                <w:noProof/>
              </w:rPr>
              <w:t>3</w:t>
            </w:r>
          </w:p>
        </w:tc>
        <w:tc>
          <w:tcPr>
            <w:tcW w:w="804" w:type="dxa"/>
            <w:noWrap/>
          </w:tcPr>
          <w:p>
            <w:pPr>
              <w:rPr>
                <w:noProof/>
              </w:rPr>
            </w:pPr>
            <w:r>
              <w:rPr>
                <w:noProof/>
              </w:rPr>
              <w:t>126</w:t>
            </w:r>
          </w:p>
        </w:tc>
        <w:tc>
          <w:tcPr>
            <w:tcW w:w="980" w:type="dxa"/>
            <w:noWrap/>
          </w:tcPr>
          <w:p>
            <w:pPr>
              <w:rPr>
                <w:noProof/>
              </w:rPr>
            </w:pPr>
            <w:r>
              <w:rPr>
                <w:noProof/>
              </w:rPr>
              <w:t>141</w:t>
            </w:r>
          </w:p>
        </w:tc>
      </w:tr>
      <w:tr>
        <w:trPr>
          <w:trHeight w:val="300"/>
        </w:trPr>
        <w:tc>
          <w:tcPr>
            <w:tcW w:w="2376" w:type="dxa"/>
            <w:noWrap/>
            <w:hideMark/>
          </w:tcPr>
          <w:p>
            <w:pPr>
              <w:rPr>
                <w:noProof/>
              </w:rPr>
            </w:pPr>
          </w:p>
        </w:tc>
        <w:tc>
          <w:tcPr>
            <w:tcW w:w="1985" w:type="dxa"/>
            <w:noWrap/>
          </w:tcPr>
          <w:p>
            <w:pPr>
              <w:rPr>
                <w:noProof/>
              </w:rPr>
            </w:pPr>
            <w:r>
              <w:rPr>
                <w:noProof/>
              </w:rPr>
              <w:t>Spain</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2</w:t>
            </w:r>
          </w:p>
        </w:tc>
        <w:tc>
          <w:tcPr>
            <w:tcW w:w="980" w:type="dxa"/>
            <w:noWrap/>
          </w:tcPr>
          <w:p>
            <w:pPr>
              <w:rPr>
                <w:noProof/>
              </w:rPr>
            </w:pPr>
            <w:r>
              <w:rPr>
                <w:noProof/>
              </w:rPr>
              <w:t>3</w:t>
            </w:r>
          </w:p>
        </w:tc>
      </w:tr>
      <w:tr>
        <w:trPr>
          <w:trHeight w:val="300"/>
        </w:trPr>
        <w:tc>
          <w:tcPr>
            <w:tcW w:w="2376" w:type="dxa"/>
            <w:noWrap/>
            <w:hideMark/>
          </w:tcPr>
          <w:p>
            <w:pPr>
              <w:rPr>
                <w:noProof/>
              </w:rPr>
            </w:pPr>
            <w:r>
              <w:rPr>
                <w:noProof/>
              </w:rPr>
              <w:t>North Sea &amp; Atlantic</w:t>
            </w:r>
          </w:p>
        </w:tc>
        <w:tc>
          <w:tcPr>
            <w:tcW w:w="1985" w:type="dxa"/>
            <w:noWrap/>
            <w:hideMark/>
          </w:tcPr>
          <w:p>
            <w:pPr>
              <w:rPr>
                <w:noProof/>
              </w:rPr>
            </w:pPr>
          </w:p>
        </w:tc>
        <w:tc>
          <w:tcPr>
            <w:tcW w:w="1002" w:type="dxa"/>
            <w:noWrap/>
            <w:hideMark/>
          </w:tcPr>
          <w:p>
            <w:pPr>
              <w:rPr>
                <w:noProof/>
              </w:rPr>
            </w:pPr>
            <w:r>
              <w:rPr>
                <w:noProof/>
              </w:rPr>
              <w:t>143</w:t>
            </w:r>
          </w:p>
        </w:tc>
        <w:tc>
          <w:tcPr>
            <w:tcW w:w="986" w:type="dxa"/>
            <w:noWrap/>
          </w:tcPr>
          <w:p>
            <w:pPr>
              <w:rPr>
                <w:noProof/>
              </w:rPr>
            </w:pPr>
            <w:r>
              <w:rPr>
                <w:noProof/>
              </w:rPr>
              <w:t>0</w:t>
            </w:r>
          </w:p>
        </w:tc>
        <w:tc>
          <w:tcPr>
            <w:tcW w:w="1034" w:type="dxa"/>
            <w:noWrap/>
          </w:tcPr>
          <w:p>
            <w:pPr>
              <w:rPr>
                <w:noProof/>
              </w:rPr>
            </w:pPr>
            <w:r>
              <w:rPr>
                <w:noProof/>
              </w:rPr>
              <w:t>23</w:t>
            </w:r>
          </w:p>
        </w:tc>
        <w:tc>
          <w:tcPr>
            <w:tcW w:w="804" w:type="dxa"/>
            <w:noWrap/>
          </w:tcPr>
          <w:p>
            <w:pPr>
              <w:rPr>
                <w:noProof/>
              </w:rPr>
            </w:pPr>
            <w:r>
              <w:rPr>
                <w:noProof/>
              </w:rPr>
              <w:t>214</w:t>
            </w:r>
          </w:p>
        </w:tc>
        <w:tc>
          <w:tcPr>
            <w:tcW w:w="980" w:type="dxa"/>
            <w:noWrap/>
            <w:hideMark/>
          </w:tcPr>
          <w:p>
            <w:pPr>
              <w:rPr>
                <w:noProof/>
              </w:rPr>
            </w:pPr>
            <w:r>
              <w:rPr>
                <w:noProof/>
              </w:rPr>
              <w:t>380</w:t>
            </w:r>
          </w:p>
        </w:tc>
      </w:tr>
      <w:tr>
        <w:trPr>
          <w:trHeight w:val="300"/>
        </w:trPr>
        <w:tc>
          <w:tcPr>
            <w:tcW w:w="2376" w:type="dxa"/>
            <w:noWrap/>
          </w:tcPr>
          <w:p>
            <w:pPr>
              <w:rPr>
                <w:noProof/>
              </w:rPr>
            </w:pPr>
          </w:p>
        </w:tc>
        <w:tc>
          <w:tcPr>
            <w:tcW w:w="1985" w:type="dxa"/>
            <w:noWrap/>
          </w:tcPr>
          <w:p>
            <w:pPr>
              <w:rPr>
                <w:noProof/>
              </w:rPr>
            </w:pPr>
            <w:r>
              <w:rPr>
                <w:noProof/>
              </w:rPr>
              <w:t>Denmark</w:t>
            </w:r>
          </w:p>
        </w:tc>
        <w:tc>
          <w:tcPr>
            <w:tcW w:w="1002" w:type="dxa"/>
            <w:noWrap/>
          </w:tcPr>
          <w:p>
            <w:pPr>
              <w:rPr>
                <w:noProof/>
              </w:rPr>
            </w:pPr>
            <w:r>
              <w:rPr>
                <w:noProof/>
              </w:rPr>
              <w:t>10</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20</w:t>
            </w:r>
          </w:p>
        </w:tc>
        <w:tc>
          <w:tcPr>
            <w:tcW w:w="980" w:type="dxa"/>
            <w:noWrap/>
          </w:tcPr>
          <w:p>
            <w:pPr>
              <w:rPr>
                <w:noProof/>
              </w:rPr>
            </w:pPr>
            <w:r>
              <w:rPr>
                <w:noProof/>
              </w:rPr>
              <w:t>30</w:t>
            </w:r>
          </w:p>
        </w:tc>
      </w:tr>
      <w:tr>
        <w:trPr>
          <w:trHeight w:val="300"/>
        </w:trPr>
        <w:tc>
          <w:tcPr>
            <w:tcW w:w="2376" w:type="dxa"/>
            <w:noWrap/>
            <w:hideMark/>
          </w:tcPr>
          <w:p>
            <w:pPr>
              <w:rPr>
                <w:noProof/>
              </w:rPr>
            </w:pPr>
          </w:p>
        </w:tc>
        <w:tc>
          <w:tcPr>
            <w:tcW w:w="1985" w:type="dxa"/>
            <w:noWrap/>
            <w:hideMark/>
          </w:tcPr>
          <w:p>
            <w:pPr>
              <w:rPr>
                <w:noProof/>
              </w:rPr>
            </w:pPr>
            <w:r>
              <w:rPr>
                <w:noProof/>
              </w:rPr>
              <w:t>Germany</w:t>
            </w:r>
          </w:p>
        </w:tc>
        <w:tc>
          <w:tcPr>
            <w:tcW w:w="1002" w:type="dxa"/>
            <w:noWrap/>
            <w:hideMark/>
          </w:tcPr>
          <w:p>
            <w:pPr>
              <w:rPr>
                <w:noProof/>
              </w:rPr>
            </w:pPr>
            <w:r>
              <w:rPr>
                <w:noProof/>
              </w:rPr>
              <w:t>2</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0</w:t>
            </w:r>
          </w:p>
        </w:tc>
        <w:tc>
          <w:tcPr>
            <w:tcW w:w="980" w:type="dxa"/>
            <w:noWrap/>
            <w:hideMark/>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Ireland</w:t>
            </w:r>
          </w:p>
        </w:tc>
        <w:tc>
          <w:tcPr>
            <w:tcW w:w="1002" w:type="dxa"/>
            <w:noWrap/>
          </w:tcPr>
          <w:p>
            <w:pPr>
              <w:rPr>
                <w:noProof/>
              </w:rPr>
            </w:pPr>
            <w:r>
              <w:rPr>
                <w:noProof/>
              </w:rPr>
              <w:t>1</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w:t>
            </w:r>
          </w:p>
        </w:tc>
        <w:tc>
          <w:tcPr>
            <w:tcW w:w="980" w:type="dxa"/>
            <w:noWrap/>
          </w:tcPr>
          <w:p>
            <w:pPr>
              <w:rPr>
                <w:noProof/>
              </w:rPr>
            </w:pPr>
            <w:r>
              <w:rPr>
                <w:noProof/>
              </w:rPr>
              <w:t>2</w:t>
            </w:r>
          </w:p>
        </w:tc>
      </w:tr>
      <w:tr>
        <w:trPr>
          <w:trHeight w:val="300"/>
        </w:trPr>
        <w:tc>
          <w:tcPr>
            <w:tcW w:w="2376" w:type="dxa"/>
            <w:noWrap/>
            <w:hideMark/>
          </w:tcPr>
          <w:p>
            <w:pPr>
              <w:rPr>
                <w:noProof/>
              </w:rPr>
            </w:pPr>
          </w:p>
        </w:tc>
        <w:tc>
          <w:tcPr>
            <w:tcW w:w="1985" w:type="dxa"/>
            <w:noWrap/>
          </w:tcPr>
          <w:p>
            <w:pPr>
              <w:rPr>
                <w:noProof/>
              </w:rPr>
            </w:pPr>
            <w:r>
              <w:rPr>
                <w:noProof/>
              </w:rPr>
              <w:t>The Netherlands</w:t>
            </w:r>
          </w:p>
        </w:tc>
        <w:tc>
          <w:tcPr>
            <w:tcW w:w="1002" w:type="dxa"/>
            <w:noWrap/>
          </w:tcPr>
          <w:p>
            <w:pPr>
              <w:rPr>
                <w:noProof/>
              </w:rPr>
            </w:pPr>
            <w:r>
              <w:rPr>
                <w:noProof/>
              </w:rPr>
              <w:t>48</w:t>
            </w:r>
          </w:p>
        </w:tc>
        <w:tc>
          <w:tcPr>
            <w:tcW w:w="986" w:type="dxa"/>
            <w:noWrap/>
          </w:tcPr>
          <w:p>
            <w:pPr>
              <w:rPr>
                <w:noProof/>
              </w:rPr>
            </w:pPr>
            <w:r>
              <w:rPr>
                <w:noProof/>
              </w:rPr>
              <w:t>0</w:t>
            </w:r>
          </w:p>
        </w:tc>
        <w:tc>
          <w:tcPr>
            <w:tcW w:w="1034" w:type="dxa"/>
            <w:noWrap/>
          </w:tcPr>
          <w:p>
            <w:pPr>
              <w:rPr>
                <w:noProof/>
              </w:rPr>
            </w:pPr>
            <w:r>
              <w:rPr>
                <w:noProof/>
              </w:rPr>
              <w:t>0</w:t>
            </w:r>
          </w:p>
        </w:tc>
        <w:tc>
          <w:tcPr>
            <w:tcW w:w="804" w:type="dxa"/>
            <w:noWrap/>
          </w:tcPr>
          <w:p>
            <w:pPr>
              <w:rPr>
                <w:noProof/>
              </w:rPr>
            </w:pPr>
            <w:r>
              <w:rPr>
                <w:noProof/>
              </w:rPr>
              <w:t>107</w:t>
            </w:r>
          </w:p>
        </w:tc>
        <w:tc>
          <w:tcPr>
            <w:tcW w:w="980" w:type="dxa"/>
            <w:noWrap/>
          </w:tcPr>
          <w:p>
            <w:pPr>
              <w:rPr>
                <w:noProof/>
              </w:rPr>
            </w:pPr>
            <w:r>
              <w:rPr>
                <w:noProof/>
              </w:rPr>
              <w:t>155</w:t>
            </w:r>
          </w:p>
        </w:tc>
      </w:tr>
      <w:tr>
        <w:trPr>
          <w:trHeight w:val="300"/>
        </w:trPr>
        <w:tc>
          <w:tcPr>
            <w:tcW w:w="2376" w:type="dxa"/>
            <w:noWrap/>
            <w:hideMark/>
          </w:tcPr>
          <w:p>
            <w:pPr>
              <w:rPr>
                <w:noProof/>
              </w:rPr>
            </w:pPr>
          </w:p>
        </w:tc>
        <w:tc>
          <w:tcPr>
            <w:tcW w:w="1985" w:type="dxa"/>
            <w:noWrap/>
          </w:tcPr>
          <w:p>
            <w:pPr>
              <w:rPr>
                <w:noProof/>
              </w:rPr>
            </w:pPr>
            <w:r>
              <w:rPr>
                <w:noProof/>
              </w:rPr>
              <w:t>United Kingdom</w:t>
            </w:r>
          </w:p>
        </w:tc>
        <w:tc>
          <w:tcPr>
            <w:tcW w:w="1002" w:type="dxa"/>
            <w:noWrap/>
          </w:tcPr>
          <w:p>
            <w:pPr>
              <w:rPr>
                <w:noProof/>
              </w:rPr>
            </w:pPr>
            <w:r>
              <w:rPr>
                <w:noProof/>
              </w:rPr>
              <w:t>82</w:t>
            </w:r>
          </w:p>
        </w:tc>
        <w:tc>
          <w:tcPr>
            <w:tcW w:w="986" w:type="dxa"/>
            <w:noWrap/>
          </w:tcPr>
          <w:p>
            <w:pPr>
              <w:rPr>
                <w:noProof/>
              </w:rPr>
            </w:pPr>
            <w:r>
              <w:rPr>
                <w:noProof/>
              </w:rPr>
              <w:t>0</w:t>
            </w:r>
          </w:p>
        </w:tc>
        <w:tc>
          <w:tcPr>
            <w:tcW w:w="1034" w:type="dxa"/>
            <w:noWrap/>
          </w:tcPr>
          <w:p>
            <w:pPr>
              <w:rPr>
                <w:noProof/>
              </w:rPr>
            </w:pPr>
            <w:r>
              <w:rPr>
                <w:noProof/>
              </w:rPr>
              <w:t>23</w:t>
            </w:r>
          </w:p>
        </w:tc>
        <w:tc>
          <w:tcPr>
            <w:tcW w:w="804" w:type="dxa"/>
            <w:noWrap/>
          </w:tcPr>
          <w:p>
            <w:pPr>
              <w:rPr>
                <w:noProof/>
              </w:rPr>
            </w:pPr>
            <w:r>
              <w:rPr>
                <w:noProof/>
              </w:rPr>
              <w:t>86</w:t>
            </w:r>
          </w:p>
        </w:tc>
        <w:tc>
          <w:tcPr>
            <w:tcW w:w="980" w:type="dxa"/>
            <w:noWrap/>
          </w:tcPr>
          <w:p>
            <w:pPr>
              <w:rPr>
                <w:noProof/>
              </w:rPr>
            </w:pPr>
            <w:r>
              <w:rPr>
                <w:noProof/>
              </w:rPr>
              <w:t>191</w:t>
            </w:r>
          </w:p>
        </w:tc>
      </w:tr>
      <w:tr>
        <w:trPr>
          <w:trHeight w:val="300"/>
        </w:trPr>
        <w:tc>
          <w:tcPr>
            <w:tcW w:w="4361" w:type="dxa"/>
            <w:gridSpan w:val="2"/>
            <w:noWrap/>
            <w:hideMark/>
          </w:tcPr>
          <w:p>
            <w:pPr>
              <w:rPr>
                <w:noProof/>
              </w:rPr>
            </w:pPr>
            <w:r>
              <w:rPr>
                <w:noProof/>
              </w:rPr>
              <w:t>Total</w:t>
            </w:r>
          </w:p>
        </w:tc>
        <w:tc>
          <w:tcPr>
            <w:tcW w:w="1002" w:type="dxa"/>
            <w:noWrap/>
            <w:hideMark/>
          </w:tcPr>
          <w:p>
            <w:pPr>
              <w:rPr>
                <w:noProof/>
              </w:rPr>
            </w:pPr>
            <w:r>
              <w:rPr>
                <w:noProof/>
              </w:rPr>
              <w:t>167</w:t>
            </w:r>
          </w:p>
        </w:tc>
        <w:tc>
          <w:tcPr>
            <w:tcW w:w="986" w:type="dxa"/>
            <w:noWrap/>
          </w:tcPr>
          <w:p>
            <w:pPr>
              <w:rPr>
                <w:noProof/>
              </w:rPr>
            </w:pPr>
            <w:r>
              <w:rPr>
                <w:noProof/>
              </w:rPr>
              <w:t>0</w:t>
            </w:r>
          </w:p>
        </w:tc>
        <w:tc>
          <w:tcPr>
            <w:tcW w:w="1034" w:type="dxa"/>
            <w:noWrap/>
          </w:tcPr>
          <w:p>
            <w:pPr>
              <w:rPr>
                <w:noProof/>
              </w:rPr>
            </w:pPr>
            <w:r>
              <w:rPr>
                <w:noProof/>
              </w:rPr>
              <w:t>26</w:t>
            </w:r>
          </w:p>
        </w:tc>
        <w:tc>
          <w:tcPr>
            <w:tcW w:w="804" w:type="dxa"/>
            <w:noWrap/>
          </w:tcPr>
          <w:p>
            <w:pPr>
              <w:rPr>
                <w:noProof/>
              </w:rPr>
            </w:pPr>
            <w:r>
              <w:rPr>
                <w:noProof/>
              </w:rPr>
              <w:t>363</w:t>
            </w:r>
          </w:p>
        </w:tc>
        <w:tc>
          <w:tcPr>
            <w:tcW w:w="980" w:type="dxa"/>
            <w:noWrap/>
            <w:hideMark/>
          </w:tcPr>
          <w:p>
            <w:pPr>
              <w:rPr>
                <w:noProof/>
              </w:rPr>
            </w:pPr>
            <w:r>
              <w:rPr>
                <w:noProof/>
              </w:rPr>
              <w:t>556</w:t>
            </w:r>
          </w:p>
        </w:tc>
      </w:tr>
    </w:tbl>
    <w:p>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1484"/>
      </w:tblGrid>
      <w:tr>
        <w:trPr>
          <w:trHeight w:val="300"/>
          <w:jc w:val="center"/>
        </w:trPr>
        <w:tc>
          <w:tcPr>
            <w:tcW w:w="4255" w:type="pct"/>
            <w:tcBorders>
              <w:left w:val="nil"/>
              <w:bottom w:val="nil"/>
              <w:right w:val="nil"/>
            </w:tcBorders>
            <w:shd w:val="clear" w:color="auto" w:fill="auto"/>
            <w:noWrap/>
          </w:tcPr>
          <w:p>
            <w:pPr>
              <w:spacing w:before="60" w:after="60" w:line="240" w:lineRule="auto"/>
              <w:rPr>
                <w:rFonts w:ascii="Times New Roman" w:hAnsi="Times New Roman"/>
                <w:bCs/>
                <w:noProof/>
              </w:rPr>
            </w:pPr>
            <w:r>
              <w:rPr>
                <w:noProof/>
              </w:rPr>
              <w:t xml:space="preserve"> </w:t>
            </w:r>
            <w:r>
              <w:rPr>
                <w:rFonts w:ascii="Times New Roman" w:hAnsi="Times New Roman"/>
                <w:bCs/>
                <w:noProof/>
              </w:rPr>
              <w:t>(*) FMI — Fixed, manned installation; FNP — Fixed, non-production installation; FPI — Floating production installation; NUI — (Normally) Un-attended installation</w:t>
            </w:r>
          </w:p>
        </w:tc>
        <w:tc>
          <w:tcPr>
            <w:tcW w:w="745" w:type="pct"/>
            <w:tcBorders>
              <w:left w:val="nil"/>
              <w:bottom w:val="nil"/>
              <w:right w:val="nil"/>
            </w:tcBorders>
          </w:tcPr>
          <w:p>
            <w:pPr>
              <w:spacing w:before="60" w:after="60" w:line="240" w:lineRule="auto"/>
              <w:rPr>
                <w:rFonts w:ascii="Times New Roman" w:hAnsi="Times New Roman"/>
                <w:b/>
                <w:bCs/>
                <w:noProof/>
              </w:rPr>
            </w:pP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 2018, there were 13 installations reported as being decommissioned in EU waters: 12 in the United Kingdom and 1 in Italy. In the same year, 1 new fixed installation was reported entering into operation in the Netherlands. Furthermore, amendments of the reporting methods of some Member States have also contributed to the change in the number of installations reported compared to the preceding year</w:t>
      </w:r>
      <w:r>
        <w:rPr>
          <w:rStyle w:val="FootnoteReference"/>
          <w:rFonts w:ascii="Times New Roman" w:hAnsi="Times New Roman"/>
          <w:noProof/>
          <w:sz w:val="24"/>
          <w:szCs w:val="24"/>
        </w:rPr>
        <w:footnoteReference w:id="6"/>
      </w:r>
      <w:r>
        <w:rPr>
          <w:rFonts w:ascii="Times New Roman" w:hAnsi="Times New Roman"/>
          <w:noProof/>
          <w:sz w:val="24"/>
          <w:szCs w:val="24"/>
        </w:rPr>
        <w:t>.</w:t>
      </w:r>
    </w:p>
    <w:p>
      <w:pPr>
        <w:jc w:val="both"/>
        <w:rPr>
          <w:rFonts w:ascii="Times New Roman" w:hAnsi="Times New Roman"/>
          <w:noProof/>
          <w:sz w:val="24"/>
          <w:szCs w:val="24"/>
        </w:rPr>
      </w:pPr>
      <w:r>
        <w:rPr>
          <w:rFonts w:ascii="Times New Roman" w:hAnsi="Times New Roman"/>
          <w:noProof/>
          <w:sz w:val="24"/>
          <w:szCs w:val="24"/>
        </w:rPr>
        <w:t>More than half of the offshore installations in EU waters entered into operation between 1980 and 2000. Since 2010, the development of new production installations has dropped noticeably in the North Sea and Atlantic region and in the Mediterranean Sea (Table 2).</w:t>
      </w:r>
    </w:p>
    <w:p>
      <w:pPr>
        <w:pStyle w:val="Caption"/>
        <w:rPr>
          <w:noProof/>
          <w:lang w:val="en-GB"/>
        </w:rPr>
      </w:pPr>
      <w:r>
        <w:rPr>
          <w:noProof/>
          <w:lang w:val="en-GB"/>
        </w:rPr>
        <w:t xml:space="preserve">Table </w:t>
      </w:r>
      <w:r>
        <w:rPr>
          <w:noProof/>
          <w:lang w:val="en-GB"/>
        </w:rPr>
        <w:fldChar w:fldCharType="begin"/>
      </w:r>
      <w:r>
        <w:rPr>
          <w:noProof/>
          <w:lang w:val="en-GB"/>
        </w:rPr>
        <w:instrText xml:space="preserve"> SEQ Table \* ARABIC </w:instrText>
      </w:r>
      <w:r>
        <w:rPr>
          <w:noProof/>
          <w:lang w:val="en-GB"/>
        </w:rPr>
        <w:fldChar w:fldCharType="separate"/>
      </w:r>
      <w:r>
        <w:rPr>
          <w:noProof/>
          <w:lang w:val="en-GB"/>
        </w:rPr>
        <w:t>2</w:t>
      </w:r>
      <w:r>
        <w:rPr>
          <w:noProof/>
          <w:lang w:val="en-GB"/>
        </w:rPr>
        <w:fldChar w:fldCharType="end"/>
      </w:r>
      <w:r>
        <w:rPr>
          <w:noProof/>
          <w:lang w:val="en-GB"/>
        </w:rPr>
        <w:t>: Number of installations present in EU waters, by decade of entry into operation and by region</w:t>
      </w:r>
    </w:p>
    <w:tbl>
      <w:tblPr>
        <w:tblStyle w:val="TableGrid"/>
        <w:tblW w:w="10682" w:type="dxa"/>
        <w:tblLook w:val="04A0" w:firstRow="1" w:lastRow="0" w:firstColumn="1" w:lastColumn="0" w:noHBand="0" w:noVBand="1"/>
      </w:tblPr>
      <w:tblGrid>
        <w:gridCol w:w="1826"/>
        <w:gridCol w:w="1523"/>
        <w:gridCol w:w="1409"/>
        <w:gridCol w:w="1871"/>
        <w:gridCol w:w="1916"/>
        <w:gridCol w:w="2137"/>
      </w:tblGrid>
      <w:tr>
        <w:trPr>
          <w:trHeight w:val="300"/>
        </w:trPr>
        <w:tc>
          <w:tcPr>
            <w:tcW w:w="1826" w:type="dxa"/>
            <w:vMerge w:val="restart"/>
            <w:noWrap/>
            <w:hideMark/>
          </w:tcPr>
          <w:p>
            <w:pPr>
              <w:rPr>
                <w:b/>
                <w:noProof/>
              </w:rPr>
            </w:pPr>
            <w:r>
              <w:rPr>
                <w:b/>
                <w:noProof/>
              </w:rPr>
              <w:t>Year of construction</w:t>
            </w:r>
          </w:p>
        </w:tc>
        <w:tc>
          <w:tcPr>
            <w:tcW w:w="8856" w:type="dxa"/>
            <w:gridSpan w:val="5"/>
            <w:noWrap/>
            <w:hideMark/>
          </w:tcPr>
          <w:p>
            <w:pPr>
              <w:rPr>
                <w:b/>
                <w:noProof/>
              </w:rPr>
            </w:pPr>
            <w:r>
              <w:rPr>
                <w:b/>
                <w:noProof/>
              </w:rPr>
              <w:t>Region</w:t>
            </w:r>
          </w:p>
        </w:tc>
      </w:tr>
      <w:tr>
        <w:trPr>
          <w:trHeight w:val="300"/>
        </w:trPr>
        <w:tc>
          <w:tcPr>
            <w:tcW w:w="1826" w:type="dxa"/>
            <w:vMerge/>
            <w:noWrap/>
            <w:hideMark/>
          </w:tcPr>
          <w:p>
            <w:pPr>
              <w:rPr>
                <w:b/>
                <w:noProof/>
              </w:rPr>
            </w:pPr>
          </w:p>
        </w:tc>
        <w:tc>
          <w:tcPr>
            <w:tcW w:w="1523" w:type="dxa"/>
            <w:noWrap/>
            <w:hideMark/>
          </w:tcPr>
          <w:p>
            <w:pPr>
              <w:rPr>
                <w:b/>
                <w:noProof/>
              </w:rPr>
            </w:pPr>
            <w:r>
              <w:rPr>
                <w:b/>
                <w:noProof/>
              </w:rPr>
              <w:t>Baltic Sea</w:t>
            </w:r>
          </w:p>
        </w:tc>
        <w:tc>
          <w:tcPr>
            <w:tcW w:w="1409" w:type="dxa"/>
            <w:noWrap/>
            <w:hideMark/>
          </w:tcPr>
          <w:p>
            <w:pPr>
              <w:rPr>
                <w:b/>
                <w:noProof/>
              </w:rPr>
            </w:pPr>
            <w:r>
              <w:rPr>
                <w:b/>
                <w:noProof/>
              </w:rPr>
              <w:t>Black Sea</w:t>
            </w:r>
          </w:p>
        </w:tc>
        <w:tc>
          <w:tcPr>
            <w:tcW w:w="1871" w:type="dxa"/>
            <w:noWrap/>
            <w:hideMark/>
          </w:tcPr>
          <w:p>
            <w:pPr>
              <w:rPr>
                <w:b/>
                <w:noProof/>
              </w:rPr>
            </w:pPr>
            <w:r>
              <w:rPr>
                <w:b/>
                <w:noProof/>
              </w:rPr>
              <w:t>Mediterranean</w:t>
            </w:r>
          </w:p>
        </w:tc>
        <w:tc>
          <w:tcPr>
            <w:tcW w:w="1916" w:type="dxa"/>
            <w:noWrap/>
            <w:hideMark/>
          </w:tcPr>
          <w:p>
            <w:pPr>
              <w:rPr>
                <w:b/>
                <w:noProof/>
              </w:rPr>
            </w:pPr>
            <w:r>
              <w:rPr>
                <w:b/>
                <w:noProof/>
              </w:rPr>
              <w:t>North Sea &amp; Atlantic</w:t>
            </w:r>
          </w:p>
        </w:tc>
        <w:tc>
          <w:tcPr>
            <w:tcW w:w="2137" w:type="dxa"/>
            <w:noWrap/>
            <w:hideMark/>
          </w:tcPr>
          <w:p>
            <w:pPr>
              <w:rPr>
                <w:b/>
                <w:noProof/>
              </w:rPr>
            </w:pPr>
            <w:r>
              <w:rPr>
                <w:b/>
                <w:noProof/>
              </w:rPr>
              <w:t>EU Total</w:t>
            </w:r>
          </w:p>
        </w:tc>
      </w:tr>
      <w:tr>
        <w:trPr>
          <w:trHeight w:val="300"/>
        </w:trPr>
        <w:tc>
          <w:tcPr>
            <w:tcW w:w="1826" w:type="dxa"/>
            <w:noWrap/>
            <w:hideMark/>
          </w:tcPr>
          <w:p>
            <w:pPr>
              <w:rPr>
                <w:b/>
                <w:noProof/>
              </w:rPr>
            </w:pPr>
            <w:r>
              <w:rPr>
                <w:b/>
                <w:noProof/>
              </w:rPr>
              <w:t>1950-1959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0</w:t>
            </w:r>
          </w:p>
        </w:tc>
        <w:tc>
          <w:tcPr>
            <w:tcW w:w="1916" w:type="dxa"/>
            <w:noWrap/>
            <w:hideMark/>
          </w:tcPr>
          <w:p>
            <w:pPr>
              <w:rPr>
                <w:noProof/>
              </w:rPr>
            </w:pPr>
            <w:r>
              <w:rPr>
                <w:noProof/>
              </w:rPr>
              <w:t>4</w:t>
            </w:r>
          </w:p>
        </w:tc>
        <w:tc>
          <w:tcPr>
            <w:tcW w:w="2137" w:type="dxa"/>
            <w:noWrap/>
            <w:hideMark/>
          </w:tcPr>
          <w:p>
            <w:pPr>
              <w:rPr>
                <w:b/>
                <w:noProof/>
              </w:rPr>
            </w:pPr>
            <w:r>
              <w:rPr>
                <w:b/>
                <w:noProof/>
              </w:rPr>
              <w:t>4</w:t>
            </w:r>
          </w:p>
        </w:tc>
      </w:tr>
      <w:tr>
        <w:trPr>
          <w:trHeight w:val="300"/>
        </w:trPr>
        <w:tc>
          <w:tcPr>
            <w:tcW w:w="1826" w:type="dxa"/>
            <w:noWrap/>
            <w:hideMark/>
          </w:tcPr>
          <w:p>
            <w:pPr>
              <w:rPr>
                <w:b/>
                <w:noProof/>
              </w:rPr>
            </w:pPr>
            <w:r>
              <w:rPr>
                <w:b/>
                <w:noProof/>
              </w:rPr>
              <w:t>1960-1969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7</w:t>
            </w:r>
          </w:p>
        </w:tc>
        <w:tc>
          <w:tcPr>
            <w:tcW w:w="1916" w:type="dxa"/>
            <w:noWrap/>
            <w:hideMark/>
          </w:tcPr>
          <w:p>
            <w:pPr>
              <w:rPr>
                <w:noProof/>
              </w:rPr>
            </w:pPr>
            <w:r>
              <w:rPr>
                <w:noProof/>
              </w:rPr>
              <w:t>21</w:t>
            </w:r>
          </w:p>
        </w:tc>
        <w:tc>
          <w:tcPr>
            <w:tcW w:w="2137" w:type="dxa"/>
            <w:noWrap/>
            <w:hideMark/>
          </w:tcPr>
          <w:p>
            <w:pPr>
              <w:rPr>
                <w:b/>
                <w:noProof/>
              </w:rPr>
            </w:pPr>
            <w:r>
              <w:rPr>
                <w:b/>
                <w:noProof/>
              </w:rPr>
              <w:t>28</w:t>
            </w:r>
          </w:p>
        </w:tc>
      </w:tr>
      <w:tr>
        <w:trPr>
          <w:trHeight w:val="300"/>
        </w:trPr>
        <w:tc>
          <w:tcPr>
            <w:tcW w:w="1826" w:type="dxa"/>
            <w:noWrap/>
            <w:hideMark/>
          </w:tcPr>
          <w:p>
            <w:pPr>
              <w:rPr>
                <w:b/>
                <w:noProof/>
              </w:rPr>
            </w:pPr>
            <w:r>
              <w:rPr>
                <w:b/>
                <w:noProof/>
              </w:rPr>
              <w:t>1970-1979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14</w:t>
            </w:r>
          </w:p>
        </w:tc>
        <w:tc>
          <w:tcPr>
            <w:tcW w:w="1916" w:type="dxa"/>
            <w:noWrap/>
            <w:hideMark/>
          </w:tcPr>
          <w:p>
            <w:pPr>
              <w:rPr>
                <w:noProof/>
              </w:rPr>
            </w:pPr>
            <w:r>
              <w:rPr>
                <w:noProof/>
              </w:rPr>
              <w:t>41</w:t>
            </w:r>
          </w:p>
        </w:tc>
        <w:tc>
          <w:tcPr>
            <w:tcW w:w="2137" w:type="dxa"/>
            <w:noWrap/>
            <w:hideMark/>
          </w:tcPr>
          <w:p>
            <w:pPr>
              <w:rPr>
                <w:b/>
                <w:noProof/>
              </w:rPr>
            </w:pPr>
            <w:r>
              <w:rPr>
                <w:b/>
                <w:noProof/>
              </w:rPr>
              <w:t>55</w:t>
            </w:r>
          </w:p>
        </w:tc>
      </w:tr>
      <w:tr>
        <w:trPr>
          <w:trHeight w:val="300"/>
        </w:trPr>
        <w:tc>
          <w:tcPr>
            <w:tcW w:w="1826" w:type="dxa"/>
            <w:noWrap/>
            <w:hideMark/>
          </w:tcPr>
          <w:p>
            <w:pPr>
              <w:rPr>
                <w:b/>
                <w:noProof/>
              </w:rPr>
            </w:pPr>
            <w:r>
              <w:rPr>
                <w:b/>
                <w:noProof/>
              </w:rPr>
              <w:t>1980-1989</w:t>
            </w:r>
          </w:p>
        </w:tc>
        <w:tc>
          <w:tcPr>
            <w:tcW w:w="1523" w:type="dxa"/>
            <w:noWrap/>
            <w:hideMark/>
          </w:tcPr>
          <w:p>
            <w:pPr>
              <w:rPr>
                <w:noProof/>
              </w:rPr>
            </w:pPr>
            <w:r>
              <w:rPr>
                <w:noProof/>
              </w:rPr>
              <w:t>0</w:t>
            </w:r>
          </w:p>
        </w:tc>
        <w:tc>
          <w:tcPr>
            <w:tcW w:w="1409" w:type="dxa"/>
            <w:noWrap/>
            <w:hideMark/>
          </w:tcPr>
          <w:p>
            <w:pPr>
              <w:rPr>
                <w:noProof/>
              </w:rPr>
            </w:pPr>
            <w:r>
              <w:rPr>
                <w:noProof/>
              </w:rPr>
              <w:t>2</w:t>
            </w:r>
          </w:p>
        </w:tc>
        <w:tc>
          <w:tcPr>
            <w:tcW w:w="1871" w:type="dxa"/>
            <w:noWrap/>
            <w:hideMark/>
          </w:tcPr>
          <w:p>
            <w:pPr>
              <w:rPr>
                <w:noProof/>
              </w:rPr>
            </w:pPr>
            <w:r>
              <w:rPr>
                <w:noProof/>
              </w:rPr>
              <w:t>53</w:t>
            </w:r>
          </w:p>
        </w:tc>
        <w:tc>
          <w:tcPr>
            <w:tcW w:w="1916" w:type="dxa"/>
            <w:noWrap/>
            <w:hideMark/>
          </w:tcPr>
          <w:p>
            <w:pPr>
              <w:rPr>
                <w:noProof/>
              </w:rPr>
            </w:pPr>
            <w:r>
              <w:rPr>
                <w:noProof/>
              </w:rPr>
              <w:t>82</w:t>
            </w:r>
          </w:p>
        </w:tc>
        <w:tc>
          <w:tcPr>
            <w:tcW w:w="2137" w:type="dxa"/>
            <w:noWrap/>
            <w:hideMark/>
          </w:tcPr>
          <w:p>
            <w:pPr>
              <w:rPr>
                <w:b/>
                <w:noProof/>
              </w:rPr>
            </w:pPr>
            <w:r>
              <w:rPr>
                <w:b/>
                <w:noProof/>
              </w:rPr>
              <w:t>137</w:t>
            </w:r>
          </w:p>
        </w:tc>
      </w:tr>
      <w:tr>
        <w:trPr>
          <w:trHeight w:val="300"/>
        </w:trPr>
        <w:tc>
          <w:tcPr>
            <w:tcW w:w="1826" w:type="dxa"/>
            <w:noWrap/>
            <w:hideMark/>
          </w:tcPr>
          <w:p>
            <w:pPr>
              <w:rPr>
                <w:b/>
                <w:noProof/>
              </w:rPr>
            </w:pPr>
            <w:r>
              <w:rPr>
                <w:b/>
                <w:noProof/>
              </w:rPr>
              <w:t>1990-1999</w:t>
            </w:r>
          </w:p>
        </w:tc>
        <w:tc>
          <w:tcPr>
            <w:tcW w:w="1523" w:type="dxa"/>
            <w:noWrap/>
            <w:hideMark/>
          </w:tcPr>
          <w:p>
            <w:pPr>
              <w:rPr>
                <w:noProof/>
              </w:rPr>
            </w:pPr>
            <w:r>
              <w:rPr>
                <w:noProof/>
              </w:rPr>
              <w:t>1</w:t>
            </w:r>
          </w:p>
        </w:tc>
        <w:tc>
          <w:tcPr>
            <w:tcW w:w="1409" w:type="dxa"/>
            <w:noWrap/>
            <w:hideMark/>
          </w:tcPr>
          <w:p>
            <w:pPr>
              <w:rPr>
                <w:noProof/>
              </w:rPr>
            </w:pPr>
            <w:r>
              <w:rPr>
                <w:noProof/>
              </w:rPr>
              <w:t>3</w:t>
            </w:r>
          </w:p>
        </w:tc>
        <w:tc>
          <w:tcPr>
            <w:tcW w:w="1871" w:type="dxa"/>
            <w:noWrap/>
            <w:hideMark/>
          </w:tcPr>
          <w:p>
            <w:pPr>
              <w:rPr>
                <w:noProof/>
              </w:rPr>
            </w:pPr>
            <w:r>
              <w:rPr>
                <w:noProof/>
              </w:rPr>
              <w:t>42</w:t>
            </w:r>
          </w:p>
        </w:tc>
        <w:tc>
          <w:tcPr>
            <w:tcW w:w="1916" w:type="dxa"/>
            <w:noWrap/>
            <w:hideMark/>
          </w:tcPr>
          <w:p>
            <w:pPr>
              <w:rPr>
                <w:noProof/>
              </w:rPr>
            </w:pPr>
            <w:r>
              <w:rPr>
                <w:noProof/>
              </w:rPr>
              <w:t>119</w:t>
            </w:r>
          </w:p>
        </w:tc>
        <w:tc>
          <w:tcPr>
            <w:tcW w:w="2137" w:type="dxa"/>
            <w:noWrap/>
            <w:hideMark/>
          </w:tcPr>
          <w:p>
            <w:pPr>
              <w:rPr>
                <w:b/>
                <w:noProof/>
              </w:rPr>
            </w:pPr>
            <w:r>
              <w:rPr>
                <w:b/>
                <w:noProof/>
              </w:rPr>
              <w:t>165</w:t>
            </w:r>
          </w:p>
        </w:tc>
      </w:tr>
      <w:tr>
        <w:trPr>
          <w:trHeight w:val="300"/>
        </w:trPr>
        <w:tc>
          <w:tcPr>
            <w:tcW w:w="1826" w:type="dxa"/>
            <w:noWrap/>
            <w:hideMark/>
          </w:tcPr>
          <w:p>
            <w:pPr>
              <w:rPr>
                <w:b/>
                <w:noProof/>
              </w:rPr>
            </w:pPr>
            <w:r>
              <w:rPr>
                <w:b/>
                <w:noProof/>
              </w:rPr>
              <w:t>2000-2009</w:t>
            </w:r>
          </w:p>
        </w:tc>
        <w:tc>
          <w:tcPr>
            <w:tcW w:w="1523" w:type="dxa"/>
            <w:noWrap/>
            <w:hideMark/>
          </w:tcPr>
          <w:p>
            <w:pPr>
              <w:rPr>
                <w:noProof/>
              </w:rPr>
            </w:pPr>
            <w:r>
              <w:rPr>
                <w:noProof/>
              </w:rPr>
              <w:t>1</w:t>
            </w:r>
          </w:p>
        </w:tc>
        <w:tc>
          <w:tcPr>
            <w:tcW w:w="1409" w:type="dxa"/>
            <w:noWrap/>
            <w:hideMark/>
          </w:tcPr>
          <w:p>
            <w:pPr>
              <w:rPr>
                <w:noProof/>
              </w:rPr>
            </w:pPr>
            <w:r>
              <w:rPr>
                <w:noProof/>
              </w:rPr>
              <w:t>3</w:t>
            </w:r>
          </w:p>
        </w:tc>
        <w:tc>
          <w:tcPr>
            <w:tcW w:w="1871" w:type="dxa"/>
            <w:noWrap/>
            <w:hideMark/>
          </w:tcPr>
          <w:p>
            <w:pPr>
              <w:rPr>
                <w:noProof/>
              </w:rPr>
            </w:pPr>
            <w:r>
              <w:rPr>
                <w:noProof/>
              </w:rPr>
              <w:t>40</w:t>
            </w:r>
          </w:p>
        </w:tc>
        <w:tc>
          <w:tcPr>
            <w:tcW w:w="1916" w:type="dxa"/>
            <w:noWrap/>
            <w:hideMark/>
          </w:tcPr>
          <w:p>
            <w:pPr>
              <w:rPr>
                <w:noProof/>
              </w:rPr>
            </w:pPr>
            <w:r>
              <w:rPr>
                <w:noProof/>
              </w:rPr>
              <w:t>70</w:t>
            </w:r>
          </w:p>
        </w:tc>
        <w:tc>
          <w:tcPr>
            <w:tcW w:w="2137" w:type="dxa"/>
            <w:noWrap/>
            <w:hideMark/>
          </w:tcPr>
          <w:p>
            <w:pPr>
              <w:rPr>
                <w:b/>
                <w:noProof/>
              </w:rPr>
            </w:pPr>
            <w:r>
              <w:rPr>
                <w:b/>
                <w:noProof/>
              </w:rPr>
              <w:t>114</w:t>
            </w:r>
          </w:p>
        </w:tc>
      </w:tr>
      <w:tr>
        <w:trPr>
          <w:trHeight w:val="300"/>
        </w:trPr>
        <w:tc>
          <w:tcPr>
            <w:tcW w:w="1826" w:type="dxa"/>
            <w:noWrap/>
            <w:hideMark/>
          </w:tcPr>
          <w:p>
            <w:pPr>
              <w:rPr>
                <w:b/>
                <w:noProof/>
              </w:rPr>
            </w:pPr>
            <w:r>
              <w:rPr>
                <w:b/>
                <w:noProof/>
              </w:rPr>
              <w:t>2010-2019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10</w:t>
            </w:r>
          </w:p>
        </w:tc>
        <w:tc>
          <w:tcPr>
            <w:tcW w:w="1916" w:type="dxa"/>
            <w:noWrap/>
            <w:hideMark/>
          </w:tcPr>
          <w:p>
            <w:pPr>
              <w:rPr>
                <w:noProof/>
              </w:rPr>
            </w:pPr>
            <w:r>
              <w:rPr>
                <w:noProof/>
              </w:rPr>
              <w:t>43</w:t>
            </w:r>
          </w:p>
        </w:tc>
        <w:tc>
          <w:tcPr>
            <w:tcW w:w="2137" w:type="dxa"/>
            <w:noWrap/>
            <w:hideMark/>
          </w:tcPr>
          <w:p>
            <w:pPr>
              <w:rPr>
                <w:b/>
                <w:noProof/>
              </w:rPr>
            </w:pPr>
            <w:r>
              <w:rPr>
                <w:b/>
                <w:noProof/>
              </w:rPr>
              <w:t>53</w:t>
            </w:r>
          </w:p>
        </w:tc>
      </w:tr>
      <w:tr>
        <w:trPr>
          <w:trHeight w:val="300"/>
        </w:trPr>
        <w:tc>
          <w:tcPr>
            <w:tcW w:w="1826" w:type="dxa"/>
            <w:noWrap/>
            <w:hideMark/>
          </w:tcPr>
          <w:p>
            <w:pPr>
              <w:rPr>
                <w:b/>
                <w:noProof/>
              </w:rPr>
            </w:pPr>
            <w:r>
              <w:rPr>
                <w:b/>
                <w:noProof/>
              </w:rPr>
              <w:t>2020-2029</w:t>
            </w:r>
          </w:p>
        </w:tc>
        <w:tc>
          <w:tcPr>
            <w:tcW w:w="1523" w:type="dxa"/>
            <w:noWrap/>
            <w:hideMark/>
          </w:tcPr>
          <w:p>
            <w:pPr>
              <w:rPr>
                <w:noProof/>
              </w:rPr>
            </w:pPr>
            <w:r>
              <w:rPr>
                <w:noProof/>
              </w:rPr>
              <w:t>0</w:t>
            </w:r>
          </w:p>
        </w:tc>
        <w:tc>
          <w:tcPr>
            <w:tcW w:w="1409" w:type="dxa"/>
            <w:noWrap/>
            <w:hideMark/>
          </w:tcPr>
          <w:p>
            <w:pPr>
              <w:rPr>
                <w:noProof/>
              </w:rPr>
            </w:pPr>
            <w:r>
              <w:rPr>
                <w:noProof/>
              </w:rPr>
              <w:t>0</w:t>
            </w:r>
          </w:p>
        </w:tc>
        <w:tc>
          <w:tcPr>
            <w:tcW w:w="1871" w:type="dxa"/>
            <w:noWrap/>
            <w:hideMark/>
          </w:tcPr>
          <w:p>
            <w:pPr>
              <w:rPr>
                <w:noProof/>
              </w:rPr>
            </w:pPr>
            <w:r>
              <w:rPr>
                <w:noProof/>
              </w:rPr>
              <w:t>0</w:t>
            </w:r>
          </w:p>
        </w:tc>
        <w:tc>
          <w:tcPr>
            <w:tcW w:w="1916" w:type="dxa"/>
            <w:noWrap/>
            <w:hideMark/>
          </w:tcPr>
          <w:p>
            <w:pPr>
              <w:rPr>
                <w:noProof/>
              </w:rPr>
            </w:pPr>
            <w:r>
              <w:rPr>
                <w:noProof/>
              </w:rPr>
              <w:t>0</w:t>
            </w:r>
          </w:p>
        </w:tc>
        <w:tc>
          <w:tcPr>
            <w:tcW w:w="2137" w:type="dxa"/>
            <w:noWrap/>
            <w:hideMark/>
          </w:tcPr>
          <w:p>
            <w:pPr>
              <w:rPr>
                <w:b/>
                <w:noProof/>
              </w:rPr>
            </w:pPr>
            <w:r>
              <w:rPr>
                <w:b/>
                <w:noProof/>
              </w:rPr>
              <w:t>0</w:t>
            </w:r>
          </w:p>
        </w:tc>
      </w:tr>
      <w:tr>
        <w:trPr>
          <w:trHeight w:val="300"/>
        </w:trPr>
        <w:tc>
          <w:tcPr>
            <w:tcW w:w="1826" w:type="dxa"/>
            <w:noWrap/>
            <w:hideMark/>
          </w:tcPr>
          <w:p>
            <w:pPr>
              <w:rPr>
                <w:b/>
                <w:noProof/>
              </w:rPr>
            </w:pPr>
            <w:r>
              <w:rPr>
                <w:b/>
                <w:noProof/>
              </w:rPr>
              <w:t>EU Total</w:t>
            </w:r>
          </w:p>
        </w:tc>
        <w:tc>
          <w:tcPr>
            <w:tcW w:w="1523" w:type="dxa"/>
            <w:noWrap/>
            <w:hideMark/>
          </w:tcPr>
          <w:p>
            <w:pPr>
              <w:rPr>
                <w:b/>
                <w:noProof/>
              </w:rPr>
            </w:pPr>
            <w:r>
              <w:rPr>
                <w:b/>
                <w:noProof/>
              </w:rPr>
              <w:t>2</w:t>
            </w:r>
          </w:p>
        </w:tc>
        <w:tc>
          <w:tcPr>
            <w:tcW w:w="1409" w:type="dxa"/>
            <w:noWrap/>
            <w:hideMark/>
          </w:tcPr>
          <w:p>
            <w:pPr>
              <w:rPr>
                <w:b/>
                <w:noProof/>
              </w:rPr>
            </w:pPr>
            <w:r>
              <w:rPr>
                <w:b/>
                <w:noProof/>
              </w:rPr>
              <w:t>8</w:t>
            </w:r>
          </w:p>
        </w:tc>
        <w:tc>
          <w:tcPr>
            <w:tcW w:w="1871" w:type="dxa"/>
            <w:noWrap/>
            <w:hideMark/>
          </w:tcPr>
          <w:p>
            <w:pPr>
              <w:rPr>
                <w:b/>
                <w:noProof/>
              </w:rPr>
            </w:pPr>
            <w:r>
              <w:rPr>
                <w:b/>
                <w:noProof/>
              </w:rPr>
              <w:t>166</w:t>
            </w:r>
          </w:p>
        </w:tc>
        <w:tc>
          <w:tcPr>
            <w:tcW w:w="1916" w:type="dxa"/>
            <w:noWrap/>
            <w:hideMark/>
          </w:tcPr>
          <w:p>
            <w:pPr>
              <w:rPr>
                <w:b/>
                <w:noProof/>
              </w:rPr>
            </w:pPr>
            <w:r>
              <w:rPr>
                <w:b/>
                <w:noProof/>
              </w:rPr>
              <w:t>380</w:t>
            </w:r>
          </w:p>
        </w:tc>
        <w:tc>
          <w:tcPr>
            <w:tcW w:w="2137" w:type="dxa"/>
            <w:noWrap/>
            <w:hideMark/>
          </w:tcPr>
          <w:p>
            <w:pPr>
              <w:rPr>
                <w:b/>
                <w:noProof/>
              </w:rPr>
            </w:pPr>
            <w:r>
              <w:rPr>
                <w:b/>
                <w:noProof/>
              </w:rPr>
              <w:t>556</w:t>
            </w:r>
          </w:p>
        </w:tc>
      </w:tr>
    </w:tbl>
    <w:p>
      <w:pPr>
        <w:rPr>
          <w:noProof/>
        </w:rPr>
      </w:pPr>
    </w:p>
    <w:p>
      <w:pPr>
        <w:spacing w:after="0" w:line="240" w:lineRule="auto"/>
        <w:rPr>
          <w:rFonts w:ascii="Times New Roman" w:hAnsi="Times New Roman"/>
          <w:noProof/>
          <w:sz w:val="24"/>
          <w:szCs w:val="24"/>
        </w:rPr>
      </w:pPr>
      <w:r>
        <w:rPr>
          <w:rFonts w:ascii="Times New Roman" w:hAnsi="Times New Roman"/>
          <w:noProof/>
          <w:sz w:val="24"/>
          <w:szCs w:val="24"/>
        </w:rPr>
        <w:br w:type="page"/>
      </w:r>
    </w:p>
    <w:p>
      <w:pPr>
        <w:jc w:val="both"/>
        <w:rPr>
          <w:rFonts w:ascii="Times New Roman" w:hAnsi="Times New Roman"/>
          <w:noProof/>
          <w:sz w:val="24"/>
          <w:szCs w:val="24"/>
        </w:rPr>
      </w:pPr>
      <w:r>
        <w:rPr>
          <w:rFonts w:ascii="Times New Roman" w:hAnsi="Times New Roman"/>
          <w:noProof/>
          <w:sz w:val="24"/>
          <w:szCs w:val="24"/>
        </w:rPr>
        <w:t>The largest part (approximately 94%) of the EU’s domestic oil and gas is produced in the North Sea and Atlantic region (Table 3). The United Kingdom is by far the largest contributor, followed by the Netherlands and Denmark. Italy and Croatia are active producers in the Mediterranean Sea, while in the Black Sea only Romania currently has a noticeable oil and gas output.</w:t>
      </w: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Offshore oil and gas production in the EU in kilo tons of oil equivalent (ktoe)</w:t>
      </w:r>
    </w:p>
    <w:tbl>
      <w:tblPr>
        <w:tblStyle w:val="TableGrid"/>
        <w:tblW w:w="10682" w:type="dxa"/>
        <w:tblLook w:val="04A0" w:firstRow="1" w:lastRow="0" w:firstColumn="1" w:lastColumn="0" w:noHBand="0" w:noVBand="1"/>
      </w:tblPr>
      <w:tblGrid>
        <w:gridCol w:w="2843"/>
        <w:gridCol w:w="2354"/>
        <w:gridCol w:w="2849"/>
        <w:gridCol w:w="2636"/>
      </w:tblGrid>
      <w:tr>
        <w:trPr>
          <w:trHeight w:val="300"/>
        </w:trPr>
        <w:tc>
          <w:tcPr>
            <w:tcW w:w="2843" w:type="dxa"/>
            <w:noWrap/>
            <w:hideMark/>
          </w:tcPr>
          <w:p>
            <w:pPr>
              <w:rPr>
                <w:b/>
                <w:noProof/>
              </w:rPr>
            </w:pPr>
            <w:r>
              <w:rPr>
                <w:b/>
                <w:noProof/>
              </w:rPr>
              <w:t>REGION</w:t>
            </w:r>
          </w:p>
        </w:tc>
        <w:tc>
          <w:tcPr>
            <w:tcW w:w="2354" w:type="dxa"/>
            <w:noWrap/>
            <w:hideMark/>
          </w:tcPr>
          <w:p>
            <w:pPr>
              <w:rPr>
                <w:b/>
                <w:noProof/>
              </w:rPr>
            </w:pPr>
            <w:r>
              <w:rPr>
                <w:b/>
                <w:noProof/>
              </w:rPr>
              <w:t>Country</w:t>
            </w:r>
          </w:p>
        </w:tc>
        <w:tc>
          <w:tcPr>
            <w:tcW w:w="2849" w:type="dxa"/>
            <w:noWrap/>
            <w:hideMark/>
          </w:tcPr>
          <w:p>
            <w:pPr>
              <w:rPr>
                <w:b/>
                <w:noProof/>
              </w:rPr>
            </w:pPr>
            <w:r>
              <w:rPr>
                <w:b/>
                <w:noProof/>
              </w:rPr>
              <w:t>ktoe</w:t>
            </w:r>
          </w:p>
        </w:tc>
        <w:tc>
          <w:tcPr>
            <w:tcW w:w="2636" w:type="dxa"/>
            <w:noWrap/>
            <w:hideMark/>
          </w:tcPr>
          <w:p>
            <w:pPr>
              <w:rPr>
                <w:b/>
                <w:noProof/>
              </w:rPr>
            </w:pPr>
            <w:r>
              <w:rPr>
                <w:b/>
                <w:noProof/>
              </w:rPr>
              <w:t>% of EU Total</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Baltic Sea</w:t>
            </w:r>
          </w:p>
        </w:tc>
        <w:tc>
          <w:tcPr>
            <w:tcW w:w="2354" w:type="dxa"/>
            <w:tcBorders>
              <w:left w:val="single" w:sz="4" w:space="0" w:color="FFFFFF" w:themeColor="background1"/>
            </w:tcBorders>
            <w:noWrap/>
            <w:hideMark/>
          </w:tcPr>
          <w:p>
            <w:pPr>
              <w:rPr>
                <w:b/>
                <w:noProof/>
              </w:rPr>
            </w:pPr>
          </w:p>
        </w:tc>
        <w:tc>
          <w:tcPr>
            <w:tcW w:w="2849" w:type="dxa"/>
            <w:noWrap/>
            <w:hideMark/>
          </w:tcPr>
          <w:p>
            <w:pPr>
              <w:jc w:val="center"/>
              <w:rPr>
                <w:b/>
                <w:noProof/>
              </w:rPr>
            </w:pPr>
            <w:r>
              <w:rPr>
                <w:b/>
                <w:noProof/>
              </w:rPr>
              <w:t>210.98</w:t>
            </w:r>
          </w:p>
        </w:tc>
        <w:tc>
          <w:tcPr>
            <w:tcW w:w="2636" w:type="dxa"/>
            <w:noWrap/>
            <w:hideMark/>
          </w:tcPr>
          <w:p>
            <w:pPr>
              <w:jc w:val="center"/>
              <w:rPr>
                <w:b/>
                <w:noProof/>
              </w:rPr>
            </w:pPr>
            <w:r>
              <w:rPr>
                <w:b/>
                <w:noProof/>
              </w:rPr>
              <w:t>0.19%</w:t>
            </w:r>
          </w:p>
        </w:tc>
      </w:tr>
      <w:tr>
        <w:trPr>
          <w:trHeight w:val="300"/>
        </w:trPr>
        <w:tc>
          <w:tcPr>
            <w:tcW w:w="2843" w:type="dxa"/>
            <w:tcBorders>
              <w:top w:val="single" w:sz="4" w:space="0" w:color="FFFFFF" w:themeColor="background1"/>
            </w:tcBorders>
            <w:noWrap/>
          </w:tcPr>
          <w:p>
            <w:pPr>
              <w:rPr>
                <w:b/>
                <w:noProof/>
              </w:rPr>
            </w:pPr>
          </w:p>
        </w:tc>
        <w:tc>
          <w:tcPr>
            <w:tcW w:w="2354" w:type="dxa"/>
            <w:noWrap/>
            <w:hideMark/>
          </w:tcPr>
          <w:p>
            <w:pPr>
              <w:rPr>
                <w:noProof/>
              </w:rPr>
            </w:pPr>
            <w:r>
              <w:rPr>
                <w:noProof/>
              </w:rPr>
              <w:t>Poland</w:t>
            </w:r>
          </w:p>
        </w:tc>
        <w:tc>
          <w:tcPr>
            <w:tcW w:w="2849" w:type="dxa"/>
            <w:noWrap/>
            <w:hideMark/>
          </w:tcPr>
          <w:p>
            <w:pPr>
              <w:jc w:val="center"/>
              <w:rPr>
                <w:noProof/>
              </w:rPr>
            </w:pPr>
            <w:r>
              <w:rPr>
                <w:noProof/>
              </w:rPr>
              <w:t>210.98</w:t>
            </w:r>
          </w:p>
        </w:tc>
        <w:tc>
          <w:tcPr>
            <w:tcW w:w="2636" w:type="dxa"/>
            <w:noWrap/>
            <w:hideMark/>
          </w:tcPr>
          <w:p>
            <w:pPr>
              <w:jc w:val="center"/>
              <w:rPr>
                <w:noProof/>
              </w:rPr>
            </w:pPr>
            <w:r>
              <w:rPr>
                <w:noProof/>
              </w:rPr>
              <w:t>0.19%</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Black Sea</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1138.87</w:t>
            </w:r>
          </w:p>
        </w:tc>
        <w:tc>
          <w:tcPr>
            <w:tcW w:w="2636" w:type="dxa"/>
            <w:noWrap/>
            <w:hideMark/>
          </w:tcPr>
          <w:p>
            <w:pPr>
              <w:jc w:val="center"/>
              <w:rPr>
                <w:b/>
                <w:noProof/>
              </w:rPr>
            </w:pPr>
            <w:r>
              <w:rPr>
                <w:b/>
                <w:noProof/>
              </w:rPr>
              <w:t>1.01%</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hideMark/>
          </w:tcPr>
          <w:p>
            <w:pPr>
              <w:rPr>
                <w:noProof/>
              </w:rPr>
            </w:pPr>
            <w:r>
              <w:rPr>
                <w:noProof/>
              </w:rPr>
              <w:t>Bulgaria</w:t>
            </w:r>
          </w:p>
        </w:tc>
        <w:tc>
          <w:tcPr>
            <w:tcW w:w="2849" w:type="dxa"/>
            <w:noWrap/>
            <w:hideMark/>
          </w:tcPr>
          <w:p>
            <w:pPr>
              <w:jc w:val="center"/>
              <w:rPr>
                <w:noProof/>
              </w:rPr>
            </w:pPr>
            <w:r>
              <w:rPr>
                <w:noProof/>
              </w:rPr>
              <w:t>4.71</w:t>
            </w:r>
          </w:p>
        </w:tc>
        <w:tc>
          <w:tcPr>
            <w:tcW w:w="2636" w:type="dxa"/>
            <w:noWrap/>
            <w:hideMark/>
          </w:tcPr>
          <w:p>
            <w:pPr>
              <w:jc w:val="center"/>
              <w:rPr>
                <w:noProof/>
              </w:rPr>
            </w:pPr>
            <w:r>
              <w:rPr>
                <w:noProof/>
              </w:rPr>
              <w:t>0.00%</w:t>
            </w:r>
          </w:p>
        </w:tc>
      </w:tr>
      <w:tr>
        <w:trPr>
          <w:trHeight w:val="300"/>
        </w:trPr>
        <w:tc>
          <w:tcPr>
            <w:tcW w:w="2843" w:type="dxa"/>
            <w:tcBorders>
              <w:top w:val="single" w:sz="4" w:space="0" w:color="FFFFFF" w:themeColor="background1"/>
            </w:tcBorders>
            <w:noWrap/>
          </w:tcPr>
          <w:p>
            <w:pPr>
              <w:rPr>
                <w:b/>
                <w:noProof/>
              </w:rPr>
            </w:pPr>
          </w:p>
        </w:tc>
        <w:tc>
          <w:tcPr>
            <w:tcW w:w="2354" w:type="dxa"/>
            <w:noWrap/>
            <w:hideMark/>
          </w:tcPr>
          <w:p>
            <w:pPr>
              <w:rPr>
                <w:noProof/>
              </w:rPr>
            </w:pPr>
            <w:r>
              <w:rPr>
                <w:noProof/>
              </w:rPr>
              <w:t>Romania</w:t>
            </w:r>
          </w:p>
        </w:tc>
        <w:tc>
          <w:tcPr>
            <w:tcW w:w="2849" w:type="dxa"/>
            <w:noWrap/>
            <w:hideMark/>
          </w:tcPr>
          <w:p>
            <w:pPr>
              <w:jc w:val="center"/>
              <w:rPr>
                <w:noProof/>
              </w:rPr>
            </w:pPr>
            <w:r>
              <w:rPr>
                <w:noProof/>
              </w:rPr>
              <w:t>1134.16</w:t>
            </w:r>
          </w:p>
        </w:tc>
        <w:tc>
          <w:tcPr>
            <w:tcW w:w="2636" w:type="dxa"/>
            <w:noWrap/>
            <w:hideMark/>
          </w:tcPr>
          <w:p>
            <w:pPr>
              <w:jc w:val="center"/>
              <w:rPr>
                <w:noProof/>
              </w:rPr>
            </w:pPr>
            <w:r>
              <w:rPr>
                <w:noProof/>
              </w:rPr>
              <w:t>1.01%</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Mediterranean</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4139.61</w:t>
            </w:r>
          </w:p>
        </w:tc>
        <w:tc>
          <w:tcPr>
            <w:tcW w:w="2636" w:type="dxa"/>
            <w:noWrap/>
            <w:hideMark/>
          </w:tcPr>
          <w:p>
            <w:pPr>
              <w:jc w:val="center"/>
              <w:rPr>
                <w:b/>
                <w:noProof/>
              </w:rPr>
            </w:pPr>
            <w:r>
              <w:rPr>
                <w:b/>
                <w:noProof/>
              </w:rPr>
              <w:t>3.69%</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Croatia</w:t>
            </w:r>
          </w:p>
        </w:tc>
        <w:tc>
          <w:tcPr>
            <w:tcW w:w="2849" w:type="dxa"/>
            <w:noWrap/>
          </w:tcPr>
          <w:p>
            <w:pPr>
              <w:jc w:val="center"/>
              <w:rPr>
                <w:noProof/>
              </w:rPr>
            </w:pPr>
            <w:r>
              <w:rPr>
                <w:noProof/>
              </w:rPr>
              <w:t>528.20</w:t>
            </w:r>
          </w:p>
        </w:tc>
        <w:tc>
          <w:tcPr>
            <w:tcW w:w="2636" w:type="dxa"/>
            <w:noWrap/>
          </w:tcPr>
          <w:p>
            <w:pPr>
              <w:jc w:val="center"/>
              <w:rPr>
                <w:noProof/>
              </w:rPr>
            </w:pPr>
            <w:r>
              <w:rPr>
                <w:noProof/>
              </w:rPr>
              <w:t>0.47%</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Greece</w:t>
            </w:r>
          </w:p>
        </w:tc>
        <w:tc>
          <w:tcPr>
            <w:tcW w:w="2849" w:type="dxa"/>
            <w:noWrap/>
          </w:tcPr>
          <w:p>
            <w:pPr>
              <w:jc w:val="center"/>
              <w:rPr>
                <w:noProof/>
              </w:rPr>
            </w:pPr>
            <w:r>
              <w:rPr>
                <w:noProof/>
              </w:rPr>
              <w:t>211.01</w:t>
            </w:r>
          </w:p>
        </w:tc>
        <w:tc>
          <w:tcPr>
            <w:tcW w:w="2636" w:type="dxa"/>
            <w:noWrap/>
          </w:tcPr>
          <w:p>
            <w:pPr>
              <w:jc w:val="center"/>
              <w:rPr>
                <w:noProof/>
              </w:rPr>
            </w:pPr>
            <w:r>
              <w:rPr>
                <w:noProof/>
              </w:rPr>
              <w:t>0.19%</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Italy</w:t>
            </w:r>
          </w:p>
        </w:tc>
        <w:tc>
          <w:tcPr>
            <w:tcW w:w="2849" w:type="dxa"/>
            <w:noWrap/>
          </w:tcPr>
          <w:p>
            <w:pPr>
              <w:jc w:val="center"/>
              <w:rPr>
                <w:noProof/>
              </w:rPr>
            </w:pPr>
            <w:r>
              <w:rPr>
                <w:noProof/>
              </w:rPr>
              <w:t>3311.00</w:t>
            </w:r>
          </w:p>
        </w:tc>
        <w:tc>
          <w:tcPr>
            <w:tcW w:w="2636" w:type="dxa"/>
            <w:noWrap/>
          </w:tcPr>
          <w:p>
            <w:pPr>
              <w:jc w:val="center"/>
              <w:rPr>
                <w:noProof/>
              </w:rPr>
            </w:pPr>
            <w:r>
              <w:rPr>
                <w:noProof/>
              </w:rPr>
              <w:t>2.95%</w:t>
            </w:r>
          </w:p>
        </w:tc>
      </w:tr>
      <w:tr>
        <w:trPr>
          <w:trHeight w:val="300"/>
        </w:trPr>
        <w:tc>
          <w:tcPr>
            <w:tcW w:w="2843" w:type="dxa"/>
            <w:tcBorders>
              <w:top w:val="single" w:sz="4" w:space="0" w:color="FFFFFF" w:themeColor="background1"/>
            </w:tcBorders>
            <w:noWrap/>
          </w:tcPr>
          <w:p>
            <w:pPr>
              <w:rPr>
                <w:b/>
                <w:noProof/>
              </w:rPr>
            </w:pPr>
          </w:p>
        </w:tc>
        <w:tc>
          <w:tcPr>
            <w:tcW w:w="2354" w:type="dxa"/>
            <w:noWrap/>
          </w:tcPr>
          <w:p>
            <w:pPr>
              <w:rPr>
                <w:noProof/>
              </w:rPr>
            </w:pPr>
            <w:r>
              <w:rPr>
                <w:noProof/>
              </w:rPr>
              <w:t>Spain</w:t>
            </w:r>
          </w:p>
        </w:tc>
        <w:tc>
          <w:tcPr>
            <w:tcW w:w="2849" w:type="dxa"/>
            <w:noWrap/>
          </w:tcPr>
          <w:p>
            <w:pPr>
              <w:jc w:val="center"/>
              <w:rPr>
                <w:noProof/>
              </w:rPr>
            </w:pPr>
            <w:r>
              <w:rPr>
                <w:noProof/>
              </w:rPr>
              <w:t>89.40</w:t>
            </w:r>
          </w:p>
        </w:tc>
        <w:tc>
          <w:tcPr>
            <w:tcW w:w="2636" w:type="dxa"/>
            <w:noWrap/>
          </w:tcPr>
          <w:p>
            <w:pPr>
              <w:jc w:val="center"/>
              <w:rPr>
                <w:noProof/>
              </w:rPr>
            </w:pPr>
            <w:r>
              <w:rPr>
                <w:noProof/>
              </w:rPr>
              <w:t>0.08%</w:t>
            </w:r>
          </w:p>
        </w:tc>
      </w:tr>
      <w:tr>
        <w:trPr>
          <w:trHeight w:val="300"/>
        </w:trPr>
        <w:tc>
          <w:tcPr>
            <w:tcW w:w="2843" w:type="dxa"/>
            <w:tcBorders>
              <w:bottom w:val="single" w:sz="4" w:space="0" w:color="FFFFFF" w:themeColor="background1"/>
              <w:right w:val="single" w:sz="4" w:space="0" w:color="FFFFFF" w:themeColor="background1"/>
            </w:tcBorders>
            <w:noWrap/>
            <w:hideMark/>
          </w:tcPr>
          <w:p>
            <w:pPr>
              <w:rPr>
                <w:b/>
                <w:noProof/>
              </w:rPr>
            </w:pPr>
            <w:r>
              <w:rPr>
                <w:b/>
                <w:noProof/>
              </w:rPr>
              <w:t>North Sea and Atlantic</w:t>
            </w:r>
          </w:p>
        </w:tc>
        <w:tc>
          <w:tcPr>
            <w:tcW w:w="2354" w:type="dxa"/>
            <w:tcBorders>
              <w:left w:val="single" w:sz="4" w:space="0" w:color="FFFFFF" w:themeColor="background1"/>
            </w:tcBorders>
            <w:noWrap/>
            <w:hideMark/>
          </w:tcPr>
          <w:p>
            <w:pPr>
              <w:rPr>
                <w:noProof/>
              </w:rPr>
            </w:pPr>
          </w:p>
        </w:tc>
        <w:tc>
          <w:tcPr>
            <w:tcW w:w="2849" w:type="dxa"/>
            <w:noWrap/>
            <w:hideMark/>
          </w:tcPr>
          <w:p>
            <w:pPr>
              <w:jc w:val="center"/>
              <w:rPr>
                <w:b/>
                <w:noProof/>
              </w:rPr>
            </w:pPr>
            <w:r>
              <w:rPr>
                <w:b/>
                <w:noProof/>
              </w:rPr>
              <w:t>106727.60</w:t>
            </w:r>
          </w:p>
        </w:tc>
        <w:tc>
          <w:tcPr>
            <w:tcW w:w="2636" w:type="dxa"/>
            <w:noWrap/>
            <w:hideMark/>
          </w:tcPr>
          <w:p>
            <w:pPr>
              <w:jc w:val="center"/>
              <w:rPr>
                <w:b/>
                <w:noProof/>
              </w:rPr>
            </w:pPr>
            <w:r>
              <w:rPr>
                <w:b/>
                <w:noProof/>
              </w:rPr>
              <w:t>95.11%</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Denmark</w:t>
            </w:r>
          </w:p>
        </w:tc>
        <w:tc>
          <w:tcPr>
            <w:tcW w:w="2849" w:type="dxa"/>
            <w:noWrap/>
          </w:tcPr>
          <w:p>
            <w:pPr>
              <w:jc w:val="center"/>
              <w:rPr>
                <w:noProof/>
              </w:rPr>
            </w:pPr>
            <w:r>
              <w:rPr>
                <w:noProof/>
              </w:rPr>
              <w:t>9589.00</w:t>
            </w:r>
          </w:p>
        </w:tc>
        <w:tc>
          <w:tcPr>
            <w:tcW w:w="2636" w:type="dxa"/>
            <w:noWrap/>
          </w:tcPr>
          <w:p>
            <w:pPr>
              <w:jc w:val="center"/>
              <w:rPr>
                <w:noProof/>
              </w:rPr>
            </w:pPr>
            <w:r>
              <w:rPr>
                <w:noProof/>
              </w:rPr>
              <w:t>8.55%</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hideMark/>
          </w:tcPr>
          <w:p>
            <w:pPr>
              <w:rPr>
                <w:noProof/>
              </w:rPr>
            </w:pPr>
            <w:r>
              <w:rPr>
                <w:noProof/>
              </w:rPr>
              <w:t>Germany</w:t>
            </w:r>
          </w:p>
        </w:tc>
        <w:tc>
          <w:tcPr>
            <w:tcW w:w="2849" w:type="dxa"/>
            <w:noWrap/>
            <w:hideMark/>
          </w:tcPr>
          <w:p>
            <w:pPr>
              <w:jc w:val="center"/>
              <w:rPr>
                <w:noProof/>
              </w:rPr>
            </w:pPr>
            <w:r>
              <w:rPr>
                <w:noProof/>
              </w:rPr>
              <w:t>915.00</w:t>
            </w:r>
          </w:p>
        </w:tc>
        <w:tc>
          <w:tcPr>
            <w:tcW w:w="2636" w:type="dxa"/>
            <w:noWrap/>
            <w:hideMark/>
          </w:tcPr>
          <w:p>
            <w:pPr>
              <w:jc w:val="center"/>
              <w:rPr>
                <w:noProof/>
              </w:rPr>
            </w:pPr>
            <w:r>
              <w:rPr>
                <w:noProof/>
              </w:rPr>
              <w:t>0.82%</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Ireland</w:t>
            </w:r>
          </w:p>
        </w:tc>
        <w:tc>
          <w:tcPr>
            <w:tcW w:w="2849" w:type="dxa"/>
            <w:noWrap/>
          </w:tcPr>
          <w:p>
            <w:pPr>
              <w:jc w:val="center"/>
              <w:rPr>
                <w:noProof/>
              </w:rPr>
            </w:pPr>
            <w:r>
              <w:rPr>
                <w:noProof/>
              </w:rPr>
              <w:t>311.17</w:t>
            </w:r>
          </w:p>
        </w:tc>
        <w:tc>
          <w:tcPr>
            <w:tcW w:w="2636" w:type="dxa"/>
            <w:noWrap/>
          </w:tcPr>
          <w:p>
            <w:pPr>
              <w:jc w:val="center"/>
              <w:rPr>
                <w:noProof/>
              </w:rPr>
            </w:pPr>
            <w:r>
              <w:rPr>
                <w:noProof/>
              </w:rPr>
              <w:t>0.28%</w:t>
            </w:r>
          </w:p>
        </w:tc>
      </w:tr>
      <w:tr>
        <w:trPr>
          <w:trHeight w:val="300"/>
        </w:trPr>
        <w:tc>
          <w:tcPr>
            <w:tcW w:w="2843" w:type="dxa"/>
            <w:tcBorders>
              <w:top w:val="single" w:sz="4" w:space="0" w:color="FFFFFF" w:themeColor="background1"/>
              <w:bottom w:val="single" w:sz="4" w:space="0" w:color="FFFFFF" w:themeColor="background1"/>
            </w:tcBorders>
            <w:noWrap/>
          </w:tcPr>
          <w:p>
            <w:pPr>
              <w:rPr>
                <w:b/>
                <w:noProof/>
              </w:rPr>
            </w:pPr>
          </w:p>
        </w:tc>
        <w:tc>
          <w:tcPr>
            <w:tcW w:w="2354" w:type="dxa"/>
            <w:noWrap/>
          </w:tcPr>
          <w:p>
            <w:pPr>
              <w:rPr>
                <w:noProof/>
              </w:rPr>
            </w:pPr>
            <w:r>
              <w:rPr>
                <w:noProof/>
              </w:rPr>
              <w:t>The Netherlands</w:t>
            </w:r>
          </w:p>
        </w:tc>
        <w:tc>
          <w:tcPr>
            <w:tcW w:w="2849" w:type="dxa"/>
            <w:noWrap/>
          </w:tcPr>
          <w:p>
            <w:pPr>
              <w:jc w:val="center"/>
              <w:rPr>
                <w:noProof/>
              </w:rPr>
            </w:pPr>
            <w:r>
              <w:rPr>
                <w:noProof/>
              </w:rPr>
              <w:t>11681.00</w:t>
            </w:r>
          </w:p>
        </w:tc>
        <w:tc>
          <w:tcPr>
            <w:tcW w:w="2636" w:type="dxa"/>
            <w:noWrap/>
          </w:tcPr>
          <w:p>
            <w:pPr>
              <w:jc w:val="center"/>
              <w:rPr>
                <w:noProof/>
              </w:rPr>
            </w:pPr>
            <w:r>
              <w:rPr>
                <w:noProof/>
              </w:rPr>
              <w:t>10.41%</w:t>
            </w:r>
          </w:p>
        </w:tc>
      </w:tr>
      <w:tr>
        <w:trPr>
          <w:trHeight w:val="300"/>
        </w:trPr>
        <w:tc>
          <w:tcPr>
            <w:tcW w:w="2843" w:type="dxa"/>
            <w:tcBorders>
              <w:top w:val="single" w:sz="4" w:space="0" w:color="FFFFFF" w:themeColor="background1"/>
            </w:tcBorders>
            <w:noWrap/>
          </w:tcPr>
          <w:p>
            <w:pPr>
              <w:rPr>
                <w:b/>
                <w:noProof/>
              </w:rPr>
            </w:pPr>
          </w:p>
        </w:tc>
        <w:tc>
          <w:tcPr>
            <w:tcW w:w="2354" w:type="dxa"/>
            <w:noWrap/>
          </w:tcPr>
          <w:p>
            <w:pPr>
              <w:rPr>
                <w:noProof/>
              </w:rPr>
            </w:pPr>
            <w:r>
              <w:rPr>
                <w:noProof/>
              </w:rPr>
              <w:t>United Kingdom</w:t>
            </w:r>
          </w:p>
        </w:tc>
        <w:tc>
          <w:tcPr>
            <w:tcW w:w="2849" w:type="dxa"/>
            <w:noWrap/>
          </w:tcPr>
          <w:p>
            <w:pPr>
              <w:jc w:val="center"/>
              <w:rPr>
                <w:noProof/>
              </w:rPr>
            </w:pPr>
            <w:r>
              <w:rPr>
                <w:noProof/>
              </w:rPr>
              <w:t>84231.43</w:t>
            </w:r>
          </w:p>
        </w:tc>
        <w:tc>
          <w:tcPr>
            <w:tcW w:w="2636" w:type="dxa"/>
            <w:noWrap/>
          </w:tcPr>
          <w:p>
            <w:pPr>
              <w:jc w:val="center"/>
              <w:rPr>
                <w:noProof/>
              </w:rPr>
            </w:pPr>
            <w:r>
              <w:rPr>
                <w:noProof/>
              </w:rPr>
              <w:t>75.06%</w:t>
            </w:r>
          </w:p>
        </w:tc>
      </w:tr>
      <w:tr>
        <w:trPr>
          <w:trHeight w:val="300"/>
        </w:trPr>
        <w:tc>
          <w:tcPr>
            <w:tcW w:w="2843" w:type="dxa"/>
            <w:noWrap/>
            <w:hideMark/>
          </w:tcPr>
          <w:p>
            <w:pPr>
              <w:rPr>
                <w:b/>
                <w:noProof/>
              </w:rPr>
            </w:pPr>
            <w:r>
              <w:rPr>
                <w:b/>
                <w:noProof/>
              </w:rPr>
              <w:t>Total</w:t>
            </w:r>
          </w:p>
        </w:tc>
        <w:tc>
          <w:tcPr>
            <w:tcW w:w="2354" w:type="dxa"/>
            <w:noWrap/>
            <w:hideMark/>
          </w:tcPr>
          <w:p>
            <w:pPr>
              <w:rPr>
                <w:noProof/>
              </w:rPr>
            </w:pPr>
          </w:p>
        </w:tc>
        <w:tc>
          <w:tcPr>
            <w:tcW w:w="2849" w:type="dxa"/>
            <w:noWrap/>
            <w:hideMark/>
          </w:tcPr>
          <w:p>
            <w:pPr>
              <w:jc w:val="center"/>
              <w:rPr>
                <w:b/>
                <w:noProof/>
              </w:rPr>
            </w:pPr>
            <w:r>
              <w:rPr>
                <w:b/>
                <w:noProof/>
              </w:rPr>
              <w:t>112217.06</w:t>
            </w:r>
          </w:p>
        </w:tc>
        <w:tc>
          <w:tcPr>
            <w:tcW w:w="2636" w:type="dxa"/>
            <w:noWrap/>
            <w:hideMark/>
          </w:tcPr>
          <w:p>
            <w:pPr>
              <w:jc w:val="center"/>
              <w:rPr>
                <w:b/>
                <w:noProof/>
              </w:rPr>
            </w:pPr>
            <w:r>
              <w:rPr>
                <w:b/>
                <w:noProof/>
              </w:rPr>
              <w:t>100.00%</w:t>
            </w:r>
          </w:p>
        </w:tc>
      </w:tr>
    </w:tbl>
    <w:p>
      <w:pPr>
        <w:rPr>
          <w:noProof/>
        </w:rPr>
      </w:pPr>
    </w:p>
    <w:p>
      <w:pPr>
        <w:spacing w:after="0"/>
        <w:jc w:val="both"/>
        <w:rPr>
          <w:rFonts w:ascii="Times New Roman" w:hAnsi="Times New Roman"/>
          <w:noProof/>
          <w:sz w:val="24"/>
          <w:szCs w:val="24"/>
        </w:rPr>
      </w:pPr>
      <w:r>
        <w:rPr>
          <w:rFonts w:ascii="Times New Roman" w:hAnsi="Times New Roman"/>
          <w:noProof/>
          <w:sz w:val="24"/>
          <w:szCs w:val="24"/>
        </w:rPr>
        <w:t xml:space="preserve">Compared to the preceding year, with less than a one per cent decline, the total production of offshore oil and gas was stable. </w:t>
      </w:r>
      <w:r>
        <w:rPr>
          <w:rFonts w:ascii="Times New Roman" w:hAnsi="Times New Roman"/>
          <w:noProof/>
          <w:sz w:val="24"/>
          <w:szCs w:val="24"/>
        </w:rPr>
        <w:br w:type="page"/>
      </w:r>
    </w:p>
    <w:p>
      <w:pPr>
        <w:pStyle w:val="Heading2"/>
        <w:spacing w:after="120"/>
        <w:rPr>
          <w:rFonts w:ascii="Times New Roman" w:hAnsi="Times New Roman"/>
          <w:noProof/>
          <w:sz w:val="24"/>
          <w:szCs w:val="24"/>
        </w:rPr>
      </w:pPr>
      <w:bookmarkStart w:id="7" w:name="_Toc34317088"/>
      <w:r>
        <w:rPr>
          <w:rFonts w:ascii="Times New Roman" w:hAnsi="Times New Roman"/>
          <w:noProof/>
        </w:rPr>
        <w:t>4.2 Offshore inspections, investigations, enforcement actions and regulatory framework</w:t>
      </w:r>
      <w:bookmarkEnd w:id="7"/>
    </w:p>
    <w:p>
      <w:pPr>
        <w:jc w:val="both"/>
        <w:rPr>
          <w:rFonts w:ascii="Times New Roman" w:hAnsi="Times New Roman"/>
          <w:noProof/>
          <w:sz w:val="24"/>
          <w:szCs w:val="24"/>
        </w:rPr>
      </w:pPr>
      <w:r>
        <w:rPr>
          <w:rFonts w:ascii="Times New Roman" w:hAnsi="Times New Roman"/>
          <w:noProof/>
          <w:sz w:val="24"/>
          <w:szCs w:val="24"/>
        </w:rPr>
        <w:t>The competent authorities of the Member States have regularly inspected the offshore installations in their jurisdictions. Table 4 presents the number of offshore inspections carried out during the reporting year. The number of inspections usually increases with the number of installations in Member States.</w:t>
      </w:r>
    </w:p>
    <w:p>
      <w:pPr>
        <w:jc w:val="both"/>
        <w:rPr>
          <w:rFonts w:ascii="Times New Roman" w:hAnsi="Times New Roman"/>
          <w:noProof/>
          <w:sz w:val="24"/>
          <w:szCs w:val="24"/>
        </w:rPr>
      </w:pPr>
      <w:r>
        <w:rPr>
          <w:rFonts w:ascii="Times New Roman" w:hAnsi="Times New Roman"/>
          <w:noProof/>
          <w:sz w:val="24"/>
          <w:szCs w:val="24"/>
        </w:rPr>
        <w:t xml:space="preserve">As in 2017 the number of inspections decreased again, now from 630 in 2017 to 593 in 2018. Specifically, Italy decreased the number of inspections from 289 to 236, the Netherlands from 60 to 32, whereas the UK increased the number of inspections from 232 to 273. For the first time also Romania carried out  inspections. In contrast to the decreasing number of instpections, more efforts were allocated in terms of man-days spent on insprections per installation (2817 man-days in 2018 compared to 2083 man-days in 2017). </w:t>
      </w:r>
    </w:p>
    <w:p>
      <w:pPr>
        <w:pStyle w:val="Caption"/>
        <w:rPr>
          <w:noProof/>
          <w:lang w:val="en-IE"/>
        </w:rPr>
      </w:pPr>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Number of offshore inspections by region and Member State in 2018</w:t>
      </w:r>
      <w:r>
        <w:rPr>
          <w:noProof/>
          <w:lang w:val="en-IE"/>
        </w:rPr>
        <w:t>*</w:t>
      </w:r>
    </w:p>
    <w:tbl>
      <w:tblPr>
        <w:tblStyle w:val="TableGrid"/>
        <w:tblW w:w="10682" w:type="dxa"/>
        <w:tblLook w:val="04A0" w:firstRow="1" w:lastRow="0" w:firstColumn="1" w:lastColumn="0" w:noHBand="0" w:noVBand="1"/>
      </w:tblPr>
      <w:tblGrid>
        <w:gridCol w:w="2499"/>
        <w:gridCol w:w="2673"/>
        <w:gridCol w:w="1451"/>
        <w:gridCol w:w="2274"/>
        <w:gridCol w:w="1785"/>
      </w:tblGrid>
      <w:tr>
        <w:trPr>
          <w:trHeight w:val="300"/>
        </w:trPr>
        <w:tc>
          <w:tcPr>
            <w:tcW w:w="2499" w:type="dxa"/>
            <w:noWrap/>
            <w:hideMark/>
          </w:tcPr>
          <w:p>
            <w:pPr>
              <w:rPr>
                <w:b/>
                <w:noProof/>
              </w:rPr>
            </w:pPr>
            <w:r>
              <w:rPr>
                <w:b/>
                <w:noProof/>
              </w:rPr>
              <w:t>REGION</w:t>
            </w:r>
          </w:p>
        </w:tc>
        <w:tc>
          <w:tcPr>
            <w:tcW w:w="2673" w:type="dxa"/>
            <w:noWrap/>
            <w:hideMark/>
          </w:tcPr>
          <w:p>
            <w:pPr>
              <w:rPr>
                <w:b/>
                <w:noProof/>
              </w:rPr>
            </w:pPr>
            <w:r>
              <w:rPr>
                <w:b/>
                <w:noProof/>
              </w:rPr>
              <w:t>Country</w:t>
            </w:r>
          </w:p>
        </w:tc>
        <w:tc>
          <w:tcPr>
            <w:tcW w:w="1451" w:type="dxa"/>
            <w:noWrap/>
            <w:hideMark/>
          </w:tcPr>
          <w:p>
            <w:pPr>
              <w:rPr>
                <w:b/>
                <w:noProof/>
              </w:rPr>
            </w:pPr>
            <w:r>
              <w:rPr>
                <w:b/>
                <w:noProof/>
              </w:rPr>
              <w:t>Inspections</w:t>
            </w:r>
          </w:p>
        </w:tc>
        <w:tc>
          <w:tcPr>
            <w:tcW w:w="2274" w:type="dxa"/>
            <w:noWrap/>
            <w:hideMark/>
          </w:tcPr>
          <w:p>
            <w:pPr>
              <w:rPr>
                <w:b/>
                <w:noProof/>
              </w:rPr>
            </w:pPr>
            <w:r>
              <w:rPr>
                <w:b/>
                <w:noProof/>
              </w:rPr>
              <w:t>Man-days spent on installation (travel time not included)</w:t>
            </w:r>
          </w:p>
        </w:tc>
        <w:tc>
          <w:tcPr>
            <w:tcW w:w="1785" w:type="dxa"/>
            <w:noWrap/>
            <w:hideMark/>
          </w:tcPr>
          <w:p>
            <w:pPr>
              <w:rPr>
                <w:b/>
                <w:noProof/>
              </w:rPr>
            </w:pPr>
            <w:r>
              <w:rPr>
                <w:b/>
                <w:noProof/>
              </w:rPr>
              <w:t>Number of inspected installations</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Baltic Sea</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3</w:t>
            </w:r>
          </w:p>
        </w:tc>
        <w:tc>
          <w:tcPr>
            <w:tcW w:w="2274" w:type="dxa"/>
            <w:noWrap/>
            <w:hideMark/>
          </w:tcPr>
          <w:p>
            <w:pPr>
              <w:rPr>
                <w:b/>
                <w:noProof/>
              </w:rPr>
            </w:pPr>
            <w:r>
              <w:rPr>
                <w:b/>
                <w:noProof/>
              </w:rPr>
              <w:t>6</w:t>
            </w:r>
          </w:p>
        </w:tc>
        <w:tc>
          <w:tcPr>
            <w:tcW w:w="1785" w:type="dxa"/>
            <w:noWrap/>
            <w:hideMark/>
          </w:tcPr>
          <w:p>
            <w:pPr>
              <w:rPr>
                <w:b/>
                <w:noProof/>
              </w:rPr>
            </w:pPr>
            <w:r>
              <w:rPr>
                <w:b/>
                <w:noProof/>
              </w:rPr>
              <w:t>2</w:t>
            </w:r>
          </w:p>
        </w:tc>
      </w:tr>
      <w:tr>
        <w:trPr>
          <w:trHeight w:val="300"/>
        </w:trPr>
        <w:tc>
          <w:tcPr>
            <w:tcW w:w="2499" w:type="dxa"/>
            <w:tcBorders>
              <w:top w:val="single" w:sz="4" w:space="0" w:color="FFFFFF" w:themeColor="background1"/>
            </w:tcBorders>
            <w:noWrap/>
          </w:tcPr>
          <w:p>
            <w:pPr>
              <w:rPr>
                <w:b/>
                <w:noProof/>
              </w:rPr>
            </w:pPr>
          </w:p>
        </w:tc>
        <w:tc>
          <w:tcPr>
            <w:tcW w:w="2673" w:type="dxa"/>
            <w:noWrap/>
            <w:hideMark/>
          </w:tcPr>
          <w:p>
            <w:pPr>
              <w:rPr>
                <w:noProof/>
              </w:rPr>
            </w:pPr>
            <w:r>
              <w:rPr>
                <w:noProof/>
              </w:rPr>
              <w:t>Poland</w:t>
            </w:r>
          </w:p>
        </w:tc>
        <w:tc>
          <w:tcPr>
            <w:tcW w:w="1451" w:type="dxa"/>
            <w:noWrap/>
            <w:hideMark/>
          </w:tcPr>
          <w:p>
            <w:pPr>
              <w:rPr>
                <w:noProof/>
              </w:rPr>
            </w:pPr>
            <w:r>
              <w:rPr>
                <w:noProof/>
              </w:rPr>
              <w:t>3</w:t>
            </w:r>
          </w:p>
        </w:tc>
        <w:tc>
          <w:tcPr>
            <w:tcW w:w="2274" w:type="dxa"/>
            <w:noWrap/>
            <w:hideMark/>
          </w:tcPr>
          <w:p>
            <w:pPr>
              <w:rPr>
                <w:noProof/>
              </w:rPr>
            </w:pPr>
            <w:r>
              <w:rPr>
                <w:noProof/>
              </w:rPr>
              <w:t>6</w:t>
            </w:r>
          </w:p>
        </w:tc>
        <w:tc>
          <w:tcPr>
            <w:tcW w:w="1785" w:type="dxa"/>
            <w:noWrap/>
            <w:hideMark/>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Black Sea</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4</w:t>
            </w:r>
          </w:p>
        </w:tc>
        <w:tc>
          <w:tcPr>
            <w:tcW w:w="2274" w:type="dxa"/>
            <w:noWrap/>
            <w:hideMark/>
          </w:tcPr>
          <w:p>
            <w:pPr>
              <w:rPr>
                <w:b/>
                <w:noProof/>
              </w:rPr>
            </w:pPr>
            <w:r>
              <w:rPr>
                <w:b/>
                <w:noProof/>
              </w:rPr>
              <w:t>24</w:t>
            </w:r>
          </w:p>
        </w:tc>
        <w:tc>
          <w:tcPr>
            <w:tcW w:w="1785" w:type="dxa"/>
            <w:noWrap/>
            <w:hideMark/>
          </w:tcPr>
          <w:p>
            <w:pPr>
              <w:rPr>
                <w:b/>
                <w:noProof/>
              </w:rPr>
            </w:pPr>
            <w:r>
              <w:rPr>
                <w:b/>
                <w:noProof/>
              </w:rPr>
              <w:t>2</w:t>
            </w:r>
          </w:p>
        </w:tc>
      </w:tr>
      <w:tr>
        <w:trPr>
          <w:trHeight w:val="300"/>
        </w:trPr>
        <w:tc>
          <w:tcPr>
            <w:tcW w:w="2499" w:type="dxa"/>
            <w:tcBorders>
              <w:top w:val="single" w:sz="4" w:space="0" w:color="FFFFFF" w:themeColor="background1"/>
            </w:tcBorders>
            <w:noWrap/>
          </w:tcPr>
          <w:p>
            <w:pPr>
              <w:rPr>
                <w:b/>
                <w:noProof/>
              </w:rPr>
            </w:pPr>
          </w:p>
        </w:tc>
        <w:tc>
          <w:tcPr>
            <w:tcW w:w="2673" w:type="dxa"/>
            <w:noWrap/>
            <w:hideMark/>
          </w:tcPr>
          <w:p>
            <w:pPr>
              <w:rPr>
                <w:noProof/>
              </w:rPr>
            </w:pPr>
            <w:r>
              <w:rPr>
                <w:noProof/>
              </w:rPr>
              <w:t>Romania</w:t>
            </w:r>
          </w:p>
        </w:tc>
        <w:tc>
          <w:tcPr>
            <w:tcW w:w="1451" w:type="dxa"/>
            <w:noWrap/>
            <w:hideMark/>
          </w:tcPr>
          <w:p>
            <w:pPr>
              <w:rPr>
                <w:noProof/>
              </w:rPr>
            </w:pPr>
            <w:r>
              <w:rPr>
                <w:noProof/>
              </w:rPr>
              <w:t>4</w:t>
            </w:r>
          </w:p>
        </w:tc>
        <w:tc>
          <w:tcPr>
            <w:tcW w:w="2274" w:type="dxa"/>
            <w:noWrap/>
            <w:hideMark/>
          </w:tcPr>
          <w:p>
            <w:pPr>
              <w:rPr>
                <w:noProof/>
              </w:rPr>
            </w:pPr>
            <w:r>
              <w:rPr>
                <w:noProof/>
              </w:rPr>
              <w:t>24</w:t>
            </w:r>
          </w:p>
        </w:tc>
        <w:tc>
          <w:tcPr>
            <w:tcW w:w="1785" w:type="dxa"/>
            <w:noWrap/>
            <w:hideMark/>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Mediterranean</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251</w:t>
            </w:r>
          </w:p>
        </w:tc>
        <w:tc>
          <w:tcPr>
            <w:tcW w:w="2274" w:type="dxa"/>
            <w:noWrap/>
            <w:hideMark/>
          </w:tcPr>
          <w:p>
            <w:pPr>
              <w:rPr>
                <w:b/>
                <w:noProof/>
              </w:rPr>
            </w:pPr>
            <w:r>
              <w:rPr>
                <w:b/>
                <w:noProof/>
              </w:rPr>
              <w:t>262</w:t>
            </w:r>
          </w:p>
        </w:tc>
        <w:tc>
          <w:tcPr>
            <w:tcW w:w="1785" w:type="dxa"/>
            <w:noWrap/>
            <w:hideMark/>
          </w:tcPr>
          <w:p>
            <w:pPr>
              <w:rPr>
                <w:b/>
                <w:noProof/>
              </w:rPr>
            </w:pPr>
            <w:r>
              <w:rPr>
                <w:b/>
                <w:noProof/>
              </w:rPr>
              <w:t>95</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Croatia</w:t>
            </w:r>
          </w:p>
        </w:tc>
        <w:tc>
          <w:tcPr>
            <w:tcW w:w="1451" w:type="dxa"/>
            <w:noWrap/>
          </w:tcPr>
          <w:p>
            <w:pPr>
              <w:rPr>
                <w:noProof/>
              </w:rPr>
            </w:pPr>
            <w:r>
              <w:rPr>
                <w:noProof/>
              </w:rPr>
              <w:t>10</w:t>
            </w:r>
          </w:p>
        </w:tc>
        <w:tc>
          <w:tcPr>
            <w:tcW w:w="2274" w:type="dxa"/>
            <w:noWrap/>
          </w:tcPr>
          <w:p>
            <w:pPr>
              <w:rPr>
                <w:noProof/>
              </w:rPr>
            </w:pPr>
            <w:r>
              <w:rPr>
                <w:noProof/>
              </w:rPr>
              <w:t>10</w:t>
            </w:r>
          </w:p>
        </w:tc>
        <w:tc>
          <w:tcPr>
            <w:tcW w:w="1785" w:type="dxa"/>
            <w:noWrap/>
          </w:tcPr>
          <w:p>
            <w:pPr>
              <w:rPr>
                <w:noProof/>
              </w:rPr>
            </w:pPr>
            <w:r>
              <w:rPr>
                <w:noProof/>
              </w:rPr>
              <w:t>4</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hideMark/>
          </w:tcPr>
          <w:p>
            <w:pPr>
              <w:rPr>
                <w:noProof/>
              </w:rPr>
            </w:pPr>
            <w:r>
              <w:rPr>
                <w:noProof/>
              </w:rPr>
              <w:t>Cyprus</w:t>
            </w:r>
          </w:p>
        </w:tc>
        <w:tc>
          <w:tcPr>
            <w:tcW w:w="1451" w:type="dxa"/>
            <w:noWrap/>
            <w:hideMark/>
          </w:tcPr>
          <w:p>
            <w:pPr>
              <w:rPr>
                <w:noProof/>
              </w:rPr>
            </w:pPr>
            <w:r>
              <w:rPr>
                <w:noProof/>
              </w:rPr>
              <w:t>2</w:t>
            </w:r>
          </w:p>
        </w:tc>
        <w:tc>
          <w:tcPr>
            <w:tcW w:w="2274" w:type="dxa"/>
            <w:noWrap/>
            <w:hideMark/>
          </w:tcPr>
          <w:p>
            <w:pPr>
              <w:rPr>
                <w:noProof/>
              </w:rPr>
            </w:pPr>
            <w:r>
              <w:rPr>
                <w:noProof/>
              </w:rPr>
              <w:t>6</w:t>
            </w:r>
          </w:p>
        </w:tc>
        <w:tc>
          <w:tcPr>
            <w:tcW w:w="1785" w:type="dxa"/>
            <w:noWrap/>
            <w:hideMark/>
          </w:tcPr>
          <w:p>
            <w:pPr>
              <w:rPr>
                <w:noProof/>
              </w:rPr>
            </w:pPr>
            <w:r>
              <w:rPr>
                <w:noProof/>
              </w:rPr>
              <w:t>2</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Greece</w:t>
            </w:r>
          </w:p>
        </w:tc>
        <w:tc>
          <w:tcPr>
            <w:tcW w:w="1451" w:type="dxa"/>
            <w:noWrap/>
          </w:tcPr>
          <w:p>
            <w:pPr>
              <w:rPr>
                <w:noProof/>
              </w:rPr>
            </w:pPr>
            <w:r>
              <w:rPr>
                <w:noProof/>
              </w:rPr>
              <w:t>1</w:t>
            </w:r>
          </w:p>
        </w:tc>
        <w:tc>
          <w:tcPr>
            <w:tcW w:w="2274" w:type="dxa"/>
            <w:noWrap/>
          </w:tcPr>
          <w:p>
            <w:pPr>
              <w:rPr>
                <w:noProof/>
              </w:rPr>
            </w:pPr>
            <w:r>
              <w:rPr>
                <w:noProof/>
              </w:rPr>
              <w:t>10</w:t>
            </w:r>
          </w:p>
        </w:tc>
        <w:tc>
          <w:tcPr>
            <w:tcW w:w="1785" w:type="dxa"/>
            <w:noWrap/>
          </w:tcPr>
          <w:p>
            <w:pPr>
              <w:rPr>
                <w:noProof/>
              </w:rPr>
            </w:pPr>
            <w:r>
              <w:rPr>
                <w:noProof/>
              </w:rPr>
              <w:t>1</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Italy</w:t>
            </w:r>
          </w:p>
        </w:tc>
        <w:tc>
          <w:tcPr>
            <w:tcW w:w="1451" w:type="dxa"/>
            <w:noWrap/>
          </w:tcPr>
          <w:p>
            <w:pPr>
              <w:rPr>
                <w:noProof/>
              </w:rPr>
            </w:pPr>
            <w:r>
              <w:rPr>
                <w:noProof/>
              </w:rPr>
              <w:t>236</w:t>
            </w:r>
          </w:p>
        </w:tc>
        <w:tc>
          <w:tcPr>
            <w:tcW w:w="2274" w:type="dxa"/>
            <w:noWrap/>
          </w:tcPr>
          <w:p>
            <w:pPr>
              <w:rPr>
                <w:noProof/>
              </w:rPr>
            </w:pPr>
            <w:r>
              <w:rPr>
                <w:noProof/>
              </w:rPr>
              <w:t>234</w:t>
            </w:r>
          </w:p>
        </w:tc>
        <w:tc>
          <w:tcPr>
            <w:tcW w:w="1785" w:type="dxa"/>
            <w:noWrap/>
          </w:tcPr>
          <w:p>
            <w:pPr>
              <w:rPr>
                <w:noProof/>
              </w:rPr>
            </w:pPr>
            <w:r>
              <w:rPr>
                <w:noProof/>
              </w:rPr>
              <w:t>86</w:t>
            </w:r>
          </w:p>
        </w:tc>
      </w:tr>
      <w:tr>
        <w:trPr>
          <w:trHeight w:val="300"/>
        </w:trPr>
        <w:tc>
          <w:tcPr>
            <w:tcW w:w="2499" w:type="dxa"/>
            <w:tcBorders>
              <w:top w:val="single" w:sz="4" w:space="0" w:color="FFFFFF" w:themeColor="background1"/>
            </w:tcBorders>
            <w:noWrap/>
          </w:tcPr>
          <w:p>
            <w:pPr>
              <w:rPr>
                <w:b/>
                <w:noProof/>
              </w:rPr>
            </w:pPr>
          </w:p>
        </w:tc>
        <w:tc>
          <w:tcPr>
            <w:tcW w:w="2673" w:type="dxa"/>
            <w:noWrap/>
          </w:tcPr>
          <w:p>
            <w:pPr>
              <w:rPr>
                <w:noProof/>
              </w:rPr>
            </w:pPr>
            <w:r>
              <w:rPr>
                <w:noProof/>
              </w:rPr>
              <w:t>Spain</w:t>
            </w:r>
          </w:p>
        </w:tc>
        <w:tc>
          <w:tcPr>
            <w:tcW w:w="1451" w:type="dxa"/>
            <w:noWrap/>
          </w:tcPr>
          <w:p>
            <w:pPr>
              <w:rPr>
                <w:noProof/>
              </w:rPr>
            </w:pPr>
            <w:r>
              <w:rPr>
                <w:noProof/>
              </w:rPr>
              <w:t>2</w:t>
            </w:r>
          </w:p>
        </w:tc>
        <w:tc>
          <w:tcPr>
            <w:tcW w:w="2274" w:type="dxa"/>
            <w:noWrap/>
          </w:tcPr>
          <w:p>
            <w:pPr>
              <w:rPr>
                <w:noProof/>
              </w:rPr>
            </w:pPr>
            <w:r>
              <w:rPr>
                <w:noProof/>
              </w:rPr>
              <w:t>2</w:t>
            </w:r>
          </w:p>
        </w:tc>
        <w:tc>
          <w:tcPr>
            <w:tcW w:w="1785" w:type="dxa"/>
            <w:noWrap/>
          </w:tcPr>
          <w:p>
            <w:pPr>
              <w:rPr>
                <w:noProof/>
              </w:rPr>
            </w:pPr>
            <w:r>
              <w:rPr>
                <w:noProof/>
              </w:rPr>
              <w:t>2</w:t>
            </w:r>
          </w:p>
        </w:tc>
      </w:tr>
      <w:tr>
        <w:trPr>
          <w:trHeight w:val="300"/>
        </w:trPr>
        <w:tc>
          <w:tcPr>
            <w:tcW w:w="2499" w:type="dxa"/>
            <w:tcBorders>
              <w:bottom w:val="single" w:sz="4" w:space="0" w:color="FFFFFF" w:themeColor="background1"/>
              <w:right w:val="single" w:sz="4" w:space="0" w:color="FFFFFF" w:themeColor="background1"/>
            </w:tcBorders>
            <w:noWrap/>
            <w:hideMark/>
          </w:tcPr>
          <w:p>
            <w:pPr>
              <w:rPr>
                <w:b/>
                <w:noProof/>
              </w:rPr>
            </w:pPr>
            <w:r>
              <w:rPr>
                <w:b/>
                <w:noProof/>
              </w:rPr>
              <w:t>North Sea &amp; Atlantic</w:t>
            </w:r>
          </w:p>
        </w:tc>
        <w:tc>
          <w:tcPr>
            <w:tcW w:w="2673" w:type="dxa"/>
            <w:tcBorders>
              <w:left w:val="single" w:sz="4" w:space="0" w:color="FFFFFF" w:themeColor="background1"/>
            </w:tcBorders>
            <w:noWrap/>
            <w:hideMark/>
          </w:tcPr>
          <w:p>
            <w:pPr>
              <w:rPr>
                <w:b/>
                <w:noProof/>
              </w:rPr>
            </w:pPr>
          </w:p>
        </w:tc>
        <w:tc>
          <w:tcPr>
            <w:tcW w:w="1451" w:type="dxa"/>
            <w:noWrap/>
            <w:hideMark/>
          </w:tcPr>
          <w:p>
            <w:pPr>
              <w:rPr>
                <w:b/>
                <w:noProof/>
              </w:rPr>
            </w:pPr>
            <w:r>
              <w:rPr>
                <w:b/>
                <w:noProof/>
              </w:rPr>
              <w:t>335</w:t>
            </w:r>
          </w:p>
        </w:tc>
        <w:tc>
          <w:tcPr>
            <w:tcW w:w="2274" w:type="dxa"/>
            <w:noWrap/>
            <w:hideMark/>
          </w:tcPr>
          <w:p>
            <w:pPr>
              <w:rPr>
                <w:b/>
                <w:noProof/>
              </w:rPr>
            </w:pPr>
            <w:r>
              <w:rPr>
                <w:b/>
                <w:noProof/>
              </w:rPr>
              <w:t>2525.5</w:t>
            </w:r>
          </w:p>
        </w:tc>
        <w:tc>
          <w:tcPr>
            <w:tcW w:w="1785" w:type="dxa"/>
            <w:noWrap/>
            <w:hideMark/>
          </w:tcPr>
          <w:p>
            <w:pPr>
              <w:rPr>
                <w:b/>
                <w:noProof/>
              </w:rPr>
            </w:pPr>
            <w:r>
              <w:rPr>
                <w:b/>
                <w:noProof/>
              </w:rPr>
              <w:t>219</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Denmark</w:t>
            </w:r>
          </w:p>
        </w:tc>
        <w:tc>
          <w:tcPr>
            <w:tcW w:w="1451" w:type="dxa"/>
            <w:noWrap/>
          </w:tcPr>
          <w:p>
            <w:pPr>
              <w:rPr>
                <w:noProof/>
              </w:rPr>
            </w:pPr>
            <w:r>
              <w:rPr>
                <w:noProof/>
              </w:rPr>
              <w:t>19</w:t>
            </w:r>
          </w:p>
        </w:tc>
        <w:tc>
          <w:tcPr>
            <w:tcW w:w="2274" w:type="dxa"/>
            <w:noWrap/>
          </w:tcPr>
          <w:p>
            <w:pPr>
              <w:rPr>
                <w:noProof/>
              </w:rPr>
            </w:pPr>
            <w:r>
              <w:rPr>
                <w:noProof/>
              </w:rPr>
              <w:t>66</w:t>
            </w:r>
          </w:p>
        </w:tc>
        <w:tc>
          <w:tcPr>
            <w:tcW w:w="1785" w:type="dxa"/>
            <w:noWrap/>
          </w:tcPr>
          <w:p>
            <w:pPr>
              <w:rPr>
                <w:noProof/>
              </w:rPr>
            </w:pPr>
            <w:r>
              <w:rPr>
                <w:noProof/>
              </w:rPr>
              <w:t>19</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France</w:t>
            </w:r>
          </w:p>
        </w:tc>
        <w:tc>
          <w:tcPr>
            <w:tcW w:w="1451" w:type="dxa"/>
            <w:noWrap/>
          </w:tcPr>
          <w:p>
            <w:pPr>
              <w:rPr>
                <w:noProof/>
              </w:rPr>
            </w:pPr>
            <w:r>
              <w:rPr>
                <w:noProof/>
              </w:rPr>
              <w:t>2</w:t>
            </w:r>
          </w:p>
        </w:tc>
        <w:tc>
          <w:tcPr>
            <w:tcW w:w="2274" w:type="dxa"/>
            <w:noWrap/>
          </w:tcPr>
          <w:p>
            <w:pPr>
              <w:rPr>
                <w:noProof/>
              </w:rPr>
            </w:pPr>
            <w:r>
              <w:rPr>
                <w:noProof/>
              </w:rPr>
              <w:t>4</w:t>
            </w:r>
          </w:p>
        </w:tc>
        <w:tc>
          <w:tcPr>
            <w:tcW w:w="1785" w:type="dxa"/>
            <w:noWrap/>
          </w:tcPr>
          <w:p>
            <w:pPr>
              <w:rPr>
                <w:noProof/>
              </w:rPr>
            </w:pPr>
            <w:r>
              <w:rPr>
                <w:noProof/>
              </w:rPr>
              <w:t>1</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Germany</w:t>
            </w:r>
          </w:p>
        </w:tc>
        <w:tc>
          <w:tcPr>
            <w:tcW w:w="1451" w:type="dxa"/>
            <w:noWrap/>
          </w:tcPr>
          <w:p>
            <w:pPr>
              <w:rPr>
                <w:noProof/>
              </w:rPr>
            </w:pPr>
            <w:r>
              <w:rPr>
                <w:noProof/>
              </w:rPr>
              <w:t>6</w:t>
            </w:r>
          </w:p>
        </w:tc>
        <w:tc>
          <w:tcPr>
            <w:tcW w:w="2274" w:type="dxa"/>
            <w:noWrap/>
          </w:tcPr>
          <w:p>
            <w:pPr>
              <w:rPr>
                <w:noProof/>
              </w:rPr>
            </w:pPr>
            <w:r>
              <w:rPr>
                <w:noProof/>
              </w:rPr>
              <w:t>6</w:t>
            </w:r>
          </w:p>
        </w:tc>
        <w:tc>
          <w:tcPr>
            <w:tcW w:w="1785" w:type="dxa"/>
            <w:noWrap/>
          </w:tcPr>
          <w:p>
            <w:pPr>
              <w:rPr>
                <w:noProof/>
              </w:rPr>
            </w:pPr>
            <w:r>
              <w:rPr>
                <w:noProof/>
              </w:rPr>
              <w:t>2</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Ireland</w:t>
            </w:r>
          </w:p>
        </w:tc>
        <w:tc>
          <w:tcPr>
            <w:tcW w:w="1451" w:type="dxa"/>
            <w:noWrap/>
          </w:tcPr>
          <w:p>
            <w:pPr>
              <w:rPr>
                <w:noProof/>
              </w:rPr>
            </w:pPr>
            <w:r>
              <w:rPr>
                <w:noProof/>
              </w:rPr>
              <w:t>3</w:t>
            </w:r>
          </w:p>
        </w:tc>
        <w:tc>
          <w:tcPr>
            <w:tcW w:w="2274" w:type="dxa"/>
            <w:noWrap/>
          </w:tcPr>
          <w:p>
            <w:pPr>
              <w:rPr>
                <w:noProof/>
              </w:rPr>
            </w:pPr>
            <w:r>
              <w:rPr>
                <w:noProof/>
              </w:rPr>
              <w:t>30</w:t>
            </w:r>
          </w:p>
        </w:tc>
        <w:tc>
          <w:tcPr>
            <w:tcW w:w="1785" w:type="dxa"/>
            <w:noWrap/>
          </w:tcPr>
          <w:p>
            <w:pPr>
              <w:rPr>
                <w:noProof/>
              </w:rPr>
            </w:pPr>
            <w:r>
              <w:rPr>
                <w:noProof/>
              </w:rPr>
              <w:t>3</w:t>
            </w:r>
          </w:p>
        </w:tc>
      </w:tr>
      <w:tr>
        <w:trPr>
          <w:trHeight w:val="300"/>
        </w:trPr>
        <w:tc>
          <w:tcPr>
            <w:tcW w:w="2499" w:type="dxa"/>
            <w:tcBorders>
              <w:top w:val="single" w:sz="4" w:space="0" w:color="FFFFFF" w:themeColor="background1"/>
              <w:bottom w:val="single" w:sz="4" w:space="0" w:color="FFFFFF" w:themeColor="background1"/>
            </w:tcBorders>
            <w:noWrap/>
          </w:tcPr>
          <w:p>
            <w:pPr>
              <w:rPr>
                <w:b/>
                <w:noProof/>
              </w:rPr>
            </w:pPr>
          </w:p>
        </w:tc>
        <w:tc>
          <w:tcPr>
            <w:tcW w:w="2673" w:type="dxa"/>
            <w:noWrap/>
          </w:tcPr>
          <w:p>
            <w:pPr>
              <w:rPr>
                <w:noProof/>
              </w:rPr>
            </w:pPr>
            <w:r>
              <w:rPr>
                <w:noProof/>
              </w:rPr>
              <w:t>The Netherlands</w:t>
            </w:r>
          </w:p>
        </w:tc>
        <w:tc>
          <w:tcPr>
            <w:tcW w:w="1451" w:type="dxa"/>
            <w:noWrap/>
          </w:tcPr>
          <w:p>
            <w:pPr>
              <w:rPr>
                <w:noProof/>
              </w:rPr>
            </w:pPr>
            <w:r>
              <w:rPr>
                <w:noProof/>
              </w:rPr>
              <w:t>32</w:t>
            </w:r>
          </w:p>
        </w:tc>
        <w:tc>
          <w:tcPr>
            <w:tcW w:w="2274" w:type="dxa"/>
            <w:noWrap/>
          </w:tcPr>
          <w:p>
            <w:pPr>
              <w:rPr>
                <w:noProof/>
              </w:rPr>
            </w:pPr>
            <w:r>
              <w:rPr>
                <w:noProof/>
              </w:rPr>
              <w:t>23</w:t>
            </w:r>
          </w:p>
        </w:tc>
        <w:tc>
          <w:tcPr>
            <w:tcW w:w="1785" w:type="dxa"/>
            <w:noWrap/>
          </w:tcPr>
          <w:p>
            <w:pPr>
              <w:rPr>
                <w:noProof/>
              </w:rPr>
            </w:pPr>
            <w:r>
              <w:rPr>
                <w:noProof/>
              </w:rPr>
              <w:t>28</w:t>
            </w:r>
          </w:p>
        </w:tc>
      </w:tr>
      <w:tr>
        <w:trPr>
          <w:trHeight w:val="300"/>
        </w:trPr>
        <w:tc>
          <w:tcPr>
            <w:tcW w:w="2499" w:type="dxa"/>
            <w:tcBorders>
              <w:top w:val="single" w:sz="4" w:space="0" w:color="FFFFFF" w:themeColor="background1"/>
            </w:tcBorders>
            <w:noWrap/>
          </w:tcPr>
          <w:p>
            <w:pPr>
              <w:rPr>
                <w:b/>
                <w:noProof/>
              </w:rPr>
            </w:pPr>
          </w:p>
        </w:tc>
        <w:tc>
          <w:tcPr>
            <w:tcW w:w="2673" w:type="dxa"/>
            <w:noWrap/>
          </w:tcPr>
          <w:p>
            <w:pPr>
              <w:rPr>
                <w:noProof/>
              </w:rPr>
            </w:pPr>
            <w:r>
              <w:rPr>
                <w:noProof/>
              </w:rPr>
              <w:t>United Kingdom</w:t>
            </w:r>
          </w:p>
        </w:tc>
        <w:tc>
          <w:tcPr>
            <w:tcW w:w="1451" w:type="dxa"/>
            <w:noWrap/>
          </w:tcPr>
          <w:p>
            <w:pPr>
              <w:rPr>
                <w:noProof/>
              </w:rPr>
            </w:pPr>
            <w:r>
              <w:rPr>
                <w:noProof/>
              </w:rPr>
              <w:t>273</w:t>
            </w:r>
          </w:p>
        </w:tc>
        <w:tc>
          <w:tcPr>
            <w:tcW w:w="2274" w:type="dxa"/>
            <w:noWrap/>
          </w:tcPr>
          <w:p>
            <w:pPr>
              <w:rPr>
                <w:noProof/>
              </w:rPr>
            </w:pPr>
            <w:r>
              <w:rPr>
                <w:noProof/>
              </w:rPr>
              <w:t>2396.5</w:t>
            </w:r>
          </w:p>
        </w:tc>
        <w:tc>
          <w:tcPr>
            <w:tcW w:w="1785" w:type="dxa"/>
            <w:noWrap/>
          </w:tcPr>
          <w:p>
            <w:pPr>
              <w:rPr>
                <w:noProof/>
              </w:rPr>
            </w:pPr>
            <w:r>
              <w:rPr>
                <w:noProof/>
              </w:rPr>
              <w:t>166</w:t>
            </w:r>
          </w:p>
        </w:tc>
      </w:tr>
      <w:tr>
        <w:trPr>
          <w:trHeight w:val="300"/>
        </w:trPr>
        <w:tc>
          <w:tcPr>
            <w:tcW w:w="2499" w:type="dxa"/>
            <w:tcBorders>
              <w:right w:val="single" w:sz="4" w:space="0" w:color="FFFFFF" w:themeColor="background1"/>
            </w:tcBorders>
            <w:noWrap/>
          </w:tcPr>
          <w:p>
            <w:pPr>
              <w:rPr>
                <w:b/>
                <w:noProof/>
              </w:rPr>
            </w:pPr>
            <w:r>
              <w:rPr>
                <w:b/>
                <w:noProof/>
              </w:rPr>
              <w:t>TOTAL</w:t>
            </w:r>
          </w:p>
        </w:tc>
        <w:tc>
          <w:tcPr>
            <w:tcW w:w="2673" w:type="dxa"/>
            <w:tcBorders>
              <w:left w:val="single" w:sz="4" w:space="0" w:color="FFFFFF" w:themeColor="background1"/>
            </w:tcBorders>
            <w:noWrap/>
          </w:tcPr>
          <w:p>
            <w:pPr>
              <w:rPr>
                <w:b/>
                <w:noProof/>
              </w:rPr>
            </w:pPr>
          </w:p>
        </w:tc>
        <w:tc>
          <w:tcPr>
            <w:tcW w:w="1451" w:type="dxa"/>
            <w:noWrap/>
          </w:tcPr>
          <w:p>
            <w:pPr>
              <w:rPr>
                <w:b/>
                <w:noProof/>
              </w:rPr>
            </w:pPr>
            <w:r>
              <w:rPr>
                <w:b/>
                <w:noProof/>
              </w:rPr>
              <w:t>593</w:t>
            </w:r>
          </w:p>
        </w:tc>
        <w:tc>
          <w:tcPr>
            <w:tcW w:w="2274" w:type="dxa"/>
            <w:noWrap/>
          </w:tcPr>
          <w:p>
            <w:pPr>
              <w:rPr>
                <w:b/>
                <w:noProof/>
              </w:rPr>
            </w:pPr>
            <w:r>
              <w:rPr>
                <w:b/>
                <w:noProof/>
              </w:rPr>
              <w:t>2817.5</w:t>
            </w:r>
          </w:p>
        </w:tc>
        <w:tc>
          <w:tcPr>
            <w:tcW w:w="1785" w:type="dxa"/>
            <w:noWrap/>
          </w:tcPr>
          <w:p>
            <w:pPr>
              <w:rPr>
                <w:b/>
                <w:noProof/>
              </w:rPr>
            </w:pPr>
            <w:r>
              <w:rPr>
                <w:b/>
                <w:noProof/>
              </w:rPr>
              <w:t>318</w:t>
            </w:r>
          </w:p>
        </w:tc>
      </w:tr>
    </w:tbl>
    <w:p>
      <w:pPr>
        <w:rPr>
          <w:noProof/>
        </w:rPr>
      </w:pPr>
    </w:p>
    <w:p>
      <w:pPr>
        <w:spacing w:after="0"/>
        <w:rPr>
          <w:rFonts w:ascii="Times New Roman" w:hAnsi="Times New Roman"/>
          <w:i/>
          <w:noProof/>
        </w:rPr>
      </w:pPr>
      <w:r>
        <w:rPr>
          <w:rFonts w:ascii="Times New Roman" w:hAnsi="Times New Roman"/>
          <w:i/>
          <w:noProof/>
        </w:rPr>
        <w:t>(*)Table includes information from Member States with at least one offshore installation present in their jurisdiction in 2018.</w:t>
      </w:r>
    </w:p>
    <w:p>
      <w:pPr>
        <w:spacing w:after="0"/>
        <w:rPr>
          <w:rFonts w:ascii="Times New Roman" w:hAnsi="Times New Roman"/>
          <w:i/>
          <w:noProof/>
        </w:rPr>
      </w:pPr>
    </w:p>
    <w:p>
      <w:pPr>
        <w:jc w:val="both"/>
        <w:rPr>
          <w:rFonts w:ascii="Times New Roman" w:hAnsi="Times New Roman"/>
          <w:noProof/>
          <w:sz w:val="24"/>
          <w:szCs w:val="24"/>
        </w:rPr>
      </w:pPr>
      <w:r>
        <w:rPr>
          <w:rFonts w:ascii="Times New Roman" w:hAnsi="Times New Roman"/>
          <w:noProof/>
          <w:sz w:val="24"/>
          <w:szCs w:val="24"/>
        </w:rPr>
        <w:t xml:space="preserve">Article 18 of the Offshore Safety Directive attributes rights and powers to the competent authorities of Member States on operations and installations in their jurisdiction. These rights and powers include the right to prohibit operations and the right to request measures for ensuring compliance with the general principles of risk management and for ensuring safe operations. </w:t>
      </w:r>
    </w:p>
    <w:p>
      <w:pPr>
        <w:jc w:val="both"/>
        <w:rPr>
          <w:rFonts w:ascii="Times New Roman" w:hAnsi="Times New Roman"/>
          <w:noProof/>
          <w:sz w:val="24"/>
          <w:szCs w:val="24"/>
        </w:rPr>
      </w:pPr>
      <w:r>
        <w:rPr>
          <w:rFonts w:ascii="Times New Roman" w:hAnsi="Times New Roman"/>
          <w:noProof/>
          <w:sz w:val="24"/>
          <w:szCs w:val="24"/>
        </w:rPr>
        <w:t>Accordingly, three Member States carried out investigations during the reporting period: the United Kingdom, Denmark and the Netherlands. The United Kingdom carried out 41 investigations for safety and environmental concerns</w:t>
      </w:r>
      <w:r>
        <w:rPr>
          <w:rStyle w:val="FootnoteReference"/>
          <w:rFonts w:ascii="Times New Roman" w:hAnsi="Times New Roman"/>
          <w:noProof/>
          <w:sz w:val="24"/>
          <w:szCs w:val="24"/>
        </w:rPr>
        <w:footnoteReference w:id="7"/>
      </w:r>
      <w:r>
        <w:rPr>
          <w:rFonts w:ascii="Times New Roman" w:hAnsi="Times New Roman"/>
          <w:noProof/>
          <w:sz w:val="24"/>
          <w:szCs w:val="24"/>
        </w:rPr>
        <w:t>, and 5 investigations for major accidents. Denmark carried out 3 investigation for safety and environmental concerns, and the Netherlands carried out 1 investigation for a major accident. Mainly due to the increase in the United Kingdom, the total number of investigations were in 2018</w:t>
      </w:r>
      <w:r>
        <w:rPr>
          <w:rFonts w:ascii="Times New Roman" w:hAnsi="Times New Roman"/>
          <w:noProof/>
          <w:sz w:val="24"/>
          <w:szCs w:val="24"/>
          <w:lang w:val="en-IE"/>
        </w:rPr>
        <w:t xml:space="preserve"> substantially higher (50) than in </w:t>
      </w:r>
      <w:r>
        <w:rPr>
          <w:rFonts w:ascii="Times New Roman" w:hAnsi="Times New Roman"/>
          <w:noProof/>
          <w:sz w:val="24"/>
          <w:szCs w:val="24"/>
        </w:rPr>
        <w:t>2017 (20) and 2016 (23).</w:t>
      </w:r>
    </w:p>
    <w:p>
      <w:pPr>
        <w:jc w:val="both"/>
        <w:rPr>
          <w:rFonts w:ascii="Times New Roman" w:hAnsi="Times New Roman"/>
          <w:i/>
          <w:noProof/>
        </w:rPr>
      </w:pPr>
      <w:r>
        <w:rPr>
          <w:rFonts w:ascii="Times New Roman" w:hAnsi="Times New Roman"/>
          <w:noProof/>
          <w:sz w:val="24"/>
          <w:szCs w:val="24"/>
        </w:rPr>
        <w:t xml:space="preserve">Despite the increase of investigations the total number of enforcement actions was in 2018 lower than in 2017. Whereas Member States took 47 enforcement actions in 2017 (United Kingdom 45), in 2018 only the United Kingdom reported these actions, which number was with 34 cases lower than in 2017 . </w:t>
      </w:r>
    </w:p>
    <w:p>
      <w:pPr>
        <w:pStyle w:val="Heading1"/>
        <w:ind w:left="720" w:hanging="720"/>
        <w:rPr>
          <w:rFonts w:ascii="Times New Roman" w:hAnsi="Times New Roman"/>
        </w:rPr>
      </w:pPr>
      <w:bookmarkStart w:id="8" w:name="_Toc34317089"/>
      <w:r>
        <w:rPr>
          <w:rFonts w:ascii="Times New Roman" w:hAnsi="Times New Roman"/>
        </w:rPr>
        <w:t>5.</w:t>
      </w:r>
      <w:r>
        <w:rPr>
          <w:rFonts w:ascii="Times New Roman" w:hAnsi="Times New Roman"/>
        </w:rPr>
        <w:tab/>
        <w:t>INCIDENT DATA AND SAFETY PERFORMANCE OF OFFSHORE OPERATIONS</w:t>
      </w:r>
      <w:bookmarkEnd w:id="8"/>
    </w:p>
    <w:p>
      <w:pPr>
        <w:jc w:val="both"/>
        <w:rPr>
          <w:rFonts w:ascii="Times New Roman" w:hAnsi="Times New Roman"/>
          <w:noProof/>
          <w:sz w:val="24"/>
          <w:szCs w:val="24"/>
        </w:rPr>
      </w:pPr>
      <w:r>
        <w:rPr>
          <w:rFonts w:ascii="Times New Roman" w:hAnsi="Times New Roman"/>
          <w:noProof/>
          <w:sz w:val="24"/>
          <w:szCs w:val="24"/>
        </w:rPr>
        <w:t>Member States reported the following incidents for 2018, a total of 124, in accordance with Annex IX of the Offshore Safety Directive.</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 xml:space="preserve">In the United Kingdom, there were 95 reportable events, including 5 major accidents. </w:t>
      </w:r>
    </w:p>
    <w:p>
      <w:pPr>
        <w:spacing w:after="0"/>
        <w:ind w:left="720" w:hanging="720"/>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noProof/>
          <w:sz w:val="24"/>
          <w:szCs w:val="24"/>
        </w:rPr>
        <w:tab/>
        <w:t>In the Netherlands, there were 14 reportable events</w:t>
      </w:r>
      <w:r>
        <w:rPr>
          <w:rStyle w:val="FootnoteReference"/>
          <w:rFonts w:ascii="Times New Roman" w:hAnsi="Times New Roman"/>
          <w:noProof/>
          <w:sz w:val="24"/>
          <w:szCs w:val="24"/>
        </w:rPr>
        <w:footnoteReference w:id="8"/>
      </w:r>
      <w:r>
        <w:rPr>
          <w:rFonts w:ascii="Times New Roman" w:hAnsi="Times New Roman"/>
          <w:noProof/>
          <w:sz w:val="24"/>
          <w:szCs w:val="24"/>
        </w:rPr>
        <w:t>, including one major accidents. The causes of the major accident have not been reported, since the case is still under investigation at the time of reporting.</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In Denmark, there were 9 reportable events, and no major accident..</w:t>
      </w:r>
    </w:p>
    <w:p>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In France and Ireland, there was one reportable event in each Member State, and no major accident.</w:t>
      </w:r>
    </w:p>
    <w:p>
      <w:pPr>
        <w:spacing w:after="0"/>
        <w:ind w:left="720" w:hanging="72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The number of major accidents includes incidents with a significant potential to cause fatalities or serious personal injuries even if they did not lead to such outcomes.</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szCs w:val="24"/>
        </w:rPr>
        <w:t>Most of the failures (80 %) that happened at the reportable events fell under the category of unintended releases; 13,7% concerned the loss of well control (blowout/diverter activation); 1,6% concerned failures of safety and environmental critical elements (SECE); and 1,6% concerned the loss of structural integrity (loss of station keeping). Two incidents required the evacuation of personnel.</w:t>
      </w:r>
    </w:p>
    <w:p>
      <w:pPr>
        <w:pStyle w:val="Caption"/>
        <w:rPr>
          <w:noProof/>
        </w:rPr>
      </w:pPr>
    </w:p>
    <w:p>
      <w:pPr>
        <w:pStyle w:val="Caption"/>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Incidents by categories (Annex IX of the Offshore Safety Directive, EU level)</w:t>
      </w:r>
    </w:p>
    <w:tbl>
      <w:tblPr>
        <w:tblStyle w:val="TableGrid"/>
        <w:tblW w:w="0" w:type="auto"/>
        <w:tblLook w:val="04A0" w:firstRow="1" w:lastRow="0" w:firstColumn="1" w:lastColumn="0" w:noHBand="0" w:noVBand="1"/>
      </w:tblPr>
      <w:tblGrid>
        <w:gridCol w:w="509"/>
        <w:gridCol w:w="5655"/>
        <w:gridCol w:w="934"/>
        <w:gridCol w:w="1328"/>
        <w:gridCol w:w="1536"/>
      </w:tblGrid>
      <w:tr>
        <w:trPr>
          <w:trHeight w:val="300"/>
        </w:trPr>
        <w:tc>
          <w:tcPr>
            <w:tcW w:w="6629" w:type="dxa"/>
            <w:gridSpan w:val="2"/>
            <w:noWrap/>
            <w:hideMark/>
          </w:tcPr>
          <w:p>
            <w:pPr>
              <w:rPr>
                <w:b/>
                <w:noProof/>
              </w:rPr>
            </w:pPr>
            <w:r>
              <w:rPr>
                <w:b/>
                <w:noProof/>
              </w:rPr>
              <w:t>Annex IX categories</w:t>
            </w:r>
          </w:p>
        </w:tc>
        <w:tc>
          <w:tcPr>
            <w:tcW w:w="992" w:type="dxa"/>
            <w:noWrap/>
            <w:hideMark/>
          </w:tcPr>
          <w:p>
            <w:pPr>
              <w:rPr>
                <w:b/>
                <w:noProof/>
              </w:rPr>
            </w:pPr>
            <w:r>
              <w:rPr>
                <w:b/>
                <w:noProof/>
              </w:rPr>
              <w:t>No. of events</w:t>
            </w:r>
          </w:p>
        </w:tc>
        <w:tc>
          <w:tcPr>
            <w:tcW w:w="1418" w:type="dxa"/>
            <w:noWrap/>
            <w:hideMark/>
          </w:tcPr>
          <w:p>
            <w:pPr>
              <w:rPr>
                <w:b/>
                <w:noProof/>
              </w:rPr>
            </w:pPr>
            <w:r>
              <w:rPr>
                <w:b/>
                <w:noProof/>
              </w:rPr>
              <w:t>Share (of Category Total)</w:t>
            </w:r>
          </w:p>
        </w:tc>
        <w:tc>
          <w:tcPr>
            <w:tcW w:w="1643" w:type="dxa"/>
            <w:noWrap/>
            <w:hideMark/>
          </w:tcPr>
          <w:p>
            <w:pPr>
              <w:rPr>
                <w:b/>
                <w:noProof/>
              </w:rPr>
            </w:pPr>
            <w:r>
              <w:rPr>
                <w:b/>
                <w:noProof/>
              </w:rPr>
              <w:t>Share (of Events Total)</w:t>
            </w:r>
          </w:p>
        </w:tc>
      </w:tr>
      <w:tr>
        <w:trPr>
          <w:trHeight w:val="300"/>
        </w:trPr>
        <w:tc>
          <w:tcPr>
            <w:tcW w:w="533" w:type="dxa"/>
            <w:tcBorders>
              <w:right w:val="single" w:sz="4" w:space="0" w:color="FFFFFF" w:themeColor="background1"/>
            </w:tcBorders>
            <w:noWrap/>
            <w:hideMark/>
          </w:tcPr>
          <w:p>
            <w:pPr>
              <w:rPr>
                <w:b/>
                <w:noProof/>
              </w:rPr>
            </w:pPr>
            <w:r>
              <w:rPr>
                <w:b/>
                <w:noProof/>
              </w:rPr>
              <w:t>(a)</w:t>
            </w:r>
          </w:p>
        </w:tc>
        <w:tc>
          <w:tcPr>
            <w:tcW w:w="6096" w:type="dxa"/>
            <w:tcBorders>
              <w:left w:val="single" w:sz="4" w:space="0" w:color="FFFFFF" w:themeColor="background1"/>
            </w:tcBorders>
            <w:noWrap/>
            <w:hideMark/>
          </w:tcPr>
          <w:p>
            <w:pPr>
              <w:rPr>
                <w:b/>
                <w:noProof/>
              </w:rPr>
            </w:pPr>
            <w:r>
              <w:rPr>
                <w:b/>
                <w:noProof/>
              </w:rPr>
              <w:t>Unintended releases – Total</w:t>
            </w:r>
          </w:p>
        </w:tc>
        <w:tc>
          <w:tcPr>
            <w:tcW w:w="992" w:type="dxa"/>
            <w:noWrap/>
            <w:hideMark/>
          </w:tcPr>
          <w:p>
            <w:pPr>
              <w:rPr>
                <w:b/>
                <w:noProof/>
              </w:rPr>
            </w:pPr>
            <w:r>
              <w:rPr>
                <w:b/>
                <w:noProof/>
              </w:rPr>
              <w:t>99</w:t>
            </w:r>
          </w:p>
        </w:tc>
        <w:tc>
          <w:tcPr>
            <w:tcW w:w="1418" w:type="dxa"/>
            <w:noWrap/>
            <w:hideMark/>
          </w:tcPr>
          <w:p>
            <w:pPr>
              <w:rPr>
                <w:b/>
                <w:noProof/>
              </w:rPr>
            </w:pPr>
            <w:r>
              <w:rPr>
                <w:b/>
                <w:noProof/>
              </w:rPr>
              <w:t>100.0%</w:t>
            </w:r>
          </w:p>
        </w:tc>
        <w:tc>
          <w:tcPr>
            <w:tcW w:w="1643" w:type="dxa"/>
            <w:noWrap/>
            <w:hideMark/>
          </w:tcPr>
          <w:p>
            <w:pPr>
              <w:rPr>
                <w:b/>
                <w:noProof/>
              </w:rPr>
            </w:pPr>
            <w:r>
              <w:rPr>
                <w:b/>
                <w:noProof/>
              </w:rPr>
              <w:t>79,8%</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Ignited oil/gas releases – Fires</w:t>
            </w:r>
          </w:p>
        </w:tc>
        <w:tc>
          <w:tcPr>
            <w:tcW w:w="992" w:type="dxa"/>
            <w:noWrap/>
            <w:hideMark/>
          </w:tcPr>
          <w:p>
            <w:pPr>
              <w:rPr>
                <w:noProof/>
              </w:rPr>
            </w:pPr>
            <w:r>
              <w:rPr>
                <w:noProof/>
              </w:rPr>
              <w:t>1</w:t>
            </w:r>
          </w:p>
        </w:tc>
        <w:tc>
          <w:tcPr>
            <w:tcW w:w="1418" w:type="dxa"/>
            <w:noWrap/>
            <w:hideMark/>
          </w:tcPr>
          <w:p>
            <w:pPr>
              <w:rPr>
                <w:noProof/>
              </w:rPr>
            </w:pPr>
            <w:r>
              <w:rPr>
                <w:noProof/>
              </w:rPr>
              <w:t>1,06%</w:t>
            </w:r>
          </w:p>
        </w:tc>
        <w:tc>
          <w:tcPr>
            <w:tcW w:w="1643" w:type="dxa"/>
            <w:noWrap/>
            <w:hideMark/>
          </w:tcPr>
          <w:p>
            <w:pPr>
              <w:rPr>
                <w:noProof/>
              </w:rPr>
            </w:pPr>
            <w:r>
              <w:rPr>
                <w:noProof/>
              </w:rPr>
              <w:t>0,8%</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Ignited oil/gas releases – Explosions</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Not ignited gas releases</w:t>
            </w:r>
          </w:p>
        </w:tc>
        <w:tc>
          <w:tcPr>
            <w:tcW w:w="992" w:type="dxa"/>
            <w:noWrap/>
            <w:hideMark/>
          </w:tcPr>
          <w:p>
            <w:pPr>
              <w:rPr>
                <w:noProof/>
              </w:rPr>
            </w:pPr>
            <w:r>
              <w:rPr>
                <w:noProof/>
              </w:rPr>
              <w:t>56</w:t>
            </w:r>
          </w:p>
        </w:tc>
        <w:tc>
          <w:tcPr>
            <w:tcW w:w="1418" w:type="dxa"/>
            <w:noWrap/>
            <w:hideMark/>
          </w:tcPr>
          <w:p>
            <w:pPr>
              <w:rPr>
                <w:noProof/>
              </w:rPr>
            </w:pPr>
            <w:r>
              <w:rPr>
                <w:noProof/>
              </w:rPr>
              <w:t>56,5%</w:t>
            </w:r>
          </w:p>
        </w:tc>
        <w:tc>
          <w:tcPr>
            <w:tcW w:w="1643" w:type="dxa"/>
            <w:noWrap/>
            <w:hideMark/>
          </w:tcPr>
          <w:p>
            <w:pPr>
              <w:rPr>
                <w:noProof/>
              </w:rPr>
            </w:pPr>
            <w:r>
              <w:rPr>
                <w:noProof/>
              </w:rPr>
              <w:t>45,2%</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Not ignited oil releases</w:t>
            </w:r>
          </w:p>
        </w:tc>
        <w:tc>
          <w:tcPr>
            <w:tcW w:w="992" w:type="dxa"/>
            <w:noWrap/>
            <w:hideMark/>
          </w:tcPr>
          <w:p>
            <w:pPr>
              <w:rPr>
                <w:noProof/>
              </w:rPr>
            </w:pPr>
            <w:r>
              <w:rPr>
                <w:noProof/>
              </w:rPr>
              <w:t>31</w:t>
            </w:r>
          </w:p>
        </w:tc>
        <w:tc>
          <w:tcPr>
            <w:tcW w:w="1418" w:type="dxa"/>
            <w:noWrap/>
            <w:hideMark/>
          </w:tcPr>
          <w:p>
            <w:pPr>
              <w:rPr>
                <w:noProof/>
              </w:rPr>
            </w:pPr>
            <w:r>
              <w:rPr>
                <w:noProof/>
              </w:rPr>
              <w:t>31,3%</w:t>
            </w:r>
          </w:p>
        </w:tc>
        <w:tc>
          <w:tcPr>
            <w:tcW w:w="1643" w:type="dxa"/>
            <w:noWrap/>
            <w:hideMark/>
          </w:tcPr>
          <w:p>
            <w:pPr>
              <w:rPr>
                <w:noProof/>
              </w:rPr>
            </w:pPr>
            <w:r>
              <w:rPr>
                <w:noProof/>
              </w:rPr>
              <w:t>25,0%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Hazardous substances releases</w:t>
            </w:r>
          </w:p>
        </w:tc>
        <w:tc>
          <w:tcPr>
            <w:tcW w:w="992" w:type="dxa"/>
            <w:noWrap/>
            <w:hideMark/>
          </w:tcPr>
          <w:p>
            <w:pPr>
              <w:rPr>
                <w:noProof/>
                <w:lang w:val="en-IE"/>
              </w:rPr>
            </w:pPr>
            <w:r>
              <w:rPr>
                <w:noProof/>
              </w:rPr>
              <w:t>11</w:t>
            </w:r>
          </w:p>
        </w:tc>
        <w:tc>
          <w:tcPr>
            <w:tcW w:w="1418" w:type="dxa"/>
            <w:noWrap/>
            <w:hideMark/>
          </w:tcPr>
          <w:p>
            <w:pPr>
              <w:rPr>
                <w:noProof/>
              </w:rPr>
            </w:pPr>
            <w:r>
              <w:rPr>
                <w:noProof/>
              </w:rPr>
              <w:t>11,1%</w:t>
            </w:r>
          </w:p>
        </w:tc>
        <w:tc>
          <w:tcPr>
            <w:tcW w:w="1643" w:type="dxa"/>
            <w:noWrap/>
            <w:hideMark/>
          </w:tcPr>
          <w:p>
            <w:pPr>
              <w:rPr>
                <w:noProof/>
              </w:rPr>
            </w:pPr>
            <w:r>
              <w:rPr>
                <w:noProof/>
              </w:rPr>
              <w:t>8,9%</w:t>
            </w:r>
          </w:p>
        </w:tc>
      </w:tr>
      <w:tr>
        <w:trPr>
          <w:trHeight w:val="300"/>
        </w:trPr>
        <w:tc>
          <w:tcPr>
            <w:tcW w:w="533" w:type="dxa"/>
            <w:tcBorders>
              <w:right w:val="single" w:sz="4" w:space="0" w:color="FFFFFF" w:themeColor="background1"/>
            </w:tcBorders>
            <w:noWrap/>
            <w:hideMark/>
          </w:tcPr>
          <w:p>
            <w:pPr>
              <w:rPr>
                <w:b/>
                <w:noProof/>
              </w:rPr>
            </w:pPr>
            <w:r>
              <w:rPr>
                <w:b/>
                <w:noProof/>
              </w:rPr>
              <w:t>(b)</w:t>
            </w:r>
          </w:p>
        </w:tc>
        <w:tc>
          <w:tcPr>
            <w:tcW w:w="6096" w:type="dxa"/>
            <w:tcBorders>
              <w:left w:val="single" w:sz="4" w:space="0" w:color="FFFFFF" w:themeColor="background1"/>
            </w:tcBorders>
            <w:noWrap/>
            <w:hideMark/>
          </w:tcPr>
          <w:p>
            <w:pPr>
              <w:rPr>
                <w:b/>
                <w:noProof/>
              </w:rPr>
            </w:pPr>
            <w:r>
              <w:rPr>
                <w:b/>
                <w:noProof/>
              </w:rPr>
              <w:t>Loss of well – Total</w:t>
            </w:r>
          </w:p>
        </w:tc>
        <w:tc>
          <w:tcPr>
            <w:tcW w:w="992" w:type="dxa"/>
            <w:noWrap/>
            <w:hideMark/>
          </w:tcPr>
          <w:p>
            <w:pPr>
              <w:rPr>
                <w:b/>
                <w:noProof/>
              </w:rPr>
            </w:pPr>
            <w:r>
              <w:rPr>
                <w:b/>
                <w:noProof/>
              </w:rPr>
              <w:t>17</w:t>
            </w:r>
          </w:p>
        </w:tc>
        <w:tc>
          <w:tcPr>
            <w:tcW w:w="1418" w:type="dxa"/>
            <w:noWrap/>
            <w:hideMark/>
          </w:tcPr>
          <w:p>
            <w:pPr>
              <w:rPr>
                <w:b/>
                <w:noProof/>
              </w:rPr>
            </w:pPr>
            <w:r>
              <w:rPr>
                <w:b/>
                <w:noProof/>
              </w:rPr>
              <w:t>100.0%</w:t>
            </w:r>
          </w:p>
        </w:tc>
        <w:tc>
          <w:tcPr>
            <w:tcW w:w="1643" w:type="dxa"/>
            <w:noWrap/>
            <w:hideMark/>
          </w:tcPr>
          <w:p>
            <w:pPr>
              <w:rPr>
                <w:b/>
                <w:noProof/>
              </w:rPr>
            </w:pPr>
            <w:r>
              <w:rPr>
                <w:b/>
                <w:noProof/>
              </w:rPr>
              <w:t>13,7 %</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Blowouts</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Blowout / diverter activation</w:t>
            </w:r>
          </w:p>
        </w:tc>
        <w:tc>
          <w:tcPr>
            <w:tcW w:w="992" w:type="dxa"/>
            <w:noWrap/>
            <w:hideMark/>
          </w:tcPr>
          <w:p>
            <w:pPr>
              <w:rPr>
                <w:noProof/>
              </w:rPr>
            </w:pPr>
            <w:r>
              <w:rPr>
                <w:noProof/>
              </w:rPr>
              <w:t>8</w:t>
            </w:r>
          </w:p>
        </w:tc>
        <w:tc>
          <w:tcPr>
            <w:tcW w:w="1418" w:type="dxa"/>
            <w:noWrap/>
            <w:hideMark/>
          </w:tcPr>
          <w:p>
            <w:pPr>
              <w:rPr>
                <w:noProof/>
              </w:rPr>
            </w:pPr>
            <w:r>
              <w:rPr>
                <w:noProof/>
              </w:rPr>
              <w:t>47.1%</w:t>
            </w:r>
          </w:p>
        </w:tc>
        <w:tc>
          <w:tcPr>
            <w:tcW w:w="1643" w:type="dxa"/>
            <w:noWrap/>
            <w:hideMark/>
          </w:tcPr>
          <w:p>
            <w:pPr>
              <w:rPr>
                <w:noProof/>
              </w:rPr>
            </w:pPr>
            <w:r>
              <w:rPr>
                <w:noProof/>
              </w:rPr>
              <w:t>6,4%</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Well barrier failure</w:t>
            </w:r>
          </w:p>
        </w:tc>
        <w:tc>
          <w:tcPr>
            <w:tcW w:w="992" w:type="dxa"/>
            <w:noWrap/>
            <w:hideMark/>
          </w:tcPr>
          <w:p>
            <w:pPr>
              <w:rPr>
                <w:noProof/>
              </w:rPr>
            </w:pPr>
            <w:r>
              <w:rPr>
                <w:noProof/>
              </w:rPr>
              <w:t>9</w:t>
            </w:r>
          </w:p>
        </w:tc>
        <w:tc>
          <w:tcPr>
            <w:tcW w:w="1418" w:type="dxa"/>
            <w:noWrap/>
            <w:hideMark/>
          </w:tcPr>
          <w:p>
            <w:pPr>
              <w:rPr>
                <w:noProof/>
              </w:rPr>
            </w:pPr>
            <w:r>
              <w:rPr>
                <w:noProof/>
              </w:rPr>
              <w:t>52.9%</w:t>
            </w:r>
          </w:p>
        </w:tc>
        <w:tc>
          <w:tcPr>
            <w:tcW w:w="1643" w:type="dxa"/>
            <w:noWrap/>
            <w:hideMark/>
          </w:tcPr>
          <w:p>
            <w:pPr>
              <w:rPr>
                <w:noProof/>
              </w:rPr>
            </w:pPr>
            <w:r>
              <w:rPr>
                <w:noProof/>
              </w:rPr>
              <w:t>7,3%</w:t>
            </w:r>
          </w:p>
        </w:tc>
      </w:tr>
      <w:tr>
        <w:trPr>
          <w:trHeight w:val="300"/>
        </w:trPr>
        <w:tc>
          <w:tcPr>
            <w:tcW w:w="533" w:type="dxa"/>
            <w:tcBorders>
              <w:right w:val="single" w:sz="4" w:space="0" w:color="FFFFFF" w:themeColor="background1"/>
            </w:tcBorders>
            <w:noWrap/>
            <w:hideMark/>
          </w:tcPr>
          <w:p>
            <w:pPr>
              <w:rPr>
                <w:b/>
                <w:noProof/>
              </w:rPr>
            </w:pPr>
            <w:r>
              <w:rPr>
                <w:b/>
                <w:noProof/>
              </w:rPr>
              <w:t xml:space="preserve">(c) </w:t>
            </w:r>
          </w:p>
        </w:tc>
        <w:tc>
          <w:tcPr>
            <w:tcW w:w="6096" w:type="dxa"/>
            <w:tcBorders>
              <w:left w:val="single" w:sz="4" w:space="0" w:color="FFFFFF" w:themeColor="background1"/>
            </w:tcBorders>
            <w:noWrap/>
            <w:hideMark/>
          </w:tcPr>
          <w:p>
            <w:pPr>
              <w:rPr>
                <w:b/>
                <w:noProof/>
              </w:rPr>
            </w:pPr>
            <w:r>
              <w:rPr>
                <w:b/>
                <w:noProof/>
              </w:rPr>
              <w:t>Failures of SECE</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w:t>
            </w:r>
          </w:p>
        </w:tc>
      </w:tr>
      <w:tr>
        <w:trPr>
          <w:trHeight w:val="300"/>
        </w:trPr>
        <w:tc>
          <w:tcPr>
            <w:tcW w:w="533" w:type="dxa"/>
            <w:tcBorders>
              <w:right w:val="single" w:sz="4" w:space="0" w:color="FFFFFF" w:themeColor="background1"/>
            </w:tcBorders>
            <w:noWrap/>
            <w:hideMark/>
          </w:tcPr>
          <w:p>
            <w:pPr>
              <w:rPr>
                <w:b/>
                <w:noProof/>
              </w:rPr>
            </w:pPr>
            <w:r>
              <w:rPr>
                <w:b/>
                <w:noProof/>
              </w:rPr>
              <w:t>(d)</w:t>
            </w:r>
          </w:p>
        </w:tc>
        <w:tc>
          <w:tcPr>
            <w:tcW w:w="6096" w:type="dxa"/>
            <w:tcBorders>
              <w:left w:val="single" w:sz="4" w:space="0" w:color="FFFFFF" w:themeColor="background1"/>
            </w:tcBorders>
            <w:noWrap/>
            <w:hideMark/>
          </w:tcPr>
          <w:p>
            <w:pPr>
              <w:rPr>
                <w:b/>
                <w:noProof/>
              </w:rPr>
            </w:pPr>
            <w:r>
              <w:rPr>
                <w:b/>
                <w:noProof/>
              </w:rPr>
              <w:t>Loss of structural integrity – Total</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Loss of structural integrity</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Loss of stability/buoyancy</w:t>
            </w:r>
          </w:p>
        </w:tc>
        <w:tc>
          <w:tcPr>
            <w:tcW w:w="992" w:type="dxa"/>
            <w:noWrap/>
            <w:hideMark/>
          </w:tcPr>
          <w:p>
            <w:pPr>
              <w:rPr>
                <w:noProof/>
              </w:rPr>
            </w:pPr>
            <w:r>
              <w:rPr>
                <w:noProof/>
              </w:rPr>
              <w:t>0</w:t>
            </w:r>
          </w:p>
        </w:tc>
        <w:tc>
          <w:tcPr>
            <w:tcW w:w="1418" w:type="dxa"/>
            <w:noWrap/>
            <w:hideMark/>
          </w:tcPr>
          <w:p>
            <w:pPr>
              <w:rPr>
                <w:noProof/>
              </w:rPr>
            </w:pPr>
            <w:r>
              <w:rPr>
                <w:noProof/>
              </w:rPr>
              <w:t>0.0%</w:t>
            </w:r>
          </w:p>
        </w:tc>
        <w:tc>
          <w:tcPr>
            <w:tcW w:w="1643" w:type="dxa"/>
            <w:noWrap/>
            <w:hideMark/>
          </w:tcPr>
          <w:p>
            <w:pPr>
              <w:rPr>
                <w:noProof/>
              </w:rPr>
            </w:pPr>
            <w:r>
              <w:rPr>
                <w:noProof/>
              </w:rPr>
              <w:t>0.0%</w:t>
            </w:r>
          </w:p>
        </w:tc>
      </w:tr>
      <w:tr>
        <w:trPr>
          <w:trHeight w:val="300"/>
        </w:trPr>
        <w:tc>
          <w:tcPr>
            <w:tcW w:w="533" w:type="dxa"/>
            <w:tcBorders>
              <w:right w:val="single" w:sz="4" w:space="0" w:color="FFFFFF" w:themeColor="background1"/>
            </w:tcBorders>
            <w:noWrap/>
            <w:hideMark/>
          </w:tcPr>
          <w:p>
            <w:pPr>
              <w:rPr>
                <w:noProof/>
              </w:rPr>
            </w:pPr>
          </w:p>
        </w:tc>
        <w:tc>
          <w:tcPr>
            <w:tcW w:w="6096" w:type="dxa"/>
            <w:tcBorders>
              <w:left w:val="single" w:sz="4" w:space="0" w:color="FFFFFF" w:themeColor="background1"/>
            </w:tcBorders>
            <w:noWrap/>
            <w:hideMark/>
          </w:tcPr>
          <w:p>
            <w:pPr>
              <w:rPr>
                <w:noProof/>
              </w:rPr>
            </w:pPr>
            <w:r>
              <w:rPr>
                <w:noProof/>
              </w:rPr>
              <w:t>Loss of station keeping</w:t>
            </w:r>
          </w:p>
        </w:tc>
        <w:tc>
          <w:tcPr>
            <w:tcW w:w="992" w:type="dxa"/>
            <w:noWrap/>
            <w:hideMark/>
          </w:tcPr>
          <w:p>
            <w:pPr>
              <w:rPr>
                <w:noProof/>
              </w:rPr>
            </w:pPr>
            <w:r>
              <w:rPr>
                <w:noProof/>
              </w:rPr>
              <w:t>2</w:t>
            </w:r>
          </w:p>
        </w:tc>
        <w:tc>
          <w:tcPr>
            <w:tcW w:w="1418" w:type="dxa"/>
            <w:noWrap/>
            <w:hideMark/>
          </w:tcPr>
          <w:p>
            <w:pPr>
              <w:rPr>
                <w:noProof/>
              </w:rPr>
            </w:pPr>
            <w:r>
              <w:rPr>
                <w:noProof/>
              </w:rPr>
              <w:t>100.0%</w:t>
            </w:r>
          </w:p>
        </w:tc>
        <w:tc>
          <w:tcPr>
            <w:tcW w:w="1643" w:type="dxa"/>
            <w:noWrap/>
            <w:hideMark/>
          </w:tcPr>
          <w:p>
            <w:pPr>
              <w:rPr>
                <w:noProof/>
              </w:rPr>
            </w:pPr>
            <w:r>
              <w:rPr>
                <w:noProof/>
              </w:rPr>
              <w:t>1,6%</w:t>
            </w:r>
          </w:p>
        </w:tc>
      </w:tr>
      <w:tr>
        <w:trPr>
          <w:trHeight w:val="300"/>
        </w:trPr>
        <w:tc>
          <w:tcPr>
            <w:tcW w:w="533" w:type="dxa"/>
            <w:tcBorders>
              <w:right w:val="single" w:sz="4" w:space="0" w:color="FFFFFF" w:themeColor="background1"/>
            </w:tcBorders>
            <w:noWrap/>
            <w:hideMark/>
          </w:tcPr>
          <w:p>
            <w:pPr>
              <w:rPr>
                <w:b/>
                <w:noProof/>
              </w:rPr>
            </w:pPr>
            <w:r>
              <w:rPr>
                <w:b/>
                <w:noProof/>
              </w:rPr>
              <w:t xml:space="preserve">(e) </w:t>
            </w:r>
          </w:p>
        </w:tc>
        <w:tc>
          <w:tcPr>
            <w:tcW w:w="6096" w:type="dxa"/>
            <w:tcBorders>
              <w:left w:val="single" w:sz="4" w:space="0" w:color="FFFFFF" w:themeColor="background1"/>
            </w:tcBorders>
            <w:noWrap/>
            <w:hideMark/>
          </w:tcPr>
          <w:p>
            <w:pPr>
              <w:rPr>
                <w:b/>
                <w:noProof/>
              </w:rPr>
            </w:pPr>
            <w:r>
              <w:rPr>
                <w:b/>
                <w:noProof/>
              </w:rPr>
              <w:t>Vessel collisions</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(f)</w:t>
            </w:r>
          </w:p>
        </w:tc>
        <w:tc>
          <w:tcPr>
            <w:tcW w:w="6096" w:type="dxa"/>
            <w:tcBorders>
              <w:left w:val="single" w:sz="4" w:space="0" w:color="FFFFFF" w:themeColor="background1"/>
            </w:tcBorders>
            <w:noWrap/>
            <w:hideMark/>
          </w:tcPr>
          <w:p>
            <w:pPr>
              <w:rPr>
                <w:b/>
                <w:noProof/>
              </w:rPr>
            </w:pPr>
            <w:r>
              <w:rPr>
                <w:b/>
                <w:noProof/>
              </w:rPr>
              <w:t>Helicopter accidents</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(g)</w:t>
            </w:r>
          </w:p>
        </w:tc>
        <w:tc>
          <w:tcPr>
            <w:tcW w:w="6096" w:type="dxa"/>
            <w:tcBorders>
              <w:left w:val="single" w:sz="4" w:space="0" w:color="FFFFFF" w:themeColor="background1"/>
            </w:tcBorders>
            <w:noWrap/>
            <w:hideMark/>
          </w:tcPr>
          <w:p>
            <w:pPr>
              <w:rPr>
                <w:b/>
                <w:noProof/>
              </w:rPr>
            </w:pPr>
            <w:r>
              <w:rPr>
                <w:b/>
                <w:noProof/>
              </w:rPr>
              <w:t>Fatal accidents</w:t>
            </w:r>
            <w:r>
              <w:rPr>
                <w:b/>
                <w:noProof/>
                <w:vertAlign w:val="superscript"/>
              </w:rPr>
              <w:t>(*)</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(h)</w:t>
            </w:r>
          </w:p>
        </w:tc>
        <w:tc>
          <w:tcPr>
            <w:tcW w:w="6096" w:type="dxa"/>
            <w:tcBorders>
              <w:left w:val="single" w:sz="4" w:space="0" w:color="FFFFFF" w:themeColor="background1"/>
            </w:tcBorders>
            <w:noWrap/>
            <w:hideMark/>
          </w:tcPr>
          <w:p>
            <w:pPr>
              <w:rPr>
                <w:b/>
                <w:noProof/>
              </w:rPr>
            </w:pPr>
            <w:r>
              <w:rPr>
                <w:b/>
                <w:noProof/>
              </w:rPr>
              <w:t>Serious injuries of 5 or more persons in the same accident</w:t>
            </w:r>
          </w:p>
        </w:tc>
        <w:tc>
          <w:tcPr>
            <w:tcW w:w="992" w:type="dxa"/>
            <w:noWrap/>
            <w:hideMark/>
          </w:tcPr>
          <w:p>
            <w:pPr>
              <w:rPr>
                <w:b/>
                <w:noProof/>
              </w:rPr>
            </w:pPr>
            <w:r>
              <w:rPr>
                <w:b/>
                <w:noProof/>
              </w:rPr>
              <w:t>0</w:t>
            </w:r>
          </w:p>
        </w:tc>
        <w:tc>
          <w:tcPr>
            <w:tcW w:w="1418" w:type="dxa"/>
            <w:noWrap/>
            <w:hideMark/>
          </w:tcPr>
          <w:p>
            <w:pPr>
              <w:rPr>
                <w:b/>
                <w:noProof/>
              </w:rPr>
            </w:pPr>
            <w:r>
              <w:rPr>
                <w:b/>
                <w:noProof/>
              </w:rPr>
              <w:t>0.0%</w:t>
            </w:r>
          </w:p>
        </w:tc>
        <w:tc>
          <w:tcPr>
            <w:tcW w:w="1643" w:type="dxa"/>
            <w:noWrap/>
            <w:hideMark/>
          </w:tcPr>
          <w:p>
            <w:pPr>
              <w:rPr>
                <w:b/>
                <w:noProof/>
              </w:rPr>
            </w:pPr>
            <w:r>
              <w:rPr>
                <w:b/>
                <w:noProof/>
              </w:rPr>
              <w:t>0.0%</w:t>
            </w:r>
          </w:p>
        </w:tc>
      </w:tr>
      <w:tr>
        <w:trPr>
          <w:trHeight w:val="300"/>
        </w:trPr>
        <w:tc>
          <w:tcPr>
            <w:tcW w:w="533" w:type="dxa"/>
            <w:tcBorders>
              <w:right w:val="single" w:sz="4" w:space="0" w:color="FFFFFF" w:themeColor="background1"/>
            </w:tcBorders>
            <w:noWrap/>
            <w:hideMark/>
          </w:tcPr>
          <w:p>
            <w:pPr>
              <w:rPr>
                <w:b/>
                <w:noProof/>
              </w:rPr>
            </w:pPr>
            <w:r>
              <w:rPr>
                <w:b/>
                <w:noProof/>
              </w:rPr>
              <w:t>(i)</w:t>
            </w:r>
          </w:p>
        </w:tc>
        <w:tc>
          <w:tcPr>
            <w:tcW w:w="6096" w:type="dxa"/>
            <w:tcBorders>
              <w:left w:val="single" w:sz="4" w:space="0" w:color="FFFFFF" w:themeColor="background1"/>
            </w:tcBorders>
            <w:noWrap/>
            <w:hideMark/>
          </w:tcPr>
          <w:p>
            <w:pPr>
              <w:rPr>
                <w:b/>
                <w:noProof/>
              </w:rPr>
            </w:pPr>
            <w:r>
              <w:rPr>
                <w:b/>
                <w:noProof/>
              </w:rPr>
              <w:t>Evacuation of personnel</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w:t>
            </w:r>
          </w:p>
        </w:tc>
      </w:tr>
      <w:tr>
        <w:trPr>
          <w:trHeight w:val="300"/>
        </w:trPr>
        <w:tc>
          <w:tcPr>
            <w:tcW w:w="533" w:type="dxa"/>
            <w:tcBorders>
              <w:right w:val="single" w:sz="4" w:space="0" w:color="FFFFFF" w:themeColor="background1"/>
            </w:tcBorders>
            <w:noWrap/>
            <w:hideMark/>
          </w:tcPr>
          <w:p>
            <w:pPr>
              <w:rPr>
                <w:b/>
                <w:noProof/>
              </w:rPr>
            </w:pPr>
            <w:r>
              <w:rPr>
                <w:b/>
                <w:noProof/>
              </w:rPr>
              <w:t>(j)</w:t>
            </w:r>
          </w:p>
        </w:tc>
        <w:tc>
          <w:tcPr>
            <w:tcW w:w="6096" w:type="dxa"/>
            <w:tcBorders>
              <w:left w:val="single" w:sz="4" w:space="0" w:color="FFFFFF" w:themeColor="background1"/>
            </w:tcBorders>
            <w:noWrap/>
            <w:hideMark/>
          </w:tcPr>
          <w:p>
            <w:pPr>
              <w:rPr>
                <w:b/>
                <w:noProof/>
              </w:rPr>
            </w:pPr>
            <w:r>
              <w:rPr>
                <w:b/>
                <w:noProof/>
              </w:rPr>
              <w:t>Environmental accidents</w:t>
            </w:r>
            <w:r>
              <w:rPr>
                <w:b/>
                <w:noProof/>
                <w:vertAlign w:val="superscript"/>
              </w:rPr>
              <w:t>(**)</w:t>
            </w:r>
          </w:p>
        </w:tc>
        <w:tc>
          <w:tcPr>
            <w:tcW w:w="992" w:type="dxa"/>
            <w:noWrap/>
            <w:hideMark/>
          </w:tcPr>
          <w:p>
            <w:pPr>
              <w:rPr>
                <w:b/>
                <w:noProof/>
              </w:rPr>
            </w:pPr>
            <w:r>
              <w:rPr>
                <w:b/>
                <w:noProof/>
              </w:rPr>
              <w:t>2</w:t>
            </w:r>
          </w:p>
        </w:tc>
        <w:tc>
          <w:tcPr>
            <w:tcW w:w="1418" w:type="dxa"/>
            <w:noWrap/>
            <w:hideMark/>
          </w:tcPr>
          <w:p>
            <w:pPr>
              <w:rPr>
                <w:b/>
                <w:noProof/>
              </w:rPr>
            </w:pPr>
            <w:r>
              <w:rPr>
                <w:b/>
                <w:noProof/>
              </w:rPr>
              <w:t>100.0%</w:t>
            </w:r>
          </w:p>
        </w:tc>
        <w:tc>
          <w:tcPr>
            <w:tcW w:w="1643" w:type="dxa"/>
            <w:noWrap/>
            <w:hideMark/>
          </w:tcPr>
          <w:p>
            <w:pPr>
              <w:rPr>
                <w:b/>
                <w:noProof/>
              </w:rPr>
            </w:pPr>
            <w:r>
              <w:rPr>
                <w:b/>
                <w:noProof/>
              </w:rPr>
              <w:t>1,6%</w:t>
            </w:r>
          </w:p>
        </w:tc>
      </w:tr>
      <w:tr>
        <w:trPr>
          <w:trHeight w:val="300"/>
        </w:trPr>
        <w:tc>
          <w:tcPr>
            <w:tcW w:w="6629" w:type="dxa"/>
            <w:gridSpan w:val="2"/>
            <w:noWrap/>
            <w:hideMark/>
          </w:tcPr>
          <w:p>
            <w:pPr>
              <w:rPr>
                <w:b/>
                <w:noProof/>
              </w:rPr>
            </w:pPr>
            <w:r>
              <w:rPr>
                <w:b/>
                <w:noProof/>
              </w:rPr>
              <w:t>Total</w:t>
            </w:r>
            <w:r>
              <w:rPr>
                <w:rStyle w:val="FootnoteReference"/>
                <w:b/>
                <w:noProof/>
              </w:rPr>
              <w:footnoteReference w:id="9"/>
            </w:r>
          </w:p>
        </w:tc>
        <w:tc>
          <w:tcPr>
            <w:tcW w:w="992" w:type="dxa"/>
            <w:noWrap/>
            <w:hideMark/>
          </w:tcPr>
          <w:p>
            <w:pPr>
              <w:rPr>
                <w:b/>
                <w:noProof/>
              </w:rPr>
            </w:pPr>
            <w:r>
              <w:rPr>
                <w:b/>
                <w:noProof/>
              </w:rPr>
              <w:t>124</w:t>
            </w:r>
          </w:p>
        </w:tc>
        <w:tc>
          <w:tcPr>
            <w:tcW w:w="1418" w:type="dxa"/>
            <w:noWrap/>
            <w:hideMark/>
          </w:tcPr>
          <w:p>
            <w:pPr>
              <w:rPr>
                <w:b/>
                <w:noProof/>
              </w:rPr>
            </w:pPr>
            <w:r>
              <w:rPr>
                <w:b/>
                <w:noProof/>
              </w:rPr>
              <w:t>100.0%</w:t>
            </w:r>
          </w:p>
        </w:tc>
        <w:tc>
          <w:tcPr>
            <w:tcW w:w="1643" w:type="dxa"/>
            <w:noWrap/>
            <w:hideMark/>
          </w:tcPr>
          <w:p>
            <w:pPr>
              <w:rPr>
                <w:b/>
                <w:noProof/>
              </w:rPr>
            </w:pPr>
            <w:r>
              <w:rPr>
                <w:b/>
                <w:noProof/>
              </w:rPr>
              <w:t>100.0%</w:t>
            </w:r>
          </w:p>
        </w:tc>
      </w:tr>
      <w:tr>
        <w:trPr>
          <w:trHeight w:val="300"/>
        </w:trPr>
        <w:tc>
          <w:tcPr>
            <w:tcW w:w="10682" w:type="dxa"/>
            <w:gridSpan w:val="5"/>
            <w:noWrap/>
          </w:tcPr>
          <w:p>
            <w:pPr>
              <w:spacing w:after="0"/>
              <w:rPr>
                <w:i/>
                <w:noProof/>
                <w:sz w:val="20"/>
              </w:rPr>
            </w:pPr>
            <w:r>
              <w:rPr>
                <w:noProof/>
                <w:sz w:val="20"/>
              </w:rPr>
              <w:t xml:space="preserve">(*) </w:t>
            </w:r>
            <w:r>
              <w:rPr>
                <w:i/>
                <w:noProof/>
                <w:sz w:val="20"/>
              </w:rPr>
              <w:t>Only if related to a major accident</w:t>
            </w:r>
          </w:p>
          <w:p>
            <w:pPr>
              <w:rPr>
                <w:noProof/>
              </w:rPr>
            </w:pPr>
            <w:r>
              <w:rPr>
                <w:noProof/>
                <w:sz w:val="20"/>
              </w:rPr>
              <w:t xml:space="preserve">(**) </w:t>
            </w:r>
            <w:r>
              <w:rPr>
                <w:i/>
                <w:noProof/>
                <w:sz w:val="20"/>
              </w:rPr>
              <w:t>According to reports of Member States, the major accidents did not qualify as environmental accidents</w:t>
            </w:r>
          </w:p>
        </w:tc>
      </w:tr>
    </w:tbl>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In the EU, the total number of incidents increased from 42 in 2016 to 59 in 2017 and further to 124 in 2018, largely due to an increased number of ´unintended releases´. The ‘loss of well control’ incidents increased to 17, after the number fell from 11 in 2016 to 8 in 2017. The ‘failures of safety and environmental critical elements’ was 2, after 3 in 2016 and 1 in 2017. There were 2 reports of failures of structural integrity in 2018 after none in 2017 and 2 such failures reported in 2016. In addition, 2 evacuations took place in 2018, whereas no evacuation of personnel was reported for 2017 and 1 evacuation was reported  in 2016.</w:t>
      </w:r>
    </w:p>
    <w:p>
      <w:pPr>
        <w:jc w:val="both"/>
        <w:rPr>
          <w:rFonts w:ascii="Times New Roman" w:hAnsi="Times New Roman"/>
          <w:noProof/>
          <w:sz w:val="24"/>
          <w:szCs w:val="24"/>
        </w:rPr>
      </w:pPr>
      <w:r>
        <w:rPr>
          <w:rFonts w:ascii="Times New Roman" w:hAnsi="Times New Roman"/>
          <w:noProof/>
          <w:sz w:val="24"/>
          <w:szCs w:val="24"/>
        </w:rPr>
        <w:t>No vessel collisions were reported for 2018, compared to 3 in 2017 and none reported for 2016; there were 9 failures of well barriers compared to 2 in 2017 and none reported for 2016. In 2018 a total of 6 incidents were classified as major accidents</w:t>
      </w:r>
      <w:r>
        <w:rPr>
          <w:rStyle w:val="FootnoteReference"/>
          <w:rFonts w:ascii="Times New Roman" w:hAnsi="Times New Roman"/>
          <w:noProof/>
          <w:sz w:val="24"/>
          <w:szCs w:val="24"/>
        </w:rPr>
        <w:footnoteReference w:id="10"/>
      </w:r>
      <w:r>
        <w:rPr>
          <w:rFonts w:ascii="Times New Roman" w:hAnsi="Times New Roman"/>
          <w:noProof/>
          <w:sz w:val="24"/>
          <w:szCs w:val="24"/>
        </w:rPr>
        <w:t>, since they could have potentially caused fatalities or serious personal injury. In 2017, 4 major accidents occurred and 2 major accidents were reported in 2016.</w:t>
      </w:r>
    </w:p>
    <w:p>
      <w:pPr>
        <w:jc w:val="both"/>
        <w:rPr>
          <w:rFonts w:ascii="Times New Roman" w:hAnsi="Times New Roman"/>
          <w:noProof/>
          <w:sz w:val="24"/>
          <w:szCs w:val="24"/>
          <w:lang w:val="en-IE"/>
        </w:rPr>
      </w:pPr>
      <w:r>
        <w:rPr>
          <w:rFonts w:ascii="Times New Roman" w:hAnsi="Times New Roman"/>
          <w:noProof/>
          <w:sz w:val="24"/>
          <w:szCs w:val="24"/>
        </w:rPr>
        <w:t>Taking note of the increased number of accidents the Commission closely co</w:t>
      </w:r>
      <w:r>
        <w:rPr>
          <w:rFonts w:ascii="Times New Roman" w:hAnsi="Times New Roman"/>
          <w:noProof/>
          <w:sz w:val="24"/>
          <w:szCs w:val="24"/>
          <w:lang w:val="en-IE"/>
        </w:rPr>
        <w:t>-operates with Competent Authorities concerned to determine the causes for this development and to discuss a potential follow-up allowing a higher level of safety performance as soon as possible.</w:t>
      </w:r>
      <w:r>
        <w:rPr>
          <w:noProof/>
        </w:rPr>
        <w:t xml:space="preserve"> </w:t>
      </w:r>
      <w:r>
        <w:rPr>
          <w:rFonts w:ascii="Times New Roman" w:hAnsi="Times New Roman"/>
          <w:noProof/>
          <w:sz w:val="24"/>
          <w:szCs w:val="24"/>
          <w:lang w:val="en-IE"/>
        </w:rPr>
        <w:t>Co-operation takes place bilaterally and in the context of the European Offshore Authorities Group (EUOAG).</w:t>
      </w:r>
    </w:p>
    <w:p>
      <w:pPr>
        <w:jc w:val="both"/>
        <w:rPr>
          <w:rFonts w:ascii="Times New Roman" w:hAnsi="Times New Roman"/>
          <w:noProof/>
          <w:sz w:val="24"/>
          <w:szCs w:val="24"/>
          <w:lang w:val="en-IE"/>
        </w:rPr>
      </w:pPr>
    </w:p>
    <w:p>
      <w:pPr>
        <w:pStyle w:val="Heading1"/>
        <w:spacing w:before="0"/>
        <w:rPr>
          <w:rFonts w:ascii="Times New Roman" w:hAnsi="Times New Roman"/>
        </w:rPr>
      </w:pPr>
      <w:bookmarkStart w:id="9" w:name="_Toc34317090"/>
      <w:r>
        <w:rPr>
          <w:rFonts w:ascii="Times New Roman" w:hAnsi="Times New Roman"/>
        </w:rPr>
        <w:t>6.</w:t>
      </w:r>
      <w:r>
        <w:rPr>
          <w:rFonts w:ascii="Times New Roman" w:hAnsi="Times New Roman"/>
        </w:rPr>
        <w:tab/>
        <w:t>CONCLUSIONS</w:t>
      </w:r>
      <w:bookmarkEnd w:id="9"/>
    </w:p>
    <w:p>
      <w:pPr>
        <w:jc w:val="both"/>
        <w:rPr>
          <w:rFonts w:ascii="Times New Roman" w:hAnsi="Times New Roman"/>
          <w:noProof/>
          <w:sz w:val="24"/>
          <w:szCs w:val="24"/>
        </w:rPr>
      </w:pPr>
      <w:r>
        <w:rPr>
          <w:rFonts w:ascii="Times New Roman" w:hAnsi="Times New Roman"/>
          <w:noProof/>
          <w:sz w:val="24"/>
          <w:szCs w:val="24"/>
        </w:rPr>
        <w:t>With 556 installations in the EU (2018 includes the United Kingdom), the number of installations remained rather stable. In the preceding year it decreased from 586 in 2016 to 554 in 2017. The level of overall oil and gas production slightly decreased from 113 051 of kilotonnes of oil equivant to 112 217 kilotonnes of oil equivant in 2018.</w:t>
      </w:r>
    </w:p>
    <w:p>
      <w:pPr>
        <w:jc w:val="both"/>
        <w:rPr>
          <w:rFonts w:ascii="Times New Roman" w:hAnsi="Times New Roman"/>
          <w:noProof/>
          <w:sz w:val="24"/>
          <w:szCs w:val="24"/>
        </w:rPr>
      </w:pPr>
      <w:r>
        <w:rPr>
          <w:rFonts w:ascii="Times New Roman" w:hAnsi="Times New Roman"/>
          <w:noProof/>
          <w:sz w:val="24"/>
          <w:szCs w:val="24"/>
        </w:rPr>
        <w:t>The Commission assesses the safety of the EU’s offshore oil and gas operations based on the data provided by Member States in accordance with the provisions of the Implementing Regulation on reporting. Accordingly, the accuracy of the Commission’s assessment depends on the information submitted by Member States.</w:t>
      </w:r>
    </w:p>
    <w:p>
      <w:pPr>
        <w:jc w:val="both"/>
        <w:rPr>
          <w:rFonts w:ascii="Times New Roman" w:hAnsi="Times New Roman"/>
          <w:noProof/>
          <w:sz w:val="24"/>
          <w:szCs w:val="24"/>
        </w:rPr>
      </w:pPr>
      <w:r>
        <w:rPr>
          <w:rFonts w:ascii="Times New Roman" w:hAnsi="Times New Roman"/>
          <w:noProof/>
          <w:sz w:val="24"/>
          <w:szCs w:val="24"/>
        </w:rPr>
        <w:t>The number of inspections and investigations carried out was slighly lower (minus 6 %) than in the preceding year. In comparison to 2017, Member States carried out a lower number of enforcement actions.</w:t>
      </w:r>
    </w:p>
    <w:p>
      <w:pPr>
        <w:jc w:val="both"/>
        <w:rPr>
          <w:rFonts w:ascii="Times New Roman" w:hAnsi="Times New Roman"/>
          <w:noProof/>
          <w:sz w:val="24"/>
          <w:szCs w:val="24"/>
        </w:rPr>
      </w:pPr>
      <w:r>
        <w:rPr>
          <w:rFonts w:ascii="Times New Roman" w:hAnsi="Times New Roman"/>
          <w:noProof/>
          <w:sz w:val="24"/>
          <w:szCs w:val="24"/>
        </w:rPr>
        <w:t>The number of incidents sharply increased from 59 in 2017 to 124 in 2018. The phasing in of all the United Kingdom’s offshore installations into the reporting system may only explain a smaller part of the increase of accidents</w:t>
      </w:r>
      <w:r>
        <w:rPr>
          <w:rStyle w:val="FootnoteReference"/>
          <w:rFonts w:ascii="Times New Roman" w:hAnsi="Times New Roman"/>
          <w:noProof/>
          <w:sz w:val="24"/>
          <w:szCs w:val="24"/>
        </w:rPr>
        <w:footnoteReference w:id="11"/>
      </w:r>
      <w:r>
        <w:rPr>
          <w:rFonts w:ascii="Times New Roman" w:hAnsi="Times New Roman"/>
          <w:noProof/>
          <w:sz w:val="24"/>
          <w:szCs w:val="24"/>
        </w:rPr>
        <w:t>. Incidents in the UK increased from 30 to 99 and in the Netherlands from 13 to 52. In contrast, this number decreased for Denmark from 14 to 9. Major accidents increased from 4 to 6 between 2017 and 2018.</w:t>
      </w:r>
    </w:p>
    <w:p>
      <w:pPr>
        <w:jc w:val="both"/>
        <w:rPr>
          <w:rFonts w:ascii="Times New Roman" w:hAnsi="Times New Roman"/>
          <w:noProof/>
          <w:sz w:val="24"/>
          <w:szCs w:val="24"/>
        </w:rPr>
      </w:pPr>
      <w:r>
        <w:rPr>
          <w:rFonts w:ascii="Times New Roman" w:hAnsi="Times New Roman"/>
          <w:noProof/>
          <w:sz w:val="24"/>
          <w:szCs w:val="24"/>
        </w:rPr>
        <w:t>As in 2016 and 2017, no fatalities were reported in 2018 but 10 injuries and 17 serious injuries occurred. According  to the reports of competent authorities, in the United Kingdom and in the Netherlands the number of accidents significantly increased, which requires both an in-depth analysis of causes and follow-up measures  by competent authorities. The Commission will co-operate with Member States and seek co-operation with the United Kingdom to bring the safety performance back to the level of recent years.</w:t>
      </w:r>
    </w:p>
    <w:sectPr>
      <w:headerReference w:type="even" r:id="rId22"/>
      <w:headerReference w:type="default" r:id="rId23"/>
      <w:footerReference w:type="even" r:id="rId24"/>
      <w:footerReference w:type="default" r:id="rId25"/>
      <w:headerReference w:type="first" r:id="rId26"/>
      <w:footerReference w:type="first" r:id="rId27"/>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OJ L 178, 28 June 2013, p. 66.</w:t>
      </w:r>
    </w:p>
  </w:footnote>
  <w:footnote w:id="2">
    <w:p>
      <w:pPr>
        <w:pStyle w:val="FootnoteText"/>
      </w:pPr>
      <w:r>
        <w:rPr>
          <w:rStyle w:val="FootnoteReference"/>
        </w:rPr>
        <w:footnoteRef/>
      </w:r>
      <w:r>
        <w:t xml:space="preserve"> OJ L 302, 22 October 2014, p. 2.</w:t>
      </w:r>
    </w:p>
  </w:footnote>
  <w:footnote w:id="3">
    <w:p>
      <w:pPr>
        <w:pStyle w:val="FootnoteText"/>
      </w:pPr>
      <w:r>
        <w:rPr>
          <w:rStyle w:val="FootnoteReference"/>
        </w:rPr>
        <w:footnoteRef/>
      </w:r>
      <w:r>
        <w:t>https://euoag.jrc.ec.europa.eu/files/attachments/2015_11_25_implementing_regulation_guidance_document_final.pdf.</w:t>
      </w:r>
    </w:p>
  </w:footnote>
  <w:footnote w:id="4">
    <w:p>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Mobile Offshore Drilling Units (MODUs) are not part of the analysis of Section 4.1.</w:t>
      </w:r>
    </w:p>
  </w:footnote>
  <w:footnote w:id="5">
    <w:p>
      <w:pPr>
        <w:pStyle w:val="FootnoteText"/>
      </w:pPr>
      <w:r>
        <w:rPr>
          <w:rStyle w:val="FootnoteReference"/>
        </w:rPr>
        <w:footnoteRef/>
      </w:r>
      <w:r>
        <w:t xml:space="preserve"> Details see chapter 4.1.</w:t>
      </w:r>
    </w:p>
  </w:footnote>
  <w:footnote w:id="6">
    <w:p>
      <w:pPr>
        <w:pStyle w:val="FootnoteText"/>
        <w:rPr>
          <w:lang w:val="en-IE"/>
        </w:rPr>
      </w:pPr>
      <w:r>
        <w:rPr>
          <w:rStyle w:val="FootnoteReference"/>
        </w:rPr>
        <w:footnoteRef/>
      </w:r>
      <w:r>
        <w:t xml:space="preserve"> </w:t>
      </w:r>
      <w:r>
        <w:rPr>
          <w:lang w:val="en-IE"/>
        </w:rPr>
        <w:t>Despite the decommissioning of 13 installations and the start of operation of only one new installation the total number of installations increased by two installations. If all data were accurately reported the number had to decline by 12 installations.</w:t>
      </w:r>
    </w:p>
  </w:footnote>
  <w:footnote w:id="7">
    <w:p>
      <w:pPr>
        <w:pStyle w:val="FootnoteText"/>
      </w:pPr>
      <w:r>
        <w:rPr>
          <w:rStyle w:val="FootnoteReference"/>
        </w:rPr>
        <w:footnoteRef/>
      </w:r>
      <w:r>
        <w:t xml:space="preserve"> Safety and environmental concerns is the reporting by the workforce, if they see issues in the workplace that they think might be breaking health and safety law and has the potential to cause harm.</w:t>
      </w:r>
    </w:p>
  </w:footnote>
  <w:footnote w:id="8">
    <w:p>
      <w:pPr>
        <w:pStyle w:val="FootnoteText"/>
      </w:pPr>
      <w:r>
        <w:rPr>
          <w:rStyle w:val="FootnoteReference"/>
        </w:rPr>
        <w:footnoteRef/>
      </w:r>
      <w:r>
        <w:t xml:space="preserve"> A single reportable event may lead to several incidents, e.g. an unintended release of gas may lead to the evacuation of personnel. </w:t>
      </w:r>
    </w:p>
  </w:footnote>
  <w:footnote w:id="9">
    <w:p>
      <w:pPr>
        <w:pStyle w:val="FootnoteText"/>
        <w:rPr>
          <w:rFonts w:ascii="Times New Roman" w:hAnsi="Times New Roman"/>
        </w:rPr>
      </w:pPr>
      <w:r>
        <w:rPr>
          <w:rStyle w:val="FootnoteReference"/>
        </w:rPr>
        <w:footnoteRef/>
      </w:r>
      <w:r>
        <w:t xml:space="preserve"> </w:t>
      </w:r>
      <w:r>
        <w:rPr>
          <w:rFonts w:ascii="Times New Roman" w:hAnsi="Times New Roman"/>
        </w:rPr>
        <w:t>A single incident may appear more than once, for example: the evacuation of personal linked to the loss of well control would count for the total as two points.</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OJ L 178, 28 June 2013, p. 73: Article 2(1): ‘major accident’ means, in relation to an installation or connected infrastructure:</w:t>
      </w:r>
    </w:p>
    <w:p>
      <w:pPr>
        <w:pStyle w:val="FootnoteText"/>
        <w:jc w:val="both"/>
        <w:rPr>
          <w:rFonts w:ascii="Times New Roman" w:hAnsi="Times New Roman"/>
        </w:rPr>
      </w:pPr>
      <w:r>
        <w:rPr>
          <w:rFonts w:ascii="Times New Roman" w:hAnsi="Times New Roman"/>
        </w:rPr>
        <w:t>(a) an incident involving an explosion, fire, loss of well control, or release of oil, gas or dangerous substances involving, or with a significant potential to cause, fatalities or serious personal injury;</w:t>
      </w:r>
    </w:p>
    <w:p>
      <w:pPr>
        <w:pStyle w:val="FootnoteText"/>
        <w:jc w:val="both"/>
        <w:rPr>
          <w:rFonts w:ascii="Times New Roman" w:hAnsi="Times New Roman"/>
        </w:rPr>
      </w:pPr>
      <w:r>
        <w:rPr>
          <w:rFonts w:ascii="Times New Roman" w:hAnsi="Times New Roman"/>
        </w:rPr>
        <w:t>(b) an incident leading to serious damage to the installation or connected infrastructure involving, or with a significant potential to cause, fatalities or serious personal injury;</w:t>
      </w:r>
    </w:p>
    <w:p>
      <w:pPr>
        <w:pStyle w:val="FootnoteText"/>
        <w:jc w:val="both"/>
        <w:rPr>
          <w:rFonts w:ascii="Times New Roman" w:hAnsi="Times New Roman"/>
        </w:rPr>
      </w:pPr>
      <w:r>
        <w:rPr>
          <w:rFonts w:ascii="Times New Roman" w:hAnsi="Times New Roman"/>
        </w:rPr>
        <w:t>(c) any other incident leading to fatalities or serious injury to five or more persons who are on the offshore installation where the source of danger occurs or who are engaged in an offshore oil and gas operation in connection with the installation or connected infrastructure; or</w:t>
      </w:r>
    </w:p>
    <w:p>
      <w:pPr>
        <w:pStyle w:val="FootnoteText"/>
        <w:jc w:val="both"/>
        <w:rPr>
          <w:rFonts w:ascii="Times New Roman" w:hAnsi="Times New Roman"/>
        </w:rPr>
      </w:pPr>
      <w:r>
        <w:rPr>
          <w:rFonts w:ascii="Times New Roman" w:hAnsi="Times New Roman"/>
        </w:rPr>
        <w:t>(d) any major environmental incident resulting from incidents referred to in points (a), (b) and (c).</w:t>
      </w:r>
    </w:p>
    <w:p>
      <w:pPr>
        <w:pStyle w:val="FootnoteText"/>
        <w:jc w:val="both"/>
        <w:rPr>
          <w:rFonts w:ascii="Times New Roman" w:hAnsi="Times New Roman"/>
        </w:rPr>
      </w:pPr>
      <w:r>
        <w:rPr>
          <w:rFonts w:ascii="Times New Roman" w:hAnsi="Times New Roman"/>
        </w:rPr>
        <w:t>For the purposes of determining whether an incident constitutes a major accident under points (a), (b) or (d), an installation that is normally unattended shall be treated as if it were attended.</w:t>
      </w:r>
    </w:p>
  </w:footnote>
  <w:footnote w:id="11">
    <w:p>
      <w:pPr>
        <w:pStyle w:val="FootnoteText"/>
        <w:rPr>
          <w:rFonts w:asciiTheme="minorHAnsi" w:hAnsiTheme="minorHAnsi" w:cstheme="minorHAnsi"/>
          <w:lang w:val="en-IE"/>
        </w:rPr>
      </w:pPr>
      <w:r>
        <w:rPr>
          <w:rStyle w:val="FootnoteReference"/>
        </w:rPr>
        <w:footnoteRef/>
      </w:r>
      <w:r>
        <w:t xml:space="preserve"> </w:t>
      </w:r>
      <w:r>
        <w:rPr>
          <w:rFonts w:asciiTheme="minorHAnsi" w:hAnsiTheme="minorHAnsi" w:cstheme="minorHAnsi"/>
          <w:noProof/>
        </w:rPr>
        <w:t>The effect of the phasing in may justify an estimated increase by 10 incidents, if safety peformance remainded unchanged per installation.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481298"/>
    <w:lvl w:ilvl="0">
      <w:start w:val="1"/>
      <w:numFmt w:val="decimal"/>
      <w:lvlText w:val="%1."/>
      <w:lvlJc w:val="left"/>
      <w:pPr>
        <w:tabs>
          <w:tab w:val="num" w:pos="1492"/>
        </w:tabs>
        <w:ind w:left="1492" w:hanging="360"/>
      </w:pPr>
    </w:lvl>
  </w:abstractNum>
  <w:abstractNum w:abstractNumId="1">
    <w:nsid w:val="FFFFFF7D"/>
    <w:multiLevelType w:val="singleLevel"/>
    <w:tmpl w:val="6A6A04CE"/>
    <w:lvl w:ilvl="0">
      <w:start w:val="1"/>
      <w:numFmt w:val="decimal"/>
      <w:lvlText w:val="%1."/>
      <w:lvlJc w:val="left"/>
      <w:pPr>
        <w:tabs>
          <w:tab w:val="num" w:pos="1209"/>
        </w:tabs>
        <w:ind w:left="1209" w:hanging="360"/>
      </w:pPr>
    </w:lvl>
  </w:abstractNum>
  <w:abstractNum w:abstractNumId="2">
    <w:nsid w:val="FFFFFF7E"/>
    <w:multiLevelType w:val="singleLevel"/>
    <w:tmpl w:val="E0B2BA30"/>
    <w:lvl w:ilvl="0">
      <w:start w:val="1"/>
      <w:numFmt w:val="decimal"/>
      <w:lvlText w:val="%1."/>
      <w:lvlJc w:val="left"/>
      <w:pPr>
        <w:tabs>
          <w:tab w:val="num" w:pos="926"/>
        </w:tabs>
        <w:ind w:left="926" w:hanging="360"/>
      </w:pPr>
    </w:lvl>
  </w:abstractNum>
  <w:abstractNum w:abstractNumId="3">
    <w:nsid w:val="FFFFFF7F"/>
    <w:multiLevelType w:val="singleLevel"/>
    <w:tmpl w:val="EB825A9E"/>
    <w:lvl w:ilvl="0">
      <w:start w:val="1"/>
      <w:numFmt w:val="decimal"/>
      <w:lvlText w:val="%1."/>
      <w:lvlJc w:val="left"/>
      <w:pPr>
        <w:tabs>
          <w:tab w:val="num" w:pos="643"/>
        </w:tabs>
        <w:ind w:left="643" w:hanging="360"/>
      </w:pPr>
    </w:lvl>
  </w:abstractNum>
  <w:abstractNum w:abstractNumId="4">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FAD44C"/>
    <w:lvl w:ilvl="0">
      <w:start w:val="1"/>
      <w:numFmt w:val="decimal"/>
      <w:lvlText w:val="%1."/>
      <w:lvlJc w:val="left"/>
      <w:pPr>
        <w:tabs>
          <w:tab w:val="num" w:pos="360"/>
        </w:tabs>
        <w:ind w:left="360" w:hanging="360"/>
      </w:pPr>
    </w:lvl>
  </w:abstractNum>
  <w:abstractNum w:abstractNumId="9">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84CF7324-1A99-47FF-B42B-F6C3C1A063ED"/>
    <w:docVar w:name="LW_COVERPAGE_TYPE" w:val="1"/>
    <w:docVar w:name="LW_CROSSREFERENCE" w:val="&lt;UNUSED&gt;"/>
    <w:docVar w:name="LW_DocType" w:val="NORMAL"/>
    <w:docVar w:name="LW_EMISSION" w:val="25.6.2020"/>
    <w:docVar w:name="LW_EMISSION_ISODATE" w:val="2020-06-25"/>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Annual Report on the Safety of Offshore Oil and Gas Operations in the European Union for the Year 2018&lt;/FMT&gt;_x000d__x000d__x000d__x000d__x000d__x000d__x000d__x000b_"/>
    <w:docVar w:name="LW_TYPE.DOC.CP" w:val="REPORT FROM THE COMMISSION"/>
    <w:docVar w:name="Stamp" w:val="\\dossiers.dgt.cec.eu.int\dossiers\MOVE\MOVE-2018-00531\MOVE-2018-00531-00-00-EN-EDT-00.201805230858395479302.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lang w:val="en-US"/>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val="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keepNext/>
      <w:spacing w:line="240" w:lineRule="auto"/>
    </w:pPr>
    <w:rPr>
      <w:rFonts w:ascii="Times New Roman" w:hAnsi="Times New Roman"/>
      <w:i/>
      <w:iCs/>
      <w:sz w:val="24"/>
      <w:szCs w:val="24"/>
      <w:lang w:val="en-US"/>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en-US"/>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val="en-GB"/>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line="259" w:lineRule="auto"/>
      <w:ind w:left="220"/>
    </w:pPr>
    <w:rPr>
      <w:rFonts w:eastAsia="Times New Roman"/>
      <w:lang w:val="en-US"/>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lang w:val="en-US"/>
    </w:rPr>
  </w:style>
  <w:style w:type="paragraph" w:styleId="TOC3">
    <w:name w:val="toc 3"/>
    <w:basedOn w:val="Normal"/>
    <w:next w:val="Normal"/>
    <w:autoRedefine/>
    <w:uiPriority w:val="39"/>
    <w:unhideWhenUsed/>
    <w:pPr>
      <w:spacing w:after="100" w:line="259" w:lineRule="auto"/>
      <w:ind w:left="440"/>
    </w:pPr>
    <w:rPr>
      <w:rFonts w:eastAsia="Times New Roman"/>
      <w:lang w:val="en-US"/>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lang w:val="en-GB"/>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en-GB"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86E5-BFD3-430D-9697-CE7D8C1D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3333</Words>
  <Characters>17137</Characters>
  <Application>Microsoft Office Word</Application>
  <DocSecurity>0</DocSecurity>
  <Lines>745</Lines>
  <Paragraphs>584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19886</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14</cp:revision>
  <cp:lastPrinted>2019-03-25T15:47:00Z</cp:lastPrinted>
  <dcterms:created xsi:type="dcterms:W3CDTF">2020-06-05T10:53:00Z</dcterms:created>
  <dcterms:modified xsi:type="dcterms:W3CDTF">2020-06-22T13:28:00Z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