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2FA5203-C3B4-4A9D-BD25-4AE12520B6BD" style="width:450.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widowControl w:val="0"/>
        <w:shd w:val="clear" w:color="auto" w:fill="FFFFFF"/>
        <w:autoSpaceDE w:val="0"/>
        <w:autoSpaceDN w:val="0"/>
        <w:adjustRightInd w:val="0"/>
        <w:spacing w:before="230" w:after="0" w:line="269" w:lineRule="exact"/>
        <w:ind w:right="86"/>
        <w:rPr>
          <w:noProof/>
          <w:color w:val="008000"/>
        </w:rPr>
      </w:pPr>
    </w:p>
    <w:p>
      <w:pPr>
        <w:pStyle w:val="ManualHeading1"/>
        <w:rPr>
          <w:noProof/>
        </w:rPr>
      </w:pPr>
      <w:r>
        <w:rPr>
          <w:noProof/>
        </w:rPr>
        <w:t>1.</w:t>
      </w:r>
      <w:r>
        <w:rPr>
          <w:rStyle w:val="Bodytext511pt"/>
          <w:rFonts w:eastAsiaTheme="minorHAnsi"/>
          <w:b/>
          <w:bCs w:val="0"/>
          <w:noProof/>
          <w:color w:val="auto"/>
          <w:sz w:val="24"/>
          <w:shd w:val="clear" w:color="auto" w:fill="auto"/>
        </w:rPr>
        <w:t xml:space="preserve"> </w:t>
      </w:r>
      <w:r>
        <w:rPr>
          <w:rStyle w:val="Bodytext511pt"/>
          <w:rFonts w:eastAsiaTheme="minorHAnsi"/>
          <w:b/>
          <w:bCs w:val="0"/>
          <w:noProof/>
          <w:color w:val="auto"/>
          <w:sz w:val="24"/>
          <w:shd w:val="clear" w:color="auto" w:fill="auto"/>
        </w:rPr>
        <w:tab/>
        <w:t>O</w:t>
      </w:r>
      <w:r>
        <w:rPr>
          <w:rStyle w:val="Bodytext5SmallCaps"/>
          <w:rFonts w:eastAsiaTheme="minorHAnsi"/>
          <w:b/>
          <w:bCs w:val="0"/>
          <w:smallCaps/>
          <w:noProof/>
          <w:color w:val="auto"/>
          <w:sz w:val="24"/>
          <w:szCs w:val="22"/>
          <w:shd w:val="clear" w:color="auto" w:fill="auto"/>
        </w:rPr>
        <w:t>bjet de la proposition</w:t>
      </w:r>
    </w:p>
    <w:p>
      <w:pPr>
        <w:rPr>
          <w:noProof/>
        </w:rPr>
      </w:pPr>
      <w:r>
        <w:rPr>
          <w:noProof/>
        </w:rPr>
        <w:t>La présente décision de la Commission contient une proposition de décision du Conseil relative à la position à adopter par l’Union au sein du Comité des ambassadeurs ACP-UE concernant une modification de la décision nº 3/2019 de ce dernier d’arrêter des mesures transitoires en vertu de l’article 95, paragraphe 4, de l’accord de partenariat entre l’UE et le groupe des États d’Afrique, des Caraïbes et du Pacifique (ACP)</w:t>
      </w:r>
      <w:r>
        <w:rPr>
          <w:rStyle w:val="FootnoteReference"/>
          <w:noProof/>
        </w:rPr>
        <w:footnoteReference w:id="1"/>
      </w:r>
      <w:r>
        <w:rPr>
          <w:noProof/>
        </w:rPr>
        <w:t>, signé à Cotonou le 23 juin 2000 (ci-après l’«accord de partenariat de Cotonou» ou «APC») (ci-après la «décision relative aux mesures transitoires»)</w:t>
      </w:r>
      <w:r>
        <w:rPr>
          <w:rStyle w:val="FootnoteReference"/>
          <w:noProof/>
        </w:rPr>
        <w:footnoteReference w:id="2"/>
      </w:r>
      <w:r>
        <w:rPr>
          <w:noProof/>
        </w:rPr>
        <w:t>. La Commission propose de proroger à nouveau l’application de l’ensemble des dispositions de l’accord de partenariat de Cotonou jusqu’au 30 juin 2021 ou jusqu’à l’entrée en vigueur du nouvel accord de partenariat entre l’Union et les États ACP, selon la première de ces deux échéances.</w:t>
      </w:r>
    </w:p>
    <w:p>
      <w:pPr>
        <w:pStyle w:val="ManualHeading1"/>
        <w:tabs>
          <w:tab w:val="left" w:pos="654"/>
        </w:tabs>
        <w:rPr>
          <w:noProof/>
        </w:rPr>
      </w:pPr>
      <w:r>
        <w:rPr>
          <w:noProof/>
        </w:rPr>
        <w:t>2.</w:t>
      </w:r>
      <w:r>
        <w:rPr>
          <w:noProof/>
        </w:rPr>
        <w:tab/>
      </w:r>
      <w:r>
        <w:rPr>
          <w:noProof/>
        </w:rPr>
        <w:tab/>
        <w:t>Contexte de la proposition</w:t>
      </w:r>
    </w:p>
    <w:p>
      <w:pPr>
        <w:pStyle w:val="ManualHeading2"/>
        <w:rPr>
          <w:rFonts w:eastAsia="Arial Unicode MS"/>
          <w:noProof/>
        </w:rPr>
      </w:pPr>
      <w:r>
        <w:rPr>
          <w:noProof/>
        </w:rPr>
        <w:t>2.1.</w:t>
      </w:r>
      <w:r>
        <w:rPr>
          <w:noProof/>
        </w:rPr>
        <w:tab/>
        <w:t>Accord de partenariat de Cotonou</w:t>
      </w:r>
    </w:p>
    <w:p>
      <w:pPr>
        <w:rPr>
          <w:noProof/>
        </w:rPr>
      </w:pPr>
      <w:r>
        <w:rPr>
          <w:noProof/>
        </w:rPr>
        <w:t>Depuis 2000, l’accord de partenariat de Cotonou constitue le cadre des relations de l’UE avec 79 pays ACP. L’accord a été conclu pour une période de 20 ans, du 1</w:t>
      </w:r>
      <w:r>
        <w:rPr>
          <w:noProof/>
          <w:vertAlign w:val="superscript"/>
        </w:rPr>
        <w:t>er</w:t>
      </w:r>
      <w:r>
        <w:rPr>
          <w:noProof/>
        </w:rPr>
        <w:t> mars 2000 au 29 février 2020. Il a ensuite été révisé en 2005 et 2010.</w:t>
      </w:r>
    </w:p>
    <w:p>
      <w:pPr>
        <w:rPr>
          <w:noProof/>
        </w:rPr>
      </w:pPr>
      <w:r>
        <w:rPr>
          <w:noProof/>
        </w:rPr>
        <w:t>Le 17 décembre 2019, l’application des dispositions de l’accord de partenariat de Cotonou a été prorogée par la décision relative aux mesures transitoires jusqu’au 31 décembre 2020, jusqu’à l’entrée en vigueur du nouvel accord ou jusqu’à l’application provisoire entre l’Union et les États ACP du nouvel accord de partenariat, la date la plus proche étant retenue.</w:t>
      </w:r>
    </w:p>
    <w:p>
      <w:pPr>
        <w:rPr>
          <w:noProof/>
        </w:rPr>
      </w:pPr>
      <w:r>
        <w:rPr>
          <w:noProof/>
        </w:rPr>
        <w:t>Les négociations en vue d’un nouvel accord de partenariat entre les pays ACP et l’UE ont été lancées en septembre 2018 et sont en cours. Toutefois, en raison des retards causés par la pandémie de COVID-19, il est apparu clairement que les négociations n’aboutiront pas à un nouvel accord prêt à être appliqué d’ici à la date d’expiration susmentionnée du 31 décembre 2020. Cette situation se traduirait par un vide dans les relations entre l’UE et les pays ACP qu’il convient de combler.</w:t>
      </w:r>
    </w:p>
    <w:p>
      <w:pPr>
        <w:rPr>
          <w:noProof/>
        </w:rPr>
      </w:pPr>
    </w:p>
    <w:p>
      <w:pPr>
        <w:pStyle w:val="ManualHeading2"/>
        <w:rPr>
          <w:noProof/>
        </w:rPr>
      </w:pPr>
      <w:r>
        <w:rPr>
          <w:noProof/>
        </w:rPr>
        <w:t>2.2.</w:t>
      </w:r>
      <w:r>
        <w:rPr>
          <w:noProof/>
        </w:rPr>
        <w:tab/>
        <w:t>Conseil des ministres ACP-UE</w:t>
      </w:r>
    </w:p>
    <w:p>
      <w:pPr>
        <w:pBdr>
          <w:top w:val="nil"/>
          <w:left w:val="nil"/>
          <w:bottom w:val="nil"/>
          <w:right w:val="nil"/>
          <w:between w:val="nil"/>
          <w:bar w:val="nil"/>
        </w:pBdr>
        <w:spacing w:before="0" w:after="240"/>
        <w:rPr>
          <w:rFonts w:eastAsia="Arial Unicode MS"/>
          <w:noProof/>
        </w:rPr>
      </w:pPr>
      <w:r>
        <w:rPr>
          <w:noProof/>
        </w:rPr>
        <w:t xml:space="preserve">Le Conseil des ministres ACP-UE est un organe ministériel institué par l’accord (article 15 de l’APC). Il est composé, d’une part, des membres du Conseil de l’Union européenne et de membres de la Commission européenne et, d’autre part, d’un membre du gouvernement de chaque État ACP. Le Conseil des ministres a notamment pour tâche de prendre les décisions nécessaires à la mise en œuvre et à l’exécution de l’APC. Le Conseil des ministres se prononce par commun accord des parties. Pour que les décisions soient valides, i) la moitié des membres du Conseil de l’Union européenne (soit 14 ministres des États membres de l’UE), ii) un membre de la Commission, et iii) deux tiers des membres représentant les </w:t>
      </w:r>
      <w:r>
        <w:rPr>
          <w:noProof/>
        </w:rPr>
        <w:lastRenderedPageBreak/>
        <w:t>gouvernements des États ACP (c’est-à-dire des membres du gouvernement de 55 États ACP différents) doivent être présents.</w:t>
      </w:r>
    </w:p>
    <w:p>
      <w:pPr>
        <w:pStyle w:val="ManualHeading2"/>
        <w:rPr>
          <w:noProof/>
        </w:rPr>
      </w:pPr>
      <w:r>
        <w:rPr>
          <w:noProof/>
        </w:rPr>
        <w:t>2.3.</w:t>
      </w:r>
      <w:r>
        <w:rPr>
          <w:noProof/>
        </w:rPr>
        <w:tab/>
        <w:t>Mesures transitoires</w:t>
      </w:r>
    </w:p>
    <w:p>
      <w:pPr>
        <w:rPr>
          <w:noProof/>
        </w:rPr>
      </w:pPr>
      <w:r>
        <w:rPr>
          <w:noProof/>
        </w:rPr>
        <w:t>L’article 95, paragraphe 4, deuxième alinéa, de l’APC est libellé comme suit: «</w:t>
      </w:r>
      <w:r>
        <w:rPr>
          <w:i/>
          <w:iCs/>
          <w:noProof/>
        </w:rPr>
        <w:t>[l]e Conseil des ministres arrête les mesures transitoires nécessaires jusqu’à l’entrée en vigueur du nouvel accord</w:t>
      </w:r>
      <w:r>
        <w:rPr>
          <w:noProof/>
        </w:rPr>
        <w:t>». En vertu de cette disposition, des mesures transitoires peuvent être appliquées pour proroger l’applicabilité de tout ou partie de l’APC, jusqu’à la date d’application du nouvel accord (application provisoire ou entrée en vigueur). Afin d’assurer la continuité juridique, politique et institutionnelle dans les relations avec les pays ACP, étant donné que le nouvel accord ne sera pas applicable avant l’expiration du cadre juridique existant, il y a lieu d’étendre les mesures transitoires adoptées en vue de poursuivre l’application de l’accord actuel.</w:t>
      </w:r>
    </w:p>
    <w:p>
      <w:pPr>
        <w:rPr>
          <w:noProof/>
        </w:rPr>
      </w:pPr>
    </w:p>
    <w:p>
      <w:pPr>
        <w:pStyle w:val="ManualHeading2"/>
        <w:rPr>
          <w:noProof/>
        </w:rPr>
      </w:pPr>
      <w:r>
        <w:rPr>
          <w:noProof/>
        </w:rPr>
        <w:t>2.4.</w:t>
      </w:r>
      <w:r>
        <w:rPr>
          <w:noProof/>
        </w:rPr>
        <w:tab/>
        <w:t>Modification de mesures transitoires par le Comité des ambassadeurs ACP-UE</w:t>
      </w:r>
    </w:p>
    <w:p>
      <w:pPr>
        <w:pBdr>
          <w:top w:val="nil"/>
          <w:left w:val="nil"/>
          <w:bottom w:val="nil"/>
          <w:right w:val="nil"/>
          <w:between w:val="nil"/>
          <w:bar w:val="nil"/>
        </w:pBdr>
        <w:spacing w:before="0" w:after="240"/>
        <w:rPr>
          <w:rFonts w:eastAsia="Arial Unicode MS"/>
          <w:noProof/>
        </w:rPr>
      </w:pPr>
      <w:r>
        <w:rPr>
          <w:noProof/>
        </w:rPr>
        <w:t>Conformément à l’article 95, paragraphe 4, de l’APC, la décision relative aux mesures transitoires doit être prise par le Conseil des ministres ACP-UE. Toutefois, en vertu de l’article 15, paragraphe 4, de l’APC, le Conseil des ministres peut déléguer des compétences au Comité des ambassadeurs. À cet effet, le 23 mai 2019, le Conseil des ministres a délégué le pouvoir d’adopter la décision relative aux mesures transitoires au Comité des ambassadeurs</w:t>
      </w:r>
      <w:r>
        <w:rPr>
          <w:rStyle w:val="FootnoteReference"/>
          <w:rFonts w:eastAsia="Arial Unicode MS"/>
          <w:noProof/>
        </w:rPr>
        <w:footnoteReference w:id="3"/>
      </w:r>
      <w:r>
        <w:rPr>
          <w:noProof/>
        </w:rPr>
        <w:t>. En vertu de l’article 16, paragraphe 2, de l’APC, le Comité des ambassadeurs peut adopter ou modifier des décisions contraignantes pour les parties dans le cadre du mandat qui lui a été confié par le Conseil des ministres.</w:t>
      </w:r>
    </w:p>
    <w:p>
      <w:pPr>
        <w:pBdr>
          <w:top w:val="nil"/>
          <w:left w:val="nil"/>
          <w:bottom w:val="nil"/>
          <w:right w:val="nil"/>
          <w:between w:val="nil"/>
          <w:bar w:val="nil"/>
        </w:pBdr>
        <w:spacing w:before="0" w:after="240"/>
        <w:rPr>
          <w:rFonts w:eastAsia="Arial Unicode MS"/>
          <w:noProof/>
        </w:rPr>
      </w:pPr>
      <w:r>
        <w:rPr>
          <w:noProof/>
        </w:rPr>
        <w:t>Conformément à l’article premier de son règlement intérieur</w:t>
      </w:r>
      <w:r>
        <w:rPr>
          <w:rStyle w:val="FootnoteReference"/>
          <w:noProof/>
        </w:rPr>
        <w:footnoteReference w:id="4"/>
      </w:r>
      <w:r>
        <w:rPr>
          <w:noProof/>
        </w:rPr>
        <w:t>, le Comité des ambassadeurs se réunit régulièrement, notamment pour préparer les sessions du Conseil des ministres et chaque fois que cela s’avère nécessaire à la demande d’une des parties. Grâce à cette flexibilité, le Comité des ambassadeurs peut veiller à ce que la modification de la décision relative aux mesures transitoires soit prise en temps utile et au plus tard en octobre 2020.</w:t>
      </w:r>
    </w:p>
    <w:p>
      <w:pPr>
        <w:pBdr>
          <w:top w:val="nil"/>
          <w:left w:val="nil"/>
          <w:bottom w:val="nil"/>
          <w:right w:val="nil"/>
          <w:between w:val="nil"/>
          <w:bar w:val="nil"/>
        </w:pBdr>
        <w:spacing w:before="0" w:after="240"/>
        <w:rPr>
          <w:rFonts w:eastAsia="Arial Unicode MS"/>
          <w:noProof/>
        </w:rPr>
      </w:pPr>
      <w:r>
        <w:rPr>
          <w:noProof/>
        </w:rPr>
        <w:t>Dès lors, le Comité des ambassadeurs ACP-UE doit adopter lors d’une de ses réunions la modification de la décision relative aux mesures transitoires (ci-après l’«acte envisagé»). L’acte envisagé a pour objectif de prolonger l’application de l’ensemble des dispositions de l’accord de partenariat de Cotonou jusqu’au 30 juin 2021, jusqu’à l’entrée en vigueur ou jusqu’à l’application provisoire du nouvel accord de partenariat entre l’Union et les États ACP, la date la plus proche étant retenue.</w:t>
      </w:r>
    </w:p>
    <w:p>
      <w:pPr>
        <w:pStyle w:val="ManualHeading1"/>
        <w:rPr>
          <w:noProof/>
        </w:rPr>
      </w:pPr>
      <w:r>
        <w:rPr>
          <w:noProof/>
        </w:rPr>
        <w:t>3.</w:t>
      </w:r>
      <w:r>
        <w:rPr>
          <w:noProof/>
        </w:rPr>
        <w:tab/>
        <w:t>Position à prendre au nom de l’Union</w:t>
      </w:r>
    </w:p>
    <w:p>
      <w:pPr>
        <w:pBdr>
          <w:top w:val="nil"/>
          <w:left w:val="nil"/>
          <w:bottom w:val="nil"/>
          <w:right w:val="nil"/>
          <w:between w:val="nil"/>
          <w:bar w:val="nil"/>
        </w:pBdr>
        <w:spacing w:before="0" w:after="240"/>
        <w:rPr>
          <w:rFonts w:eastAsia="Arial Unicode MS"/>
          <w:noProof/>
        </w:rPr>
      </w:pPr>
      <w:r>
        <w:rPr>
          <w:noProof/>
        </w:rPr>
        <w:t>La Commission propose que l’actuelle décision relative aux mesures transitoires de l’APC soit modifiée en vue de prolonger l’application de l’accord de partenariat de Cotonou jusqu’au 30 juin 2021, à moins que le nouvel accord n’entre en vigueur ou ne s’applique à titre provisoire avant cette date.</w:t>
      </w:r>
    </w:p>
    <w:p>
      <w:pPr>
        <w:pBdr>
          <w:top w:val="nil"/>
          <w:left w:val="nil"/>
          <w:bottom w:val="nil"/>
          <w:right w:val="nil"/>
          <w:between w:val="nil"/>
          <w:bar w:val="nil"/>
        </w:pBdr>
        <w:spacing w:before="0" w:after="240"/>
        <w:rPr>
          <w:rFonts w:eastAsia="Arial Unicode MS"/>
          <w:noProof/>
        </w:rPr>
      </w:pPr>
      <w:r>
        <w:rPr>
          <w:noProof/>
        </w:rPr>
        <w:lastRenderedPageBreak/>
        <w:t>Compte tenu de ce qui précède, la position proposée de l’Union doit être adoptée lors d’une session du Comité des ambassadeurs ACP-UE.</w:t>
      </w:r>
    </w:p>
    <w:p>
      <w:pPr>
        <w:pStyle w:val="ManualHeading1"/>
        <w:rPr>
          <w:bCs/>
          <w:noProof/>
        </w:rPr>
      </w:pPr>
      <w:r>
        <w:rPr>
          <w:noProof/>
        </w:rPr>
        <w:t>4.</w:t>
      </w:r>
      <w:r>
        <w:rPr>
          <w:noProof/>
        </w:rPr>
        <w:tab/>
        <w:t>Base juridique</w:t>
      </w:r>
    </w:p>
    <w:p>
      <w:pPr>
        <w:pStyle w:val="ManualHeading2"/>
        <w:rPr>
          <w:noProof/>
        </w:rPr>
      </w:pPr>
      <w:bookmarkStart w:id="1" w:name="bookmark5"/>
      <w:r>
        <w:rPr>
          <w:noProof/>
        </w:rPr>
        <w:t>4.4.</w:t>
      </w:r>
      <w:r>
        <w:rPr>
          <w:noProof/>
        </w:rPr>
        <w:tab/>
        <w:t>Base juridique procédurale</w:t>
      </w:r>
      <w:bookmarkEnd w:id="1"/>
    </w:p>
    <w:p>
      <w:pPr>
        <w:pStyle w:val="ManualHeading3"/>
        <w:rPr>
          <w:noProof/>
        </w:rPr>
      </w:pPr>
      <w:bookmarkStart w:id="2" w:name="bookmark6"/>
      <w:r>
        <w:rPr>
          <w:noProof/>
        </w:rPr>
        <w:t>4.1.1.</w:t>
      </w:r>
      <w:r>
        <w:rPr>
          <w:noProof/>
        </w:rPr>
        <w:tab/>
        <w:t>Principes</w:t>
      </w:r>
    </w:p>
    <w:p>
      <w:pPr>
        <w:rPr>
          <w:i/>
          <w:iCs/>
          <w:noProof/>
        </w:rPr>
      </w:pPr>
      <w:r>
        <w:rPr>
          <w:i/>
          <w:iCs/>
          <w:noProof/>
        </w:rPr>
        <w:t>L’article 218, paragraphe 9, du traité sur le fonctionnement de l’Union européenne (TFUE) prévoit des décisions établissant</w:t>
      </w:r>
      <w:r>
        <w:rPr>
          <w:noProof/>
        </w:rPr>
        <w:t xml:space="preserve"> «les positions à prendre au nom de l’Union dans une instance créée par un accord, lorsque cette instance est appelée à adopter des actes ayant des effets juridiques, à l’exception des actes complétant ou modifiant le cadre institutionnel de l’accord</w:t>
      </w:r>
      <w:r>
        <w:rPr>
          <w:i/>
          <w:iCs/>
          <w:noProof/>
        </w:rPr>
        <w:t>».</w:t>
      </w:r>
    </w:p>
    <w:p>
      <w:pPr>
        <w:rPr>
          <w:noProof/>
          <w:vertAlign w:val="superscript"/>
        </w:rPr>
      </w:pPr>
      <w:r>
        <w:rPr>
          <w:noProof/>
        </w:rPr>
        <w:t>La notion d’</w:t>
      </w:r>
      <w:r>
        <w:rPr>
          <w:i/>
          <w:iCs/>
          <w:noProof/>
        </w:rPr>
        <w:t>«actes ayant des effets juridiques»</w:t>
      </w:r>
      <w:r>
        <w:rPr>
          <w:noProof/>
        </w:rPr>
        <w:t xml:space="preserve"> englobe les actes qui ont des effets juridiques en vertu des règles de droit international régissant l’instance en question. Elle englobe également des instruments auxquels le droit international ne confère aucun effet contraignant, mais qui ont </w:t>
      </w:r>
      <w:r>
        <w:rPr>
          <w:i/>
          <w:iCs/>
          <w:noProof/>
        </w:rPr>
        <w:t>«vocation à influencer de manière déterminante le contenu de la réglementation adoptée par le législateur de l’Union»</w:t>
      </w:r>
      <w:r>
        <w:rPr>
          <w:rStyle w:val="FootnoteReference"/>
          <w:noProof/>
        </w:rPr>
        <w:footnoteReference w:id="5"/>
      </w:r>
      <w:r>
        <w:rPr>
          <w:noProof/>
        </w:rPr>
        <w:t>.</w:t>
      </w:r>
    </w:p>
    <w:p>
      <w:pPr>
        <w:pStyle w:val="ManualHeading3"/>
        <w:rPr>
          <w:noProof/>
        </w:rPr>
      </w:pPr>
      <w:r>
        <w:rPr>
          <w:noProof/>
        </w:rPr>
        <w:t>4.1.2.</w:t>
      </w:r>
      <w:r>
        <w:rPr>
          <w:noProof/>
        </w:rPr>
        <w:tab/>
        <w:t>Application en l’espèce</w:t>
      </w:r>
    </w:p>
    <w:p>
      <w:pPr>
        <w:rPr>
          <w:noProof/>
        </w:rPr>
      </w:pPr>
      <w:r>
        <w:rPr>
          <w:noProof/>
        </w:rPr>
        <w:t xml:space="preserve">Conformément à l’article 95, paragraphe 4, deuxième alinéa, de l’accord de partenariat entre les pays ACP et l’UE signé à Cotonou le 23 juin 2000, des mesures transitoires peuvent être adoptées pour proroger l’applicabilité de tout ou partie de l’APC, jusqu’à la date d’application du nouvel accord (application provisoire ou entrée en vigueur après ratification par toutes les parties). Notamment, </w:t>
      </w:r>
      <w:r>
        <w:rPr>
          <w:i/>
          <w:iCs/>
          <w:noProof/>
        </w:rPr>
        <w:t>«[l]e Conseil des ministres arrête les mesures transitoires nécessaires jusqu’à l’entrée en vigueur du nouvel accord»</w:t>
      </w:r>
      <w:r>
        <w:rPr>
          <w:noProof/>
        </w:rPr>
        <w:t>.</w:t>
      </w:r>
    </w:p>
    <w:p>
      <w:pPr>
        <w:rPr>
          <w:noProof/>
        </w:rPr>
      </w:pPr>
      <w:r>
        <w:rPr>
          <w:noProof/>
        </w:rPr>
        <w:t>Il est donc clair que l’acte que le Comité des ambassadeurs ACP-UE est invité à adopter constitue un acte ayant des effets juridiques. La décision envisagée du Comité des ambassadeurs sera contraignante en vertu du droit international, conformément aux articles 15 et 16 de l’APC.</w:t>
      </w:r>
    </w:p>
    <w:p>
      <w:pPr>
        <w:rPr>
          <w:noProof/>
        </w:rPr>
      </w:pPr>
      <w:r>
        <w:rPr>
          <w:noProof/>
        </w:rPr>
        <w:t>Le Comité des ambassadeurs est un organe créé en vertu de l’article 16 de l’accord de partenariat de Cotonou.</w:t>
      </w:r>
    </w:p>
    <w:p>
      <w:pPr>
        <w:rPr>
          <w:noProof/>
        </w:rPr>
      </w:pPr>
      <w:r>
        <w:rPr>
          <w:noProof/>
        </w:rPr>
        <w:t>L’Union européenne est partie contractante, parallèlement à ses États membres, à l’accord de partenariat de Cotonou et sera donc liée par la décision envisagée du Comité des ambassadeurs.</w:t>
      </w:r>
    </w:p>
    <w:p>
      <w:pPr>
        <w:rPr>
          <w:noProof/>
        </w:rPr>
      </w:pPr>
      <w:r>
        <w:rPr>
          <w:noProof/>
        </w:rPr>
        <w:t>En conséquence, la base juridique procédurale pour la décision proposée est l’article 218, paragraphe 9, du TFUE.</w:t>
      </w:r>
    </w:p>
    <w:p>
      <w:pPr>
        <w:rPr>
          <w:noProof/>
          <w:lang w:bidi="en-US"/>
        </w:rPr>
      </w:pPr>
    </w:p>
    <w:p>
      <w:pPr>
        <w:pStyle w:val="ManualHeading2"/>
        <w:rPr>
          <w:noProof/>
        </w:rPr>
      </w:pPr>
      <w:r>
        <w:rPr>
          <w:noProof/>
        </w:rPr>
        <w:t>4.2.</w:t>
      </w:r>
      <w:r>
        <w:rPr>
          <w:noProof/>
        </w:rPr>
        <w:tab/>
        <w:t>Base juridique matérielle</w:t>
      </w:r>
      <w:bookmarkEnd w:id="2"/>
    </w:p>
    <w:p>
      <w:pPr>
        <w:keepNext/>
        <w:tabs>
          <w:tab w:val="left" w:pos="850"/>
        </w:tabs>
        <w:ind w:left="850" w:hanging="850"/>
        <w:outlineLvl w:val="2"/>
        <w:rPr>
          <w:i/>
          <w:noProof/>
        </w:rPr>
      </w:pPr>
      <w:bookmarkStart w:id="3" w:name="bookmark7"/>
      <w:r>
        <w:rPr>
          <w:i/>
          <w:noProof/>
        </w:rPr>
        <w:t>4.2.1.</w:t>
      </w:r>
      <w:r>
        <w:rPr>
          <w:noProof/>
        </w:rPr>
        <w:tab/>
      </w:r>
      <w:r>
        <w:rPr>
          <w:i/>
          <w:noProof/>
        </w:rPr>
        <w:t>Principes</w:t>
      </w:r>
    </w:p>
    <w:p>
      <w:pPr>
        <w:pStyle w:val="Bodytext20"/>
        <w:shd w:val="clear" w:color="auto" w:fill="auto"/>
        <w:spacing w:after="126" w:line="274" w:lineRule="exact"/>
        <w:ind w:firstLine="0"/>
        <w:jc w:val="both"/>
        <w:rPr>
          <w:rFonts w:ascii="Times New Roman" w:hAnsi="Times New Roman" w:cs="Times New Roman"/>
          <w:noProof/>
          <w:sz w:val="24"/>
          <w:szCs w:val="24"/>
        </w:rPr>
      </w:pPr>
      <w:r>
        <w:rPr>
          <w:rFonts w:ascii="Times New Roman" w:hAnsi="Times New Roman"/>
          <w:noProof/>
          <w:sz w:val="24"/>
          <w:szCs w:val="24"/>
        </w:rPr>
        <w:t xml:space="preserve">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w:t>
      </w:r>
      <w:r>
        <w:rPr>
          <w:rFonts w:ascii="Times New Roman" w:hAnsi="Times New Roman"/>
          <w:noProof/>
          <w:sz w:val="24"/>
          <w:szCs w:val="24"/>
        </w:rPr>
        <w:lastRenderedPageBreak/>
        <w:t>fondée sur une seule base juridique matérielle, à savoir celle exigée par la fin ou la composante principale ou prédominante.</w:t>
      </w:r>
    </w:p>
    <w:p>
      <w:pPr>
        <w:pStyle w:val="Bodytext20"/>
        <w:shd w:val="clear" w:color="auto" w:fill="auto"/>
        <w:spacing w:after="126" w:line="274" w:lineRule="exact"/>
        <w:ind w:firstLine="0"/>
        <w:jc w:val="both"/>
        <w:rPr>
          <w:noProof/>
        </w:rPr>
      </w:pPr>
    </w:p>
    <w:p>
      <w:pPr>
        <w:keepNext/>
        <w:tabs>
          <w:tab w:val="left" w:pos="850"/>
        </w:tabs>
        <w:ind w:left="850" w:hanging="850"/>
        <w:outlineLvl w:val="2"/>
        <w:rPr>
          <w:i/>
          <w:noProof/>
        </w:rPr>
      </w:pPr>
      <w:r>
        <w:rPr>
          <w:i/>
          <w:noProof/>
        </w:rPr>
        <w:t>4.2.2.</w:t>
      </w:r>
      <w:r>
        <w:rPr>
          <w:noProof/>
        </w:rPr>
        <w:tab/>
      </w:r>
      <w:r>
        <w:rPr>
          <w:i/>
          <w:noProof/>
        </w:rPr>
        <w:t>Application en l’espèce</w:t>
      </w:r>
    </w:p>
    <w:p>
      <w:pPr>
        <w:pStyle w:val="Bodytext20"/>
        <w:shd w:val="clear" w:color="auto" w:fill="auto"/>
        <w:spacing w:after="120" w:line="274" w:lineRule="exact"/>
        <w:ind w:firstLine="0"/>
        <w:jc w:val="both"/>
        <w:rPr>
          <w:rFonts w:ascii="Calibri" w:hAnsi="Calibri" w:cs="Calibri"/>
          <w:noProof/>
          <w:sz w:val="24"/>
          <w:szCs w:val="24"/>
        </w:rPr>
      </w:pPr>
      <w:r>
        <w:rPr>
          <w:rFonts w:ascii="Times New Roman" w:hAnsi="Times New Roman"/>
          <w:noProof/>
          <w:sz w:val="24"/>
          <w:szCs w:val="24"/>
        </w:rPr>
        <w:t xml:space="preserve">Le principal objectif et le contenu de l’acte envisagé concernent le fonctionnement de l’APC dans son ensemble, notamment en prorogeant son application au-delà de la date d’expiration prévue. La base juridique matérielle de la décision du Conseil doit donc être déterminée à la </w:t>
      </w:r>
      <w:r>
        <w:rPr>
          <w:rFonts w:ascii="Times New Roman" w:hAnsi="Times New Roman" w:cs="Times New Roman"/>
          <w:noProof/>
          <w:sz w:val="24"/>
          <w:szCs w:val="24"/>
        </w:rPr>
        <w:t>lumière de l’accord de partenariat de Cotonou dans son ensemble</w:t>
      </w:r>
      <w:r>
        <w:rPr>
          <w:rStyle w:val="FootnoteReference"/>
          <w:rFonts w:ascii="Times New Roman" w:hAnsi="Times New Roman" w:cs="Times New Roman"/>
          <w:noProof/>
          <w:sz w:val="24"/>
          <w:szCs w:val="24"/>
        </w:rPr>
        <w:footnoteReference w:id="6"/>
      </w:r>
      <w:r>
        <w:rPr>
          <w:rFonts w:ascii="Times New Roman" w:hAnsi="Times New Roman" w:cs="Times New Roman"/>
          <w:noProof/>
        </w:rPr>
        <w:t>.</w:t>
      </w:r>
    </w:p>
    <w:p>
      <w:pPr>
        <w:pStyle w:val="Bodytext20"/>
        <w:shd w:val="clear" w:color="auto" w:fill="auto"/>
        <w:spacing w:after="544" w:line="274" w:lineRule="exact"/>
        <w:ind w:firstLine="0"/>
        <w:jc w:val="both"/>
        <w:rPr>
          <w:rFonts w:ascii="Times New Roman" w:hAnsi="Times New Roman" w:cs="Times New Roman"/>
          <w:noProof/>
          <w:sz w:val="24"/>
          <w:szCs w:val="24"/>
        </w:rPr>
      </w:pPr>
      <w:r>
        <w:rPr>
          <w:rFonts w:ascii="Times New Roman" w:hAnsi="Times New Roman"/>
          <w:noProof/>
          <w:sz w:val="24"/>
          <w:szCs w:val="24"/>
        </w:rPr>
        <w:t>L’APC a été conclu en tant qu’accord d’association et était donc fondé sur l’article 310 du traité instituant la Communauté européenne, l’équivalent de l’article 217 du TFUE. En conséquence, la base juridique matérielle pour la décision proposée est l’article 217 du TFUE.</w:t>
      </w:r>
    </w:p>
    <w:p>
      <w:pPr>
        <w:pStyle w:val="ManualHeading2"/>
        <w:rPr>
          <w:noProof/>
        </w:rPr>
      </w:pPr>
      <w:r>
        <w:rPr>
          <w:noProof/>
        </w:rPr>
        <w:t>4.3. Conclusion</w:t>
      </w:r>
      <w:bookmarkEnd w:id="3"/>
    </w:p>
    <w:p>
      <w:pPr>
        <w:pStyle w:val="Bodytext20"/>
        <w:shd w:val="clear" w:color="auto" w:fill="auto"/>
        <w:spacing w:after="544" w:line="274" w:lineRule="exact"/>
        <w:ind w:firstLine="0"/>
        <w:jc w:val="both"/>
        <w:rPr>
          <w:rFonts w:ascii="Times New Roman" w:hAnsi="Times New Roman" w:cs="Times New Roman"/>
          <w:noProof/>
          <w:sz w:val="24"/>
          <w:szCs w:val="24"/>
        </w:rPr>
      </w:pPr>
      <w:r>
        <w:rPr>
          <w:rFonts w:ascii="Times New Roman" w:hAnsi="Times New Roman"/>
          <w:noProof/>
          <w:sz w:val="24"/>
          <w:szCs w:val="24"/>
        </w:rPr>
        <w:t>Les bases juridiques de la proposition de décision devraient être l’article 217 du TFUE, en liaison avec l’article 218, paragraphe 9, du TFUE, qui est la base juridique de la décision (UE) 2019/1932 du Conseil du 18 novembre 2019 relative à la position à prendre, au nom de l’Union européenne, au sein du Comité des ambassadeurs ACP-UE en ce qui concerne l’adoption d’une décision d’arrêter des mesures transitoires en vertu de l’article 95, paragraphe 4, de l’accord de partenariat ACP-UE</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w:t>
      </w:r>
    </w:p>
    <w:p>
      <w:pPr>
        <w:widowControl w:val="0"/>
        <w:spacing w:before="0" w:after="7131" w:line="274" w:lineRule="exact"/>
        <w:rPr>
          <w:noProof/>
          <w:lang w:bidi="en-US"/>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des ambassadeurs ACP-UE, en ce qui concerne la modification de la décision nº 3/2019 du Comité des ambassadeurs ACP-UE du 17 décembre 2019 d’arrêter des mesures transitoires en vertu de l’article 95, paragraphe 4, de l’accord de partenariat ACP-UE [2020/2]</w:t>
      </w:r>
    </w:p>
    <w:p>
      <w:pPr>
        <w:pStyle w:val="Institutionquiagit"/>
        <w:rPr>
          <w:noProof/>
        </w:rPr>
      </w:pPr>
      <w:r>
        <w:rPr>
          <w:noProof/>
        </w:rPr>
        <w:t>LE CONSEIL DE L’UNION EUROPÉENNE,</w:t>
      </w:r>
    </w:p>
    <w:p>
      <w:pPr>
        <w:rPr>
          <w:noProof/>
        </w:rPr>
      </w:pPr>
      <w:r>
        <w:rPr>
          <w:noProof/>
        </w:rPr>
        <w:t>vu le traité sur le fonctionnement de l’Union européenne, et notamment son article 217,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partenariat entre les membres du groupe des États d’Afrique, des Caraïbes et du Pacifique («ACP»), d’une part, et l’Union européenne et ses États membres, d’autre part («l’accord de partenariat ACP-UE»)</w:t>
      </w:r>
      <w:r>
        <w:rPr>
          <w:rStyle w:val="FootnoteReference"/>
          <w:noProof/>
        </w:rPr>
        <w:footnoteReference w:id="8"/>
      </w:r>
      <w:r>
        <w:rPr>
          <w:noProof/>
        </w:rPr>
        <w:t>, a été signé à Cotonou le 23 juin 2000. L’accord de partenariat ACP-UE est entré en vigueur le 1</w:t>
      </w:r>
      <w:r>
        <w:rPr>
          <w:noProof/>
          <w:vertAlign w:val="superscript"/>
        </w:rPr>
        <w:t>er</w:t>
      </w:r>
      <w:r>
        <w:rPr>
          <w:noProof/>
        </w:rPr>
        <w:t> avril 2003 et doit s’appliquer jusqu’au 31 décembre 2020 conformément à la décision nº 3/2019 du Comité des ambassadeurs ACP-UE du 17 décembre 2019 d’arrêter des mesures transitoires en vertu de l’article 95, paragraphe 4, de l’accord de partenariat ACP-UE [2020/2] (ci-après «décision relative aux mesures transitoires»)</w:t>
      </w:r>
      <w:r>
        <w:rPr>
          <w:rStyle w:val="FootnoteReference"/>
          <w:noProof/>
          <w:szCs w:val="24"/>
        </w:rPr>
        <w:footnoteReference w:id="9"/>
      </w:r>
      <w:r>
        <w:rPr>
          <w:noProof/>
        </w:rPr>
        <w:t>.</w:t>
      </w:r>
    </w:p>
    <w:p>
      <w:pPr>
        <w:pStyle w:val="ManualConsidrant"/>
        <w:rPr>
          <w:noProof/>
        </w:rPr>
      </w:pPr>
      <w:r>
        <w:t>(2)</w:t>
      </w:r>
      <w:r>
        <w:tab/>
      </w:r>
      <w:r>
        <w:rPr>
          <w:noProof/>
        </w:rPr>
        <w:t>Conformément à l’article 95, paragraphe 4, premier alinéa, de l’accord de partenariat ACP-UE, les négociations en vue d’un nouvel accord de partenariat ACP-UE ont été lancées en septembre 2018. Le nouvel accord ne sera pas prêt à être appliqué à la date d’expiration de l’actuel accord de partenariat ACP-UE en raison des retards causés par la pandémie de COVID-19. En conséquence, il apparaît nécessaire de modifier la décision relative aux mesures transitoires pour proroger à nouveau l’application des dispositions de l’actuel accord de partenariat ACP-UE.</w:t>
      </w:r>
    </w:p>
    <w:p>
      <w:pPr>
        <w:pStyle w:val="ManualConsidrant"/>
        <w:rPr>
          <w:noProof/>
        </w:rPr>
      </w:pPr>
      <w:r>
        <w:t>(3)</w:t>
      </w:r>
      <w:r>
        <w:tab/>
      </w:r>
      <w:r>
        <w:rPr>
          <w:noProof/>
        </w:rPr>
        <w:t>L’article 95, paragraphe 4, deuxième alinéa, de l’accord de partenariat ACP-UE prévoit que le Conseil des ministres adopte les mesures transitoires nécessaires jusqu’à l’entrée en vigueur du nouvel accord.</w:t>
      </w:r>
    </w:p>
    <w:p>
      <w:pPr>
        <w:pStyle w:val="ManualConsidrant"/>
        <w:rPr>
          <w:noProof/>
        </w:rPr>
      </w:pPr>
      <w:r>
        <w:t>(4)</w:t>
      </w:r>
      <w:r>
        <w:tab/>
      </w:r>
      <w:r>
        <w:rPr>
          <w:noProof/>
        </w:rPr>
        <w:t>En vertu de l’article 15, paragraphe 4, de l’accord de partenariat ACP-UE, le 23 mai 2019, le Conseil des ministres ACP</w:t>
      </w:r>
      <w:r>
        <w:rPr>
          <w:rFonts w:ascii="Cambria Math" w:hAnsi="Cambria Math" w:cs="Cambria Math"/>
          <w:noProof/>
        </w:rPr>
        <w:t>‐</w:t>
      </w:r>
      <w:r>
        <w:rPr>
          <w:noProof/>
        </w:rPr>
        <w:t>UE a délégué au Comité des ambassadeurs ACP</w:t>
      </w:r>
      <w:r>
        <w:rPr>
          <w:rFonts w:ascii="Cambria Math" w:hAnsi="Cambria Math" w:cs="Cambria Math"/>
          <w:noProof/>
        </w:rPr>
        <w:t>‐</w:t>
      </w:r>
      <w:r>
        <w:rPr>
          <w:noProof/>
        </w:rPr>
        <w:t xml:space="preserve">UE le pouvoir d’adopter les mesures transitoires éventuellement nécessaires </w:t>
      </w:r>
      <w:r>
        <w:rPr>
          <w:noProof/>
        </w:rPr>
        <w:lastRenderedPageBreak/>
        <w:t>jusqu’à l’entrée en vigueur du nouvel accord</w:t>
      </w:r>
      <w:r>
        <w:rPr>
          <w:rStyle w:val="FootnoteReference"/>
          <w:noProof/>
        </w:rPr>
        <w:footnoteReference w:id="10"/>
      </w:r>
      <w:r>
        <w:rPr>
          <w:noProof/>
        </w:rPr>
        <w:t>. La Comité des ambassadeurs ACP-UE doit tenir une réunion ordinaire lors de laquelle il prendra la décision de modifier les mesures transitoires conformément à l’article 95, paragraphe 4, de l’accord de partenariat ACP-UE.</w:t>
      </w:r>
    </w:p>
    <w:p>
      <w:pPr>
        <w:pStyle w:val="ManualConsidrant"/>
        <w:rPr>
          <w:noProof/>
          <w:szCs w:val="24"/>
        </w:rPr>
      </w:pPr>
      <w:r>
        <w:t>(5)</w:t>
      </w:r>
      <w:r>
        <w:tab/>
      </w:r>
      <w:r>
        <w:rPr>
          <w:noProof/>
        </w:rPr>
        <w:t>Il convient d’arrêter la position à prendre, au nom de l’Union, au sein du Comité des ambassadeurs ACP-UE, dans la mesure où l’acte envisagé sera contraignant pour l’Union.</w:t>
      </w:r>
    </w:p>
    <w:p>
      <w:pPr>
        <w:pStyle w:val="ManualConsidrant"/>
        <w:rPr>
          <w:noProof/>
          <w:szCs w:val="24"/>
        </w:rPr>
      </w:pPr>
      <w:r>
        <w:t>(6)</w:t>
      </w:r>
      <w:r>
        <w:tab/>
      </w:r>
      <w:r>
        <w:rPr>
          <w:noProof/>
        </w:rPr>
        <w:t>Les dispositions de l’accord de partenariat ACP-UE continueront d’être appliquées dans le but de maintenir la continuité dans les relations entre l’Union et ses États membres, d’une part, et les États ACP, d’autre part. Dès lors, les mesures transitoires modifiées ne sont pas destinées à apporter des modifications à l’accord de partenariat ACP-UE, comme le prévoit son article 95, paragraphe 3,</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Comité des ambassadeurs ACP-UE, en vertu de l’article 95, paragraphe 4, de l’accord de partenariat ACP-UE, est de modifier la décision nº 3/2019 du Comité des ambassadeurs ACP-UE du 17 décembre 2019 d’arrêter des mesures transitoires en vertu de l’article 95, paragraphe 4, de l’accord de partenariat ACP-UE [2020/2] afin de proroger l’application de l’accord de partenariat ACP-UE jusqu’au 30 juin 2021, jusqu’à l’entrée en vigueur ou jusqu’à l’application provisoire entre l’Union et les États ACP du nouvel accord, la date la plus proche étant retenue.</w:t>
      </w:r>
    </w:p>
    <w:p>
      <w:pPr>
        <w:pStyle w:val="Titrearticle"/>
        <w:rPr>
          <w:noProof/>
        </w:rPr>
      </w:pPr>
      <w:r>
        <w:rPr>
          <w:noProof/>
        </w:rPr>
        <w:t>Article 2</w:t>
      </w:r>
    </w:p>
    <w:p>
      <w:pPr>
        <w:keepNext/>
        <w:keepLines/>
        <w:rPr>
          <w:noProof/>
        </w:rPr>
      </w:pPr>
      <w:r>
        <w:rPr>
          <w:noProof/>
        </w:rPr>
        <w:t xml:space="preserve">La Commission </w:t>
      </w:r>
      <w:r>
        <w:rPr>
          <w:noProof/>
          <w:color w:val="000000"/>
        </w:rPr>
        <w:t>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du Conseil du 19 décembre 2002 concernant la conclusion de l’accord de partenariat entre les États d’Afrique, des Caraïbes et du Pacifique, d’une part, et la Communauté européenne et ses États membres, d’autre part, signé à Cotonou le 23 juin 2000 (JO L 65 du 8.3.2003, p. 27).</w:t>
      </w:r>
    </w:p>
  </w:footnote>
  <w:footnote w:id="2">
    <w:p>
      <w:pPr>
        <w:pStyle w:val="FootnoteText"/>
        <w:rPr>
          <w:lang w:val="fr-BE"/>
        </w:rPr>
      </w:pPr>
      <w:r>
        <w:rPr>
          <w:rStyle w:val="FootnoteReference"/>
        </w:rPr>
        <w:footnoteRef/>
      </w:r>
      <w:r>
        <w:rPr>
          <w:lang w:val="fr-BE"/>
        </w:rPr>
        <w:tab/>
        <w:t>Décision nº 3/2019 du Comité des ambassadeurs ACP-UE du 17 décembre 2019 d’arrêter des mesures transitoires en vertu de l’article 95, paragraphe 4, de l’accord de partenariat ACP-UE [2020/2].</w:t>
      </w:r>
    </w:p>
  </w:footnote>
  <w:footnote w:id="3">
    <w:p>
      <w:pPr>
        <w:pStyle w:val="FootnoteText"/>
        <w:rPr>
          <w:lang w:val="fr-BE"/>
        </w:rPr>
      </w:pPr>
      <w:r>
        <w:rPr>
          <w:rStyle w:val="FootnoteReference"/>
        </w:rPr>
        <w:footnoteRef/>
      </w:r>
      <w:r>
        <w:rPr>
          <w:lang w:val="fr-BE"/>
        </w:rPr>
        <w:tab/>
        <w:t>Décision nº 1/2019 du Conseil des ministres ACP-UE du 23 mai 2019 en ce qui concerne la délégation de compétences au Comité des ambassadeurs ACP-UE relative à la décision d’adopter des mesures transitoires en vertu de l’article 95, paragraphe 4, de l’accord de partenariat ACP-UE [2019/920] (JO L 146 du 5.6.2019, p. 114).</w:t>
      </w:r>
    </w:p>
  </w:footnote>
  <w:footnote w:id="4">
    <w:p>
      <w:pPr>
        <w:pStyle w:val="FootnoteText"/>
        <w:rPr>
          <w:lang w:val="fr-BE"/>
        </w:rPr>
      </w:pPr>
      <w:r>
        <w:rPr>
          <w:rStyle w:val="FootnoteReference"/>
        </w:rPr>
        <w:footnoteRef/>
      </w:r>
      <w:r>
        <w:rPr>
          <w:lang w:val="fr-BE"/>
        </w:rPr>
        <w:tab/>
        <w:t>Décision nº 3/2005 du Conseil des ministres ACP-UE du 8 mars 2005 concernant l’adoption du règlement intérieur du Comité des ambassadeurs ACP-CE (JO L 95 du 14.4.2005, p. 51).</w:t>
      </w:r>
    </w:p>
  </w:footnote>
  <w:footnote w:id="5">
    <w:p>
      <w:pPr>
        <w:pStyle w:val="FootnoteText"/>
        <w:rPr>
          <w:lang w:val="fr-BE"/>
        </w:rPr>
      </w:pPr>
      <w:r>
        <w:rPr>
          <w:rStyle w:val="FootnoteReference"/>
        </w:rPr>
        <w:footnoteRef/>
      </w:r>
      <w:r>
        <w:rPr>
          <w:lang w:val="fr-BE"/>
        </w:rPr>
        <w:tab/>
        <w:t>Arrêt de la Cour de justice du 7 octobre 2014, Allemagne/Conseil, C-399/12, ECLI:EU:C:2014:2258, points 61 à 64.</w:t>
      </w:r>
    </w:p>
  </w:footnote>
  <w:footnote w:id="6">
    <w:p>
      <w:pPr>
        <w:pStyle w:val="FootnoteText"/>
        <w:rPr>
          <w:lang w:val="fr-BE"/>
        </w:rPr>
      </w:pPr>
      <w:r>
        <w:rPr>
          <w:rStyle w:val="FootnoteReference"/>
        </w:rPr>
        <w:footnoteRef/>
      </w:r>
      <w:r>
        <w:rPr>
          <w:lang w:val="fr-BE"/>
        </w:rPr>
        <w:tab/>
        <w:t xml:space="preserve">Voir, en particulier, l’arrêt de la Cour de justice dans l’affaire </w:t>
      </w:r>
      <w:r>
        <w:rPr>
          <w:rStyle w:val="Bodytext6Italic"/>
          <w:rFonts w:eastAsiaTheme="minorHAnsi"/>
        </w:rPr>
        <w:t>C-244/17</w:t>
      </w:r>
      <w:r>
        <w:rPr>
          <w:lang w:val="fr-BE"/>
        </w:rPr>
        <w:t xml:space="preserve">, </w:t>
      </w:r>
      <w:r>
        <w:rPr>
          <w:rStyle w:val="Bodytext6Italic"/>
          <w:rFonts w:eastAsiaTheme="minorHAnsi"/>
        </w:rPr>
        <w:t>Commission/Conseil</w:t>
      </w:r>
      <w:r>
        <w:rPr>
          <w:lang w:val="fr-BE"/>
        </w:rPr>
        <w:t xml:space="preserve"> («Kazakhstan»), ECLI:EU:C:2018:662, point 40, et la jurisprudence citée.</w:t>
      </w:r>
    </w:p>
  </w:footnote>
  <w:footnote w:id="7">
    <w:p>
      <w:pPr>
        <w:pStyle w:val="FootnoteText"/>
        <w:rPr>
          <w:lang w:val="fr-BE"/>
        </w:rPr>
      </w:pPr>
      <w:r>
        <w:rPr>
          <w:rStyle w:val="FootnoteReference"/>
        </w:rPr>
        <w:footnoteRef/>
      </w:r>
      <w:r>
        <w:rPr>
          <w:lang w:val="fr-BE"/>
        </w:rPr>
        <w:tab/>
        <w:t>JO L 300 du 21.11.2019, p. 1.</w:t>
      </w:r>
    </w:p>
  </w:footnote>
  <w:footnote w:id="8">
    <w:p>
      <w:pPr>
        <w:pStyle w:val="FootnoteText"/>
        <w:rPr>
          <w:lang w:val="fr-BE"/>
        </w:rPr>
      </w:pPr>
      <w:r>
        <w:rPr>
          <w:rStyle w:val="FootnoteReference"/>
        </w:rPr>
        <w:footnoteRef/>
      </w:r>
      <w:r>
        <w:rPr>
          <w:lang w:val="fr-BE"/>
        </w:rPr>
        <w:tab/>
        <w:t>Accord (JO L 317 du 15.12.2000, p. 3) modifié par l’accord signé à Luxembourg le 25 juin 2005 (JO L 209 du 11.8.2005, p. 27) et par l’accord signé à Ouagadougou le 22 juin 2010 (JO L 287 du 4.11.2010, p. 3).</w:t>
      </w:r>
    </w:p>
  </w:footnote>
  <w:footnote w:id="9">
    <w:p>
      <w:pPr>
        <w:pStyle w:val="FootnoteText"/>
        <w:rPr>
          <w:lang w:val="fr-BE"/>
        </w:rPr>
      </w:pPr>
      <w:r>
        <w:rPr>
          <w:rStyle w:val="FootnoteReference"/>
        </w:rPr>
        <w:footnoteRef/>
      </w:r>
      <w:r>
        <w:rPr>
          <w:lang w:val="fr-BE"/>
        </w:rPr>
        <w:tab/>
        <w:t>Décision nº 3/2019 du Comité des ambassadeurs ACP-UE du 17 décembre 2019 d’arrêter des mesures transitoires en vertu de l’article 95, paragraphe 4, de l’accord de partenariat ACP-UE [2020/2].</w:t>
      </w:r>
    </w:p>
    <w:p>
      <w:pPr>
        <w:pStyle w:val="FootnoteText"/>
        <w:rPr>
          <w:lang w:val="fr-BE"/>
        </w:rPr>
      </w:pPr>
    </w:p>
  </w:footnote>
  <w:footnote w:id="10">
    <w:p>
      <w:pPr>
        <w:pStyle w:val="FootnoteText"/>
        <w:rPr>
          <w:lang w:val="fr-BE"/>
        </w:rPr>
      </w:pPr>
      <w:r>
        <w:rPr>
          <w:rStyle w:val="FootnoteReference"/>
        </w:rPr>
        <w:footnoteRef/>
      </w:r>
      <w:r>
        <w:rPr>
          <w:lang w:val="fr-BE"/>
        </w:rPr>
        <w:tab/>
        <w:t>Décision nº 1/2019 du Conseil des ministres ACP-UE du 23 mai 2019 en ce qui concerne la délégation de compétences au Comité des ambassadeurs ACP-UE relative à la décision d’adopter des mesures transitoires en vertu de l’article 95, paragraphe 4, de l’accord de partenariat ACP-UE [2019/920] (JO L 146 du 5.6.2019, p. 114).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2E24A0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9C47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8684B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A6CA21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245B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B609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B6CCB7C"/>
    <w:lvl w:ilvl="0">
      <w:start w:val="1"/>
      <w:numFmt w:val="decimal"/>
      <w:pStyle w:val="ListNumber"/>
      <w:lvlText w:val="%1."/>
      <w:lvlJc w:val="left"/>
      <w:pPr>
        <w:tabs>
          <w:tab w:val="num" w:pos="360"/>
        </w:tabs>
        <w:ind w:left="360" w:hanging="360"/>
      </w:pPr>
    </w:lvl>
  </w:abstractNum>
  <w:abstractNum w:abstractNumId="7">
    <w:nsid w:val="FFFFFF89"/>
    <w:multiLevelType w:val="singleLevel"/>
    <w:tmpl w:val="37668F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7 11:23: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5"/>
    <w:docVar w:name="DQCStatus" w:val="Green"/>
    <w:docVar w:name="DQCVersion" w:val="3"/>
    <w:docVar w:name="DQCWithWarnings" w:val="0"/>
    <w:docVar w:name="LW_CORRIGENDUM" w:val="&lt;UNUSED&gt;"/>
    <w:docVar w:name="LW_COVERPAGE_EXISTS" w:val="True"/>
    <w:docVar w:name="LW_COVERPAGE_GUID" w:val="32FA5203-C3B4-4A9D-BD25-4AE12520B6BD"/>
    <w:docVar w:name="LW_COVERPAGE_TYPE" w:val="1"/>
    <w:docVar w:name="LW_CROSSREFERENCE" w:val="&lt;UNUSED&gt;"/>
    <w:docVar w:name="LW_DocType" w:val="COM"/>
    <w:docVar w:name="LW_EMISSION" w:val="26.8.2020"/>
    <w:docVar w:name="LW_EMISSION_ISODATE" w:val="2020-08-2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04"/>
    <w:docVar w:name="LW_REF.II.NEW.CP_YEAR" w:val="2020"/>
    <w:docVar w:name="LW_REF.INST.NEW" w:val="COM"/>
    <w:docVar w:name="LW_REF.INST.NEW_ADOPTED" w:val="final"/>
    <w:docVar w:name="LW_REF.INST.NEW_TEXT" w:val="(2020) 4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des ambassadeurs ACP-UE, en ce qui concerne la modification de la décision nº 3/2019 du Comité des ambassadeurs ACP-UE du 17 décembre 2019 d\u8217?arrêter des mesures transitoires en vertu de l\u8217?article 95, paragraphe 4, de l\u8217?accord de partenariat ACP-UE [2020/2]"/>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_"/>
    <w:basedOn w:val="DefaultParagraphFont"/>
    <w:link w:val="Bodytext20"/>
    <w:rPr>
      <w:shd w:val="clear" w:color="auto" w:fill="FFFFFF"/>
    </w:rPr>
  </w:style>
  <w:style w:type="character" w:customStyle="1" w:styleId="Bodytext5">
    <w:name w:val="Body text|5_"/>
    <w:basedOn w:val="DefaultParagraphFont"/>
    <w:link w:val="Bodytext50"/>
    <w:rPr>
      <w:b/>
      <w:bCs/>
      <w:sz w:val="20"/>
      <w:szCs w:val="20"/>
      <w:shd w:val="clear" w:color="auto" w:fill="FFFFFF"/>
    </w:rPr>
  </w:style>
  <w:style w:type="character" w:customStyle="1" w:styleId="Bodytext511pt">
    <w:name w:val="Body text|5 + 11 pt"/>
    <w:basedOn w:val="Bodytext5"/>
    <w:semiHidden/>
    <w:unhideWhenUsed/>
    <w:rPr>
      <w:rFonts w:ascii="Times New Roman" w:eastAsia="Times New Roman" w:hAnsi="Times New Roman" w:cs="Times New Roman"/>
      <w:b/>
      <w:bCs/>
      <w:color w:val="000000"/>
      <w:spacing w:val="0"/>
      <w:w w:val="100"/>
      <w:position w:val="0"/>
      <w:sz w:val="22"/>
      <w:szCs w:val="22"/>
      <w:shd w:val="clear" w:color="auto" w:fill="FFFFFF"/>
      <w:lang w:val="fr-FR" w:eastAsia="en-US" w:bidi="en-US"/>
    </w:rPr>
  </w:style>
  <w:style w:type="character" w:customStyle="1" w:styleId="Bodytext5SmallCaps">
    <w:name w:val="Body text|5 + Small Caps"/>
    <w:basedOn w:val="Bodytext5"/>
    <w:semiHidden/>
    <w:unhideWhenUsed/>
    <w:rPr>
      <w:rFonts w:ascii="Times New Roman" w:eastAsia="Times New Roman" w:hAnsi="Times New Roman" w:cs="Times New Roman"/>
      <w:b/>
      <w:bCs/>
      <w:smallCaps/>
      <w:color w:val="000000"/>
      <w:spacing w:val="0"/>
      <w:w w:val="100"/>
      <w:position w:val="0"/>
      <w:sz w:val="20"/>
      <w:szCs w:val="20"/>
      <w:shd w:val="clear" w:color="auto" w:fill="FFFFFF"/>
      <w:lang w:val="fr-FR" w:eastAsia="en-US" w:bidi="en-US"/>
    </w:rPr>
  </w:style>
  <w:style w:type="character" w:customStyle="1" w:styleId="Bodytext6">
    <w:name w:val="Body text|6_"/>
    <w:basedOn w:val="DefaultParagraphFont"/>
    <w:link w:val="Bodytext60"/>
    <w:rPr>
      <w:sz w:val="20"/>
      <w:szCs w:val="20"/>
      <w:shd w:val="clear" w:color="auto" w:fill="FFFFFF"/>
    </w:rPr>
  </w:style>
  <w:style w:type="paragraph" w:customStyle="1" w:styleId="Bodytext20">
    <w:name w:val="Body text|2"/>
    <w:basedOn w:val="Normal"/>
    <w:link w:val="Bodytext2"/>
    <w:qFormat/>
    <w:pPr>
      <w:widowControl w:val="0"/>
      <w:shd w:val="clear" w:color="auto" w:fill="FFFFFF"/>
      <w:spacing w:before="0" w:after="240" w:line="269" w:lineRule="exact"/>
      <w:ind w:hanging="740"/>
      <w:jc w:val="left"/>
    </w:pPr>
    <w:rPr>
      <w:rFonts w:asciiTheme="minorHAnsi" w:hAnsiTheme="minorHAnsi" w:cstheme="minorBidi"/>
      <w:sz w:val="22"/>
    </w:rPr>
  </w:style>
  <w:style w:type="paragraph" w:customStyle="1" w:styleId="Bodytext50">
    <w:name w:val="Body text|5"/>
    <w:basedOn w:val="Normal"/>
    <w:link w:val="Bodytext5"/>
    <w:pPr>
      <w:widowControl w:val="0"/>
      <w:shd w:val="clear" w:color="auto" w:fill="FFFFFF"/>
      <w:spacing w:before="380" w:after="140" w:line="244" w:lineRule="exact"/>
    </w:pPr>
    <w:rPr>
      <w:rFonts w:asciiTheme="minorHAnsi" w:hAnsiTheme="minorHAnsi" w:cstheme="minorBidi"/>
      <w:b/>
      <w:bCs/>
      <w:sz w:val="20"/>
      <w:szCs w:val="20"/>
    </w:rPr>
  </w:style>
  <w:style w:type="paragraph" w:customStyle="1" w:styleId="Bodytext60">
    <w:name w:val="Body text|6"/>
    <w:basedOn w:val="Normal"/>
    <w:link w:val="Bodytext6"/>
    <w:pPr>
      <w:widowControl w:val="0"/>
      <w:shd w:val="clear" w:color="auto" w:fill="FFFFFF"/>
      <w:spacing w:before="680" w:after="0" w:line="230" w:lineRule="exact"/>
    </w:pPr>
    <w:rPr>
      <w:rFonts w:asciiTheme="minorHAnsi" w:hAnsiTheme="minorHAnsi" w:cstheme="minorBidi"/>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1">
    <w:name w:val="Heading #1|1_"/>
    <w:basedOn w:val="DefaultParagraphFont"/>
    <w:link w:val="Heading110"/>
    <w:rPr>
      <w:b/>
      <w:bCs/>
      <w:shd w:val="clear" w:color="auto" w:fill="FFFFFF"/>
    </w:rPr>
  </w:style>
  <w:style w:type="paragraph" w:customStyle="1" w:styleId="Heading110">
    <w:name w:val="Heading #1|1"/>
    <w:basedOn w:val="Normal"/>
    <w:link w:val="Heading11"/>
    <w:qFormat/>
    <w:pPr>
      <w:widowControl w:val="0"/>
      <w:shd w:val="clear" w:color="auto" w:fill="FFFFFF"/>
      <w:spacing w:before="0" w:after="380" w:line="244" w:lineRule="exact"/>
      <w:ind w:hanging="880"/>
      <w:jc w:val="center"/>
      <w:outlineLvl w:val="0"/>
    </w:pPr>
    <w:rPr>
      <w:rFonts w:asciiTheme="minorHAnsi" w:hAnsiTheme="minorHAnsi" w:cstheme="minorBidi"/>
      <w:b/>
      <w:bCs/>
      <w:sz w:val="22"/>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fr-FR" w:eastAsia="en-US" w:bidi="en-US"/>
    </w:rPr>
  </w:style>
  <w:style w:type="character" w:customStyle="1" w:styleId="Bodytext7">
    <w:name w:val="Body text|7_"/>
    <w:basedOn w:val="DefaultParagraphFont"/>
    <w:link w:val="Bodytext70"/>
    <w:rPr>
      <w:i/>
      <w:iCs/>
      <w:shd w:val="clear" w:color="auto" w:fill="FFFFFF"/>
    </w:rPr>
  </w:style>
  <w:style w:type="character" w:customStyle="1" w:styleId="Bodytext7NotItalic">
    <w:name w:val="Body text|7 + Not Italic"/>
    <w:basedOn w:val="Bodytext7"/>
    <w:semiHidden/>
    <w:unhideWhenUsed/>
    <w:rPr>
      <w:rFonts w:ascii="Times New Roman" w:eastAsia="Times New Roman" w:hAnsi="Times New Roman" w:cs="Times New Roman"/>
      <w:i/>
      <w:iCs/>
      <w:color w:val="000000"/>
      <w:spacing w:val="0"/>
      <w:w w:val="100"/>
      <w:position w:val="0"/>
      <w:sz w:val="24"/>
      <w:szCs w:val="24"/>
      <w:shd w:val="clear" w:color="auto" w:fill="FFFFFF"/>
      <w:lang w:val="fr-FR" w:eastAsia="en-US" w:bidi="en-US"/>
    </w:rPr>
  </w:style>
  <w:style w:type="paragraph" w:customStyle="1" w:styleId="Bodytext70">
    <w:name w:val="Body text|7"/>
    <w:basedOn w:val="Normal"/>
    <w:link w:val="Bodytext7"/>
    <w:pPr>
      <w:widowControl w:val="0"/>
      <w:shd w:val="clear" w:color="auto" w:fill="FFFFFF"/>
      <w:spacing w:before="140" w:after="140" w:line="266" w:lineRule="exact"/>
    </w:pPr>
    <w:rPr>
      <w:rFonts w:asciiTheme="minorHAnsi" w:hAnsiTheme="minorHAnsi" w:cstheme="minorBidi"/>
      <w:i/>
      <w:iCs/>
      <w:sz w:val="22"/>
    </w:rPr>
  </w:style>
  <w:style w:type="character" w:customStyle="1" w:styleId="Bodytext6Italic">
    <w:name w:val="Body text|6 + Italic"/>
    <w:basedOn w:val="Bodytext6"/>
    <w:semiHidden/>
    <w:unhideWhenUse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en-US" w:bidi="en-U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customStyle="1" w:styleId="Bodytext4">
    <w:name w:val="Body text|4_"/>
    <w:basedOn w:val="DefaultParagraphFont"/>
    <w:link w:val="Bodytext40"/>
    <w:rPr>
      <w:b/>
      <w:bCs/>
      <w:shd w:val="clear" w:color="auto" w:fill="FFFFFF"/>
    </w:rPr>
  </w:style>
  <w:style w:type="paragraph" w:customStyle="1" w:styleId="Bodytext40">
    <w:name w:val="Body text|4"/>
    <w:basedOn w:val="Normal"/>
    <w:link w:val="Bodytext4"/>
    <w:pPr>
      <w:widowControl w:val="0"/>
      <w:shd w:val="clear" w:color="auto" w:fill="FFFFFF"/>
      <w:spacing w:before="380" w:after="380" w:line="244" w:lineRule="exact"/>
      <w:jc w:val="center"/>
    </w:pPr>
    <w:rPr>
      <w:rFonts w:asciiTheme="minorHAnsi" w:hAnsiTheme="minorHAnsi" w:cstheme="minorBidi"/>
      <w:b/>
      <w:bCs/>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_"/>
    <w:basedOn w:val="DefaultParagraphFont"/>
    <w:link w:val="Bodytext20"/>
    <w:rPr>
      <w:shd w:val="clear" w:color="auto" w:fill="FFFFFF"/>
    </w:rPr>
  </w:style>
  <w:style w:type="character" w:customStyle="1" w:styleId="Bodytext5">
    <w:name w:val="Body text|5_"/>
    <w:basedOn w:val="DefaultParagraphFont"/>
    <w:link w:val="Bodytext50"/>
    <w:rPr>
      <w:b/>
      <w:bCs/>
      <w:sz w:val="20"/>
      <w:szCs w:val="20"/>
      <w:shd w:val="clear" w:color="auto" w:fill="FFFFFF"/>
    </w:rPr>
  </w:style>
  <w:style w:type="character" w:customStyle="1" w:styleId="Bodytext511pt">
    <w:name w:val="Body text|5 + 11 pt"/>
    <w:basedOn w:val="Bodytext5"/>
    <w:semiHidden/>
    <w:unhideWhenUsed/>
    <w:rPr>
      <w:rFonts w:ascii="Times New Roman" w:eastAsia="Times New Roman" w:hAnsi="Times New Roman" w:cs="Times New Roman"/>
      <w:b/>
      <w:bCs/>
      <w:color w:val="000000"/>
      <w:spacing w:val="0"/>
      <w:w w:val="100"/>
      <w:position w:val="0"/>
      <w:sz w:val="22"/>
      <w:szCs w:val="22"/>
      <w:shd w:val="clear" w:color="auto" w:fill="FFFFFF"/>
      <w:lang w:val="fr-FR" w:eastAsia="en-US" w:bidi="en-US"/>
    </w:rPr>
  </w:style>
  <w:style w:type="character" w:customStyle="1" w:styleId="Bodytext5SmallCaps">
    <w:name w:val="Body text|5 + Small Caps"/>
    <w:basedOn w:val="Bodytext5"/>
    <w:semiHidden/>
    <w:unhideWhenUsed/>
    <w:rPr>
      <w:rFonts w:ascii="Times New Roman" w:eastAsia="Times New Roman" w:hAnsi="Times New Roman" w:cs="Times New Roman"/>
      <w:b/>
      <w:bCs/>
      <w:smallCaps/>
      <w:color w:val="000000"/>
      <w:spacing w:val="0"/>
      <w:w w:val="100"/>
      <w:position w:val="0"/>
      <w:sz w:val="20"/>
      <w:szCs w:val="20"/>
      <w:shd w:val="clear" w:color="auto" w:fill="FFFFFF"/>
      <w:lang w:val="fr-FR" w:eastAsia="en-US" w:bidi="en-US"/>
    </w:rPr>
  </w:style>
  <w:style w:type="character" w:customStyle="1" w:styleId="Bodytext6">
    <w:name w:val="Body text|6_"/>
    <w:basedOn w:val="DefaultParagraphFont"/>
    <w:link w:val="Bodytext60"/>
    <w:rPr>
      <w:sz w:val="20"/>
      <w:szCs w:val="20"/>
      <w:shd w:val="clear" w:color="auto" w:fill="FFFFFF"/>
    </w:rPr>
  </w:style>
  <w:style w:type="paragraph" w:customStyle="1" w:styleId="Bodytext20">
    <w:name w:val="Body text|2"/>
    <w:basedOn w:val="Normal"/>
    <w:link w:val="Bodytext2"/>
    <w:qFormat/>
    <w:pPr>
      <w:widowControl w:val="0"/>
      <w:shd w:val="clear" w:color="auto" w:fill="FFFFFF"/>
      <w:spacing w:before="0" w:after="240" w:line="269" w:lineRule="exact"/>
      <w:ind w:hanging="740"/>
      <w:jc w:val="left"/>
    </w:pPr>
    <w:rPr>
      <w:rFonts w:asciiTheme="minorHAnsi" w:hAnsiTheme="minorHAnsi" w:cstheme="minorBidi"/>
      <w:sz w:val="22"/>
    </w:rPr>
  </w:style>
  <w:style w:type="paragraph" w:customStyle="1" w:styleId="Bodytext50">
    <w:name w:val="Body text|5"/>
    <w:basedOn w:val="Normal"/>
    <w:link w:val="Bodytext5"/>
    <w:pPr>
      <w:widowControl w:val="0"/>
      <w:shd w:val="clear" w:color="auto" w:fill="FFFFFF"/>
      <w:spacing w:before="380" w:after="140" w:line="244" w:lineRule="exact"/>
    </w:pPr>
    <w:rPr>
      <w:rFonts w:asciiTheme="minorHAnsi" w:hAnsiTheme="minorHAnsi" w:cstheme="minorBidi"/>
      <w:b/>
      <w:bCs/>
      <w:sz w:val="20"/>
      <w:szCs w:val="20"/>
    </w:rPr>
  </w:style>
  <w:style w:type="paragraph" w:customStyle="1" w:styleId="Bodytext60">
    <w:name w:val="Body text|6"/>
    <w:basedOn w:val="Normal"/>
    <w:link w:val="Bodytext6"/>
    <w:pPr>
      <w:widowControl w:val="0"/>
      <w:shd w:val="clear" w:color="auto" w:fill="FFFFFF"/>
      <w:spacing w:before="680" w:after="0" w:line="230" w:lineRule="exact"/>
    </w:pPr>
    <w:rPr>
      <w:rFonts w:asciiTheme="minorHAnsi" w:hAnsiTheme="minorHAnsi" w:cstheme="minorBidi"/>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1">
    <w:name w:val="Heading #1|1_"/>
    <w:basedOn w:val="DefaultParagraphFont"/>
    <w:link w:val="Heading110"/>
    <w:rPr>
      <w:b/>
      <w:bCs/>
      <w:shd w:val="clear" w:color="auto" w:fill="FFFFFF"/>
    </w:rPr>
  </w:style>
  <w:style w:type="paragraph" w:customStyle="1" w:styleId="Heading110">
    <w:name w:val="Heading #1|1"/>
    <w:basedOn w:val="Normal"/>
    <w:link w:val="Heading11"/>
    <w:qFormat/>
    <w:pPr>
      <w:widowControl w:val="0"/>
      <w:shd w:val="clear" w:color="auto" w:fill="FFFFFF"/>
      <w:spacing w:before="0" w:after="380" w:line="244" w:lineRule="exact"/>
      <w:ind w:hanging="880"/>
      <w:jc w:val="center"/>
      <w:outlineLvl w:val="0"/>
    </w:pPr>
    <w:rPr>
      <w:rFonts w:asciiTheme="minorHAnsi" w:hAnsiTheme="minorHAnsi" w:cstheme="minorBidi"/>
      <w:b/>
      <w:bCs/>
      <w:sz w:val="22"/>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fr-FR" w:eastAsia="en-US" w:bidi="en-US"/>
    </w:rPr>
  </w:style>
  <w:style w:type="character" w:customStyle="1" w:styleId="Bodytext7">
    <w:name w:val="Body text|7_"/>
    <w:basedOn w:val="DefaultParagraphFont"/>
    <w:link w:val="Bodytext70"/>
    <w:rPr>
      <w:i/>
      <w:iCs/>
      <w:shd w:val="clear" w:color="auto" w:fill="FFFFFF"/>
    </w:rPr>
  </w:style>
  <w:style w:type="character" w:customStyle="1" w:styleId="Bodytext7NotItalic">
    <w:name w:val="Body text|7 + Not Italic"/>
    <w:basedOn w:val="Bodytext7"/>
    <w:semiHidden/>
    <w:unhideWhenUsed/>
    <w:rPr>
      <w:rFonts w:ascii="Times New Roman" w:eastAsia="Times New Roman" w:hAnsi="Times New Roman" w:cs="Times New Roman"/>
      <w:i/>
      <w:iCs/>
      <w:color w:val="000000"/>
      <w:spacing w:val="0"/>
      <w:w w:val="100"/>
      <w:position w:val="0"/>
      <w:sz w:val="24"/>
      <w:szCs w:val="24"/>
      <w:shd w:val="clear" w:color="auto" w:fill="FFFFFF"/>
      <w:lang w:val="fr-FR" w:eastAsia="en-US" w:bidi="en-US"/>
    </w:rPr>
  </w:style>
  <w:style w:type="paragraph" w:customStyle="1" w:styleId="Bodytext70">
    <w:name w:val="Body text|7"/>
    <w:basedOn w:val="Normal"/>
    <w:link w:val="Bodytext7"/>
    <w:pPr>
      <w:widowControl w:val="0"/>
      <w:shd w:val="clear" w:color="auto" w:fill="FFFFFF"/>
      <w:spacing w:before="140" w:after="140" w:line="266" w:lineRule="exact"/>
    </w:pPr>
    <w:rPr>
      <w:rFonts w:asciiTheme="minorHAnsi" w:hAnsiTheme="minorHAnsi" w:cstheme="minorBidi"/>
      <w:i/>
      <w:iCs/>
      <w:sz w:val="22"/>
    </w:rPr>
  </w:style>
  <w:style w:type="character" w:customStyle="1" w:styleId="Bodytext6Italic">
    <w:name w:val="Body text|6 + Italic"/>
    <w:basedOn w:val="Bodytext6"/>
    <w:semiHidden/>
    <w:unhideWhenUse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en-US" w:bidi="en-U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customStyle="1" w:styleId="Bodytext4">
    <w:name w:val="Body text|4_"/>
    <w:basedOn w:val="DefaultParagraphFont"/>
    <w:link w:val="Bodytext40"/>
    <w:rPr>
      <w:b/>
      <w:bCs/>
      <w:shd w:val="clear" w:color="auto" w:fill="FFFFFF"/>
    </w:rPr>
  </w:style>
  <w:style w:type="paragraph" w:customStyle="1" w:styleId="Bodytext40">
    <w:name w:val="Body text|4"/>
    <w:basedOn w:val="Normal"/>
    <w:link w:val="Bodytext4"/>
    <w:pPr>
      <w:widowControl w:val="0"/>
      <w:shd w:val="clear" w:color="auto" w:fill="FFFFFF"/>
      <w:spacing w:before="380" w:after="380" w:line="244" w:lineRule="exact"/>
      <w:jc w:val="center"/>
    </w:pPr>
    <w:rPr>
      <w:rFonts w:asciiTheme="minorHAnsi" w:hAnsiTheme="minorHAnsi" w:cstheme="minorBidi"/>
      <w:b/>
      <w:bCs/>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BDD085E-4AB4-4FE1-9631-04C141D4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2150</Words>
  <Characters>11547</Characters>
  <Application>Microsoft Office Word</Application>
  <DocSecurity>0</DocSecurity>
  <Lines>199</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2020-08-14T06:54:00Z</dcterms:created>
  <dcterms:modified xsi:type="dcterms:W3CDTF">2020-08-17T09:23:00Z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SJ-019</vt:lpwstr>
  </property>
  <property fmtid="{D5CDD505-2E9C-101B-9397-08002B2CF9AE}" pid="9" name="DQCStatus">
    <vt:lpwstr>Green (DQC version 03)</vt:lpwstr>
  </property>
</Properties>
</file>