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F5503A-675B-45E1-B8C3-8CE8549F42CA"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Taxation of energy products and electricity in the Union is governed by Council Directive 2003/96/EC of 27 October 2003 restructuring the Community framework for the taxation of energy products and electricity</w:t>
      </w:r>
      <w:r>
        <w:rPr>
          <w:rStyle w:val="FootnoteReference"/>
          <w:rFonts w:eastAsia="Arial Unicode MS"/>
          <w:noProof/>
        </w:rPr>
        <w:footnoteReference w:id="1"/>
      </w:r>
      <w:r>
        <w:rPr>
          <w:rFonts w:eastAsia="Arial Unicode MS"/>
          <w:noProof/>
        </w:rPr>
        <w:t xml:space="preserve"> (the ‘Energy Taxation Directive’ or the ‘Directive’).</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By virtue of Council Implementing Decision 2014/722/EU of 14 October 2014</w:t>
      </w:r>
      <w:r>
        <w:rPr>
          <w:rStyle w:val="FootnoteReference"/>
          <w:rFonts w:eastAsia="Arial Unicode MS"/>
          <w:noProof/>
        </w:rPr>
        <w:footnoteReference w:id="2"/>
      </w:r>
      <w:r>
        <w:rPr>
          <w:rFonts w:eastAsia="Arial Unicode MS"/>
          <w:noProof/>
        </w:rPr>
        <w:t xml:space="preserve"> (preceded by Council Implementing Decision 2011/445/EU of 12 July 2011</w:t>
      </w:r>
      <w:r>
        <w:rPr>
          <w:rStyle w:val="FootnoteReference"/>
          <w:rFonts w:eastAsia="Arial Unicode MS"/>
          <w:noProof/>
        </w:rPr>
        <w:footnoteReference w:id="3"/>
      </w:r>
      <w:r>
        <w:rPr>
          <w:rFonts w:eastAsia="Arial Unicode MS"/>
          <w:noProof/>
        </w:rPr>
        <w:t>), Germany has already been authorised to apply a reduced rate of electricity taxation to electricity directly supplied to vessels, other than private pleasure craft</w:t>
      </w:r>
      <w:r>
        <w:rPr>
          <w:rStyle w:val="FootnoteReference"/>
          <w:rFonts w:eastAsia="Arial Unicode MS"/>
          <w:noProof/>
        </w:rPr>
        <w:footnoteReference w:id="4"/>
      </w:r>
      <w:r>
        <w:rPr>
          <w:rFonts w:eastAsia="Arial Unicode MS"/>
          <w:noProof/>
        </w:rPr>
        <w:t>, berthed in ports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this proposal is to extend that authorisation as requested by Germany, given that the current derogation expires on 16 July 2020. </w:t>
      </w:r>
    </w:p>
    <w:p>
      <w:pPr>
        <w:pBdr>
          <w:top w:val="nil"/>
          <w:left w:val="nil"/>
          <w:bottom w:val="nil"/>
          <w:right w:val="nil"/>
          <w:between w:val="nil"/>
          <w:bar w:val="nil"/>
        </w:pBdr>
        <w:spacing w:before="0" w:after="240"/>
        <w:rPr>
          <w:rFonts w:eastAsia="Arial Unicode MS"/>
          <w:noProof/>
        </w:rPr>
      </w:pPr>
      <w:r>
        <w:rPr>
          <w:rFonts w:eastAsia="Arial Unicode MS"/>
          <w:noProof/>
        </w:rPr>
        <w:t>By letter dated 29 January 2020, the German authorities informed the Commission of their intention to prolong the current measure until 31 December 2025. Additional information was provided by letter dated 30 April 2020.</w:t>
      </w:r>
    </w:p>
    <w:p>
      <w:pPr>
        <w:pBdr>
          <w:top w:val="nil"/>
          <w:left w:val="nil"/>
          <w:bottom w:val="nil"/>
          <w:right w:val="nil"/>
          <w:between w:val="nil"/>
          <w:bar w:val="nil"/>
        </w:pBdr>
        <w:spacing w:before="0" w:after="240"/>
        <w:rPr>
          <w:rFonts w:eastAsia="Arial Unicode MS"/>
          <w:noProof/>
        </w:rPr>
      </w:pPr>
      <w:r>
        <w:rPr>
          <w:rFonts w:eastAsia="Arial Unicode MS"/>
          <w:noProof/>
        </w:rPr>
        <w:t>Germany is seeking for a renewal of the authorisation to apply a reduced tax rate of EUR 0.50/MWh, equal to the minimum rate of taxation for electricity for business use as laid down in the Directive, to shore-side supply of electricity to vessels</w:t>
      </w:r>
      <w:r>
        <w:rPr>
          <w:rStyle w:val="FootnoteReference"/>
          <w:rFonts w:eastAsia="Arial Unicode MS"/>
          <w:noProof/>
        </w:rPr>
        <w:footnoteReference w:id="5"/>
      </w:r>
      <w:r>
        <w:rPr>
          <w:rFonts w:eastAsia="Arial Unicode MS"/>
          <w:noProof/>
        </w:rPr>
        <w:t xml:space="preserve"> operating exclusively for commercial purposes in Union sea and inland waters (including fishing)</w:t>
      </w:r>
      <w:r>
        <w:rPr>
          <w:rStyle w:val="FootnoteReference"/>
          <w:rFonts w:eastAsia="Arial Unicode MS"/>
          <w:noProof/>
        </w:rPr>
        <w:footnoteReference w:id="6"/>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requested period of validity is from 17 July 2020 until 31 December 2025, which is in continuity with the current derogation and within the maximum period allowed by Article 19 of the Energy Taxation Directive.</w:t>
      </w:r>
    </w:p>
    <w:p>
      <w:pPr>
        <w:pBdr>
          <w:top w:val="nil"/>
          <w:left w:val="nil"/>
          <w:bottom w:val="nil"/>
          <w:right w:val="nil"/>
          <w:between w:val="nil"/>
          <w:bar w:val="nil"/>
        </w:pBdr>
        <w:spacing w:before="0" w:after="240"/>
        <w:rPr>
          <w:rFonts w:eastAsia="Arial Unicode MS"/>
          <w:noProof/>
        </w:rPr>
      </w:pPr>
      <w:r>
        <w:rPr>
          <w:rFonts w:eastAsia="Arial Unicode MS"/>
          <w:noProof/>
        </w:rPr>
        <w:t>This reduction aims to continue to provide an economic incentive for the deployment and use of shore-side electricity in order to reduce air pollution in port cities, improve local air quality and reduce noise for the health benefit of inhabitants.</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the measure to be applied by Germany is also to reduce the environmental impact of water-borne transport.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With the requested measure Germany wants to keep an incentive for the use of shore-side electricity which is considered a less polluting alternative to the generation of electricity on board vessels lying at berth in a port. As indicated in the request, in Germany the standard rate of electricity tax is EUR 20.50/MWh. The tax concession currently stands at EUR 20.00/MWh. This means that beneficiaries are charged at the applicable EU minimum tax rate for electricity under the Energy Taxation Directive of EUR 0.50/MWh (as specified in Article 10(1) and Table C of Annex I to the Directive, for business use). Germany allows the tax advantage to be provided both as a reduced tax rate charged at supply (a permission is needed) or as a tax refund.</w:t>
      </w:r>
    </w:p>
    <w:p>
      <w:pPr>
        <w:pBdr>
          <w:top w:val="nil"/>
          <w:left w:val="nil"/>
          <w:bottom w:val="nil"/>
          <w:right w:val="nil"/>
          <w:between w:val="nil"/>
          <w:bar w:val="nil"/>
        </w:pBdr>
        <w:spacing w:before="0" w:after="240"/>
        <w:rPr>
          <w:rFonts w:eastAsia="Arial Unicode MS"/>
          <w:noProof/>
        </w:rPr>
      </w:pPr>
      <w:r>
        <w:rPr>
          <w:rFonts w:eastAsia="Arial Unicode MS"/>
          <w:noProof/>
        </w:rPr>
        <w:t>On the other hand, according to Article 14(1)(c) of the Energy Taxation Directive Member States have to exempt energy products used to produce electricity on board ships at berth in ports. They may also do so in the case of electricity produced on board ships for navigation on inland waterways according to Article 15(1)(f) of the Directive. Germany confirmed the transposition of this latter optional exemption.</w:t>
      </w:r>
    </w:p>
    <w:p>
      <w:pPr>
        <w:pBdr>
          <w:top w:val="nil"/>
          <w:left w:val="nil"/>
          <w:bottom w:val="nil"/>
          <w:right w:val="nil"/>
          <w:between w:val="nil"/>
          <w:bar w:val="nil"/>
        </w:pBdr>
        <w:spacing w:before="0" w:after="240"/>
        <w:rPr>
          <w:rFonts w:eastAsia="Arial Unicode MS"/>
          <w:noProof/>
        </w:rPr>
      </w:pPr>
      <w:r>
        <w:rPr>
          <w:rFonts w:eastAsia="Arial Unicode MS"/>
          <w:noProof/>
        </w:rPr>
        <w:t>The German authorities have indicated that the tax reduction applies to all ships other than private pleasure craft, meaning that all ships involved in commercial navigation, regardless of size or flag, can benefit from the tax reduction. There is however no obligation for vessels to use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indicated in the request, </w:t>
      </w:r>
      <w:r>
        <w:rPr>
          <w:rStyle w:val="Bodytext2"/>
          <w:noProof/>
        </w:rPr>
        <w:t>since the entry into force of the scheme in 2011, the number of beneficiaries has substantially increased; in the inland waterway sector, almost all vessels are able to purchase shore-side electricity; there are currently very few installations in the maritime sector, which are not intended for island ferries. Furthermore, according to the available data, in inland waters, there are 454 operational facilities, 385 planned facilities and the potential for a further 115 facilities. In maritime ports, there are 240 operational facilities (of which 237 are for island ferry services), 30 planned facilities (mainly for cruise ships and container ships) and the potential for a further 32 facilities.</w:t>
      </w:r>
    </w:p>
    <w:p>
      <w:pPr>
        <w:pBdr>
          <w:top w:val="nil"/>
          <w:left w:val="nil"/>
          <w:bottom w:val="nil"/>
          <w:right w:val="nil"/>
          <w:between w:val="nil"/>
          <w:bar w:val="nil"/>
        </w:pBdr>
        <w:spacing w:before="0" w:after="240"/>
        <w:rPr>
          <w:rFonts w:eastAsia="Arial Unicode MS"/>
          <w:noProof/>
        </w:rPr>
      </w:pPr>
      <w:r>
        <w:rPr>
          <w:rFonts w:eastAsia="Arial Unicode MS"/>
          <w:noProof/>
        </w:rPr>
        <w:t>As an estimation of the tax expenditures from the measure, the German authorities calculated the loss of tax revenue based on the amount of electricity consumed for the benefit and the amount of the advantage. The tax relief currently amounts to EUR 20.00/MWh (the standard tax rate, as mentioned before, is EUR 20.50/MWh). In 2019, 79 302 MWh of electricity were taken from shore-side electricity in ports. Taking into account the tax relief, this results in a loss of tax revenue for 2019 amounting to EUR 1.586 million. Assuming that increased use of shore-side electricity will occur in the future because of the support measures, a loss of EUR 2 million per year is estimated for the coming years.</w:t>
      </w:r>
    </w:p>
    <w:p>
      <w:pPr>
        <w:pBdr>
          <w:top w:val="nil"/>
          <w:left w:val="nil"/>
          <w:bottom w:val="nil"/>
          <w:right w:val="nil"/>
          <w:between w:val="nil"/>
          <w:bar w:val="nil"/>
        </w:pBdr>
        <w:spacing w:before="0" w:after="240"/>
        <w:rPr>
          <w:rFonts w:eastAsia="Arial Unicode MS"/>
          <w:noProof/>
        </w:rPr>
      </w:pPr>
      <w:r>
        <w:rPr>
          <w:rFonts w:eastAsia="Arial Unicode MS"/>
          <w:noProof/>
        </w:rPr>
        <w:t>Germany requested the authorisation to be granted until 31 December 2025, starting from 17 July 2020, without interruption with the current derogation and within the maximum period indicated in Article 19(2) of the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 the tax reduction, Germany wants to provide an incentive for vessel operators to use shore-side electricity in order to reduce airborne emissions and noise from the combustion of fuels by vessels at berth as well as CO2 emissions. The application of a reduced tax rate would strengthen the competitiveness of shore-side electricity relative to the burning of bunker fuels on board, which is tax exempt.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Taxation of electricity is governed by Directive 2003/96/EC, in particular Article 10.  Article 14(1)(c) provides for an obligatory tax exemption for electricity produced on board a craft. Articles 5, 15 and 17 provide for the possibility for Member States to apply tax differentiations, including exemptions and reductions, to certain uses of electricity. However, as such, these provisions do not provide for reduced taxation of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According to the German authorities, the measure constitutes State aid and falls within the ambit of the EU legislation on this subject matter; in particular, the scheme was deemed appropriate and notified under Article 25 of Commission Regulation (EC) 800/2008</w:t>
      </w:r>
      <w:r>
        <w:rPr>
          <w:rStyle w:val="FootnoteReference"/>
          <w:rFonts w:eastAsia="Arial Unicode MS"/>
          <w:noProof/>
        </w:rPr>
        <w:footnoteReference w:id="7"/>
      </w:r>
      <w:r>
        <w:rPr>
          <w:rFonts w:eastAsia="Arial Unicode MS"/>
          <w:noProof/>
        </w:rPr>
        <w:t>, which is currently replaced by the Commission Regulation 651/2014/EU</w:t>
      </w:r>
      <w:r>
        <w:rPr>
          <w:rStyle w:val="FootnoteReference"/>
          <w:rFonts w:eastAsia="Arial Unicode MS"/>
          <w:noProof/>
        </w:rPr>
        <w:footnoteReference w:id="8"/>
      </w:r>
      <w:r>
        <w:rPr>
          <w:rFonts w:eastAsia="Arial Unicode MS"/>
          <w:noProof/>
        </w:rPr>
        <w:t>, as better specified below.</w:t>
      </w:r>
    </w:p>
    <w:p>
      <w:pPr>
        <w:pBdr>
          <w:top w:val="nil"/>
          <w:left w:val="nil"/>
          <w:bottom w:val="nil"/>
          <w:right w:val="nil"/>
          <w:between w:val="nil"/>
          <w:bar w:val="nil"/>
        </w:pBdr>
        <w:spacing w:before="0" w:after="240"/>
        <w:rPr>
          <w:rFonts w:eastAsia="Arial Unicode MS"/>
          <w:i/>
          <w:noProof/>
        </w:rPr>
      </w:pPr>
      <w:r>
        <w:rPr>
          <w:rFonts w:eastAsia="Arial Unicode MS"/>
          <w:i/>
          <w:noProof/>
        </w:rPr>
        <w:t>Provisions under the Energy Taxation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19(1), first subparagraph, of the Directive reads as follows: </w:t>
      </w:r>
    </w:p>
    <w:p>
      <w:pPr>
        <w:pBdr>
          <w:top w:val="nil"/>
          <w:left w:val="nil"/>
          <w:bottom w:val="nil"/>
          <w:right w:val="nil"/>
          <w:between w:val="nil"/>
          <w:bar w:val="nil"/>
        </w:pBdr>
        <w:spacing w:before="0" w:after="240"/>
        <w:rPr>
          <w:rFonts w:eastAsia="Arial Unicode MS"/>
          <w:i/>
          <w:noProof/>
        </w:rPr>
      </w:pPr>
      <w:r>
        <w:rPr>
          <w:rFonts w:eastAsia="Arial Unicode MS"/>
          <w:i/>
          <w:noProof/>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By means of the tax reduction in question, the German authorities pursue the objective to continue to promote an environmentally less harmful way for ships to satisfy their electricity needs while lying at berth in ports and thereby to improve local air quality and reduce noise. The Commission has already recommended the use of shore-side electricity as an alternative to the generation of electricity on board the vessels at berth and thereby recognised its environmental advantages</w:t>
      </w:r>
      <w:r>
        <w:rPr>
          <w:rStyle w:val="FootnoteReference"/>
          <w:rFonts w:eastAsia="Arial Unicode MS"/>
          <w:noProof/>
        </w:rPr>
        <w:footnoteReference w:id="9"/>
      </w:r>
      <w:r>
        <w:rPr>
          <w:rFonts w:eastAsia="Arial Unicode MS"/>
          <w:noProof/>
        </w:rPr>
        <w:t xml:space="preserve">. Currently the </w:t>
      </w:r>
      <w:r>
        <w:rPr>
          <w:rStyle w:val="Bodytext2"/>
          <w:noProof/>
        </w:rPr>
        <w:t xml:space="preserve">standard rate for electricity is EUR 20.50/MWh; the tax concession currently stands at EUR 20.00/MWh. Beneficiaries are then charged at the EU minimum tax rate for electricity under the Energy Tax Directive of EUR 0.50/MWh and this can </w:t>
      </w:r>
      <w:r>
        <w:rPr>
          <w:rFonts w:eastAsia="Arial Unicode MS"/>
          <w:noProof/>
        </w:rPr>
        <w:t>therefore continue to contribute to the stated policy objective.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possibility to introduce a favourable tax treatment to shore-side electricity can be envisaged under Article 19 of the Directive since its purpose is to allow Member States to introduce further exemption or reductions for specific policy considerations.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Germany has requested that the measure applies for almost the maximum period allowed by Article 19(2), i.e. 6 years. </w:t>
      </w:r>
      <w:r>
        <w:rPr>
          <w:noProof/>
        </w:rPr>
        <w:t>In principle, the period of application of the derogation should be long enough in order not to discourage port operators and electricity suppliers from continuing or starting to make the necessary investments in shore-side electricity facilities. This period will provide the maximum possible legal certainty also to ship operators, which have to plan their investments in on-board equipment.</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However, the derogation should not undermine future developments of the existing legal framework and should take into account the upcoming revision of the Energy Taxation Directive and a possible adoption by the Council of a legal act based on a Commission proposal for amendment of the Energy Taxation Directive. This review follows the evaluation of the Energy Taxation Directive</w:t>
      </w:r>
      <w:r>
        <w:rPr>
          <w:rStyle w:val="FootnoteReference"/>
          <w:rFonts w:eastAsia="Arial Unicode MS"/>
          <w:noProof/>
        </w:rPr>
        <w:footnoteReference w:id="10"/>
      </w:r>
      <w:r>
        <w:rPr>
          <w:rFonts w:eastAsia="Arial Unicode MS"/>
          <w:noProof/>
        </w:rPr>
        <w:t xml:space="preserve"> and the Council Conclusions on the EU energy taxation framework from 28 November 2019</w:t>
      </w:r>
      <w:r>
        <w:rPr>
          <w:rStyle w:val="FootnoteReference"/>
          <w:rFonts w:eastAsia="Arial Unicode MS"/>
          <w:noProof/>
        </w:rPr>
        <w:footnoteReference w:id="11"/>
      </w:r>
      <w:r>
        <w:rPr>
          <w:rFonts w:eastAsia="Arial Unicode MS"/>
          <w:noProof/>
        </w:rPr>
        <w:t xml:space="preserve">. In its Conclusions, the Council invited the Commission to analyse and evaluate possible options with a view to publishing in due course a proposal for the revision of the Energy Taxation Directive; and called on the Commission to give particular consideration to the scope of the Directive, minimum rates and specific tax reductions and exemptions.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Under these circumstances, while it appears appropriate to grant the authorisation for the requested period, the validity of the derogation should be made subject to the entry into application of general provisions in the matter at a point in time earlier than the end of 2025. </w:t>
      </w:r>
    </w:p>
    <w:p>
      <w:pPr>
        <w:pBdr>
          <w:top w:val="nil"/>
          <w:left w:val="nil"/>
          <w:bottom w:val="nil"/>
          <w:right w:val="nil"/>
          <w:between w:val="nil"/>
          <w:bar w:val="nil"/>
        </w:pBdr>
        <w:spacing w:before="0" w:after="240"/>
        <w:rPr>
          <w:rFonts w:eastAsia="Arial Unicode MS"/>
          <w:noProof/>
        </w:rPr>
      </w:pPr>
      <w:r>
        <w:rPr>
          <w:rFonts w:eastAsia="Arial Unicode MS"/>
          <w:noProof/>
        </w:rPr>
        <w:t>Moreover, the German authorities highlighted that additional measures (such as cut of other electricity components, daily service price, investments in shore-side electricity facilities and regulatory measures) are needed in order to improve the framework conditions for the use of shore-side electricity in ports.</w:t>
      </w:r>
    </w:p>
    <w:p>
      <w:pPr>
        <w:pBdr>
          <w:top w:val="nil"/>
          <w:left w:val="nil"/>
          <w:bottom w:val="nil"/>
          <w:right w:val="nil"/>
          <w:between w:val="nil"/>
          <w:bar w:val="nil"/>
        </w:pBdr>
        <w:spacing w:before="0" w:after="240"/>
        <w:rPr>
          <w:rFonts w:eastAsia="Arial Unicode MS"/>
          <w:i/>
          <w:noProof/>
        </w:rPr>
      </w:pPr>
      <w:r>
        <w:rPr>
          <w:i/>
          <w:noProof/>
        </w:rPr>
        <w:t>State aid rules</w:t>
      </w:r>
    </w:p>
    <w:p>
      <w:pPr>
        <w:pBdr>
          <w:top w:val="nil"/>
          <w:left w:val="nil"/>
          <w:bottom w:val="nil"/>
          <w:right w:val="nil"/>
          <w:between w:val="nil"/>
          <w:bar w:val="nil"/>
        </w:pBdr>
        <w:spacing w:before="0" w:after="240"/>
        <w:rPr>
          <w:rFonts w:eastAsia="Arial Unicode MS"/>
          <w:noProof/>
        </w:rPr>
      </w:pPr>
      <w:r>
        <w:rPr>
          <w:rFonts w:eastAsia="Arial Unicode MS"/>
          <w:noProof/>
        </w:rPr>
        <w:t>The reduced tax rate of EUR 0.50 per MWh envisaged by the German authorities is equal to the EU minimum level of taxation for electricity for business use pursuant to Article 10 of Directive 2003/96/EC. The German authorities argue that the scheme was deemed appropriate under Article 25 of Commission Regulation (EC) 800/2008</w:t>
      </w:r>
      <w:r>
        <w:rPr>
          <w:rStyle w:val="FootnoteReference"/>
          <w:rFonts w:eastAsia="Arial Unicode MS"/>
          <w:noProof/>
        </w:rPr>
        <w:footnoteReference w:id="12"/>
      </w:r>
      <w:r>
        <w:rPr>
          <w:rFonts w:eastAsia="Arial Unicode MS"/>
          <w:noProof/>
        </w:rPr>
        <w:t xml:space="preserve"> (old version of the General Block Exemption Regulation, or GBER). As indicated in the request, the existing scheme was notified to the Commission on 11 November 2014 under the mentioned Article 25 GBER (old version). That provision is currently replaced by Article 44 of Commission Regulation 651/2014/EU</w:t>
      </w:r>
      <w:r>
        <w:rPr>
          <w:rStyle w:val="FootnoteReference"/>
          <w:rFonts w:eastAsia="Arial Unicode MS"/>
          <w:noProof/>
        </w:rPr>
        <w:footnoteReference w:id="13"/>
      </w:r>
      <w:r>
        <w:rPr>
          <w:rFonts w:eastAsia="Arial Unicode MS"/>
          <w:noProof/>
        </w:rPr>
        <w:t>, stipulating the conditions under which aid in the form of reductions in environmental taxes under Directive 2003/96/EC can be exempted from the State aid notification requirements. This proposal is without prejudice to any assessment of the measure by the Commission under State aid rules. Moreover, the proposal for a Council implementing decision does not prejudge the Member State’s obligation to ensure compliance with State aid rules, including Commission Regulation 651/2014/EU.</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i/>
          <w:noProof/>
        </w:rPr>
      </w:pPr>
      <w:r>
        <w:rPr>
          <w:rFonts w:eastAsia="Arial Unicode MS"/>
          <w:i/>
          <w:noProof/>
        </w:rPr>
        <w:t>Environment and climate change policy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requested measure concerns mainly the EU's environment and climate change policy. To the extent that it will help to reduce the burning of bunker fuels on board the vessels in ports, the measure will in fact contribute to the objective of improving local air quality and reducing </w:t>
      </w:r>
      <w:r>
        <w:rPr>
          <w:rFonts w:eastAsia="Arial Unicode MS"/>
          <w:noProof/>
        </w:rPr>
        <w:lastRenderedPageBreak/>
        <w:t>noise. Directive 2008/50/EC on Ambient Air Quality</w:t>
      </w:r>
      <w:r>
        <w:rPr>
          <w:rStyle w:val="FootnoteReference"/>
          <w:rFonts w:eastAsia="Arial Unicode MS"/>
          <w:noProof/>
        </w:rPr>
        <w:footnoteReference w:id="14"/>
      </w:r>
      <w:r>
        <w:rPr>
          <w:rFonts w:eastAsia="Arial Unicode MS"/>
          <w:noProof/>
        </w:rPr>
        <w:t xml:space="preserve"> requires Member States to ensure that the levels of several air pollutants are kept below the limit values, target values and other air quality standards established in the Directive. This obligation requires Member States to find solutions to problems such as ship emissions at berth in ports where this is relevant and it is conceivable that in ports where these problems exist the use of shore-side electricity will be further encouraged as one element of the overall air quality strategy. The use of shore-side electricity is also encouraged under Directive (EU) 2016/802</w:t>
      </w:r>
      <w:r>
        <w:rPr>
          <w:rStyle w:val="FootnoteReference"/>
          <w:rFonts w:eastAsia="Arial Unicode MS"/>
          <w:noProof/>
        </w:rPr>
        <w:footnoteReference w:id="15"/>
      </w:r>
      <w:r>
        <w:rPr>
          <w:rFonts w:eastAsia="Arial Unicode MS"/>
          <w:noProof/>
        </w:rPr>
        <w:t xml:space="preserve"> regulating the sulphur content in marine fuels.</w:t>
      </w:r>
    </w:p>
    <w:p>
      <w:pPr>
        <w:pBdr>
          <w:top w:val="nil"/>
          <w:left w:val="nil"/>
          <w:bottom w:val="nil"/>
          <w:right w:val="nil"/>
          <w:between w:val="nil"/>
          <w:bar w:val="nil"/>
        </w:pBdr>
        <w:spacing w:before="0" w:after="240"/>
        <w:rPr>
          <w:rFonts w:eastAsia="Arial Unicode MS"/>
          <w:noProof/>
        </w:rPr>
      </w:pPr>
      <w:r>
        <w:rPr>
          <w:rFonts w:eastAsia="Arial Unicode MS"/>
          <w:noProof/>
        </w:rPr>
        <w:t>The measure is also likely to lead to a reduction of CO2 emissions to the extent that the electricity mix from the onshore grid, due to higher system efficiency and the difference in input fuels used, is less carbon intensive than the electricity produced on board by burning bunker fuels. In this regard, the German authorities underlined that, while the actual saving of CO2 emissions depends on the quality of the electricity used, in the German electricity mix, the estimated savings would be about 30%, with this proportion set to rise in future. Moreover, German authorities expect that local emissions of air pollutants (NOx, SOx, PM10, PM2.5) from on-board electricity generation could be fully reduced by the use of shore-side electricity; noise emissions could also be significantly reduced.</w:t>
      </w:r>
    </w:p>
    <w:p>
      <w:pPr>
        <w:pBdr>
          <w:top w:val="nil"/>
          <w:left w:val="nil"/>
          <w:bottom w:val="nil"/>
          <w:right w:val="nil"/>
          <w:between w:val="nil"/>
          <w:bar w:val="nil"/>
        </w:pBdr>
        <w:spacing w:before="0" w:after="240"/>
        <w:rPr>
          <w:rFonts w:eastAsia="Arial Unicode MS"/>
          <w:noProof/>
        </w:rPr>
      </w:pPr>
      <w:r>
        <w:rPr>
          <w:rFonts w:eastAsia="Arial Unicode MS"/>
          <w:noProof/>
        </w:rPr>
        <w:t>According to the German authorities, ship engines generate approximately the following emissions for electricity generation per kWh, which could therefore be reduced with each kWh of shore-side electricity:</w:t>
      </w:r>
    </w:p>
    <w:tbl>
      <w:tblPr>
        <w:tblW w:w="0" w:type="auto"/>
        <w:tblLayout w:type="fixed"/>
        <w:tblCellMar>
          <w:left w:w="10" w:type="dxa"/>
          <w:right w:w="10" w:type="dxa"/>
        </w:tblCellMar>
        <w:tblLook w:val="04A0" w:firstRow="1" w:lastRow="0" w:firstColumn="1" w:lastColumn="0" w:noHBand="0" w:noVBand="1"/>
      </w:tblPr>
      <w:tblGrid>
        <w:gridCol w:w="2491"/>
        <w:gridCol w:w="1272"/>
        <w:gridCol w:w="1219"/>
        <w:gridCol w:w="1310"/>
        <w:gridCol w:w="1243"/>
      </w:tblGrid>
      <w:tr>
        <w:trPr>
          <w:trHeight w:hRule="exact" w:val="706"/>
        </w:trPr>
        <w:tc>
          <w:tcPr>
            <w:tcW w:w="2491" w:type="dxa"/>
            <w:tcBorders>
              <w:top w:val="single" w:sz="4" w:space="0" w:color="auto"/>
              <w:left w:val="single" w:sz="4" w:space="0" w:color="auto"/>
            </w:tcBorders>
            <w:shd w:val="clear" w:color="auto" w:fill="FFFFFF"/>
            <w:vAlign w:val="bottom"/>
          </w:tcPr>
          <w:p>
            <w:pPr>
              <w:widowControl w:val="0"/>
              <w:spacing w:before="0" w:after="0" w:line="266" w:lineRule="exact"/>
              <w:rPr>
                <w:rFonts w:eastAsia="Times New Roman"/>
                <w:noProof/>
                <w:color w:val="000000"/>
                <w:szCs w:val="24"/>
                <w:lang w:val="en-US" w:eastAsia="de-DE" w:bidi="de-DE"/>
              </w:rPr>
            </w:pPr>
            <w:r>
              <w:rPr>
                <w:rFonts w:eastAsia="Times New Roman"/>
                <w:b/>
                <w:bCs/>
                <w:noProof/>
                <w:color w:val="000000"/>
                <w:szCs w:val="24"/>
                <w:lang w:val="en-US" w:eastAsia="de-DE" w:bidi="de-DE"/>
              </w:rPr>
              <w:t>Type of vessel</w:t>
            </w:r>
          </w:p>
        </w:tc>
        <w:tc>
          <w:tcPr>
            <w:tcW w:w="1272"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noProof/>
                <w:color w:val="000000"/>
                <w:szCs w:val="24"/>
                <w:lang w:val="en-US" w:eastAsia="de-DE" w:bidi="de-DE"/>
              </w:rPr>
            </w:pPr>
            <w:r>
              <w:rPr>
                <w:rFonts w:eastAsia="Times New Roman"/>
                <w:b/>
                <w:bCs/>
                <w:noProof/>
                <w:color w:val="000000"/>
                <w:szCs w:val="24"/>
                <w:lang w:val="en-US" w:eastAsia="de-DE" w:bidi="de-DE"/>
              </w:rPr>
              <w:t>g</w:t>
            </w:r>
          </w:p>
          <w:p>
            <w:pPr>
              <w:widowControl w:val="0"/>
              <w:spacing w:before="0" w:after="0" w:line="266" w:lineRule="exact"/>
              <w:jc w:val="left"/>
              <w:rPr>
                <w:rFonts w:eastAsia="Times New Roman"/>
                <w:noProof/>
                <w:color w:val="000000"/>
                <w:szCs w:val="24"/>
                <w:lang w:val="en-US" w:eastAsia="de-DE" w:bidi="de-DE"/>
              </w:rPr>
            </w:pPr>
            <w:r>
              <w:rPr>
                <w:rFonts w:eastAsia="Times New Roman"/>
                <w:b/>
                <w:bCs/>
                <w:noProof/>
                <w:color w:val="000000"/>
                <w:szCs w:val="24"/>
                <w:lang w:val="en-US" w:eastAsia="de-DE" w:bidi="de-DE"/>
              </w:rPr>
              <w:t>CO2/kWh</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lang w:val="en-US" w:eastAsia="de-DE" w:bidi="de-DE"/>
              </w:rPr>
            </w:pPr>
            <w:r>
              <w:rPr>
                <w:rFonts w:eastAsia="Times New Roman"/>
                <w:b/>
                <w:bCs/>
                <w:noProof/>
                <w:color w:val="000000"/>
                <w:szCs w:val="24"/>
                <w:lang w:val="en-US" w:eastAsia="de-DE" w:bidi="de-DE"/>
              </w:rPr>
              <w:t>g</w:t>
            </w:r>
          </w:p>
          <w:p>
            <w:pPr>
              <w:widowControl w:val="0"/>
              <w:spacing w:before="0" w:after="0" w:line="266" w:lineRule="exact"/>
              <w:jc w:val="left"/>
              <w:rPr>
                <w:rFonts w:eastAsia="Times New Roman"/>
                <w:noProof/>
                <w:color w:val="000000"/>
                <w:szCs w:val="24"/>
                <w:lang w:val="en-US" w:eastAsia="de-DE" w:bidi="de-DE"/>
              </w:rPr>
            </w:pPr>
            <w:r>
              <w:rPr>
                <w:rFonts w:eastAsia="Times New Roman"/>
                <w:b/>
                <w:bCs/>
                <w:noProof/>
                <w:color w:val="000000"/>
                <w:szCs w:val="24"/>
                <w:lang w:val="en-US" w:eastAsia="de-DE" w:bidi="de-DE"/>
              </w:rPr>
              <w:t>NOx/kWh</w:t>
            </w:r>
          </w:p>
        </w:tc>
        <w:tc>
          <w:tcPr>
            <w:tcW w:w="1310"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lang w:val="en-US" w:eastAsia="de-DE" w:bidi="de-DE"/>
              </w:rPr>
            </w:pPr>
            <w:r>
              <w:rPr>
                <w:rFonts w:eastAsia="Times New Roman"/>
                <w:b/>
                <w:bCs/>
                <w:noProof/>
                <w:color w:val="000000"/>
                <w:szCs w:val="24"/>
                <w:lang w:val="en-US" w:eastAsia="de-DE" w:bidi="de-DE"/>
              </w:rPr>
              <w:t>g</w:t>
            </w:r>
          </w:p>
          <w:p>
            <w:pPr>
              <w:widowControl w:val="0"/>
              <w:spacing w:before="0" w:after="0" w:line="266" w:lineRule="exact"/>
              <w:jc w:val="left"/>
              <w:rPr>
                <w:rFonts w:eastAsia="Times New Roman"/>
                <w:noProof/>
                <w:color w:val="000000"/>
                <w:szCs w:val="24"/>
                <w:lang w:val="en-US" w:eastAsia="de-DE" w:bidi="de-DE"/>
              </w:rPr>
            </w:pPr>
            <w:r>
              <w:rPr>
                <w:rFonts w:eastAsia="Times New Roman"/>
                <w:b/>
                <w:bCs/>
                <w:noProof/>
                <w:color w:val="000000"/>
                <w:szCs w:val="24"/>
                <w:lang w:val="en-US" w:eastAsia="de-DE" w:bidi="de-DE"/>
              </w:rPr>
              <w:t>SOx/kWh</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lang w:val="en-US" w:eastAsia="de-DE" w:bidi="de-DE"/>
              </w:rPr>
            </w:pPr>
            <w:r>
              <w:rPr>
                <w:rFonts w:eastAsia="Times New Roman"/>
                <w:b/>
                <w:bCs/>
                <w:noProof/>
                <w:color w:val="000000"/>
                <w:szCs w:val="24"/>
                <w:lang w:val="en-US" w:eastAsia="de-DE" w:bidi="de-DE"/>
              </w:rPr>
              <w:t>g</w:t>
            </w:r>
          </w:p>
          <w:p>
            <w:pPr>
              <w:widowControl w:val="0"/>
              <w:spacing w:before="0" w:after="0" w:line="266" w:lineRule="exact"/>
              <w:jc w:val="left"/>
              <w:rPr>
                <w:rFonts w:eastAsia="Times New Roman"/>
                <w:noProof/>
                <w:color w:val="000000"/>
                <w:szCs w:val="24"/>
                <w:lang w:val="en-US" w:eastAsia="de-DE" w:bidi="de-DE"/>
              </w:rPr>
            </w:pPr>
            <w:r>
              <w:rPr>
                <w:rFonts w:eastAsia="Times New Roman"/>
                <w:b/>
                <w:bCs/>
                <w:noProof/>
                <w:color w:val="000000"/>
                <w:szCs w:val="24"/>
                <w:lang w:val="en-US" w:eastAsia="de-DE" w:bidi="de-DE"/>
              </w:rPr>
              <w:t>PM/kWh</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Container vessel</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640</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12,0</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0,39</w:t>
            </w:r>
          </w:p>
        </w:tc>
        <w:tc>
          <w:tcPr>
            <w:tcW w:w="1243" w:type="dxa"/>
            <w:tcBorders>
              <w:top w:val="single" w:sz="4" w:space="0" w:color="auto"/>
              <w:left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0,19</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Gas/oil/chemical tanker</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704</w:t>
            </w:r>
          </w:p>
        </w:tc>
        <w:tc>
          <w:tcPr>
            <w:tcW w:w="1219" w:type="dxa"/>
            <w:tcBorders>
              <w:top w:val="single" w:sz="4" w:space="0" w:color="auto"/>
              <w:left w:val="single" w:sz="4" w:space="0" w:color="auto"/>
            </w:tcBorders>
            <w:shd w:val="clear" w:color="auto" w:fill="FFFFFF"/>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12,5</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0,43</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0,18</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Dry bulk cargo vessel</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699</w:t>
            </w:r>
          </w:p>
        </w:tc>
        <w:tc>
          <w:tcPr>
            <w:tcW w:w="1219" w:type="dxa"/>
            <w:tcBorders>
              <w:top w:val="single" w:sz="4" w:space="0" w:color="auto"/>
              <w:left w:val="single" w:sz="4" w:space="0" w:color="auto"/>
            </w:tcBorders>
            <w:shd w:val="clear" w:color="auto" w:fill="FFFFFF"/>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13,0</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0,43</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0,18</w:t>
            </w:r>
          </w:p>
        </w:tc>
      </w:tr>
      <w:tr>
        <w:trPr>
          <w:trHeight w:hRule="exact" w:val="701"/>
        </w:trPr>
        <w:tc>
          <w:tcPr>
            <w:tcW w:w="2491" w:type="dxa"/>
            <w:tcBorders>
              <w:top w:val="single" w:sz="4" w:space="0" w:color="auto"/>
              <w:left w:val="single" w:sz="4" w:space="0" w:color="auto"/>
            </w:tcBorders>
            <w:shd w:val="clear" w:color="auto" w:fill="FFFFFF"/>
          </w:tcPr>
          <w:p>
            <w:pPr>
              <w:widowControl w:val="0"/>
              <w:spacing w:before="0" w:after="0" w:line="346" w:lineRule="exact"/>
              <w:ind w:right="200"/>
              <w:rPr>
                <w:rFonts w:eastAsia="Times New Roman"/>
                <w:noProof/>
                <w:color w:val="000000"/>
                <w:szCs w:val="24"/>
                <w:lang w:val="en-US" w:eastAsia="de-DE" w:bidi="de-DE"/>
              </w:rPr>
            </w:pPr>
            <w:r>
              <w:rPr>
                <w:rFonts w:eastAsia="Times New Roman"/>
                <w:noProof/>
                <w:color w:val="000000"/>
                <w:szCs w:val="24"/>
                <w:lang w:val="en-US" w:eastAsia="de-DE" w:bidi="de-DE"/>
              </w:rPr>
              <w:t>Conventional multipurpose vessel</w:t>
            </w:r>
            <w:r>
              <w:rPr>
                <w:rFonts w:eastAsia="Times New Roman"/>
                <w:noProof/>
                <w:color w:val="000000"/>
                <w:szCs w:val="24"/>
                <w:lang w:val="en-US" w:eastAsia="de-DE" w:bidi="de-DE"/>
              </w:rPr>
              <w:softHyphen/>
            </w:r>
          </w:p>
        </w:tc>
        <w:tc>
          <w:tcPr>
            <w:tcW w:w="1272" w:type="dxa"/>
            <w:tcBorders>
              <w:top w:val="single" w:sz="4" w:space="0" w:color="auto"/>
              <w:left w:val="single" w:sz="4" w:space="0" w:color="auto"/>
            </w:tcBorders>
            <w:shd w:val="clear" w:color="auto" w:fill="FFFFFF"/>
            <w:vAlign w:val="bottom"/>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692</w:t>
            </w:r>
          </w:p>
        </w:tc>
        <w:tc>
          <w:tcPr>
            <w:tcW w:w="1219" w:type="dxa"/>
            <w:tcBorders>
              <w:top w:val="single" w:sz="4" w:space="0" w:color="auto"/>
              <w:left w:val="single" w:sz="4" w:space="0" w:color="auto"/>
            </w:tcBorders>
            <w:shd w:val="clear" w:color="auto" w:fill="FFFFFF"/>
            <w:vAlign w:val="bottom"/>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14,1</w:t>
            </w:r>
          </w:p>
        </w:tc>
        <w:tc>
          <w:tcPr>
            <w:tcW w:w="1310" w:type="dxa"/>
            <w:tcBorders>
              <w:top w:val="single" w:sz="4" w:space="0" w:color="auto"/>
              <w:left w:val="single" w:sz="4" w:space="0" w:color="auto"/>
            </w:tcBorders>
            <w:shd w:val="clear" w:color="auto" w:fill="FFFFFF"/>
            <w:vAlign w:val="bottom"/>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0,42</w:t>
            </w:r>
          </w:p>
        </w:tc>
        <w:tc>
          <w:tcPr>
            <w:tcW w:w="1243" w:type="dxa"/>
            <w:tcBorders>
              <w:top w:val="single" w:sz="4" w:space="0" w:color="auto"/>
              <w:left w:val="single" w:sz="4" w:space="0" w:color="auto"/>
              <w:right w:val="single" w:sz="4" w:space="0" w:color="auto"/>
            </w:tcBorders>
            <w:shd w:val="clear" w:color="auto" w:fill="FFFFFF"/>
            <w:vAlign w:val="bottom"/>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0,18</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Cruise ship</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679</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12,0</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0,41</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0,18</w:t>
            </w:r>
          </w:p>
        </w:tc>
      </w:tr>
      <w:tr>
        <w:trPr>
          <w:trHeight w:hRule="exact" w:val="355"/>
        </w:trPr>
        <w:tc>
          <w:tcPr>
            <w:tcW w:w="2491" w:type="dxa"/>
            <w:tcBorders>
              <w:top w:val="single" w:sz="4" w:space="0" w:color="auto"/>
              <w:left w:val="single" w:sz="4" w:space="0" w:color="auto"/>
            </w:tcBorders>
            <w:shd w:val="clear" w:color="auto" w:fill="FFFFFF"/>
            <w:vAlign w:val="center"/>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Other maritime vessel</w:t>
            </w:r>
          </w:p>
        </w:tc>
        <w:tc>
          <w:tcPr>
            <w:tcW w:w="1272" w:type="dxa"/>
            <w:tcBorders>
              <w:top w:val="single" w:sz="4" w:space="0" w:color="auto"/>
              <w:left w:val="single" w:sz="4" w:space="0" w:color="auto"/>
            </w:tcBorders>
            <w:shd w:val="clear" w:color="auto" w:fill="FFFFFF"/>
            <w:vAlign w:val="center"/>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737</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w:t>
            </w:r>
          </w:p>
        </w:tc>
        <w:tc>
          <w:tcPr>
            <w:tcW w:w="1310" w:type="dxa"/>
            <w:tcBorders>
              <w:top w:val="single" w:sz="4" w:space="0" w:color="auto"/>
              <w:lef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0,45</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0,18</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Inland waterway vessel</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721</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8,1</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0,04</w:t>
            </w:r>
          </w:p>
        </w:tc>
        <w:tc>
          <w:tcPr>
            <w:tcW w:w="1243" w:type="dxa"/>
            <w:tcBorders>
              <w:top w:val="single" w:sz="4" w:space="0" w:color="auto"/>
              <w:left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0,15</w:t>
            </w:r>
          </w:p>
        </w:tc>
      </w:tr>
      <w:tr>
        <w:trPr>
          <w:trHeight w:hRule="exact" w:val="365"/>
        </w:trPr>
        <w:tc>
          <w:tcPr>
            <w:tcW w:w="2491" w:type="dxa"/>
            <w:tcBorders>
              <w:top w:val="single" w:sz="4" w:space="0" w:color="auto"/>
              <w:left w:val="single" w:sz="4" w:space="0" w:color="auto"/>
              <w:bottom w:val="single" w:sz="4" w:space="0" w:color="auto"/>
            </w:tcBorders>
            <w:shd w:val="clear" w:color="auto" w:fill="FFFFFF"/>
          </w:tcPr>
          <w:p>
            <w:pPr>
              <w:widowControl w:val="0"/>
              <w:spacing w:before="0" w:after="0" w:line="266" w:lineRule="exact"/>
              <w:rPr>
                <w:rFonts w:eastAsia="Times New Roman"/>
                <w:noProof/>
                <w:color w:val="000000"/>
                <w:szCs w:val="24"/>
                <w:lang w:val="en-US" w:eastAsia="de-DE" w:bidi="de-DE"/>
              </w:rPr>
            </w:pPr>
            <w:r>
              <w:rPr>
                <w:rFonts w:eastAsia="Times New Roman"/>
                <w:noProof/>
                <w:color w:val="000000"/>
                <w:szCs w:val="24"/>
                <w:lang w:val="en-US" w:eastAsia="de-DE" w:bidi="de-DE"/>
              </w:rPr>
              <w:t>Port-internal vehicle</w:t>
            </w:r>
          </w:p>
        </w:tc>
        <w:tc>
          <w:tcPr>
            <w:tcW w:w="1272" w:type="dxa"/>
            <w:tcBorders>
              <w:top w:val="single" w:sz="4" w:space="0" w:color="auto"/>
              <w:left w:val="single" w:sz="4" w:space="0" w:color="auto"/>
              <w:bottom w:val="single" w:sz="4" w:space="0" w:color="auto"/>
            </w:tcBorders>
            <w:shd w:val="clear" w:color="auto" w:fill="FFFFFF"/>
          </w:tcPr>
          <w:p>
            <w:pPr>
              <w:widowControl w:val="0"/>
              <w:spacing w:before="0" w:after="0" w:line="266" w:lineRule="exact"/>
              <w:jc w:val="center"/>
              <w:rPr>
                <w:rFonts w:eastAsia="Times New Roman"/>
                <w:noProof/>
                <w:color w:val="000000"/>
                <w:szCs w:val="24"/>
                <w:lang w:val="en-US" w:eastAsia="de-DE" w:bidi="de-DE"/>
              </w:rPr>
            </w:pPr>
            <w:r>
              <w:rPr>
                <w:rFonts w:eastAsia="Times New Roman"/>
                <w:noProof/>
                <w:color w:val="000000"/>
                <w:szCs w:val="24"/>
                <w:lang w:val="en-US" w:eastAsia="de-DE" w:bidi="de-DE"/>
              </w:rPr>
              <w:t>726</w:t>
            </w:r>
          </w:p>
        </w:tc>
        <w:tc>
          <w:tcPr>
            <w:tcW w:w="1219" w:type="dxa"/>
            <w:tcBorders>
              <w:top w:val="single" w:sz="4" w:space="0" w:color="auto"/>
              <w:left w:val="single" w:sz="4" w:space="0" w:color="auto"/>
              <w:bottom w:val="single" w:sz="4" w:space="0" w:color="auto"/>
            </w:tcBorders>
            <w:shd w:val="clear" w:color="auto" w:fill="FFFFFF"/>
          </w:tcPr>
          <w:p>
            <w:pPr>
              <w:widowControl w:val="0"/>
              <w:spacing w:before="0" w:after="0" w:line="266" w:lineRule="exact"/>
              <w:ind w:right="20"/>
              <w:jc w:val="center"/>
              <w:rPr>
                <w:rFonts w:eastAsia="Times New Roman"/>
                <w:noProof/>
                <w:color w:val="000000"/>
                <w:szCs w:val="24"/>
                <w:lang w:val="en-US" w:eastAsia="de-DE" w:bidi="de-DE"/>
              </w:rPr>
            </w:pPr>
            <w:r>
              <w:rPr>
                <w:rFonts w:eastAsia="Times New Roman"/>
                <w:noProof/>
                <w:color w:val="000000"/>
                <w:szCs w:val="24"/>
                <w:lang w:val="en-US" w:eastAsia="de-DE" w:bidi="de-DE"/>
              </w:rPr>
              <w:t>—</w:t>
            </w:r>
          </w:p>
        </w:tc>
        <w:tc>
          <w:tcPr>
            <w:tcW w:w="1310" w:type="dxa"/>
            <w:tcBorders>
              <w:top w:val="single" w:sz="4" w:space="0" w:color="auto"/>
              <w:left w:val="single" w:sz="4" w:space="0" w:color="auto"/>
              <w:bottom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0,04</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lang w:val="en-US" w:eastAsia="de-DE" w:bidi="de-DE"/>
              </w:rPr>
            </w:pPr>
            <w:r>
              <w:rPr>
                <w:rFonts w:eastAsia="Times New Roman"/>
                <w:noProof/>
                <w:color w:val="000000"/>
                <w:szCs w:val="24"/>
                <w:lang w:val="en-US" w:eastAsia="de-DE" w:bidi="de-DE"/>
              </w:rPr>
              <w:t>0,15</w:t>
            </w:r>
          </w:p>
        </w:tc>
      </w:tr>
    </w:tbl>
    <w:p>
      <w:pPr>
        <w:pBdr>
          <w:top w:val="nil"/>
          <w:left w:val="nil"/>
          <w:bottom w:val="nil"/>
          <w:right w:val="nil"/>
          <w:between w:val="nil"/>
          <w:bar w:val="nil"/>
        </w:pBdr>
        <w:spacing w:before="0" w:after="240"/>
        <w:rPr>
          <w:rFonts w:eastAsia="Arial Unicode MS"/>
          <w:i/>
          <w:noProof/>
        </w:rPr>
      </w:pPr>
    </w:p>
    <w:p>
      <w:pPr>
        <w:pBdr>
          <w:top w:val="nil"/>
          <w:left w:val="nil"/>
          <w:bottom w:val="nil"/>
          <w:right w:val="nil"/>
          <w:between w:val="nil"/>
          <w:bar w:val="nil"/>
        </w:pBdr>
        <w:spacing w:before="0" w:after="240"/>
        <w:rPr>
          <w:rFonts w:eastAsia="Arial Unicode MS"/>
          <w:i/>
          <w:noProof/>
        </w:rPr>
      </w:pPr>
      <w:r>
        <w:rPr>
          <w:rFonts w:eastAsia="Arial Unicode MS"/>
          <w:i/>
          <w:noProof/>
        </w:rPr>
        <w:t>Energy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Directive 2014/94/EU on the deployment of alternative fuels infrastructure</w:t>
      </w:r>
      <w:r>
        <w:rPr>
          <w:rStyle w:val="FootnoteReference"/>
          <w:rFonts w:eastAsia="Arial Unicode MS"/>
          <w:noProof/>
        </w:rPr>
        <w:footnoteReference w:id="16"/>
      </w:r>
      <w:r>
        <w:rPr>
          <w:rFonts w:eastAsia="Arial Unicode MS"/>
          <w:noProof/>
        </w:rPr>
        <w:t xml:space="preserve">, which addresses the issue of installing shore-side electricity supply facilities in ports where there is demand for such facilities and the costs are not disproportionate to the </w:t>
      </w:r>
      <w:r>
        <w:rPr>
          <w:rFonts w:eastAsia="Arial Unicode MS"/>
          <w:noProof/>
        </w:rPr>
        <w:lastRenderedPageBreak/>
        <w:t>benefits, including environmental benefits. It has also been recognised as an objective of common interest for the granting of State aid under Article 107(1) of TFEU</w:t>
      </w:r>
      <w:r>
        <w:rPr>
          <w:rStyle w:val="FootnoteReference"/>
          <w:rFonts w:eastAsia="Arial Unicode MS"/>
          <w:noProof/>
        </w:rPr>
        <w:footnoteReference w:id="17"/>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It has to be recalled at this point that one important reason for the unfavourable competitive position of shore-side electricity lies in the fact that the alternative, i.e. electricity produced on board the vessels while in maritime ports, currently enjoys a full net tax exemption: not only is the bunker fuel burnt for generating the electricity exempt from taxation, which corresponds to the normal situation under Article 14(1)(a) of Directive 2003/96/EC, but also the electricity produced on board the vessels is itself exempt (cf. Article 14(1)(c) of Directive 2003/96/EC). Although the latter exemption could as such be considered difficult to reconcile with the environmental objectives of the Union, it mirrors considerations of practicability. In fact, taxation of the electricity produced on board would require a declaration by the ship owner – often established in a third country – or operator of the amount of electricity consumed. The declaration would furthermore have to determine the share of the electricity consumed in the territorial waters of the Member State where the tax is due. It would create a huge administrative burden for ship-owners to have to make such declarations for every Member States whose territorial waters are concerned. Analogous considerations apply to inland navigation and the optional tax treatment in accordance with Article 15(1)(f) of the Directive (implemented by Germany). Under these circumstances, it can be justified not to penalize the less-polluting alternative of shore-side electricity by allowing Germany to continue to apply a reduced rate of taxation.</w:t>
      </w:r>
    </w:p>
    <w:p>
      <w:pPr>
        <w:pBdr>
          <w:top w:val="nil"/>
          <w:left w:val="nil"/>
          <w:bottom w:val="nil"/>
          <w:right w:val="nil"/>
          <w:between w:val="nil"/>
          <w:bar w:val="nil"/>
        </w:pBdr>
        <w:spacing w:before="0" w:after="240"/>
        <w:rPr>
          <w:rFonts w:eastAsia="Arial Unicode MS"/>
          <w:i/>
          <w:noProof/>
        </w:rPr>
      </w:pPr>
      <w:r>
        <w:rPr>
          <w:rFonts w:eastAsia="Arial Unicode MS"/>
          <w:i/>
          <w:noProof/>
        </w:rPr>
        <w:t>Transport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Commission recommendation 2006/339/EC on the promotion of shore-side electricity for use by ships at berth in Union ports</w:t>
      </w:r>
      <w:r>
        <w:rPr>
          <w:rStyle w:val="FootnoteReference"/>
          <w:rFonts w:eastAsia="Arial Unicode MS"/>
          <w:noProof/>
        </w:rPr>
        <w:footnoteReference w:id="18"/>
      </w:r>
      <w:r>
        <w:rPr>
          <w:rFonts w:eastAsia="Arial Unicode MS"/>
          <w:noProof/>
        </w:rPr>
        <w:t xml:space="preserve"> and with the Commission Communication Strategic goals and recommendations for the EU's maritime transport policy</w:t>
      </w:r>
      <w:r>
        <w:rPr>
          <w:rStyle w:val="FootnoteReference"/>
          <w:rFonts w:eastAsia="Arial Unicode MS"/>
          <w:noProof/>
        </w:rPr>
        <w:footnoteReference w:id="19"/>
      </w:r>
      <w:r>
        <w:rPr>
          <w:rFonts w:eastAsia="Arial Unicode MS"/>
          <w:noProof/>
        </w:rPr>
        <w:t>.</w:t>
      </w:r>
    </w:p>
    <w:p>
      <w:pPr>
        <w:pBdr>
          <w:top w:val="nil"/>
          <w:left w:val="nil"/>
          <w:bottom w:val="nil"/>
          <w:right w:val="nil"/>
          <w:between w:val="nil"/>
          <w:bar w:val="nil"/>
        </w:pBdr>
        <w:spacing w:before="0" w:after="240"/>
        <w:rPr>
          <w:rFonts w:eastAsia="Arial Unicode MS"/>
          <w:i/>
          <w:noProof/>
        </w:rPr>
      </w:pPr>
      <w:r>
        <w:rPr>
          <w:rFonts w:eastAsia="Arial Unicode MS"/>
          <w:i/>
          <w:noProof/>
        </w:rPr>
        <w:t>Internal market and fair competition</w:t>
      </w:r>
    </w:p>
    <w:p>
      <w:pPr>
        <w:pBdr>
          <w:top w:val="nil"/>
          <w:left w:val="nil"/>
          <w:bottom w:val="nil"/>
          <w:right w:val="nil"/>
          <w:between w:val="nil"/>
          <w:bar w:val="nil"/>
        </w:pBdr>
        <w:spacing w:before="0" w:after="240"/>
        <w:rPr>
          <w:rFonts w:eastAsia="Arial Unicode MS"/>
          <w:noProof/>
        </w:rPr>
      </w:pPr>
      <w:r>
        <w:rPr>
          <w:rFonts w:eastAsia="Arial Unicode MS"/>
          <w:noProof/>
        </w:rPr>
        <w:t>From the point of view of the internal market and fair competition the measure only reduces the existing tax distortion between two competing sources of electricity for boats at berth, i.e. on board generation and shore-side electricity, caused by the tax exemption for bunker fuels.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competition between vessel operators, it first has to be mentioned that there are currently very few vessels that use shore-side electricity on a commercial basis. Significant distortions in competition could therefore only arise between vessels benefitting from the measure requested by changing to shore-side electricity and others that would continue to use on-board generation. Although precise cost projections depend crucially on the development of the oil price and are therefore very difficult, the latest available assessments indicate (in line with the data provided by Germany) that overall even a full tax exemption would in most cases not reduce operational costs of shore-side electricity below the costs of on-board </w:t>
      </w:r>
      <w:r>
        <w:rPr>
          <w:rFonts w:eastAsia="Arial Unicode MS"/>
          <w:noProof/>
        </w:rPr>
        <w:lastRenderedPageBreak/>
        <w:t>generation</w:t>
      </w:r>
      <w:r>
        <w:rPr>
          <w:rStyle w:val="FootnoteReference"/>
          <w:rFonts w:eastAsia="Arial Unicode MS"/>
          <w:noProof/>
        </w:rPr>
        <w:footnoteReference w:id="20"/>
      </w:r>
      <w:r>
        <w:rPr>
          <w:rFonts w:eastAsia="Arial Unicode MS"/>
          <w:noProof/>
        </w:rPr>
        <w:t xml:space="preserve"> and would therefore not, in any event, represent a significant competitive benefit for vessel operators using shore-side electricity as opposed to those using on-board generation. In the present case, a significant distortion of the above mentioned kind can all the less be expected since Germany will respect the minimum level of taxation prescribed by Directive 2003/96/EC for electricity for business use. </w:t>
      </w:r>
    </w:p>
    <w:p>
      <w:pPr>
        <w:pBdr>
          <w:top w:val="nil"/>
          <w:left w:val="nil"/>
          <w:bottom w:val="nil"/>
          <w:right w:val="nil"/>
          <w:between w:val="nil"/>
          <w:bar w:val="nil"/>
        </w:pBdr>
        <w:spacing w:before="0" w:after="240"/>
        <w:rPr>
          <w:rFonts w:eastAsia="Arial Unicode MS"/>
          <w:noProof/>
        </w:rPr>
      </w:pPr>
      <w:r>
        <w:rPr>
          <w:rFonts w:eastAsia="Arial Unicode MS"/>
          <w:noProof/>
        </w:rPr>
        <w:t>Moreover, as already mentioned, Germany allows the tax advantage to be provided both as a reduced tax rate charged at supply (a permission is needed) or as a tax refund. In case of application of the reduction at supply, the electricity provider might not pass on or pass on only part of the tax advantage to the final consumer, i.e. the ship operator. Still according to the German authorities, the tax advantage is normally passed on. But even in the cases where the tax reduction is fully passed on to the ship operators which receive shore-side electricity taxed at the minimum level provided for in Directive 2003/96/EC, they do not actually gain an economic advantage over operators generating their own electricity on board because this electricity is exempted from taxation. According to the German authorities substitution of own generation on board by shore-side electricity taxed at the applicable minimum level would not lead to an overall cost advantage.</w:t>
      </w:r>
    </w:p>
    <w:p>
      <w:pPr>
        <w:pBdr>
          <w:top w:val="nil"/>
          <w:left w:val="nil"/>
          <w:bottom w:val="nil"/>
          <w:right w:val="nil"/>
          <w:between w:val="nil"/>
          <w:bar w:val="nil"/>
        </w:pBdr>
        <w:spacing w:before="0" w:after="240"/>
        <w:rPr>
          <w:rFonts w:eastAsia="Arial Unicode MS"/>
          <w:noProof/>
        </w:rPr>
      </w:pPr>
      <w:r>
        <w:rPr>
          <w:rFonts w:eastAsia="Arial Unicode MS"/>
          <w:noProof/>
        </w:rPr>
        <w:t>Furthermore, access to shore-side electricity will be available for the ships concerned regardless of their flag without leading to a more advantageous tax treatment of national economic operators over their competitors from other EU Member States.</w:t>
      </w:r>
    </w:p>
    <w:p>
      <w:pPr>
        <w:pBdr>
          <w:top w:val="nil"/>
          <w:left w:val="nil"/>
          <w:bottom w:val="nil"/>
          <w:right w:val="nil"/>
          <w:between w:val="nil"/>
          <w:bar w:val="nil"/>
        </w:pBdr>
        <w:spacing w:before="0" w:after="240"/>
        <w:rPr>
          <w:rFonts w:eastAsia="Times New Roman"/>
          <w:noProof/>
          <w:color w:val="000000"/>
          <w:szCs w:val="24"/>
        </w:rPr>
      </w:pPr>
      <w:r>
        <w:rPr>
          <w:rFonts w:eastAsia="Arial Unicode MS"/>
          <w:noProof/>
        </w:rPr>
        <w:t xml:space="preserve">Concerning competition between ports, it can be expected that any potential impact on trade between Member States, which could result if vessels alter their routes because of the possibility to consume shore-side electricity at a reduced tax rate, will be negligible. In a situation where, as stated above, the use of shore-side electricity is, at least in the short term, unlikely to become more economic than on-board generation in spite of the tax reduction, this tax reduction for shore-side electricity is also unlikely to significantly distort competition between ports by inducing vessels to change their itinerary according to the availability of this option. The German authorities argue that other factors (such as </w:t>
      </w:r>
      <w:r>
        <w:rPr>
          <w:rFonts w:eastAsia="Times New Roman"/>
          <w:noProof/>
          <w:color w:val="000000"/>
          <w:szCs w:val="24"/>
        </w:rPr>
        <w:t xml:space="preserve">destination of the goods or passengers or other economic factors) play a role in the selection of ports, so that the mere availability of shore-side electricity does not seem to be decisive. </w:t>
      </w:r>
    </w:p>
    <w:p>
      <w:pPr>
        <w:pBdr>
          <w:top w:val="nil"/>
          <w:left w:val="nil"/>
          <w:bottom w:val="nil"/>
          <w:right w:val="nil"/>
          <w:between w:val="nil"/>
          <w:bar w:val="nil"/>
        </w:pBdr>
        <w:spacing w:before="0" w:after="240"/>
        <w:rPr>
          <w:rFonts w:eastAsia="Arial Unicode MS"/>
          <w:noProof/>
        </w:rPr>
      </w:pPr>
      <w:r>
        <w:rPr>
          <w:rFonts w:eastAsia="Times New Roman"/>
          <w:noProof/>
          <w:color w:val="000000"/>
          <w:szCs w:val="24"/>
        </w:rPr>
        <w:t xml:space="preserve">The German authorities </w:t>
      </w:r>
      <w:r>
        <w:rPr>
          <w:rFonts w:eastAsia="Arial Unicode MS"/>
          <w:noProof/>
        </w:rPr>
        <w:t>stress additionally that the use of shore-side electricity is restricted also because of lack of internationally agreed technical standards for connecting vessels to the electricity grid and, in some cases, the lack of shore-side electricity supply capacity.</w:t>
      </w:r>
    </w:p>
    <w:p>
      <w:pPr>
        <w:pBdr>
          <w:top w:val="nil"/>
          <w:left w:val="nil"/>
          <w:bottom w:val="nil"/>
          <w:right w:val="nil"/>
          <w:between w:val="nil"/>
          <w:bar w:val="nil"/>
        </w:pBdr>
        <w:spacing w:before="0" w:after="240"/>
        <w:rPr>
          <w:rFonts w:eastAsia="Arial Unicode MS"/>
          <w:noProof/>
        </w:rPr>
      </w:pPr>
      <w:r>
        <w:rPr>
          <w:rFonts w:eastAsia="Arial Unicode MS"/>
          <w:noProof/>
        </w:rPr>
        <w:t>The timeframe for which it is proposed to prolong the authorization to apply a reduced tax rate, unless there will be significant changes in the current framework and situation, makes it unlikely that the analysis conducted in the preceding paragraphs will change before the date of expiry of the measure.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field of indirect taxation covered by Article 113 of TFEU is not in itself within the exclusive competence of the European Union within the meaning of Article 3 of TFEU.</w:t>
      </w:r>
    </w:p>
    <w:p>
      <w:pPr>
        <w:pBdr>
          <w:top w:val="nil"/>
          <w:left w:val="nil"/>
          <w:bottom w:val="nil"/>
          <w:right w:val="nil"/>
          <w:between w:val="nil"/>
          <w:bar w:val="nil"/>
        </w:pBdr>
        <w:spacing w:before="0" w:after="240"/>
        <w:rPr>
          <w:rFonts w:eastAsia="Arial Unicode MS"/>
          <w:noProof/>
        </w:rPr>
      </w:pPr>
      <w:r>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 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Germany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an authorisation for an individual Member State upon its own request and does not require an impact assessment.</w:t>
      </w:r>
    </w:p>
    <w:p>
      <w:pPr>
        <w:pBdr>
          <w:top w:val="nil"/>
          <w:left w:val="nil"/>
          <w:bottom w:val="nil"/>
          <w:right w:val="nil"/>
          <w:between w:val="nil"/>
          <w:bar w:val="nil"/>
        </w:pBdr>
        <w:spacing w:before="0" w:after="240"/>
        <w:rPr>
          <w:rFonts w:eastAsia="Arial Unicode MS"/>
          <w:noProof/>
        </w:rPr>
      </w:pPr>
      <w:r>
        <w:rPr>
          <w:rFonts w:eastAsia="Arial Unicode MS"/>
          <w:noProof/>
        </w:rPr>
        <w:t>However, as mentioned before, the information provided by Germany suggests that the measure will have a limited impact on tax revenues and the tax rate for shore-side electricity will still be above the minimum level of taxation set in Directive 2003/96/EC. Germany expects the measure to have a positive impact on the achievement of its environmental goals and in particular the improvement of local air quality and reduction of noise in port cities.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more detail, as an estimation of the tax expenditures from the measure, according to the German authorities, a loss of EUR 2 million per year is expected for the coming years.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At the same time, the environmental benefits can be significant. The German authorities underlined that, while the actual saving of CO2 emissions depends on the quality of the electricity used, in the German electricity mix, the estimated savings would be about 30%,   with this proportion set to rise in future. Moreover, German authorities expect that local </w:t>
      </w:r>
      <w:r>
        <w:rPr>
          <w:rFonts w:eastAsia="Arial Unicode MS"/>
          <w:noProof/>
        </w:rPr>
        <w:lastRenderedPageBreak/>
        <w:t>emissions of air pollutants (NOx, SOx, PM10, PM2.5) from on-board electricity generation could be fully reduced by the use of shore-side electricity; noise emissions could also be significantly reduced.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provide for a simplification. It is the result of the request made by Germany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measure has no bearing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impose any financial or administrative burden on the Union. The proposal therefore has no impact on the budget of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is not necessary. This proposal concerns an authorisation for a tax reduction for an individual Member State upon its own request. It is provided for a limited period until 31 December 2025. The tax rate that will apply will be equal to the minimum level of taxation set by the Energy Taxation Directive. The measure can be evaluated in case of a request for a renewal after the validity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 stipulates that Germany will be allowed to apply a reduced rate of electricity taxation to electricity directly supplied to vessels, other than private pleasure craft, berthed in German ports (‘shore-side electricity’). The tax rate must not be less than EUR 0.50 per MWh, i.e. the minimum level of taxation for electricity for business use set by the Directive. It will not be possible to supply electricity at a reduced rate to private pleasure craft as defined in Article 14(1)(c), second subparagraph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Article 2 stipulates that the authorisation requested is granted with effect from 17 July 2020, in continuity with the current Council Implementing Decision 2014/722/EU, until 31 December 2025, within the maximum period of 6 years allowed by the Directive, as requested by Germany.</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Germany to apply a reduced rate of taxation to electricity directly provided to vessels at berth in a port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21"/>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Implementing Decision 2014/722/EU</w:t>
      </w:r>
      <w:r>
        <w:rPr>
          <w:rStyle w:val="FootnoteReference"/>
          <w:noProof/>
        </w:rPr>
        <w:footnoteReference w:id="22"/>
      </w:r>
      <w:r>
        <w:rPr>
          <w:noProof/>
        </w:rPr>
        <w:t xml:space="preserve"> Germany was authorised to apply a reduced rate of taxation to electricity directly provided to vessels at berth in a port (‘shore-side electricity’) in accordance with Article 19 of Directive 2003/96/EC until 16 July 2020.</w:t>
      </w:r>
    </w:p>
    <w:p>
      <w:pPr>
        <w:pStyle w:val="ManualConsidrant"/>
        <w:rPr>
          <w:noProof/>
        </w:rPr>
      </w:pPr>
      <w:r>
        <w:t>(2)</w:t>
      </w:r>
      <w:r>
        <w:tab/>
      </w:r>
      <w:r>
        <w:rPr>
          <w:noProof/>
        </w:rPr>
        <w:t>By letter of 29 January 2020, Germany sought authorisation to continue to apply a reduced rate of taxation to shore-side electricity pursuant to Article 19 of Directive 2003/96/EC.</w:t>
      </w:r>
    </w:p>
    <w:p>
      <w:pPr>
        <w:pStyle w:val="ManualConsidrant"/>
        <w:rPr>
          <w:noProof/>
        </w:rPr>
      </w:pPr>
      <w:r>
        <w:t>(3)</w:t>
      </w:r>
      <w:r>
        <w:tab/>
      </w:r>
      <w:r>
        <w:rPr>
          <w:noProof/>
        </w:rPr>
        <w:t>With the reduced tax rate that it intends to apply, Germany aims at continuing the promotion of the use of shore-side electricity. The use of such electricity is considered to be an environmentally less harmful way to satisfy the electricity needs of vessels lying at berth in ports than the burning of bunker fuels by those vessels.</w:t>
      </w:r>
    </w:p>
    <w:p>
      <w:pPr>
        <w:pStyle w:val="ManualConsidrant"/>
        <w:rPr>
          <w:noProof/>
        </w:rPr>
      </w:pPr>
      <w:r>
        <w:t>(4)</w:t>
      </w:r>
      <w:r>
        <w:tab/>
      </w:r>
      <w:r>
        <w:rPr>
          <w:noProof/>
        </w:rPr>
        <w:t>Insofar as the use of shore-side electricity avoids emissions of air pollutants originating from the burning of bunker fuels, it contributes to an improvement to the local air quality in port cities and to noise reduction. Under the specific conditions of the electricity generation structure in Germany, the use of shore-side electricity instead of electricity generated by burning bunker fuels is in particular expected to reduce CO2 emissions, other air pollutants and noise. The measure is therefore expected to contribute to the environmental, health and climate policy objectives of the Union.</w:t>
      </w:r>
    </w:p>
    <w:p>
      <w:pPr>
        <w:pStyle w:val="ManualConsidrant"/>
        <w:rPr>
          <w:noProof/>
        </w:rPr>
      </w:pPr>
      <w:r>
        <w:t>(5)</w:t>
      </w:r>
      <w:r>
        <w:tab/>
      </w:r>
      <w:r>
        <w:rPr>
          <w:noProof/>
        </w:rPr>
        <w:t xml:space="preserve">Allowing Germany to apply a reduced rate of taxation to shore-side electricity does not go beyond what is necessary to increase the use of such electricity, since on-board generation of electricity will remain the more competitive alternative in most cases. For the same reason, and because of the current relatively low degree of market penetration of the technology, the measure is unlikely to lead to significant distortions </w:t>
      </w:r>
      <w:r>
        <w:rPr>
          <w:noProof/>
        </w:rPr>
        <w:lastRenderedPageBreak/>
        <w:t>in competition during its lifetime and will thus not negatively affect the proper functioning of the internal market.</w:t>
      </w:r>
    </w:p>
    <w:p>
      <w:pPr>
        <w:pStyle w:val="ManualConsidrant"/>
        <w:rPr>
          <w:noProof/>
        </w:rPr>
      </w:pPr>
      <w:r>
        <w:t>(6)</w:t>
      </w:r>
      <w:r>
        <w:tab/>
      </w:r>
      <w:r>
        <w:rPr>
          <w:noProof/>
        </w:rPr>
        <w:t>In accordance with Article 19(2) of Directive 2003/96/EC, each authorisation granted under that provision is to be strictly limited in time. In order to ensure that the authorisation period is sufficiently long so as not to discourage relevant economic operators from making the necessary investments, it is appropriate to grant the authorisation until 31 December 2025. However, the authorisation should cease to apply from the date of application of any general provisions on tax advantages for shore-side electricity adopted by the Council under Article 113 or any other relevant provision of the Treaty on the Functioning of the European Union, should such provisions become applicable prior to 31 December 2025.</w:t>
      </w:r>
    </w:p>
    <w:p>
      <w:pPr>
        <w:pStyle w:val="ManualConsidrant"/>
        <w:rPr>
          <w:noProof/>
        </w:rPr>
      </w:pPr>
      <w:r>
        <w:t>(7)</w:t>
      </w:r>
      <w:r>
        <w:tab/>
      </w:r>
      <w:r>
        <w:rPr>
          <w:noProof/>
        </w:rPr>
        <w:t>In order to provide legal certainty to port and ship operators and to avoid a potential increase in the administrative burden for the distributors and redistributors of electricity, which could result from changes to the tax rate levied on shore-side electricity, it should be ensured that Germany may apply the reduced rate of taxation to shore-side electricity without interruption. The authorisation requested should therefore be granted with effect from 17 July 2020, in order to follow seamlessly on from the prior arrangements under Council Implementing Decision 2014/722/EU.</w:t>
      </w:r>
    </w:p>
    <w:p>
      <w:pPr>
        <w:pStyle w:val="ManualConsidrant"/>
        <w:rPr>
          <w:noProof/>
        </w:rPr>
      </w:pPr>
      <w:r>
        <w:t>(8)</w:t>
      </w:r>
      <w:r>
        <w:tab/>
      </w:r>
      <w:r>
        <w:rPr>
          <w:noProof/>
        </w:rPr>
        <w:t>This Decision is without prejudice to the application of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Germany is authorised to apply a reduced rate of taxation to electricity directly supplied to vessels, other than private pleasure craft, berthed in ports (‘shore-side electricity’), provided that the minimum levels of taxation referred to in Article 10 of Directive 2003/96/EC are respected.</w:t>
      </w:r>
    </w:p>
    <w:p>
      <w:pPr>
        <w:pStyle w:val="Titrearticle"/>
        <w:rPr>
          <w:noProof/>
        </w:rPr>
      </w:pPr>
      <w:r>
        <w:rPr>
          <w:noProof/>
        </w:rPr>
        <w:t>Article 2</w:t>
      </w:r>
    </w:p>
    <w:p>
      <w:pPr>
        <w:keepNext/>
        <w:keepLines/>
        <w:rPr>
          <w:noProof/>
        </w:rPr>
      </w:pPr>
      <w:r>
        <w:rPr>
          <w:noProof/>
        </w:rPr>
        <w:t>This Decision shall apply from 17 July 2020 until 31 December 2025.</w:t>
      </w:r>
    </w:p>
    <w:p>
      <w:pPr>
        <w:keepNext/>
        <w:keepLines/>
        <w:rPr>
          <w:noProof/>
        </w:rPr>
      </w:pPr>
      <w:r>
        <w:rPr>
          <w:noProof/>
        </w:rPr>
        <w:t>However, should the Council, acting on the basis of Article 113 or any other relevant provision of the Treaty on the Functioning of the European Union, provide for general rules on tax advantages for shore-side electricity, this Decision shall cease to apply on the day on which those general rules become applicable.</w:t>
      </w:r>
    </w:p>
    <w:p>
      <w:pPr>
        <w:pStyle w:val="Titrearticle"/>
        <w:rPr>
          <w:noProof/>
        </w:rPr>
      </w:pPr>
      <w:r>
        <w:rPr>
          <w:noProof/>
        </w:rPr>
        <w:t>Article 3</w:t>
      </w:r>
    </w:p>
    <w:p>
      <w:pPr>
        <w:rPr>
          <w:noProof/>
        </w:rPr>
      </w:pPr>
      <w:r>
        <w:rPr>
          <w:noProof/>
        </w:rPr>
        <w:t>This Decision is addressed to the Federal Republic of Germany.</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283, 31.10.2003, p. 51–70.</w:t>
      </w:r>
    </w:p>
  </w:footnote>
  <w:footnote w:id="2">
    <w:p>
      <w:pPr>
        <w:pStyle w:val="FootnoteText"/>
        <w:rPr>
          <w:lang w:val="es-ES"/>
        </w:rPr>
      </w:pPr>
      <w:r>
        <w:rPr>
          <w:rStyle w:val="FootnoteReference"/>
        </w:rPr>
        <w:footnoteRef/>
      </w:r>
      <w:r>
        <w:rPr>
          <w:lang w:val="es-ES"/>
        </w:rPr>
        <w:tab/>
        <w:t>OJ L 300, 18.10.2014, p. 55–56.</w:t>
      </w:r>
    </w:p>
  </w:footnote>
  <w:footnote w:id="3">
    <w:p>
      <w:pPr>
        <w:pStyle w:val="FootnoteText"/>
        <w:rPr>
          <w:lang w:val="es-ES"/>
        </w:rPr>
      </w:pPr>
      <w:r>
        <w:rPr>
          <w:rStyle w:val="FootnoteReference"/>
        </w:rPr>
        <w:footnoteRef/>
      </w:r>
      <w:r>
        <w:rPr>
          <w:lang w:val="es-ES"/>
        </w:rPr>
        <w:tab/>
        <w:t>OJ L 191, 22.07.2011, p. 22.</w:t>
      </w:r>
    </w:p>
  </w:footnote>
  <w:footnote w:id="4">
    <w:p>
      <w:pPr>
        <w:pStyle w:val="FootnoteText"/>
        <w:rPr>
          <w:lang w:val="en-IE"/>
        </w:rPr>
      </w:pPr>
      <w:r>
        <w:rPr>
          <w:rStyle w:val="FootnoteReference"/>
        </w:rPr>
        <w:footnoteRef/>
      </w:r>
      <w:r>
        <w:tab/>
        <w:t>The term ‘private pleasure craft’ is defined in Article 14(1)(c), second subparagraph of Directive 2003/96/EC.</w:t>
      </w:r>
    </w:p>
  </w:footnote>
  <w:footnote w:id="5">
    <w:p>
      <w:pPr>
        <w:pStyle w:val="FootnoteText"/>
        <w:rPr>
          <w:lang w:val="en-US"/>
        </w:rPr>
      </w:pPr>
      <w:r>
        <w:rPr>
          <w:rStyle w:val="FootnoteReference"/>
        </w:rPr>
        <w:footnoteRef/>
      </w:r>
      <w:r>
        <w:tab/>
      </w:r>
      <w:r>
        <w:rPr>
          <w:lang w:val="en-IE"/>
        </w:rPr>
        <w:t>Identified in the request as all motor-powered ships, boats and floating structures covered by Chapter 89 of the Combined Nomenclature.</w:t>
      </w:r>
    </w:p>
  </w:footnote>
  <w:footnote w:id="6">
    <w:p>
      <w:pPr>
        <w:pStyle w:val="FootnoteText"/>
        <w:rPr>
          <w:lang w:val="en-IE"/>
        </w:rPr>
      </w:pPr>
      <w:r>
        <w:rPr>
          <w:rStyle w:val="FootnoteReference"/>
        </w:rPr>
        <w:footnoteRef/>
      </w:r>
      <w:r>
        <w:tab/>
      </w:r>
      <w:r>
        <w:rPr>
          <w:lang w:val="en-IE"/>
        </w:rPr>
        <w:t>As specified in the national law, the measure shall not apply to shore-side electricity supplied to water-borne vessels during their stay in a shipyard.</w:t>
      </w:r>
    </w:p>
  </w:footnote>
  <w:footnote w:id="7">
    <w:p>
      <w:pPr>
        <w:pStyle w:val="FootnoteText"/>
        <w:rPr>
          <w:lang w:val="en-IE"/>
        </w:rPr>
      </w:pPr>
      <w:r>
        <w:rPr>
          <w:rStyle w:val="FootnoteReference"/>
        </w:rPr>
        <w:footnoteRef/>
      </w:r>
      <w:r>
        <w:tab/>
      </w:r>
      <w:r>
        <w:rPr>
          <w:lang w:val="en-IE"/>
        </w:rPr>
        <w:t>Commission Regulation (EC) No 800/2008 of 6 August 2008 declaring certain categories of aid compatible with the common market in application of Articles 87 and 88 of the Treaty (General block exemption Regulation), OJ L 214, 9.8.2008, p. 3–47.</w:t>
      </w:r>
    </w:p>
  </w:footnote>
  <w:footnote w:id="8">
    <w:p>
      <w:pPr>
        <w:pStyle w:val="FootnoteText"/>
        <w:rPr>
          <w:lang w:val="en-IE"/>
        </w:rPr>
      </w:pPr>
      <w:r>
        <w:rPr>
          <w:rStyle w:val="FootnoteReference"/>
        </w:rPr>
        <w:footnoteRef/>
      </w:r>
      <w:r>
        <w:tab/>
        <w:t>Commission Regulation (EU) No 651/2014 of 17 June 2014 declaring certain categories of aid compatible with the internal market in application of Articles 107 and 108 of the Treaty (OJ L 187, 26.6.2014, p. 1–78).</w:t>
      </w:r>
    </w:p>
  </w:footnote>
  <w:footnote w:id="9">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10">
    <w:p>
      <w:pPr>
        <w:pStyle w:val="FootnoteText"/>
      </w:pPr>
      <w:r>
        <w:rPr>
          <w:rStyle w:val="FootnoteReference"/>
        </w:rPr>
        <w:footnoteRef/>
      </w:r>
      <w:r>
        <w:tab/>
        <w:t>SWD(2019) 329 final.</w:t>
      </w:r>
    </w:p>
  </w:footnote>
  <w:footnote w:id="11">
    <w:p>
      <w:pPr>
        <w:pStyle w:val="FootnoteText"/>
        <w:rPr>
          <w:lang w:val="en-IE"/>
        </w:rPr>
      </w:pPr>
      <w:r>
        <w:rPr>
          <w:rStyle w:val="FootnoteReference"/>
        </w:rPr>
        <w:footnoteRef/>
      </w:r>
      <w:r>
        <w:tab/>
      </w:r>
      <w:r>
        <w:rPr>
          <w:lang w:val="en-IE"/>
        </w:rPr>
        <w:t xml:space="preserve">Council conclusions of 28 November 2019, </w:t>
      </w:r>
      <w:r>
        <w:t>14608/19, FISC 458.</w:t>
      </w:r>
      <w:r>
        <w:rPr>
          <w:rFonts w:eastAsia="Arial Unicode MS"/>
          <w:sz w:val="24"/>
          <w:szCs w:val="22"/>
        </w:rPr>
        <w:t xml:space="preserve"> </w:t>
      </w:r>
    </w:p>
  </w:footnote>
  <w:footnote w:id="12">
    <w:p>
      <w:pPr>
        <w:pStyle w:val="FootnoteText"/>
        <w:rPr>
          <w:lang w:val="en-IE"/>
        </w:rPr>
      </w:pPr>
      <w:r>
        <w:rPr>
          <w:rStyle w:val="FootnoteReference"/>
        </w:rPr>
        <w:footnoteRef/>
      </w:r>
      <w:r>
        <w:tab/>
      </w:r>
      <w:r>
        <w:rPr>
          <w:lang w:val="en-IE"/>
        </w:rPr>
        <w:t>Commission Regulation (EC) No 800/2008 of 6 August 2008 declaring certain categories of aid compatible with the common market in application of Articles 87 and 88 of the Treaty (General block exemption Regulation), OJ L 214, 9.8.2008, p. 3–47.</w:t>
      </w:r>
    </w:p>
  </w:footnote>
  <w:footnote w:id="13">
    <w:p>
      <w:pPr>
        <w:pStyle w:val="FootnoteText"/>
        <w:rPr>
          <w:lang w:val="en-IE"/>
        </w:rPr>
      </w:pPr>
      <w:r>
        <w:rPr>
          <w:rStyle w:val="FootnoteReference"/>
        </w:rPr>
        <w:footnoteRef/>
      </w:r>
      <w:r>
        <w:tab/>
        <w:t>Commission Regulation (EU) No 651/2014 of 17 June 2014 declaring certain categories of aid compatible with the internal market in application of Articles 107 and 108 of the Treaty (OJ L 187, 26.6.2014, p. 1–78).</w:t>
      </w:r>
    </w:p>
  </w:footnote>
  <w:footnote w:id="14">
    <w:p>
      <w:pPr>
        <w:pStyle w:val="FootnoteText"/>
        <w:rPr>
          <w:lang w:val="en-IE"/>
        </w:rPr>
      </w:pPr>
      <w:r>
        <w:rPr>
          <w:rStyle w:val="FootnoteReference"/>
        </w:rPr>
        <w:footnoteRef/>
      </w:r>
      <w:r>
        <w:tab/>
        <w:t>Directive 2008/50/EC of the European Parliament and of the Council of 21 May 2008 on ambient air quality and cleaner air for Europe (OJ L 152, 11.6.2008, p 1).</w:t>
      </w:r>
    </w:p>
  </w:footnote>
  <w:footnote w:id="15">
    <w:p>
      <w:pPr>
        <w:pStyle w:val="FootnoteText"/>
        <w:rPr>
          <w:lang w:val="en-IE"/>
        </w:rPr>
      </w:pPr>
      <w:r>
        <w:rPr>
          <w:rStyle w:val="FootnoteReference"/>
        </w:rPr>
        <w:footnoteRef/>
      </w:r>
      <w:r>
        <w:tab/>
      </w:r>
      <w:r>
        <w:rPr>
          <w:lang w:val="en-IE"/>
        </w:rPr>
        <w:t>Directive (EU) 2016/802 of the European Parliament and of the Council of 11 May 2016 relating to a reduction in the sulphur content of certain liquid fuels (OJ L 132, 21.5.2016, p. 58–78).</w:t>
      </w:r>
    </w:p>
  </w:footnote>
  <w:footnote w:id="16">
    <w:p>
      <w:pPr>
        <w:pStyle w:val="FootnoteText"/>
        <w:rPr>
          <w:lang w:val="en-IE"/>
        </w:rPr>
      </w:pPr>
      <w:r>
        <w:rPr>
          <w:rStyle w:val="FootnoteReference"/>
        </w:rPr>
        <w:footnoteRef/>
      </w:r>
      <w:r>
        <w:tab/>
        <w:t>Directive 2014/94/EU of the European Parliament and of the Council of 22 October 2014 on the deployment of alternative fuels infrastructure (OJ L 307, 28.10.2014, pp. 1–20).</w:t>
      </w:r>
    </w:p>
  </w:footnote>
  <w:footnote w:id="17">
    <w:p>
      <w:pPr>
        <w:pStyle w:val="FootnoteText"/>
        <w:rPr>
          <w:lang w:val="en-IE"/>
        </w:rPr>
      </w:pPr>
      <w:r>
        <w:rPr>
          <w:rStyle w:val="FootnoteReference"/>
        </w:rPr>
        <w:footnoteRef/>
      </w:r>
      <w:r>
        <w:tab/>
        <w:t>C(2014) 2231 final of 9 April 2014 (State aid SA.37322 (2013/N) – Germany Alternative power supply for cruise ships in the Hamburg City Port (Altona – HafenCity).</w:t>
      </w:r>
    </w:p>
  </w:footnote>
  <w:footnote w:id="18">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19">
    <w:p>
      <w:pPr>
        <w:pStyle w:val="FootnoteText"/>
        <w:rPr>
          <w:lang w:val="en-IE"/>
        </w:rPr>
      </w:pPr>
      <w:r>
        <w:rPr>
          <w:rStyle w:val="FootnoteReference"/>
        </w:rPr>
        <w:footnoteRef/>
      </w:r>
      <w:r>
        <w:tab/>
        <w:t>Communication from the Commission to the European Parliament, the Council, the European Economic and Social Committee and the Committee of the Regions – Strategic goals and recommendations for the EU's maritime transport policy until 2018, COM(2009) 8 final of 21 January 2009.</w:t>
      </w:r>
    </w:p>
  </w:footnote>
  <w:footnote w:id="20">
    <w:p>
      <w:pPr>
        <w:pStyle w:val="FootnoteText"/>
        <w:rPr>
          <w:lang w:val="en-IE"/>
        </w:rPr>
      </w:pPr>
      <w:r>
        <w:rPr>
          <w:rStyle w:val="FootnoteReference"/>
        </w:rPr>
        <w:footnoteRef/>
      </w:r>
      <w:r>
        <w:tab/>
        <w:t xml:space="preserve">Cf. European Commission Directorate General Environment, Service Contract Ship Emissions: Assignment, Abatement and Market-based Instruments, Task 2a – Shore-Side Electricity, August 2005, </w:t>
      </w:r>
      <w:hyperlink r:id="rId1" w:history="1">
        <w:r>
          <w:rPr>
            <w:rStyle w:val="Hyperlink"/>
          </w:rPr>
          <w:t>http://ec.europa.eu/environment/air/pdf/task2_shoreside.pdf</w:t>
        </w:r>
      </w:hyperlink>
      <w:r>
        <w:t xml:space="preserve"> . The cost analysis is carried out for the three ports of Gothenburg (Sweden), Juneau and Long Beach (USA).</w:t>
      </w:r>
    </w:p>
  </w:footnote>
  <w:footnote w:id="21">
    <w:p>
      <w:pPr>
        <w:pStyle w:val="FootnoteText"/>
        <w:rPr>
          <w:lang w:val="en-IE"/>
        </w:rPr>
      </w:pPr>
      <w:r>
        <w:rPr>
          <w:rStyle w:val="FootnoteReference"/>
        </w:rPr>
        <w:footnoteRef/>
      </w:r>
      <w:r>
        <w:tab/>
        <w:t>OJ L 283, 31.10.2003, p. 51.</w:t>
      </w:r>
    </w:p>
  </w:footnote>
  <w:footnote w:id="22">
    <w:p>
      <w:pPr>
        <w:pStyle w:val="FootnoteText"/>
      </w:pPr>
      <w:r>
        <w:rPr>
          <w:rStyle w:val="FootnoteReference"/>
        </w:rPr>
        <w:footnoteRef/>
      </w:r>
      <w:r>
        <w:tab/>
        <w:t>Council Implementing Decision 2014/722/EU of 14 October 2014 authorising Germany to apply a reduced rate of taxation on electricity directly provided to vessels at berth in a port in accordance with Article 19 of Directive 2003/96/EC (</w:t>
      </w:r>
      <w:r>
        <w:rPr>
          <w:lang w:val="en-IE"/>
        </w:rPr>
        <w:t>OJ L 300, 18.10.2014, p.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2:39: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4F5503A-675B-45E1-B8C3-8CE8549F42CA"/>
    <w:docVar w:name="LW_COVERPAGE_TYPE" w:val="1"/>
    <w:docVar w:name="LW_CROSSREFERENCE" w:val="&lt;UNUSED&gt;"/>
    <w:docVar w:name="LW_DocType" w:val="COM"/>
    <w:docVar w:name="LW_EMISSION" w:val="28.8.2020"/>
    <w:docVar w:name="LW_EMISSION_ISODATE" w:val="2020-08-28"/>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7"/>
    <w:docVar w:name="LW_REF.II.NEW.CP_YEAR" w:val="2020"/>
    <w:docVar w:name="LW_REF.INST.NEW" w:val="COM"/>
    <w:docVar w:name="LW_REF.INST.NEW_ADOPTED" w:val="final"/>
    <w:docVar w:name="LW_REF.INST.NEW_TEXT" w:val="(2020)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Germany to apply a reduced rate of taxation to electricity directly provided to vessels at berth in a port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889924795">
      <w:bodyDiv w:val="1"/>
      <w:marLeft w:val="0"/>
      <w:marRight w:val="0"/>
      <w:marTop w:val="0"/>
      <w:marBottom w:val="0"/>
      <w:divBdr>
        <w:top w:val="none" w:sz="0" w:space="0" w:color="auto"/>
        <w:left w:val="none" w:sz="0" w:space="0" w:color="auto"/>
        <w:bottom w:val="none" w:sz="0" w:space="0" w:color="auto"/>
        <w:right w:val="none" w:sz="0" w:space="0" w:color="auto"/>
      </w:divBdr>
    </w:div>
    <w:div w:id="122992081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69A7-49DB-45D7-A4F8-3DA44CA5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4678</Words>
  <Characters>25449</Characters>
  <Application>Microsoft Office Word</Application>
  <DocSecurity>0</DocSecurity>
  <Lines>438</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2020-08-13T11:34:00Z</dcterms:created>
  <dcterms:modified xsi:type="dcterms:W3CDTF">2020-08-21T10:39:00Z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