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88FEC4B-DBFC-4D2A-B4D1-205CC971D6CE" style="width:450pt;height:384pt">
            <v:imagedata r:id="rId9" o:title=""/>
          </v:shape>
        </w:pict>
      </w:r>
    </w:p>
    <w:p>
      <w:pPr>
        <w:jc w:val="left"/>
        <w:rPr>
          <w:noProof/>
          <w:color w:val="FF000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TAC APPLICABLES AUX NAVIRES DE PÊCHE DE L’UNION DANS LES ZONES POUR LESQUELLES DES TAC ONT ÉTÉ FIXÉS PAR ESPÈCE ET PAR ZONE</w:t>
      </w:r>
    </w:p>
    <w:p>
      <w:pPr>
        <w:rPr>
          <w:noProof/>
        </w:rPr>
      </w:pPr>
      <w:r>
        <w:rPr>
          <w:noProof/>
        </w:rPr>
        <w:t>Les tableaux suivants présentent les TAC et quotas (en tonnes de poids vif, sauf indication contraire) par stock, ainsi que les conditions qui leur sont liées sur le plan fonctionnel.</w:t>
      </w:r>
    </w:p>
    <w:p>
      <w:pPr>
        <w:rPr>
          <w:noProof/>
        </w:rPr>
      </w:pPr>
      <w:r>
        <w:rPr>
          <w:noProof/>
        </w:rPr>
        <w:t>Sauf indication contraire, les références aux zones de pêche sont des références aux zones CIEM.</w:t>
      </w:r>
    </w:p>
    <w:p>
      <w:pPr>
        <w:rPr>
          <w:noProof/>
        </w:rPr>
      </w:pPr>
      <w:r>
        <w:rPr>
          <w:noProof/>
        </w:rPr>
        <w:t>Les stocks de poissons sont énumérés dans l’ordre alphabétique des noms latins des espèces.</w:t>
      </w:r>
    </w:p>
    <w:p>
      <w:pPr>
        <w:rPr>
          <w:noProof/>
        </w:rPr>
      </w:pPr>
      <w:r>
        <w:rPr>
          <w:noProof/>
        </w:rPr>
        <w:t>Aux fins du présent règlement, le tableau suivant met en correspondance les noms latins et les noms communs utilisés: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2893"/>
        <w:gridCol w:w="3233"/>
      </w:tblGrid>
      <w:tr>
        <w:trPr>
          <w:trHeight w:val="262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Nom scientifique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Code alpha-3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Nom commun</w:t>
            </w:r>
          </w:p>
        </w:tc>
      </w:tr>
      <w:tr>
        <w:trPr>
          <w:trHeight w:val="247"/>
        </w:trPr>
        <w:tc>
          <w:tcPr>
            <w:tcW w:w="1646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iCs/>
                <w:noProof/>
              </w:rPr>
              <w:t>Clupea harengus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HER</w:t>
            </w:r>
          </w:p>
        </w:tc>
        <w:tc>
          <w:tcPr>
            <w:tcW w:w="1770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Hareng commun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iCs/>
                <w:noProof/>
              </w:rPr>
              <w:t>Gadus morhua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COD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Cabillaud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iCs/>
                <w:noProof/>
              </w:rPr>
              <w:t>Pleuronectes platessa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PLE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Plie commune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iCs/>
                <w:noProof/>
              </w:rPr>
              <w:t>Salmo salar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SAL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Saumon de l’Atlantique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Sprattus sprattus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SPR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Sprat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2516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36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Sous-divisions 30 et 31</w:t>
            </w:r>
          </w:p>
        </w:tc>
        <w:tc>
          <w:tcPr>
            <w:tcW w:w="45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3" w:type="pct"/>
            <w:gridSpan w:val="3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(HER/30/31.)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53 306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11 712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65 018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65 018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de précaution </w:t>
            </w:r>
          </w:p>
        </w:tc>
      </w:tr>
      <w:tr>
        <w:trPr>
          <w:trHeight w:val="23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3355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3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Sous-divisions 22 à 24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181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(HER/3BC+24)</w:t>
            </w: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Allemagne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1 575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1 575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L’article 3, paragraphes 2 et 3, du règlement (CE) nº 847/96 ne s’applique pas.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L’article 4 du règlement (CE) nº 847/96 ne s’applique pas.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Eaux de l’Union des sous-divisions 25 à 27, 28.2, 29 et 32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(HER/3D-R30)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2 146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Allemagne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569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10 960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21 393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2 705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2 848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24 304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32 626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  <w:highlight w:val="yellow"/>
              </w:rPr>
            </w:pPr>
            <w:r>
              <w:rPr>
                <w:noProof/>
                <w:sz w:val="20"/>
                <w:szCs w:val="20"/>
              </w:rPr>
              <w:t>97 551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2945" w:type="pct"/>
            <w:gridSpan w:val="2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L’article 6 du présent règlement s’applique.</w:t>
            </w: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9"/>
        <w:gridCol w:w="817"/>
        <w:gridCol w:w="1192"/>
        <w:gridCol w:w="1671"/>
        <w:gridCol w:w="839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Sous-division 28.1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(HER/03D.RG)</w:t>
            </w: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3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18 216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21 230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39 446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39 446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L’article 6 du présent règlement s’applique.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8"/>
        <w:gridCol w:w="10"/>
        <w:gridCol w:w="939"/>
        <w:gridCol w:w="341"/>
        <w:gridCol w:w="633"/>
        <w:gridCol w:w="1147"/>
        <w:gridCol w:w="8"/>
        <w:gridCol w:w="3265"/>
        <w:gridCol w:w="912"/>
      </w:tblGrid>
      <w:tr>
        <w:trPr>
          <w:trHeight w:val="233"/>
        </w:trPr>
        <w:tc>
          <w:tcPr>
            <w:tcW w:w="108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1019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Cabillaud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276" w:type="pct"/>
            <w:gridSpan w:val="3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>Eaux de l'Union des sous-divisions 25 à 32</w:t>
            </w:r>
          </w:p>
        </w:tc>
      </w:tr>
      <w:tr>
        <w:trPr>
          <w:trHeight w:val="233"/>
        </w:trPr>
        <w:tc>
          <w:tcPr>
            <w:tcW w:w="108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1019" w:type="pct"/>
            <w:gridSpan w:val="4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2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276" w:type="pct"/>
            <w:gridSpan w:val="3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(COD/3DX32.)</w:t>
            </w:r>
          </w:p>
        </w:tc>
      </w:tr>
      <w:tr>
        <w:trPr>
          <w:trHeight w:val="233"/>
        </w:trPr>
        <w:tc>
          <w:tcPr>
            <w:tcW w:w="108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</w:t>
            </w:r>
          </w:p>
        </w:tc>
        <w:tc>
          <w:tcPr>
            <w:tcW w:w="347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Allemagne</w:t>
            </w:r>
          </w:p>
        </w:tc>
        <w:tc>
          <w:tcPr>
            <w:tcW w:w="672" w:type="pct"/>
            <w:gridSpan w:val="3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strike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</w:t>
            </w:r>
          </w:p>
        </w:tc>
        <w:tc>
          <w:tcPr>
            <w:tcW w:w="34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672" w:type="pct"/>
            <w:gridSpan w:val="3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strike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34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672" w:type="pct"/>
            <w:gridSpan w:val="3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strike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34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672" w:type="pct"/>
            <w:gridSpan w:val="3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strike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672" w:type="pct"/>
            <w:gridSpan w:val="3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strike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</w:t>
            </w:r>
          </w:p>
        </w:tc>
        <w:tc>
          <w:tcPr>
            <w:tcW w:w="34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672" w:type="pct"/>
            <w:gridSpan w:val="3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strike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159</w:t>
            </w:r>
          </w:p>
        </w:tc>
        <w:tc>
          <w:tcPr>
            <w:tcW w:w="34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672" w:type="pct"/>
            <w:gridSpan w:val="3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strike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138</w:t>
            </w:r>
          </w:p>
        </w:tc>
        <w:tc>
          <w:tcPr>
            <w:tcW w:w="34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72" w:type="pct"/>
            <w:gridSpan w:val="3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strike/>
                <w:noProof/>
                <w:sz w:val="20"/>
              </w:rPr>
            </w:pPr>
          </w:p>
        </w:tc>
        <w:tc>
          <w:tcPr>
            <w:tcW w:w="347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672" w:type="pct"/>
            <w:gridSpan w:val="3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strike/>
                <w:noProof/>
                <w:sz w:val="20"/>
              </w:rPr>
            </w:pPr>
            <w:r>
              <w:rPr>
                <w:noProof/>
                <w:sz w:val="20"/>
                <w:szCs w:val="20"/>
              </w:rPr>
              <w:t>595</w:t>
            </w:r>
          </w:p>
        </w:tc>
        <w:tc>
          <w:tcPr>
            <w:tcW w:w="34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72" w:type="pct"/>
            <w:gridSpan w:val="3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347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1019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de précaution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L’article 3, paragraphes 2 et 3, du règlement (CE) nº 847/96 ne s’applique pas.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L’article 4 du règlement (CE) nº 847/96 ne s’applique pas.</w:t>
            </w: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83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9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 Exclusivement pour les prises accessoires. Aucune pêche ciblée n’est autorisée dans le cadre de ce quota.</w:t>
            </w:r>
          </w:p>
          <w:p>
            <w:pPr>
              <w:spacing w:before="40" w:after="40"/>
              <w:rPr>
                <w:noProof/>
                <w:sz w:val="20"/>
              </w:rPr>
            </w:pP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Par dérogation au premier paragraphe, les opérations de pêche menées à des fins exclusives d’enquêtes scientifiques peuvent cibler le cabillaud à condition que ces enquêtes soient réalisées dans le plein respect des conditions énoncées à l’article 25 du règlement (UE) 2019/1241.</w:t>
            </w:r>
          </w:p>
          <w:p>
            <w:pPr>
              <w:spacing w:before="40" w:after="40"/>
              <w:rPr>
                <w:noProof/>
                <w:sz w:val="20"/>
              </w:rPr>
            </w:pP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 Dans les sous-divisions 25 et 26, la pêche de ce quota est interdite du 1</w:t>
            </w:r>
            <w:r>
              <w:rPr>
                <w:noProof/>
                <w:sz w:val="20"/>
                <w:vertAlign w:val="superscript"/>
              </w:rPr>
              <w:t>er</w:t>
            </w:r>
            <w:r>
              <w:rPr>
                <w:noProof/>
                <w:sz w:val="20"/>
              </w:rPr>
              <w:t> mai au 31 août.</w:t>
            </w:r>
          </w:p>
          <w:p>
            <w:pPr>
              <w:spacing w:before="40" w:after="40"/>
              <w:rPr>
                <w:noProof/>
                <w:sz w:val="20"/>
              </w:rPr>
            </w:pP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Par dérogation au premier paragraphe, les opérations de pêche menées à des fins exclusives d’enquêtes scientifiques sont autorisées, à condition que ces enquêtes soient réalisées dans le plein respect des conditions énoncées à l’article 25 du règlement (UE) 2019/1241.</w:t>
            </w:r>
          </w:p>
          <w:p>
            <w:pPr>
              <w:spacing w:before="40" w:after="40"/>
              <w:rPr>
                <w:noProof/>
                <w:sz w:val="20"/>
              </w:rPr>
            </w:pP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Par dérogation au premier paragraphe, cette période de fermeture ne s’applique pas aux navires de pêche de l’Union d’une longueur hors tout inférieure à 12 mètres pratiquant la pêche à l’aide de filets maillants, de filets emmêlants ou de trémails, ou au moyen de palangres de fond, de lignes de fond, de lignes flottantes, de lignes à main et d’équipements de pêche à la dandinette ou d’engins passifs similaires dans les zones où la profondeur des eaux est inférieure à 20 mètres selon les coordonnées figurant sur la carte marine officielle établie par les autorités nationales compétentes. Les capitaines de ces navires de pêche veillent à ce que leur activité de pêche puisse être contrôlée à tout moment par les autorités de contrôle de l’État membre. </w:t>
            </w:r>
          </w:p>
          <w:p>
            <w:pPr>
              <w:spacing w:before="40" w:after="40"/>
              <w:rPr>
                <w:noProof/>
                <w:sz w:val="20"/>
                <w:highlight w:val="yellow"/>
              </w:rPr>
            </w:pPr>
          </w:p>
        </w:tc>
      </w:tr>
      <w:tr>
        <w:trPr>
          <w:trHeight w:val="233"/>
        </w:trPr>
        <w:tc>
          <w:tcPr>
            <w:tcW w:w="1085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1646" w:type="pct"/>
            <w:gridSpan w:val="5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269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br w:type="page"/>
              <w:t>Espèce:</w:t>
            </w:r>
          </w:p>
        </w:tc>
        <w:tc>
          <w:tcPr>
            <w:tcW w:w="483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Cabillaud</w:t>
            </w:r>
          </w:p>
        </w:tc>
        <w:tc>
          <w:tcPr>
            <w:tcW w:w="536" w:type="pct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779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Sous-divisions 22 à 24 </w:t>
            </w:r>
          </w:p>
        </w:tc>
        <w:tc>
          <w:tcPr>
            <w:tcW w:w="497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1019" w:type="pct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2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276" w:type="pct"/>
            <w:gridSpan w:val="3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(COD/3BC+24)</w:t>
            </w:r>
          </w:p>
        </w:tc>
      </w:tr>
      <w:tr>
        <w:trPr>
          <w:trHeight w:val="233"/>
        </w:trPr>
        <w:tc>
          <w:tcPr>
            <w:tcW w:w="108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483" w:type="pct"/>
            <w:gridSpan w:val="2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1 481</w:t>
            </w:r>
          </w:p>
        </w:tc>
        <w:tc>
          <w:tcPr>
            <w:tcW w:w="536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Allemagne </w:t>
            </w:r>
          </w:p>
        </w:tc>
        <w:tc>
          <w:tcPr>
            <w:tcW w:w="483" w:type="pct"/>
            <w:gridSpan w:val="2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725</w:t>
            </w: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Estonie </w:t>
            </w:r>
          </w:p>
        </w:tc>
        <w:tc>
          <w:tcPr>
            <w:tcW w:w="483" w:type="pct"/>
            <w:gridSpan w:val="2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</w:t>
            </w: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483" w:type="pct"/>
            <w:gridSpan w:val="2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</w:t>
            </w: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483" w:type="pct"/>
            <w:gridSpan w:val="2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123</w:t>
            </w: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483" w:type="pct"/>
            <w:gridSpan w:val="2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</w:t>
            </w: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483" w:type="pct"/>
            <w:gridSpan w:val="2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396</w:t>
            </w: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483" w:type="pct"/>
            <w:gridSpan w:val="2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528</w:t>
            </w: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3" w:type="pct"/>
            <w:gridSpan w:val="2"/>
            <w:shd w:val="clear" w:color="auto" w:fill="FFFFFF" w:themeFill="background1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483" w:type="pct"/>
            <w:gridSpan w:val="2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3 395</w:t>
            </w: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3" w:type="pct"/>
            <w:gridSpan w:val="2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483" w:type="pct"/>
            <w:gridSpan w:val="2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3 395</w:t>
            </w: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L’article 3, paragraphes 2 et 3, du règlement (CE) nº 847/96 ne s’applique pas.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L’article 4 du règlement (CE) nº 847/96 ne s’applique pas.</w:t>
            </w:r>
          </w:p>
        </w:tc>
      </w:tr>
      <w:tr>
        <w:trPr>
          <w:trHeight w:val="233"/>
        </w:trPr>
        <w:tc>
          <w:tcPr>
            <w:tcW w:w="1080" w:type="pct"/>
          </w:tcPr>
          <w:p>
            <w:pPr>
              <w:spacing w:before="40" w:after="40"/>
              <w:rPr>
                <w:noProof/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83" w:type="pct"/>
            <w:gridSpan w:val="2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01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9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 Dans la sous-division 24 exclusivement pour les prises accessoires. Aucune pêche ciblée n’est autorisée dans le cadre de ce quota dans la sous-division 24.</w:t>
            </w:r>
          </w:p>
          <w:p>
            <w:pPr>
              <w:spacing w:before="40" w:after="40"/>
              <w:rPr>
                <w:noProof/>
                <w:sz w:val="20"/>
              </w:rPr>
            </w:pP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Par dérogation au premier paragraphe, les opérations de pêche menées à des fins exclusives d’enquêtes scientifiques peuvent cibler le cabillaud à condition que ces enquêtes soient réalisées dans le plein respect des conditions énoncées à l’article 25 du règlement (UE) 2019/1241.</w:t>
            </w:r>
          </w:p>
          <w:p>
            <w:pPr>
              <w:spacing w:before="40" w:after="40"/>
              <w:rPr>
                <w:noProof/>
                <w:sz w:val="20"/>
              </w:rPr>
            </w:pP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Par dérogation au premier paragraphe, pêcher ce quota dans la sous-division 24 est autorisé pour les navires de pêche de l'Union d'une longueur hors tout inférieure à 12 mètres pratiquant la pêche à l'aide de filets maillants, de filets emmêlants ou de trémails, ou au moyen de palangres de fond, de lignes de fond, de lignes flottantes, de lignes à main et d'équipements de pêche à la dandinette ou d'engins passifs similaires dans les zones situées jusqu'à six milles marins mesurés à partir des lignes de base où la profondeur des eaux est inférieure à 20 mètres selon les coordonnées figurant sur la carte marine officielle établie par les autorités nationales compétentes. Les capitaines de ces navires de pêche veillent à ce que leur activité de pêche puisse être contrôlée à tout moment par les autorités de contrôle de l’État membre.</w:t>
            </w:r>
          </w:p>
          <w:p>
            <w:pPr>
              <w:spacing w:before="40" w:after="40"/>
              <w:rPr>
                <w:noProof/>
                <w:sz w:val="20"/>
                <w:highlight w:val="yellow"/>
              </w:rPr>
            </w:pP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 xml:space="preserve">) </w:t>
            </w:r>
            <w:r>
              <w:rPr>
                <w:noProof/>
              </w:rPr>
              <w:t>La pêche de ce quota est interdite du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 janvier au 31 mars dans les sous-divisions 22 et 23 et du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 mai au 31 août dans la sous-division 24.</w:t>
            </w:r>
            <w:r>
              <w:rPr>
                <w:noProof/>
                <w:sz w:val="20"/>
              </w:rPr>
              <w:t xml:space="preserve"> </w:t>
            </w:r>
          </w:p>
          <w:p>
            <w:pPr>
              <w:spacing w:before="40" w:after="40"/>
              <w:rPr>
                <w:noProof/>
                <w:sz w:val="20"/>
              </w:rPr>
            </w:pP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Par dérogation au premier paragraphe, les opérations de pêche menées à des fins exclusives d’enquêtes scientifiques sont autorisées, à condition que ces enquêtes soient réalisées dans le plein respect des conditions énoncées à l’article 25 du règlement (UE) 2019/1241.</w:t>
            </w:r>
          </w:p>
          <w:p>
            <w:pPr>
              <w:spacing w:before="40" w:after="40"/>
              <w:rPr>
                <w:noProof/>
                <w:sz w:val="20"/>
              </w:rPr>
            </w:pP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Par dérogation au premier paragraphe, cette période de fermeture ne s’applique pas aux navires de pêche de l’Union d’une longueur hors tout inférieure à 12 mètres pratiquant la pêche à l’aide de filets maillants, de filets emmêlants ou de trémails, ou au moyen de palangres de fond, de lignes de fond, de lignes flottantes, de lignes à main et d’équipements de pêche à la dandinette ou d’engins passifs similaires dans les sous-divisions 22 et 23 dans les zones où la profondeur des eaux est inférieure à 20 mètres selon les coordonnées figurant sur la carte marine officielle établie par les autorités nationales compétentes et dans la sous-division 24 dans les zones situées jusqu’à six milles marins mesurés à partir des lignes de base où la profondeur des eaux est inférieure à 20 mètres selon les coordonnées figurant sur la carte marine officielle établie par les autorités nationales compétentes. Les capitaines de ces navires de pêche veillent à ce que leur activité de pêche puisse être contrôlée à tout moment par les autorités de contrôle de l’État membre.</w:t>
            </w:r>
          </w:p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17"/>
        <w:gridCol w:w="960"/>
        <w:gridCol w:w="809"/>
        <w:gridCol w:w="1178"/>
        <w:gridCol w:w="3336"/>
        <w:gridCol w:w="943"/>
      </w:tblGrid>
      <w:tr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Plie commune</w:t>
            </w:r>
          </w:p>
        </w:tc>
        <w:tc>
          <w:tcPr>
            <w:tcW w:w="43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Eaux de l'Union des sous-divisions 22 à 32 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Pleuronectes platessa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8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(PLE/3BCD-C)</w:t>
            </w: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4 939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Allemagne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549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1 034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372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6 894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6 894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 analytique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L’article 6 du présent règlement s’applique.</w:t>
            </w:r>
          </w:p>
        </w:tc>
      </w:tr>
      <w:tr>
        <w:trPr>
          <w:trHeight w:val="233"/>
        </w:trPr>
        <w:tc>
          <w:tcPr>
            <w:tcW w:w="5000" w:type="pct"/>
            <w:gridSpan w:val="6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4"/>
        <w:gridCol w:w="945"/>
        <w:gridCol w:w="812"/>
        <w:gridCol w:w="1181"/>
        <w:gridCol w:w="4281"/>
      </w:tblGrid>
      <w:tr>
        <w:trPr>
          <w:trHeight w:val="233"/>
        </w:trPr>
        <w:tc>
          <w:tcPr>
            <w:tcW w:w="1095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Saumon de l’Atlantique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1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 xml:space="preserve">Eaux de l’Union des subdivisions 22 à 31 </w:t>
            </w:r>
          </w:p>
        </w:tc>
      </w:tr>
      <w:tr>
        <w:trPr>
          <w:trHeight w:val="233"/>
        </w:trPr>
        <w:tc>
          <w:tcPr>
            <w:tcW w:w="109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(SAL/3BCD-F)</w:t>
            </w:r>
          </w:p>
        </w:tc>
      </w:tr>
      <w:tr>
        <w:trPr>
          <w:trHeight w:val="233"/>
        </w:trPr>
        <w:tc>
          <w:tcPr>
            <w:tcW w:w="1095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1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19 582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5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Allemagne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2 179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1 990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24 417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12 455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1 464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5 940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 xml:space="preserve">) 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26 469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94 496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de précaution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L’article 3, paragraphes 2 et 3, du règlement (CE) nº 847/96 ne s’applique pas.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L’article 4 du règlement (CE) nº 847/96 ne s’applique pas.</w:t>
            </w: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 Exprimé en nombre d'individus.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) Condition particulière: sur ce quota, jusqu’à 25 % et au maximum 500 spécimens peuvent être pêchés dans les eaux de l’Union de la sous-division 32 (SAL/*3D32).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0"/>
        <w:gridCol w:w="944"/>
        <w:gridCol w:w="812"/>
        <w:gridCol w:w="1181"/>
        <w:gridCol w:w="1669"/>
        <w:gridCol w:w="836"/>
        <w:gridCol w:w="836"/>
        <w:gridCol w:w="945"/>
      </w:tblGrid>
      <w:tr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Saumon de l’Atlantique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19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Eaux de l’Union de la sous-division 32</w:t>
            </w:r>
          </w:p>
        </w:tc>
      </w:tr>
      <w:tr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(SAL/3D32.)</w:t>
            </w:r>
          </w:p>
        </w:tc>
        <w:tc>
          <w:tcPr>
            <w:tcW w:w="45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Estonie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893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Finlande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7 821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 xml:space="preserve">) 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8 714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 de précaution</w:t>
            </w: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noProof/>
                <w:sz w:val="20"/>
                <w:vertAlign w:val="superscript"/>
              </w:rPr>
              <w:t>1</w:t>
            </w:r>
            <w:r>
              <w:rPr>
                <w:noProof/>
                <w:sz w:val="20"/>
              </w:rPr>
              <w:t>) Exprimé en nombre d'individus.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6"/>
        <w:gridCol w:w="377"/>
        <w:gridCol w:w="946"/>
        <w:gridCol w:w="837"/>
        <w:gridCol w:w="1157"/>
        <w:gridCol w:w="3339"/>
        <w:gridCol w:w="941"/>
      </w:tblGrid>
      <w:tr>
        <w:trPr>
          <w:trHeight w:val="233"/>
        </w:trPr>
        <w:tc>
          <w:tcPr>
            <w:tcW w:w="1094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Sprat</w:t>
            </w:r>
          </w:p>
        </w:tc>
        <w:tc>
          <w:tcPr>
            <w:tcW w:w="453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>Eaux de l'Union des sous-divisions 22 à 32</w:t>
            </w:r>
          </w:p>
        </w:tc>
        <w:tc>
          <w:tcPr>
            <w:tcW w:w="50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6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626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(SPR/3BCD-C)</w:t>
            </w:r>
          </w:p>
        </w:tc>
      </w:tr>
      <w:tr>
        <w:trPr>
          <w:trHeight w:val="233"/>
        </w:trPr>
        <w:tc>
          <w:tcPr>
            <w:tcW w:w="1094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2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20 730</w:t>
            </w:r>
          </w:p>
        </w:tc>
        <w:tc>
          <w:tcPr>
            <w:tcW w:w="453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Allemagne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13 133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24 072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10 851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29 073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10 517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61 697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40 074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210 147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napToGrid w:val="0"/>
                <w:sz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89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716" w:type="pct"/>
            <w:gridSpan w:val="2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L’article 6 du présent règlement s’applique.</w:t>
            </w:r>
          </w:p>
        </w:tc>
      </w:tr>
      <w:tr>
        <w:trPr>
          <w:trHeight w:val="6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B8D9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A6BF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2EF7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D1056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C18EC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DD2B4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0D2B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1464B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08-30 18:52:5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88FEC4B-DBFC-4D2A-B4D1-205CC971D6CE"/>
    <w:docVar w:name="LW_COVERPAGE_TYPE" w:val="1"/>
    <w:docVar w:name="LW_CROSSREFERENCE" w:val="&lt;UNUSED&gt;"/>
    <w:docVar w:name="LW_DocType" w:val="ANNEX"/>
    <w:docVar w:name="LW_EMISSION" w:val="28.8.2020"/>
    <w:docVar w:name="LW_EMISSION_ISODATE" w:val="2020-08-28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établissant, pour 2021, les possibilités de pêche pour certains stocks halieutiques et groupes de stocks halieutiques applicables dans la mer Baltique "/>
    <w:docVar w:name="LW_OBJETACTEPRINCIPAL.CP" w:val="établissant, pour 2021, les possibilités de pêche pour certains stocks halieutiques et groupes de stocks halieutiques applicables dans la mer Baltique "/>
    <w:docVar w:name="LW_PART_NBR" w:val="1"/>
    <w:docVar w:name="LW_PART_NBR_TOTAL" w:val="1"/>
    <w:docVar w:name="LW_REF.INST.NEW" w:val="COM"/>
    <w:docVar w:name="LW_REF.INST.NEW_ADOPTED" w:val="final"/>
    <w:docVar w:name="LW_REF.INST.NEW_TEXT" w:val="(2020) 43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Conseil"/>
    <w:docVar w:name="LW_TYPEACTEPRINCIPAL.CP" w:val="proposition de 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F52A-FC97-4997-9AEC-DBC41E04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1452</Words>
  <Characters>7379</Characters>
  <Application>Microsoft Office Word</Application>
  <DocSecurity>0</DocSecurity>
  <Lines>670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UNAL Aysegul (MARE)</dc:creator>
  <cp:lastModifiedBy>WES PDFC Administrator</cp:lastModifiedBy>
  <cp:revision>9</cp:revision>
  <cp:lastPrinted>2019-07-08T06:43:00Z</cp:lastPrinted>
  <dcterms:created xsi:type="dcterms:W3CDTF">2020-08-28T13:07:00Z</dcterms:created>
  <dcterms:modified xsi:type="dcterms:W3CDTF">2020-08-30T16:52:00Z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