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0EFD641-4FF2-43AE-825A-2601A8451383"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the decision establishing the position to be taken on the Union's behalf at meetings of the Parties to Agreement to Prevent Unregulated High Seas Fisheries in the Central Arctic Ocean in connection with the envisaged adoption of conservation and management measures. </w:t>
      </w:r>
    </w:p>
    <w:p>
      <w:pPr>
        <w:pStyle w:val="ManualHeading1"/>
        <w:rPr>
          <w:noProof/>
        </w:rPr>
      </w:pPr>
      <w:r>
        <w:t>2.</w:t>
      </w:r>
      <w:r>
        <w:tab/>
      </w:r>
      <w:r>
        <w:rPr>
          <w:noProof/>
        </w:rPr>
        <w:t>Context of the proposal</w:t>
      </w:r>
    </w:p>
    <w:p>
      <w:pPr>
        <w:pStyle w:val="ManualHeading2"/>
        <w:rPr>
          <w:noProof/>
        </w:rPr>
      </w:pPr>
      <w:r>
        <w:t>2.1.</w:t>
      </w:r>
      <w:r>
        <w:tab/>
      </w:r>
      <w:r>
        <w:rPr>
          <w:noProof/>
        </w:rPr>
        <w:t>The Agreement to Prevent Unregulated High Seas Fisheries in the Central Arctic Ocean</w:t>
      </w:r>
    </w:p>
    <w:p>
      <w:pPr>
        <w:rPr>
          <w:rFonts w:eastAsia="Arial Unicode MS"/>
          <w:noProof/>
        </w:rPr>
      </w:pPr>
      <w:r>
        <w:rPr>
          <w:rFonts w:eastAsia="Arial Unicode MS"/>
          <w:noProof/>
        </w:rPr>
        <w:t>The Agreement to Prevent Unregulated High Seas Fisheries in the Central Arctic Ocean (‘Agreement’) aims to prevent unregulated fishing in the high seas portion of the Central Arctic Ocean through the application of precautionary conservation and management measures as part of a long-term strategy to safeguard healthy marine ecosystems and to ensure the conservation and sustainable use of fish stocks. The Agreement is expected to enter into force later this year.</w:t>
      </w:r>
    </w:p>
    <w:p>
      <w:pPr>
        <w:rPr>
          <w:rFonts w:eastAsia="Arial Unicode MS"/>
          <w:noProof/>
        </w:rPr>
      </w:pPr>
      <w:r>
        <w:rPr>
          <w:rFonts w:eastAsia="Arial Unicode MS"/>
          <w:noProof/>
        </w:rPr>
        <w:t>The Union is a party to the Agreement</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 xml:space="preserve">The meeting of the Parties </w:t>
      </w:r>
    </w:p>
    <w:p>
      <w:pPr>
        <w:rPr>
          <w:rFonts w:eastAsia="Arial Unicode MS"/>
          <w:noProof/>
        </w:rPr>
      </w:pPr>
      <w:r>
        <w:rPr>
          <w:rFonts w:eastAsia="Arial Unicode MS"/>
          <w:noProof/>
        </w:rPr>
        <w:t>The meeting of the Parties is the decision-making body under the Agreement, which shall meet every two years or more frequently if it so decides. Decisions on questions of procedure are taken by majority and decision on questions of substance are taken by consensus. The Union has participation and voting rights.</w:t>
      </w:r>
    </w:p>
    <w:p>
      <w:pPr>
        <w:pStyle w:val="ManualHeading2"/>
        <w:rPr>
          <w:noProof/>
        </w:rPr>
      </w:pPr>
      <w:r>
        <w:t>2.3.</w:t>
      </w:r>
      <w:r>
        <w:tab/>
      </w:r>
      <w:r>
        <w:rPr>
          <w:noProof/>
        </w:rPr>
        <w:t>Decisions by the meeting of the Parties</w:t>
      </w:r>
    </w:p>
    <w:p>
      <w:pPr>
        <w:rPr>
          <w:rFonts w:eastAsia="Arial Unicode MS"/>
          <w:noProof/>
        </w:rPr>
      </w:pPr>
      <w:r>
        <w:rPr>
          <w:rFonts w:eastAsia="Arial Unicode MS"/>
          <w:noProof/>
        </w:rPr>
        <w:t xml:space="preserve">The meeting of the Parties has the authority to adopt conservation and management measures and these are binding on the contracting parties.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It is proposed that the position to be adopted on behalf of the Union at the meetings of the Parties is established according to a two-tier approach. A Council Decision will set out the guiding principles and orientations of the Union’s position on a multiannual basis, and it is subsequently adjusted for each meeting by Commission non-papers to be discussed in the Council Working Party.</w:t>
      </w:r>
    </w:p>
    <w:p>
      <w:pPr>
        <w:rPr>
          <w:rFonts w:eastAsia="Arial Unicode MS"/>
          <w:noProof/>
        </w:rPr>
      </w:pPr>
      <w:r>
        <w:rPr>
          <w:rFonts w:eastAsia="Arial Unicode MS"/>
          <w:noProof/>
        </w:rPr>
        <w:t>This approach is currently also taken in regional fisheries management organisations (RFMOs) and the position that is to be taken on behalf of the Union in those meetings.</w:t>
      </w:r>
    </w:p>
    <w:p>
      <w:pPr>
        <w:rPr>
          <w:noProof/>
        </w:rPr>
      </w:pPr>
      <w:r>
        <w:rPr>
          <w:rFonts w:eastAsia="Arial Unicode MS"/>
          <w:noProof/>
        </w:rPr>
        <w:t>The present decision incorporates the principles and orientations of the common fisheries policy (CFP), as laid down in Regulation (EU) No 1380/2013 of the European Parliament and of the Council</w:t>
      </w:r>
      <w:r>
        <w:rPr>
          <w:rStyle w:val="FootnoteReference"/>
          <w:rFonts w:eastAsia="Arial Unicode MS"/>
          <w:noProof/>
        </w:rPr>
        <w:footnoteReference w:id="2"/>
      </w:r>
      <w:r>
        <w:rPr>
          <w:rFonts w:eastAsia="Arial Unicode MS"/>
          <w:noProof/>
        </w:rPr>
        <w:t xml:space="preserve">, also taking into account the objectives set in the Commission Communication </w:t>
      </w:r>
      <w:r>
        <w:rPr>
          <w:rFonts w:eastAsia="Arial Unicode MS"/>
          <w:noProof/>
        </w:rPr>
        <w:lastRenderedPageBreak/>
        <w:t>on the external dimension of the CFP.</w:t>
      </w:r>
      <w:r>
        <w:rPr>
          <w:rStyle w:val="FootnoteReference"/>
          <w:rFonts w:eastAsia="Arial Unicode MS"/>
          <w:noProof/>
        </w:rPr>
        <w:footnoteReference w:id="3"/>
      </w:r>
      <w:r>
        <w:rPr>
          <w:rFonts w:eastAsia="Arial Unicode MS"/>
          <w:noProof/>
        </w:rPr>
        <w:t xml:space="preserve"> It also takes into consideration the Council conclusions on Oceans and Seas, including the Arctic</w:t>
      </w:r>
      <w:r>
        <w:rPr>
          <w:rStyle w:val="FootnoteReference"/>
          <w:rFonts w:eastAsia="Arial Unicode MS"/>
          <w:noProof/>
        </w:rPr>
        <w:footnoteReference w:id="4"/>
      </w:r>
      <w:r>
        <w:rPr>
          <w:rFonts w:eastAsia="Arial Unicode MS"/>
          <w:noProof/>
        </w:rPr>
        <w:t xml:space="preserve">, the </w:t>
      </w:r>
      <w:r>
        <w:rPr>
          <w:noProof/>
        </w:rPr>
        <w:t>Joint communication by the High Representative of the Union for Foreign Affairs and Security Policy and the European Commission on ‘An integrated European Union policy for the Arctic’</w:t>
      </w:r>
      <w:r>
        <w:rPr>
          <w:rStyle w:val="FootnoteReference"/>
          <w:noProof/>
        </w:rPr>
        <w:footnoteReference w:id="5"/>
      </w:r>
      <w:r>
        <w:rPr>
          <w:noProof/>
        </w:rPr>
        <w:t>, and the Council conclusions</w:t>
      </w:r>
      <w:r>
        <w:rPr>
          <w:rStyle w:val="FootnoteReference"/>
          <w:noProof/>
        </w:rPr>
        <w:footnoteReference w:id="6"/>
      </w:r>
      <w:r>
        <w:rPr>
          <w:noProof/>
        </w:rPr>
        <w:t xml:space="preserve"> on the</w:t>
      </w:r>
      <w:r>
        <w:rPr>
          <w:rFonts w:eastAsia="Arial Unicode MS"/>
          <w:noProof/>
        </w:rPr>
        <w:t xml:space="preserve"> Joint communication by the High Representative of the Union for Foreign Affairs and Security Policy and the Commission on ‘</w:t>
      </w:r>
      <w:r>
        <w:rPr>
          <w:noProof/>
        </w:rPr>
        <w:t>International ocean governance: an agenda for the future of oceans’</w:t>
      </w:r>
      <w:r>
        <w:rPr>
          <w:rStyle w:val="FootnoteReference"/>
          <w:noProof/>
        </w:rPr>
        <w:footnoteReference w:id="7"/>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8"/>
      </w:r>
      <w:r>
        <w:rPr>
          <w:noProof/>
        </w:rPr>
        <w:t>.</w:t>
      </w:r>
    </w:p>
    <w:p>
      <w:pPr>
        <w:pStyle w:val="ManualHeading3"/>
        <w:rPr>
          <w:noProof/>
        </w:rPr>
      </w:pPr>
      <w:r>
        <w:t>4.1.2.</w:t>
      </w:r>
      <w:r>
        <w:tab/>
      </w:r>
      <w:r>
        <w:rPr>
          <w:noProof/>
        </w:rPr>
        <w:t>Application to the present case</w:t>
      </w:r>
    </w:p>
    <w:p>
      <w:pPr>
        <w:rPr>
          <w:noProof/>
        </w:rPr>
      </w:pPr>
      <w:r>
        <w:rPr>
          <w:noProof/>
        </w:rPr>
        <w:t xml:space="preserve">The meeting of the Parties is a body set up by an agreement, namely the </w:t>
      </w:r>
      <w:r>
        <w:rPr>
          <w:rFonts w:eastAsia="Arial Unicode MS"/>
          <w:noProof/>
        </w:rPr>
        <w:t>Agreement to Prevent Unregulated High Seas Fisheries in the Central Arctic Ocean.</w:t>
      </w:r>
    </w:p>
    <w:p>
      <w:pPr>
        <w:rPr>
          <w:noProof/>
        </w:rPr>
      </w:pPr>
      <w:r>
        <w:rPr>
          <w:noProof/>
        </w:rPr>
        <w:t>The acts which the meeting of the Parties is called upon to adopt constitute acts having legal effects. The envisaged acts of the meeting of the Parties will be binding under international law and are capable of decisively influencing the content of EU legislation, namely:</w:t>
      </w:r>
    </w:p>
    <w:p>
      <w:pPr>
        <w:pStyle w:val="Bullet0"/>
        <w:numPr>
          <w:ilvl w:val="0"/>
          <w:numId w:val="1"/>
        </w:numPr>
        <w:rPr>
          <w:noProof/>
        </w:rPr>
      </w:pPr>
      <w:r>
        <w:rPr>
          <w:noProof/>
        </w:rPr>
        <w:t>Council Regulation (EC) No 1005/2008 establishing a Community system to prevent, deter and eliminate illegal, unreported and unregulated (IUU) fishing</w:t>
      </w:r>
      <w:r>
        <w:rPr>
          <w:rStyle w:val="FootnoteReference"/>
          <w:noProof/>
        </w:rPr>
        <w:footnoteReference w:id="9"/>
      </w:r>
      <w:r>
        <w:rPr>
          <w:noProof/>
        </w:rPr>
        <w:t xml:space="preserve">; </w:t>
      </w:r>
    </w:p>
    <w:p>
      <w:pPr>
        <w:pStyle w:val="Bullet0"/>
        <w:rPr>
          <w:noProof/>
        </w:rPr>
      </w:pPr>
      <w:r>
        <w:rPr>
          <w:noProof/>
        </w:rPr>
        <w:t>Council Regulation (EC) No 1224/2009 establishing a Union control system for ensuring compliance with the rules of the CFP</w:t>
      </w:r>
      <w:r>
        <w:rPr>
          <w:rStyle w:val="FootnoteReference"/>
          <w:noProof/>
        </w:rPr>
        <w:footnoteReference w:id="10"/>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1"/>
      </w:r>
      <w:r>
        <w:rPr>
          <w:noProof/>
        </w:rPr>
        <w:t>.</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lastRenderedPageBreak/>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acts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p>
    <w:p>
      <w:pPr>
        <w:pStyle w:val="ManualHeading2"/>
        <w:rPr>
          <w:noProof/>
        </w:rPr>
      </w:pPr>
      <w:r>
        <w:t>4.3.</w:t>
      </w:r>
      <w:r>
        <w:tab/>
      </w:r>
      <w:r>
        <w:rPr>
          <w:noProof/>
        </w:rPr>
        <w:t>Conclusion</w:t>
      </w:r>
    </w:p>
    <w:p>
      <w:pPr>
        <w:rPr>
          <w:noProof/>
        </w:rPr>
      </w:pPr>
      <w:r>
        <w:rPr>
          <w:noProof/>
        </w:rPr>
        <w:t>The legal basis of the proposed decision should be Article 43(2) TFEU</w:t>
      </w:r>
      <w:r>
        <w:t>,</w:t>
      </w:r>
      <w:r>
        <w:rPr>
          <w:noProof/>
        </w:rPr>
        <w:t xml:space="preserve">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meetings of the Parties to the Agreement to Prevent Unregulated High Seas Fisheries in the Central Arctic Ocean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to Prevent Unregulated High Seas Fisheries in the Central Arctic Ocean (‘Agreement’) was concluded by the Union by Council Decision (EU) 2019/407</w:t>
      </w:r>
      <w:r>
        <w:rPr>
          <w:rStyle w:val="FootnoteReference"/>
          <w:noProof/>
        </w:rPr>
        <w:footnoteReference w:id="12"/>
      </w:r>
      <w:r>
        <w:rPr>
          <w:noProof/>
        </w:rPr>
        <w:t>. The Agreement is expected to enter into force later this year.</w:t>
      </w:r>
    </w:p>
    <w:p>
      <w:pPr>
        <w:pStyle w:val="ManualConsidrant"/>
        <w:rPr>
          <w:noProof/>
        </w:rPr>
      </w:pPr>
      <w:r>
        <w:t>(2)</w:t>
      </w:r>
      <w:r>
        <w:tab/>
      </w:r>
      <w:r>
        <w:rPr>
          <w:noProof/>
        </w:rPr>
        <w:t>The meeting of the Parties is responsible for the adoption of measures designed to ensure the Agreement’s implementation in order to achieve the objective of preventing unregulated fishing in the high seas portion of the Central Arctic Ocean through the application of precautionary conservation and management measures as part of a long-term strategy to safeguard healthy marine ecosystems and to ensure the conservation and sustainable use of fish stocks.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3"/>
      </w:r>
      <w:r>
        <w:rPr>
          <w:noProof/>
        </w:rPr>
        <w:t xml:space="preserve">  provides that the Union is to ensure that fishing and aquaculture activities are environmentally sustainable in the long 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marine biological resources restores and maintains population of harvested species above levels which can produce the maximum sustainable yield. It further provides that the Union is to take management and conservation measures based on the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Furthermore, Regulation (EU) No 1380/2013 </w:t>
      </w:r>
      <w:r>
        <w:rPr>
          <w:noProof/>
        </w:rPr>
        <w:lastRenderedPageBreak/>
        <w:t>specifically provides that those objectives and principles are to be applied by the Union in the conduct of its external fisheries relations.</w:t>
      </w:r>
    </w:p>
    <w:p>
      <w:pPr>
        <w:pStyle w:val="ManualConsidrant"/>
        <w:rPr>
          <w:noProof/>
        </w:rPr>
      </w:pPr>
      <w:r>
        <w:t>(4)</w:t>
      </w:r>
      <w:r>
        <w:tab/>
      </w:r>
      <w:r>
        <w:rPr>
          <w:noProof/>
        </w:rPr>
        <w:t>As stated in the Council conclusions on Oceans and Seas, including the Arctic</w:t>
      </w:r>
      <w:r>
        <w:rPr>
          <w:rStyle w:val="FootnoteReference"/>
          <w:noProof/>
        </w:rPr>
        <w:footnoteReference w:id="14"/>
      </w:r>
      <w:r>
        <w:rPr>
          <w:noProof/>
        </w:rPr>
        <w:t>, the Joint communication by the High Representative of the Union for Foreign Affairs and Security Policy and the European Commission ‘An integrated European Union policy for the Arctic’</w:t>
      </w:r>
      <w:r>
        <w:rPr>
          <w:rStyle w:val="FootnoteReference"/>
          <w:noProof/>
        </w:rPr>
        <w:footnoteReference w:id="15"/>
      </w:r>
      <w:r>
        <w:rPr>
          <w:noProof/>
        </w:rPr>
        <w:t>, and the Council conclusions</w:t>
      </w:r>
      <w:r>
        <w:rPr>
          <w:rStyle w:val="FootnoteReference"/>
          <w:noProof/>
        </w:rPr>
        <w:footnoteReference w:id="16"/>
      </w:r>
      <w:r>
        <w:rPr>
          <w:noProof/>
        </w:rPr>
        <w:t xml:space="preserve"> on the Joint communication by the High Representative of the Union for Foreign Affairs and Security Policy and the European Commission 'International ocean governance: an agenda for the future of oceans'</w:t>
      </w:r>
      <w:r>
        <w:rPr>
          <w:rStyle w:val="FootnoteReference"/>
          <w:noProof/>
        </w:rPr>
        <w:footnoteReference w:id="17"/>
      </w:r>
      <w:r>
        <w:rPr>
          <w:noProof/>
        </w:rPr>
        <w:t>, support for the Agreement and the possible creation of a regional fisheries management organisation or arrangement in the Arctic high seas is an important objective for the Union in order to safeguard the Arctic environment and ensure sustainable development in and around the Arctic region on the basis of international cooperation.</w:t>
      </w:r>
    </w:p>
    <w:p>
      <w:pPr>
        <w:pStyle w:val="ManualConsidrant"/>
        <w:rPr>
          <w:noProof/>
        </w:rPr>
      </w:pPr>
      <w:r>
        <w:t>(5)</w:t>
      </w:r>
      <w:r>
        <w:tab/>
      </w:r>
      <w:r>
        <w:rPr>
          <w:noProof/>
        </w:rPr>
        <w:t>It is appropriate to establish the position to be taken on the Union's behalf in the meeting of the Parties to the Agreement for the period 2020-2024, as conservation and management measures under the Agreement will be binding on the Union and capable of decisively influencing the content of Union law, namely, Council Regulations (EC) No 1005/2008</w:t>
      </w:r>
      <w:r>
        <w:rPr>
          <w:rStyle w:val="FootnoteReference"/>
          <w:noProof/>
        </w:rPr>
        <w:footnoteReference w:id="18"/>
      </w:r>
      <w:r>
        <w:rPr>
          <w:noProof/>
        </w:rPr>
        <w:t xml:space="preserve"> and (EC) No 1224/2009</w:t>
      </w:r>
      <w:r>
        <w:rPr>
          <w:rStyle w:val="FootnoteReference"/>
          <w:noProof/>
        </w:rPr>
        <w:footnoteReference w:id="19"/>
      </w:r>
      <w:r>
        <w:rPr>
          <w:noProof/>
        </w:rPr>
        <w:t>, and Regulation (EU) 2017/2403 of the European Parliament and of the Council</w:t>
      </w:r>
      <w:r>
        <w:rPr>
          <w:rStyle w:val="FootnoteReference"/>
          <w:noProof/>
        </w:rPr>
        <w:footnoteReference w:id="20"/>
      </w:r>
      <w:r>
        <w:rPr>
          <w:noProof/>
        </w:rPr>
        <w:t>.</w:t>
      </w:r>
    </w:p>
    <w:p>
      <w:pPr>
        <w:pStyle w:val="ManualConsidrant"/>
        <w:rPr>
          <w:noProof/>
        </w:rPr>
      </w:pPr>
      <w:r>
        <w:t>(6)</w:t>
      </w:r>
      <w:r>
        <w:tab/>
      </w:r>
      <w:r>
        <w:rPr>
          <w:noProof/>
        </w:rPr>
        <w:t>In view of the limited knowledge on and nature of fishery resources in the Agreement area, and the consequent need for the position of the Union to take account of new developments, including new scientific and other relevant information presented before or during the meetings of the Parties, procedures should be established, in line with the principle of sincere cooperation among the Union institutions enshrined in Article 13(2) of the Treaty on European Union, for the year-to-year specification of the Union's position for the period 2020-2024.</w:t>
      </w:r>
    </w:p>
    <w:p>
      <w:pPr>
        <w:pStyle w:val="ManualConsidrant"/>
        <w:rPr>
          <w:noProof/>
        </w:rPr>
      </w:pPr>
      <w:r>
        <w:t>(7)</w:t>
      </w:r>
      <w:r>
        <w:tab/>
      </w:r>
      <w:r>
        <w:rPr>
          <w:noProof/>
        </w:rPr>
        <w:t>This decision on the position to be taken on behalf of the Union in the meetings of the Parties to the Agreement may be followed at a later stage by a further separate Council decision on the opening of negotiations to establish one or more additional regional or subregional fisheries management organisations or arrangements in the Arctic high seas,</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The position to be taken on the Union's behalf in the meetings of the Parties to the Agreement to Prevent Unregulated High Seas Fisheries in the Central Arctic Ocean (Agreement) is set out in Annex I.</w:t>
      </w:r>
    </w:p>
    <w:p>
      <w:pPr>
        <w:pStyle w:val="Titrearticle"/>
        <w:rPr>
          <w:noProof/>
        </w:rPr>
      </w:pPr>
      <w:r>
        <w:rPr>
          <w:noProof/>
        </w:rPr>
        <w:t>Article 2</w:t>
      </w:r>
    </w:p>
    <w:p>
      <w:pPr>
        <w:spacing w:before="0" w:after="240"/>
        <w:rPr>
          <w:rFonts w:eastAsia="Times New Roman"/>
          <w:noProof/>
          <w:szCs w:val="20"/>
        </w:rPr>
      </w:pPr>
      <w:r>
        <w:rPr>
          <w:rFonts w:eastAsia="Times New Roman"/>
          <w:noProof/>
          <w:szCs w:val="20"/>
        </w:rPr>
        <w:t xml:space="preserve">The year-to-year specification of the Union's position to be taken in the meetings of the Parties to the Agreement shall be conducted in accordance with Annex II. </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meeting of the Parties to the Agreement in 2025.</w:t>
      </w:r>
    </w:p>
    <w:p>
      <w:pPr>
        <w:pStyle w:val="Titrearticle"/>
        <w:rPr>
          <w:noProof/>
        </w:rPr>
      </w:pPr>
      <w:r>
        <w:rPr>
          <w:noProof/>
        </w:rPr>
        <w:t>Article 4</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r>
      <w:r>
        <w:rPr>
          <w:noProof/>
        </w:rPr>
        <w:tab/>
      </w:r>
      <w:r>
        <w:rPr>
          <w:noProof/>
        </w:rPr>
        <w:tab/>
      </w:r>
      <w:r>
        <w:rPr>
          <w:noProof/>
        </w:rPr>
        <w:tab/>
        <w:t>For the Council</w:t>
      </w:r>
    </w:p>
    <w:p>
      <w:pPr>
        <w:pStyle w:val="Personnequisigne"/>
        <w:rPr>
          <w:noProof/>
        </w:rPr>
      </w:pPr>
      <w:r>
        <w:rPr>
          <w:noProof/>
        </w:rPr>
        <w:tab/>
      </w:r>
      <w:r>
        <w:rPr>
          <w:noProof/>
        </w:rPr>
        <w:tab/>
      </w:r>
      <w:r>
        <w:rPr>
          <w:noProof/>
        </w:rPr>
        <w:tab/>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2019/407 of 4 March 2019 on the conclusion, on behalf of the European Union, of the Agreement to Prevent Unregulated High Seas Fisheries in the Central Arctic Ocean (OJ L 73, 15.3.2019, p. 1.</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pPr>
      <w:r>
        <w:rPr>
          <w:rStyle w:val="FootnoteReference"/>
        </w:rPr>
        <w:footnoteRef/>
      </w:r>
      <w:r>
        <w:tab/>
      </w:r>
      <w:r>
        <w:rPr>
          <w:lang w:val="en-IE"/>
        </w:rPr>
        <w:t xml:space="preserve">COM(2011) 424, </w:t>
      </w:r>
      <w:r>
        <w:rPr>
          <w:szCs w:val="24"/>
          <w:lang w:val="en-IE"/>
        </w:rPr>
        <w:t>13.7.2011.</w:t>
      </w:r>
    </w:p>
  </w:footnote>
  <w:footnote w:id="4">
    <w:p>
      <w:pPr>
        <w:pStyle w:val="FootnoteText"/>
      </w:pPr>
      <w:r>
        <w:rPr>
          <w:rStyle w:val="FootnoteReference"/>
        </w:rPr>
        <w:footnoteRef/>
      </w:r>
      <w:r>
        <w:tab/>
        <w:t>14249/19, 19.11.2019.</w:t>
      </w:r>
    </w:p>
  </w:footnote>
  <w:footnote w:id="5">
    <w:p>
      <w:pPr>
        <w:pStyle w:val="FootnoteText"/>
      </w:pPr>
      <w:r>
        <w:rPr>
          <w:rStyle w:val="FootnoteReference"/>
        </w:rPr>
        <w:footnoteRef/>
      </w:r>
      <w:r>
        <w:tab/>
        <w:t>JOIN(2016) 21 final, 27.4.2016.</w:t>
      </w:r>
    </w:p>
  </w:footnote>
  <w:footnote w:id="6">
    <w:p>
      <w:pPr>
        <w:pStyle w:val="FootnoteText"/>
      </w:pPr>
      <w:r>
        <w:rPr>
          <w:rStyle w:val="FootnoteReference"/>
        </w:rPr>
        <w:footnoteRef/>
      </w:r>
      <w:r>
        <w:tab/>
        <w:t>7348/1/17 REV 1, 24.3.2017.</w:t>
      </w:r>
    </w:p>
  </w:footnote>
  <w:footnote w:id="7">
    <w:p>
      <w:pPr>
        <w:pStyle w:val="FootnoteText"/>
      </w:pPr>
      <w:r>
        <w:rPr>
          <w:rStyle w:val="FootnoteReference"/>
        </w:rPr>
        <w:footnoteRef/>
      </w:r>
      <w:r>
        <w:tab/>
        <w:t>JOIN(2016) 49 final, 10.11.2016.</w:t>
      </w:r>
    </w:p>
  </w:footnote>
  <w:footnote w:id="8">
    <w:p>
      <w:pPr>
        <w:pStyle w:val="FootnoteText"/>
      </w:pPr>
      <w:r>
        <w:rPr>
          <w:rStyle w:val="FootnoteReference"/>
        </w:rPr>
        <w:footnoteRef/>
      </w:r>
      <w:r>
        <w:tab/>
        <w:t xml:space="preserve">Judgment of the Court of Justice of 7 October 2014, </w:t>
      </w:r>
      <w:r>
        <w:rPr>
          <w:i/>
        </w:rPr>
        <w:t>Germany v Council</w:t>
      </w:r>
      <w:r>
        <w:t xml:space="preserve">, C-399/12, ECLI:EU:C:2014:2258, paragraphs 61 to 64. </w:t>
      </w:r>
    </w:p>
  </w:footnote>
  <w:footnote w:id="9">
    <w:p>
      <w:pPr>
        <w:pStyle w:val="FootnoteText"/>
        <w:rPr>
          <w:lang w:val="nl-NL"/>
        </w:rPr>
      </w:pPr>
      <w:r>
        <w:rPr>
          <w:rStyle w:val="FootnoteReference"/>
        </w:rPr>
        <w:footnoteRef/>
      </w:r>
      <w:r>
        <w:rPr>
          <w:lang w:val="nl-NL"/>
        </w:rPr>
        <w:tab/>
        <w:t>OJ L 286, 29.10.2008, p. 1.</w:t>
      </w:r>
    </w:p>
  </w:footnote>
  <w:footnote w:id="10">
    <w:p>
      <w:pPr>
        <w:pStyle w:val="FootnoteText"/>
        <w:rPr>
          <w:lang w:val="nl-NL"/>
        </w:rPr>
      </w:pPr>
      <w:r>
        <w:rPr>
          <w:rStyle w:val="FootnoteReference"/>
        </w:rPr>
        <w:footnoteRef/>
      </w:r>
      <w:r>
        <w:rPr>
          <w:lang w:val="nl-NL"/>
        </w:rPr>
        <w:tab/>
        <w:t>OJ L 343, 22.12.2009, p. 1.</w:t>
      </w:r>
    </w:p>
  </w:footnote>
  <w:footnote w:id="11">
    <w:p>
      <w:pPr>
        <w:pStyle w:val="FootnoteText"/>
        <w:rPr>
          <w:lang w:val="nl-NL"/>
        </w:rPr>
      </w:pPr>
      <w:r>
        <w:rPr>
          <w:rStyle w:val="FootnoteReference"/>
        </w:rPr>
        <w:footnoteRef/>
      </w:r>
      <w:r>
        <w:rPr>
          <w:lang w:val="nl-NL"/>
        </w:rPr>
        <w:tab/>
        <w:t>OJ L 347, 28.12.2017, p. 81.</w:t>
      </w:r>
    </w:p>
  </w:footnote>
  <w:footnote w:id="12">
    <w:p>
      <w:pPr>
        <w:pStyle w:val="FootnoteText"/>
      </w:pPr>
      <w:r>
        <w:rPr>
          <w:rStyle w:val="FootnoteReference"/>
        </w:rPr>
        <w:footnoteRef/>
      </w:r>
      <w:r>
        <w:tab/>
        <w:t>Council Decision (EU) 2019/407 of 4 March 2019 on the conclusion, on behalf of the European Union, of the Agreement to Prevent Unregulated High Seas Fisheries in the Central Arctic Ocean (OJ L 73, 15.3.2019, p. 1).</w:t>
      </w:r>
    </w:p>
  </w:footnote>
  <w:footnote w:id="13">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4">
    <w:p>
      <w:pPr>
        <w:pStyle w:val="FootnoteText"/>
      </w:pPr>
      <w:r>
        <w:rPr>
          <w:rStyle w:val="FootnoteReference"/>
        </w:rPr>
        <w:footnoteRef/>
      </w:r>
      <w:r>
        <w:tab/>
        <w:t>14249/19 of 19.11.2019.</w:t>
      </w:r>
    </w:p>
  </w:footnote>
  <w:footnote w:id="15">
    <w:p>
      <w:pPr>
        <w:pStyle w:val="FootnoteText"/>
      </w:pPr>
      <w:r>
        <w:rPr>
          <w:rStyle w:val="FootnoteReference"/>
        </w:rPr>
        <w:footnoteRef/>
      </w:r>
      <w:r>
        <w:tab/>
        <w:t>JOIN(2016) 21 final of 27.4.2016.</w:t>
      </w:r>
    </w:p>
  </w:footnote>
  <w:footnote w:id="16">
    <w:p>
      <w:pPr>
        <w:pStyle w:val="FootnoteText"/>
      </w:pPr>
      <w:r>
        <w:rPr>
          <w:rStyle w:val="FootnoteReference"/>
        </w:rPr>
        <w:footnoteRef/>
      </w:r>
      <w:r>
        <w:tab/>
        <w:t>7348/1/17 REV 1 of 24.3.2017.</w:t>
      </w:r>
    </w:p>
  </w:footnote>
  <w:footnote w:id="17">
    <w:p>
      <w:pPr>
        <w:pStyle w:val="FootnoteText"/>
      </w:pPr>
      <w:r>
        <w:rPr>
          <w:rStyle w:val="FootnoteReference"/>
        </w:rPr>
        <w:footnoteRef/>
      </w:r>
      <w:r>
        <w:tab/>
        <w:t>JOIN(2016) 49 final of 10.11.2016.</w:t>
      </w:r>
    </w:p>
  </w:footnote>
  <w:footnote w:id="18">
    <w:p>
      <w:pPr>
        <w:pStyle w:val="FootnoteText"/>
      </w:pPr>
      <w:r>
        <w:rPr>
          <w:rStyle w:val="FootnoteReference"/>
        </w:rPr>
        <w:footnoteRef/>
      </w:r>
      <w:r>
        <w:tab/>
        <w:t>Council Regulation (EC) No 1005/2008 of 29 September 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19">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20">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41CCE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C6F8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E6C0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A13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105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66D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DA4C4E"/>
    <w:lvl w:ilvl="0">
      <w:start w:val="1"/>
      <w:numFmt w:val="decimal"/>
      <w:pStyle w:val="ListNumber"/>
      <w:lvlText w:val="%1."/>
      <w:lvlJc w:val="left"/>
      <w:pPr>
        <w:tabs>
          <w:tab w:val="num" w:pos="360"/>
        </w:tabs>
        <w:ind w:left="360" w:hanging="360"/>
      </w:pPr>
    </w:lvl>
  </w:abstractNum>
  <w:abstractNum w:abstractNumId="7">
    <w:nsid w:val="FFFFFF89"/>
    <w:multiLevelType w:val="singleLevel"/>
    <w:tmpl w:val="4B80F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32: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0EFD641-4FF2-43AE-825A-2601A8451383"/>
    <w:docVar w:name="LW_COVERPAGE_TYPE" w:val="1"/>
    <w:docVar w:name="LW_CROSSREFERENCE" w:val="&lt;UNUSED&gt;"/>
    <w:docVar w:name="LW_DocType" w:val="COM"/>
    <w:docVar w:name="LW_EMISSION" w:val="31.8.2020"/>
    <w:docVar w:name="LW_EMISSION_ISODATE" w:val="2020-08-3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10"/>
    <w:docVar w:name="LW_REF.II.NEW.CP_YEAR" w:val="2020"/>
    <w:docVar w:name="LW_REF.INST.NEW" w:val="COM"/>
    <w:docVar w:name="LW_REF.INST.NEW_ADOPTED" w:val="final"/>
    <w:docVar w:name="LW_REF.INST.NEW_TEXT" w:val="(2020)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meetings of the Parties to the Agreement to Prevent Unregulated High Seas Fisheries in the Central Arctic Ocea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939252-C402-4312-9D66-BA15EEEC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1805</Words>
  <Characters>9481</Characters>
  <Application>Microsoft Office Word</Application>
  <DocSecurity>0</DocSecurity>
  <Lines>169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2020-08-13T09:36:00Z</dcterms:created>
  <dcterms:modified xsi:type="dcterms:W3CDTF">2020-08-24T07:32:00Z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