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F94477E-79C4-4FA1-B9AE-BFEBA3D2C1C4" style="width:450.4pt;height:424.4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rStyle w:val="Marker"/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rPr>
          <w:noProof/>
        </w:rPr>
      </w:pPr>
    </w:p>
    <w:p>
      <w:pPr>
        <w:spacing w:after="240" w:line="360" w:lineRule="auto"/>
        <w:jc w:val="center"/>
        <w:rPr>
          <w:rFonts w:eastAsia="Times New Roman"/>
          <w:b/>
          <w:noProof/>
          <w:szCs w:val="20"/>
          <w:u w:val="single"/>
        </w:rPr>
      </w:pPr>
      <w:r>
        <w:rPr>
          <w:b/>
          <w:noProof/>
          <w:szCs w:val="20"/>
          <w:u w:val="single"/>
        </w:rPr>
        <w:t>Позицията, която трябва да се заеме от името на Съюза на срещите на страните по Споразумението за предотвратяване на нерегулирания риболов в открито море в централната част на Северния ледовит океан („Споразумението“)</w:t>
      </w:r>
    </w:p>
    <w:p>
      <w:pPr>
        <w:spacing w:after="240" w:line="360" w:lineRule="auto"/>
        <w:rPr>
          <w:rFonts w:eastAsia="Times New Roman"/>
          <w:b/>
          <w:noProof/>
          <w:szCs w:val="20"/>
          <w:u w:val="single"/>
        </w:rPr>
      </w:pPr>
    </w:p>
    <w:p>
      <w:pPr>
        <w:spacing w:after="240"/>
        <w:rPr>
          <w:rFonts w:eastAsia="Times New Roman"/>
          <w:b/>
          <w:noProof/>
          <w:szCs w:val="20"/>
        </w:rPr>
      </w:pPr>
      <w:r>
        <w:rPr>
          <w:b/>
          <w:noProof/>
          <w:szCs w:val="20"/>
        </w:rPr>
        <w:t xml:space="preserve">1. </w:t>
      </w:r>
      <w:r>
        <w:rPr>
          <w:noProof/>
        </w:rPr>
        <w:tab/>
      </w:r>
      <w:r>
        <w:rPr>
          <w:b/>
          <w:noProof/>
          <w:szCs w:val="20"/>
        </w:rPr>
        <w:t>ПРИНЦИПИ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В рамките на срещите на страните по Споразумението Съюзът:</w:t>
      </w:r>
    </w:p>
    <w:p>
      <w:pPr>
        <w:spacing w:before="0" w:after="240"/>
        <w:ind w:left="720" w:hanging="720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действа в съответствие с целите и принципите, които си е поставил в рамките на общата политика в областта на рибарството, определена с Регламент (ЕС) № 1380/2013, по-специално като се придържа към подхода на предпазливост, както е посочено в член 2, параграф 2 от същия регламент, така че да се насърчи прилагането на екосистемен подход към управлението на рибарството, да се сведе до минимум въздействието на риболовните дейности върху морските екосистеми и техните местообитания, както и да се осигури — посредством насърчаване на икономически жизнеспособен и конкурентоспособен сектор на рибарството в Съюза — справедлив жизнен стандарт за хората, чийто поминък зависи от риболовните дейности, при отчитане на интересите на потребителите; 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б)</w:t>
      </w:r>
      <w:r>
        <w:rPr>
          <w:noProof/>
        </w:rPr>
        <w:tab/>
        <w:t>работи за адекватно участие на заинтересованите страни, включително на съответните научни и технически организации, органи и програми, както и на коренните и местните познания в етапа на изготвяне на мерките на заседанията на страните, включително на заседанията на научните експерти по Споразумението, и гарантира, че тези мерки съответстват на Споразумението;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в)</w:t>
      </w:r>
      <w:r>
        <w:rPr>
          <w:noProof/>
        </w:rPr>
        <w:tab/>
        <w:t>гарантира, че приетите в рамките на Споразумението мерки са съгласувани с международното право, и по-специално с разпоредбите на Конвенцията на ООН по морско право (UNCLOS)</w:t>
      </w:r>
      <w:r>
        <w:rPr>
          <w:rStyle w:val="FootnoteReference"/>
          <w:noProof/>
        </w:rPr>
        <w:footnoteReference w:id="1"/>
      </w:r>
      <w:r>
        <w:rPr>
          <w:noProof/>
        </w:rPr>
        <w:t>, Споразумението от 1995 г., свързано с опазването и управлението на трансгранично преминаващите и далекомигриращите рибни запаси (UNFSA)</w:t>
      </w:r>
      <w:r>
        <w:rPr>
          <w:rStyle w:val="FootnoteReference"/>
          <w:noProof/>
        </w:rPr>
        <w:footnoteReference w:id="2"/>
      </w:r>
      <w:r>
        <w:rPr>
          <w:noProof/>
        </w:rPr>
        <w:t>, Споразумението от 1993 г. за насърчаване на спазването на международните мерки за опазване и управление от риболовните кораби в открито море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Споразумението на Организацията за прехрана и земеделие от 2009 г. за мерките на пристанищната държава</w:t>
      </w:r>
      <w:r>
        <w:rPr>
          <w:rStyle w:val="FootnoteReference"/>
          <w:noProof/>
        </w:rPr>
        <w:footnoteReference w:id="4"/>
      </w:r>
      <w:r>
        <w:rPr>
          <w:noProof/>
        </w:rPr>
        <w:t>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г)</w:t>
      </w:r>
      <w:r>
        <w:rPr>
          <w:noProof/>
        </w:rPr>
        <w:tab/>
        <w:t>насърчава позициите, съгласувани с най-добрите практики на регионалните организации за управление на рибарството (РОУР) в съответната зона;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 xml:space="preserve">д) </w:t>
      </w:r>
      <w:r>
        <w:rPr>
          <w:noProof/>
        </w:rPr>
        <w:tab/>
        <w:t>се стреми към съгласуваност и полезно взаимодействие с провежданата от него политика в рамките на двустранните му отношения в областта на рибарството с трети държави и гарантира съгласуваност с другите си политики — по-</w:t>
      </w:r>
      <w:r>
        <w:rPr>
          <w:noProof/>
        </w:rPr>
        <w:lastRenderedPageBreak/>
        <w:t>специално в областта на външните отношения, заетостта, околната среда, търговията, развитието, научните изследвания и иновациите;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е)</w:t>
      </w:r>
      <w:r>
        <w:rPr>
          <w:noProof/>
        </w:rPr>
        <w:tab/>
        <w:t>гарантира спазването на своите международни ангажименти;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ж)</w:t>
      </w:r>
      <w:r>
        <w:rPr>
          <w:noProof/>
        </w:rPr>
        <w:tab/>
        <w:t>се придържа към заключенията на Съвета от 19 март 2012 г. във връзка със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5"/>
      </w:r>
      <w:r>
        <w:rPr>
          <w:noProof/>
        </w:rPr>
        <w:t>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з)</w:t>
      </w:r>
      <w:r>
        <w:rPr>
          <w:noProof/>
        </w:rPr>
        <w:tab/>
        <w:t>се стреми да създаде равноправни условия за флота на Съюза в зоната на Споразумението въз основа на същите принципи и стандарти като тези, приложими съгласно правото на Съюза, и насърчава еднаквото прилагане на тези принципи и стандарти;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и)</w:t>
      </w:r>
      <w:r>
        <w:rPr>
          <w:noProof/>
        </w:rPr>
        <w:tab/>
        <w:t>се придържа към заключенията на Съвета относно океаните и моретата, включително Арктическия регион</w:t>
      </w:r>
      <w:r>
        <w:rPr>
          <w:rStyle w:val="FootnoteReference"/>
          <w:rFonts w:eastAsia="Times New Roman"/>
          <w:noProof/>
          <w:szCs w:val="20"/>
        </w:rPr>
        <w:footnoteReference w:id="6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за интегрирана политика на Европейския съюз за Арктика</w:t>
      </w:r>
      <w:r>
        <w:rPr>
          <w:rStyle w:val="FootnoteReference"/>
          <w:rFonts w:eastAsia="Times New Roman"/>
          <w:noProof/>
          <w:szCs w:val="20"/>
        </w:rPr>
        <w:footnoteReference w:id="7"/>
      </w:r>
      <w:r>
        <w:rPr>
          <w:noProof/>
        </w:rPr>
        <w:t>, заключенията на Съвета</w:t>
      </w:r>
      <w:r>
        <w:rPr>
          <w:rStyle w:val="FootnoteReference"/>
          <w:rFonts w:eastAsia="Times New Roman"/>
          <w:noProof/>
          <w:szCs w:val="20"/>
        </w:rPr>
        <w:footnoteReference w:id="8"/>
      </w:r>
      <w:r>
        <w:rPr>
          <w:noProof/>
        </w:rPr>
        <w:t xml:space="preserve"> относно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rFonts w:eastAsia="Times New Roman"/>
          <w:noProof/>
          <w:szCs w:val="20"/>
        </w:rPr>
        <w:footnoteReference w:id="9"/>
      </w:r>
      <w:r>
        <w:rPr>
          <w:noProof/>
        </w:rPr>
        <w:t>, и популяризира мерки за подпомагане и подобряване на ефективното прилагане на Споразумението като принос за устойчивото управление на океаните във всичките му измерения;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 xml:space="preserve">й) </w:t>
      </w:r>
      <w:r>
        <w:rPr>
          <w:noProof/>
        </w:rPr>
        <w:tab/>
        <w:t xml:space="preserve">насърчава координацията между Споразумението и съществуващите РОУР и регионалните морски конвенции, по-специално Комисията за риболова в североизточните части на Атлантическия океан (NEAFC) и сътрудничеството със световни организации, според случая, съгласно техните мандати; 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к)</w:t>
      </w:r>
      <w:r>
        <w:rPr>
          <w:noProof/>
        </w:rPr>
        <w:tab/>
        <w:t>подпомага активно създаването на съвместна програма за научни изследвания и наблюдение с цел подобряване на колективното разбиране на страните за екосистемите в открито море в централната част на Северния ледовит океан, и по-специално за да се установи дали са налице или ще бъдат налице рибни запаси, които могат да се експлоатират устойчиво, както и възможното въздействие на този вид риболов върху тези екосистеми;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л)</w:t>
      </w:r>
      <w:r>
        <w:rPr>
          <w:noProof/>
        </w:rPr>
        <w:tab/>
        <w:t>осигурява съвместимост между мерките за опазване и управление, въведени за запасите във водите под национална юрисдикция и мерките, приети по отношение на същите запаси в открито море в съответствие с член 118 от UNCLOS и член 8 от UNFSA;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м)</w:t>
      </w:r>
      <w:r>
        <w:rPr>
          <w:noProof/>
        </w:rPr>
        <w:tab/>
        <w:t>осигурява съгласуваност с интересите на Съюза в Арктика като регион с нарастващо стратегическо значение.</w:t>
      </w:r>
    </w:p>
    <w:p>
      <w:pPr>
        <w:spacing w:before="0" w:after="240"/>
        <w:rPr>
          <w:rFonts w:eastAsia="Times New Roman"/>
          <w:b/>
          <w:noProof/>
          <w:szCs w:val="20"/>
        </w:rPr>
      </w:pPr>
      <w:r>
        <w:rPr>
          <w:b/>
          <w:noProof/>
          <w:szCs w:val="20"/>
        </w:rPr>
        <w:t>2.</w:t>
      </w:r>
      <w:r>
        <w:rPr>
          <w:noProof/>
        </w:rPr>
        <w:tab/>
      </w:r>
      <w:r>
        <w:rPr>
          <w:b/>
          <w:noProof/>
          <w:szCs w:val="20"/>
        </w:rPr>
        <w:t>НАСОКИ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Когато е целесъобразно, на срещите на страните по Споразумението Съюзът се стреми да подкрепя приемането на мерки за опазване и управление, които са основани на най-добрите налични научни становища и подхода на предпазливост.</w:t>
      </w:r>
    </w:p>
    <w:p>
      <w:pPr>
        <w:spacing w:before="0" w:after="240"/>
        <w:rPr>
          <w:rFonts w:eastAsia="Times New Roman"/>
          <w:noProof/>
          <w:szCs w:val="20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spacing w:line="360" w:lineRule="auto"/>
        <w:rPr>
          <w:rStyle w:val="Marker"/>
          <w:noProof/>
        </w:rPr>
      </w:pPr>
      <w:r>
        <w:rPr>
          <w:noProof/>
        </w:rPr>
        <w:t>ПРИЛОЖЕНИЕ II</w:t>
      </w:r>
    </w:p>
    <w:p>
      <w:pPr>
        <w:spacing w:after="240" w:line="360" w:lineRule="auto"/>
        <w:jc w:val="center"/>
        <w:rPr>
          <w:rFonts w:eastAsia="Times New Roman"/>
          <w:b/>
          <w:noProof/>
          <w:szCs w:val="20"/>
          <w:u w:val="single"/>
        </w:rPr>
      </w:pPr>
      <w:r>
        <w:rPr>
          <w:noProof/>
        </w:rPr>
        <w:t xml:space="preserve"> </w:t>
      </w:r>
      <w:r>
        <w:rPr>
          <w:noProof/>
        </w:rPr>
        <w:br/>
      </w:r>
      <w:r>
        <w:rPr>
          <w:b/>
          <w:noProof/>
          <w:szCs w:val="20"/>
          <w:u w:val="single"/>
        </w:rPr>
        <w:t>Ежегодно уточняване на позицията, която трябва да се заеме от името на Съюза на срещите на страните по Споразумението за предотвратяване на нерегулирания риболов в открито море в централната част на Северния ледовит океан („Споразумението“)</w:t>
      </w:r>
    </w:p>
    <w:p>
      <w:pPr>
        <w:spacing w:before="0" w:after="0"/>
        <w:jc w:val="left"/>
        <w:rPr>
          <w:rFonts w:eastAsia="Times New Roman"/>
          <w:noProof/>
          <w:szCs w:val="20"/>
        </w:rPr>
      </w:pP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Преди всяка среща на страните по Споразумението, когато този орган има за задача да приема решения с правно действие за Съюза, трябва да бъдат предприети необходимите действия, така че в позицията, която ще бъде изразена от името на Съюза, да бъде взета под внимание най-актуалната научна и друга важна информация, предадена на Комисията, в съответствие с принципите и насоките, определени в приложение I.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За тази цел и въз основа на посочената информация Комисията представя на Съвета достатъчно рано преди всяка среща на страните по Споразумението писмен документ, съдържащ елементите във връзка с предложеното уточняване на позицията, която трябва да бъде изразена от името на Съюза, за обсъждане и одобряване на детайлите по нея.</w:t>
      </w:r>
    </w:p>
    <w:p>
      <w:pPr>
        <w:spacing w:before="0" w:after="240"/>
        <w:rPr>
          <w:rFonts w:eastAsia="Times New Roman"/>
          <w:noProof/>
          <w:szCs w:val="20"/>
        </w:rPr>
      </w:pPr>
      <w:r>
        <w:rPr>
          <w:noProof/>
        </w:rPr>
        <w:t>Ако по време на срещата на страните по Споразумението не е възможно да се постигне споразумение — включително на място — позволяващо отразяването на нови елементи в позицията на Съюза, въпросът трябва да бъде отнесен до Съвета или до подготвителните му органи.</w:t>
      </w:r>
    </w:p>
    <w:p>
      <w:pPr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_____________________</w:t>
      </w:r>
    </w:p>
    <w:p>
      <w:pPr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179, 23.6.1998 г., стр. 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189, 3.7.1998 г., стр. 16.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ОВ L 177, 16.7.1996 г., стр. 26.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 191, 22.7.2011 г., стр. 3.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Док. 7087/12 REV 1 ADD 1 COR 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14249/19 от 19.11.2019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JOIN(2016) 21 final от 27.4.2016 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7348/1/17 REV 1 от 24.3.2017 г.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JOIN(2016) 49 final от 10.11.2016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3F4E7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DAAD7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56226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4CB8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264E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03E47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E849A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7E61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nl-NL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24 09:35:34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F94477E-79C4-4FA1-B9AE-BFEBA3D2C1C4"/>
    <w:docVar w:name="LW_COVERPAGE_TYPE" w:val="1"/>
    <w:docVar w:name="LW_CROSSREFERENCE" w:val="&lt;UNUSED&gt;"/>
    <w:docVar w:name="LW_DocType" w:val="ANNEX"/>
    <w:docVar w:name="LW_EMISSION" w:val="31.8.2020"/>
    <w:docVar w:name="LW_EMISSION_ISODATE" w:val="2020-08-3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89?\u1088?\u1077?\u1097?\u1072?\u1090?\u1072? \u1085?\u1072? \u1089?\u1090?\u1088?\u1072?\u1085?\u1080?\u1090?\u1077? \u1087?\u1086? \u1057?\u1087?\u1086?\u1088?\u1072?\u1079?\u1091?\u1084?\u1077?\u1085?\u1080?\u1077?\u1090?\u1086? \u1079?\u1072? \u1087?\u1088?\u1077?\u1076?\u1086?\u1090?\u1074?\u1088?\u1072?\u1090?\u1103?\u1074?\u1072?\u1085?\u1077? \u1085?\u1072? \u1085?\u1077?\u1088?\u1077?\u1075?\u1091?\u1083?\u1080?\u1088?\u1072?\u1085?\u1080?\u1103? \u1088?\u1080?\u1073?\u1086?\u1083?\u1086?\u1074? \u1074? \u1086?\u1090?\u1082?\u1088?\u1080?\u1090?\u1086? \u1084?\u1086?\u1088?\u1077? \u1074? \u1094?\u1077?\u1085?\u1090?\u1088?\u1072?\u1083?\u1085?\u1072?\u1090?\u1072? \u1095?\u1072?\u1089?\u1090? \u1085?\u1072? \u1057?\u1077?\u1074?\u1077?\u1088?\u1085?\u1080?\u1103? \u1083?\u1077?\u1076?\u1086?\u1074?\u1080?\u1090? \u1086?\u1082?\u1077?\u1072?\u1085?&lt;/FMT&gt;_x000d__x000d__x000d__x000b__x000d__x000d__x000d__x000d__x000d__x000d__x000d__x000d__x000d__x000d__x000b_"/>
    <w:docVar w:name="LW_OBJETACTEPRINCIPAL.CP" w:val="&lt;FMT:Bold&gt;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89?\u1088?\u1077?\u1097?\u1072?\u1090?\u1072? \u1085?\u1072? \u1089?\u1090?\u1088?\u1072?\u1085?\u1080?\u1090?\u1077? \u1087?\u1086? \u1057?\u1087?\u1086?\u1088?\u1072?\u1079?\u1091?\u1084?\u1077?\u1085?\u1080?\u1077?\u1090?\u1086? \u1079?\u1072? \u1087?\u1088?\u1077?\u1076?\u1086?\u1090?\u1074?\u1088?\u1072?\u1090?\u1103?\u1074?\u1072?\u1085?\u1077? \u1085?\u1072? \u1085?\u1077?\u1088?\u1077?\u1075?\u1091?\u1083?\u1080?\u1088?\u1072?\u1085?\u1080?\u1103? \u1088?\u1080?\u1073?\u1086?\u1083?\u1086?\u1074? \u1074? \u1086?\u1090?\u1082?\u1088?\u1080?\u1090?\u1086? \u1084?\u1086?\u1088?\u1077? \u1074? \u1094?\u1077?\u1085?\u1090?\u1088?\u1072?\u1083?\u1085?\u1072?\u1090?\u1072? \u1095?\u1072?\u1089?\u1090? \u1085?\u1072? \u1057?\u1077?\u1074?\u1077?\u1088?\u1085?\u1080?\u1103? \u1083?\u1077?\u1076?\u1086?\u1074?\u1080?\u1090? \u1086?\u1082?\u1077?\u1072?\u1085?&lt;/FMT&gt;_x000d__x000d__x000d__x000b__x000d__x000d__x000d__x000d__x000d__x000d_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4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45?\u1064?\u1045?\u1053?\u1048?\u1045? \u1053?\u1040? \u1057?\u1066?\u1042?\u1045?\u1058?\u1040?"/>
    <w:docVar w:name="LW_TYPEACTEPRINCIPAL.CP" w:val="\u1055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pPr>
      <w:spacing w:before="0" w:after="24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08A8A4-047B-49F6-81B6-D784E090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913</Words>
  <Characters>5356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 Roderick (MARE)</dc:creator>
  <cp:keywords/>
  <dc:description/>
  <cp:lastModifiedBy>WES PDFC Administrator</cp:lastModifiedBy>
  <cp:revision>9</cp:revision>
  <dcterms:created xsi:type="dcterms:W3CDTF">2020-08-21T08:16:00Z</dcterms:created>
  <dcterms:modified xsi:type="dcterms:W3CDTF">2020-08-24T07:35:00Z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