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FE3345-F79E-4F8A-B561-BFBBA7653B13" style="width:451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 за установяване на позицията, която трябва да се заеме от името на Съюза на заседанията на срещата на страните по Споразумението за предотвратяване на нерегулирания риболов в открито море в централната част на Северния ледовит океан във връзка с предвиденото приемане на мерки за опазване и управление.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предотвратяване на нерегулирания риболов в открито море в централната част на Северния ледовит океан</w:t>
      </w:r>
    </w:p>
    <w:p>
      <w:pPr>
        <w:rPr>
          <w:rFonts w:eastAsia="Arial Unicode MS"/>
          <w:noProof/>
        </w:rPr>
      </w:pPr>
      <w:r>
        <w:rPr>
          <w:noProof/>
        </w:rPr>
        <w:t>Споразумението за предотвратяване на нерегулирания риболов в открито море в централната част на Северния ледовит океан („Споразумението“) има за цел да предотврати нерегулирания риболов в открито море в централната част на Северния ледовит океан чрез прилагането на предпазни мерки за опазване и управление като част от дългосрочна стратегия за опазване на морските екосистеми в добро състояние и за гарантиране на опазването и устойчивото използване на рибните запаси. Очаква се Споразумението да влезе в сила по-късно тази година.</w:t>
      </w:r>
    </w:p>
    <w:p>
      <w:pPr>
        <w:rPr>
          <w:rFonts w:eastAsia="Arial Unicode MS"/>
          <w:noProof/>
        </w:rPr>
      </w:pPr>
      <w:r>
        <w:rPr>
          <w:noProof/>
        </w:rPr>
        <w:t>Съюзът е страна по Споразумението</w:t>
      </w:r>
      <w:r>
        <w:rPr>
          <w:rStyle w:val="FootnoteReference"/>
          <w:rFonts w:eastAsia="Arial Unicode MS"/>
          <w:noProof/>
        </w:rPr>
        <w:footnoteReference w:id="1"/>
      </w:r>
      <w:r>
        <w:rPr>
          <w:noProof/>
        </w:rPr>
        <w:t>.</w:t>
      </w:r>
    </w:p>
    <w:p>
      <w:pPr>
        <w:pStyle w:val="ManualHeading2"/>
        <w:rPr>
          <w:noProof/>
        </w:rPr>
      </w:pPr>
      <w:r>
        <w:t>2.2.</w:t>
      </w:r>
      <w:r>
        <w:tab/>
      </w:r>
      <w:r>
        <w:rPr>
          <w:noProof/>
        </w:rPr>
        <w:t xml:space="preserve">Срещата на страните </w:t>
      </w:r>
    </w:p>
    <w:p>
      <w:pPr>
        <w:rPr>
          <w:rFonts w:eastAsia="Arial Unicode MS"/>
          <w:noProof/>
        </w:rPr>
      </w:pPr>
      <w:r>
        <w:rPr>
          <w:noProof/>
        </w:rPr>
        <w:t>Срещата на страните е органът за вземане на решения съгласно Споразумението. Тя се свиква на всеки две години или по-често, ако бъде взето такова решение. Решенията по процедурни въпроси се вземат с мнозинство, а решенията по същество се вземат с консенсус. Съюзът има право на участие и право на глас.</w:t>
      </w:r>
    </w:p>
    <w:p>
      <w:pPr>
        <w:pStyle w:val="ManualHeading2"/>
        <w:rPr>
          <w:noProof/>
        </w:rPr>
      </w:pPr>
      <w:r>
        <w:t>2.3.</w:t>
      </w:r>
      <w:r>
        <w:tab/>
      </w:r>
      <w:r>
        <w:rPr>
          <w:noProof/>
        </w:rPr>
        <w:t>Решения на срещата на страните</w:t>
      </w:r>
    </w:p>
    <w:p>
      <w:pPr>
        <w:rPr>
          <w:rFonts w:eastAsia="Arial Unicode MS"/>
          <w:noProof/>
        </w:rPr>
      </w:pPr>
      <w:r>
        <w:rPr>
          <w:noProof/>
        </w:rPr>
        <w:t xml:space="preserve">Срещата на страните има правомощието да приема мерки за опазване и управление, които да бъдат обвързващи за страните. </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Предлага се позицията, която да се заеме от името на Съюза на срещите на страните, да бъде установена в съответствие с двустепенен подход. С решение на Съвета ще се определят ръководните принципи и насоки на позицията на Съюза на многогодишна основа, която позиция впоследствие се коригира за всяка среща посредством неофициални документи на Комисията, предназначени за обсъждане в работната група на Съвета.</w:t>
      </w:r>
    </w:p>
    <w:p>
      <w:pPr>
        <w:rPr>
          <w:rFonts w:eastAsia="Arial Unicode MS"/>
          <w:noProof/>
        </w:rPr>
      </w:pPr>
      <w:r>
        <w:rPr>
          <w:noProof/>
        </w:rPr>
        <w:t>Този подход се прилага понастоящем и в регионалните организации за управление на рибарството (РОУР) и в позицията, която трябва да се заеме от името на Съюза по време на тези срещи.</w:t>
      </w:r>
    </w:p>
    <w:p>
      <w:pPr>
        <w:rPr>
          <w:noProof/>
        </w:rPr>
      </w:pPr>
      <w:r>
        <w:rPr>
          <w:noProof/>
        </w:rPr>
        <w:t xml:space="preserve">Настоящото решение включва принципите и насоките на новата обща политика в областта на рибарството, определени в Регламент (ЕС) № 1380/2013 на Европейския </w:t>
      </w:r>
      <w:r>
        <w:rPr>
          <w:noProof/>
        </w:rPr>
        <w:lastRenderedPageBreak/>
        <w:t>парламент и на Съвета</w:t>
      </w:r>
      <w:r>
        <w:rPr>
          <w:rStyle w:val="FootnoteReference"/>
          <w:rFonts w:eastAsia="Arial Unicode MS"/>
          <w:noProof/>
        </w:rPr>
        <w:footnoteReference w:id="2"/>
      </w:r>
      <w:r>
        <w:rPr>
          <w:noProof/>
        </w:rPr>
        <w:t>, като се вземат предвид и целите, формулирани в Съобщението на Комисията относно външното измерение на общата политика в областта на рибарството</w:t>
      </w:r>
      <w:r>
        <w:rPr>
          <w:rStyle w:val="FootnoteReference"/>
          <w:rFonts w:eastAsia="Arial Unicode MS"/>
          <w:noProof/>
        </w:rPr>
        <w:footnoteReference w:id="3"/>
      </w:r>
      <w:r>
        <w:rPr>
          <w:noProof/>
        </w:rPr>
        <w:t>. В него също така се вземат под внимание заключенията на Съвета относно океаните и моретата, включително Арктическия регион</w:t>
      </w:r>
      <w:r>
        <w:rPr>
          <w:rStyle w:val="FootnoteReference"/>
          <w:rFonts w:eastAsia="Arial Unicode MS"/>
          <w:noProof/>
        </w:rPr>
        <w:footnoteReference w:id="4"/>
      </w:r>
      <w:r>
        <w:rPr>
          <w:noProof/>
        </w:rPr>
        <w:t>, съвместното съобщение на върховния представител на Съюза по въпросите на външните работи и политиката на сигурност и на Европейската комисия за интегрирана политика на Европейския съюз за Арктика</w:t>
      </w:r>
      <w:r>
        <w:rPr>
          <w:rStyle w:val="FootnoteReference"/>
          <w:noProof/>
        </w:rPr>
        <w:footnoteReference w:id="5"/>
      </w:r>
      <w:r>
        <w:rPr>
          <w:noProof/>
        </w:rPr>
        <w:t>, и заключенията на Съвета</w:t>
      </w:r>
      <w:r>
        <w:rPr>
          <w:rStyle w:val="FootnoteReference"/>
          <w:noProof/>
        </w:rPr>
        <w:footnoteReference w:id="6"/>
      </w:r>
      <w:r>
        <w:rPr>
          <w:noProof/>
        </w:rPr>
        <w:t xml:space="preserve"> относно съвместното съобщение на върховния представител на Съюза по въпросите на външните работи и политиката на сигурност и на Комисията на тема „Международно управление на океаните: приносът на ЕС за отговорното управление на океаните“</w:t>
      </w:r>
      <w:r>
        <w:rPr>
          <w:rStyle w:val="FootnoteReference"/>
          <w:noProof/>
        </w:rPr>
        <w:footnoteReference w:id="7"/>
      </w:r>
      <w:r>
        <w:rPr>
          <w:noProof/>
        </w:rPr>
        <w:t>.</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8"/>
      </w:r>
      <w:r>
        <w:rPr>
          <w:noProof/>
        </w:rPr>
        <w:t>.</w:t>
      </w:r>
    </w:p>
    <w:p>
      <w:pPr>
        <w:pStyle w:val="ManualHeading3"/>
        <w:rPr>
          <w:noProof/>
        </w:rPr>
      </w:pPr>
      <w:r>
        <w:t>4.1.2.</w:t>
      </w:r>
      <w:r>
        <w:tab/>
      </w:r>
      <w:r>
        <w:rPr>
          <w:noProof/>
        </w:rPr>
        <w:t>Приложение в конкретния случай</w:t>
      </w:r>
    </w:p>
    <w:p>
      <w:pPr>
        <w:rPr>
          <w:noProof/>
        </w:rPr>
      </w:pPr>
      <w:r>
        <w:rPr>
          <w:noProof/>
        </w:rPr>
        <w:t>Срещата на страните е орган, създаден със споразумение, а именно Споразумението за предотвратяване на нерегулирания риболов в открито море в централната част на Северния ледовит океан.</w:t>
      </w:r>
    </w:p>
    <w:p>
      <w:pPr>
        <w:rPr>
          <w:noProof/>
        </w:rPr>
      </w:pPr>
      <w:r>
        <w:rPr>
          <w:noProof/>
        </w:rPr>
        <w:t>Актовете, които срещата на страните има за задача да приеме, представляват актове с правно действие. Предвидените актове на срещата на страните ще бъдат обвързващи съгласно международното право и могат да окажат съществено въздействие върху съдържанието на законодателството на ЕС, а именно:</w:t>
      </w:r>
    </w:p>
    <w:p>
      <w:pPr>
        <w:pStyle w:val="Bullet0"/>
        <w:numPr>
          <w:ilvl w:val="0"/>
          <w:numId w:val="1"/>
        </w:numPr>
        <w:rPr>
          <w:noProof/>
        </w:rPr>
      </w:pPr>
      <w:r>
        <w:rPr>
          <w:noProof/>
        </w:rPr>
        <w:t>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r>
        <w:rPr>
          <w:rStyle w:val="FootnoteReference"/>
          <w:noProof/>
        </w:rPr>
        <w:footnoteReference w:id="9"/>
      </w:r>
      <w:r>
        <w:rPr>
          <w:noProof/>
        </w:rPr>
        <w:t xml:space="preserve">; </w:t>
      </w:r>
    </w:p>
    <w:p>
      <w:pPr>
        <w:pStyle w:val="Bullet0"/>
        <w:rPr>
          <w:noProof/>
        </w:rPr>
      </w:pPr>
      <w:r>
        <w:rPr>
          <w:noProof/>
        </w:rPr>
        <w:lastRenderedPageBreak/>
        <w:t>Регламент (ЕО) № 1224/2009 на Съвета за създаване на система за контрол на Съюза за гарантиране на спазването на правилата на ОПОР</w:t>
      </w:r>
      <w:r>
        <w:rPr>
          <w:rStyle w:val="FootnoteReference"/>
          <w:noProof/>
        </w:rPr>
        <w:footnoteReference w:id="10"/>
      </w:r>
      <w:r>
        <w:rPr>
          <w:noProof/>
        </w:rPr>
        <w:t xml:space="preserve">; и </w:t>
      </w:r>
    </w:p>
    <w:p>
      <w:pPr>
        <w:pStyle w:val="Bullet0"/>
        <w:rPr>
          <w:noProof/>
        </w:rPr>
      </w:pPr>
      <w:r>
        <w:rPr>
          <w:noProof/>
        </w:rPr>
        <w:t>Регламент (ЕС) 2017/2403 на Европейския парламент и на Съвета от 12 декември 2017 г. относно устойчивото управление на външните риболовни флотове</w:t>
      </w:r>
      <w:r>
        <w:rPr>
          <w:rStyle w:val="FootnoteReference"/>
          <w:noProof/>
        </w:rPr>
        <w:footnoteReference w:id="11"/>
      </w:r>
      <w:r>
        <w:rPr>
          <w:noProof/>
        </w:rPr>
        <w:t>.</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предвидените актове са свързани с риболова. Правното основание при определяне на принципите, които трябва да бъдат отразени в настоящата позиция, е Регламент (ЕС) № 1380/2013.</w:t>
      </w:r>
    </w:p>
    <w:p>
      <w:pPr>
        <w:rPr>
          <w:noProof/>
        </w:rPr>
      </w:pPr>
      <w:r>
        <w:rPr>
          <w:noProof/>
        </w:rPr>
        <w:t xml:space="preserve">Поради това материалноправното основание за предложеното решение е член 43, параграф 2 от ДФЕС.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43</w:t>
      </w:r>
      <w:r>
        <w:t>,</w:t>
      </w:r>
      <w:r>
        <w:rPr>
          <w:noProof/>
        </w:rPr>
        <w:t xml:space="preserve"> параграф 2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срещата на страните по Споразумението за предотвратяване на нерегулирания риболов в открито море в централната част на Северния ледовит океан</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предотвратяване на нерегулирания риболов в открито море в централната част на Северния ледовит океан („Споразумението“) беше сключено от Съюза с Решение (ЕС) 2019/407 на Съвета</w:t>
      </w:r>
      <w:r>
        <w:rPr>
          <w:rStyle w:val="FootnoteReference"/>
          <w:noProof/>
        </w:rPr>
        <w:footnoteReference w:id="12"/>
      </w:r>
      <w:r>
        <w:rPr>
          <w:noProof/>
        </w:rPr>
        <w:t>. Очаква се Споразумението да влезе в сила по-късно тази година.</w:t>
      </w:r>
    </w:p>
    <w:p>
      <w:pPr>
        <w:pStyle w:val="ManualConsidrant"/>
        <w:rPr>
          <w:noProof/>
        </w:rPr>
      </w:pPr>
      <w:r>
        <w:t>(2)</w:t>
      </w:r>
      <w:r>
        <w:tab/>
      </w:r>
      <w:r>
        <w:rPr>
          <w:noProof/>
        </w:rPr>
        <w:t>Срещата на страните отговаря за приемането на мерки, предназначени да гарантират прилагането на Споразумението, за да се постигне целта за предотвратяване на нерегулирания риболов в открито море в централната част на Северния ледовит океан чрез прилагането на предпазни мерки за опазване и управление като част от дългосрочна стратегия за опазване на морските екосистеми в добро състояние и за гарантиране на опазването и устойчивото използване на рибните запаси. Мерките могат да придобият обвързващ характер по отношение на Съюза.</w:t>
      </w:r>
    </w:p>
    <w:p>
      <w:pPr>
        <w:pStyle w:val="ManualConsidrant"/>
        <w:rPr>
          <w:noProof/>
        </w:rPr>
      </w:pPr>
      <w:r>
        <w:t>(3)</w:t>
      </w:r>
      <w:r>
        <w:tab/>
      </w:r>
      <w:r>
        <w:rPr>
          <w:noProof/>
        </w:rPr>
        <w:t>В Регламент (ЕС) № 1380/2013 на Европейския парламент и на Съвета</w:t>
      </w:r>
      <w:r>
        <w:rPr>
          <w:rStyle w:val="FootnoteReference"/>
          <w:noProof/>
        </w:rPr>
        <w:footnoteReference w:id="13"/>
      </w:r>
      <w:r>
        <w:rPr>
          <w:noProof/>
        </w:rPr>
        <w:t xml:space="preserve"> се предвижда задължение за Съюза да гарантира, че дейностите, свързани с риболова и аквакултурите,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осигуряване на продоволственото снабдяване. В него също така се посочва, че Съюзът трябва да прилага подхода на предпазливост към управлението на рибарството, като целта е да се гарантира, че експлоатацията на морските биологични ресурси осигурява възстановяването и поддържането на популациите на улавяните видове над нивата, позволяващи максимален устойчив улов. Наред с това в регламента се предвижда задължение за Съюза да предприема мерки за опазване и управление въз основа на най-добрите налични научни становища, да оказва подкрепа при </w:t>
      </w:r>
      <w:r>
        <w:rPr>
          <w:noProof/>
        </w:rPr>
        <w:lastRenderedPageBreak/>
        <w:t>развитието на научните познания и становища, постепенно да премахне изхвърлянето на улов и да насърчава методи за риболов, които допринасят за по-селективен риболов, за избягване и, доколкото е възможно, за намаляване на нежелания улов, както и за риболов, който има слабо въздействие върху морските екосистеми и рибните ресурси. Освен това Регламент (ЕС) № 1380/2013 изрично предвижда, че Съюзът трябва да прилага тези цели и принципи при осъществяването на своите външни отношения в областта на рибарството.</w:t>
      </w:r>
    </w:p>
    <w:p>
      <w:pPr>
        <w:pStyle w:val="ManualConsidrant"/>
        <w:rPr>
          <w:noProof/>
        </w:rPr>
      </w:pPr>
      <w:r>
        <w:t>(4)</w:t>
      </w:r>
      <w:r>
        <w:tab/>
      </w:r>
      <w:r>
        <w:rPr>
          <w:noProof/>
        </w:rPr>
        <w:t>Както се посочва в заключенията на Съвета относно океаните и моретата, включително Арктическия регион</w:t>
      </w:r>
      <w:r>
        <w:rPr>
          <w:rStyle w:val="FootnoteReference"/>
          <w:noProof/>
        </w:rPr>
        <w:footnoteReference w:id="14"/>
      </w:r>
      <w:r>
        <w:rPr>
          <w:noProof/>
        </w:rPr>
        <w:t>, съвместното съобщение на върховния представител на Съюза по въпросите на външните работи и политиката на сигурност и на Европейската комисия за интегрирана политика на Европейския съюз за Арктика</w:t>
      </w:r>
      <w:r>
        <w:rPr>
          <w:rStyle w:val="FootnoteReference"/>
          <w:noProof/>
        </w:rPr>
        <w:footnoteReference w:id="15"/>
      </w:r>
      <w:r>
        <w:rPr>
          <w:noProof/>
        </w:rPr>
        <w:t>, и заключенията на Съвета</w:t>
      </w:r>
      <w:r>
        <w:rPr>
          <w:rStyle w:val="FootnoteReference"/>
          <w:noProof/>
        </w:rPr>
        <w:footnoteReference w:id="16"/>
      </w:r>
      <w:r>
        <w:rPr>
          <w:noProof/>
        </w:rPr>
        <w:t xml:space="preserve"> относно съвместното съобщение на върховния представител на Съюза по въпросите на външните работи и политиката на сигурност и на Европейската комисия на тема „Международно управление на океаните: приносът на ЕС за отговорното управление на океаните“</w:t>
      </w:r>
      <w:r>
        <w:rPr>
          <w:rStyle w:val="FootnoteReference"/>
          <w:noProof/>
        </w:rPr>
        <w:footnoteReference w:id="17"/>
      </w:r>
      <w:r>
        <w:rPr>
          <w:noProof/>
        </w:rPr>
        <w:t>, подкрепата за Споразумението и евентуалното създаване на регионална организация за управление на рибарството или договореност за риболова в открито море в Арктическия регион е важна цел за Съюза с оглед опазването на арктическата околна среда и осигуряването на устойчиво развитие в и около Арктическия регион на основата на международното сътрудничество.</w:t>
      </w:r>
    </w:p>
    <w:p>
      <w:pPr>
        <w:pStyle w:val="ManualConsidrant"/>
        <w:rPr>
          <w:noProof/>
        </w:rPr>
      </w:pPr>
      <w:r>
        <w:t>(5)</w:t>
      </w:r>
      <w:r>
        <w:tab/>
      </w:r>
      <w:r>
        <w:rPr>
          <w:noProof/>
        </w:rPr>
        <w:t>Целесъобразно е да се установи позицията, която трябва да се заеме от името на Съюза на срещата на страните по Споразумението за периода 2020—2024 г., тъй като мерките за опазване и управление съгласно Споразумението ще бъдат обвързващи за Съюза и могат да окажат съществено въздействие върху съдържанието на неговото законодателство, а именно регламенти (ЕО) № 1005/2008</w:t>
      </w:r>
      <w:r>
        <w:rPr>
          <w:rStyle w:val="FootnoteReference"/>
          <w:noProof/>
        </w:rPr>
        <w:footnoteReference w:id="18"/>
      </w:r>
      <w:r>
        <w:rPr>
          <w:noProof/>
        </w:rPr>
        <w:t xml:space="preserve"> и (ЕО) № 1224/2009</w:t>
      </w:r>
      <w:r>
        <w:rPr>
          <w:rStyle w:val="FootnoteReference"/>
          <w:noProof/>
        </w:rPr>
        <w:footnoteReference w:id="19"/>
      </w:r>
      <w:r>
        <w:rPr>
          <w:noProof/>
        </w:rPr>
        <w:t xml:space="preserve"> на Съвета и Регламент (ЕС) 2017/2403 на Европейския парламент и на Съвета</w:t>
      </w:r>
      <w:r>
        <w:rPr>
          <w:rStyle w:val="FootnoteReference"/>
          <w:noProof/>
        </w:rPr>
        <w:footnoteReference w:id="20"/>
      </w:r>
      <w:r>
        <w:rPr>
          <w:noProof/>
        </w:rPr>
        <w:t>.</w:t>
      </w:r>
    </w:p>
    <w:p>
      <w:pPr>
        <w:pStyle w:val="ManualConsidrant"/>
        <w:rPr>
          <w:noProof/>
        </w:rPr>
      </w:pPr>
      <w:r>
        <w:t>(6)</w:t>
      </w:r>
      <w:r>
        <w:tab/>
      </w:r>
      <w:r>
        <w:rPr>
          <w:noProof/>
        </w:rPr>
        <w:t xml:space="preserve">Предвид ограничените познания и характера на рибните ресурси в зоната на Споразумението и произтичащата от това необходимост в позицията на Съюза да бъдат взети под внимание някои нови обстоятелства, включително новата научна и друга важна информация, представена преди или по време на срещите на страните, следва да бъдат установени процедури във връзка с ежегодното </w:t>
      </w:r>
      <w:r>
        <w:rPr>
          <w:noProof/>
        </w:rPr>
        <w:lastRenderedPageBreak/>
        <w:t>уточняване на позицията на Съюза за периода 2020—2024 г., които са съобразени с принципа на лоялно сътрудничество между институциите на Съюза, залегнал в член 13, параграф 2 от Договора за Европейския съюз.</w:t>
      </w:r>
    </w:p>
    <w:p>
      <w:pPr>
        <w:pStyle w:val="ManualConsidrant"/>
        <w:rPr>
          <w:noProof/>
        </w:rPr>
      </w:pPr>
      <w:r>
        <w:t>(7)</w:t>
      </w:r>
      <w:r>
        <w:tab/>
      </w:r>
      <w:r>
        <w:rPr>
          <w:noProof/>
        </w:rPr>
        <w:t>Настоящото решение относно позицията, която трябва да се заеме от името на Съюза на срещите на страните по Споразумението може на по-късен етап да бъде последвано от допълнително отделно решение на Съвета относно започването на преговори за създаване на една или повече допълнителни регионални или подрегионални организации за управление на рибарството или договорености в открито море на Арктическия регион.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срещите на страните по Споразумението за предотвратяване на нерегулирания риболов в открито море в централната част на Северния ледовит океан („Споразумението“) е определена в приложение I.</w:t>
      </w:r>
    </w:p>
    <w:p>
      <w:pPr>
        <w:pStyle w:val="Titrearticle"/>
        <w:rPr>
          <w:noProof/>
        </w:rPr>
      </w:pPr>
      <w:r>
        <w:rPr>
          <w:noProof/>
        </w:rPr>
        <w:t>Член 2</w:t>
      </w:r>
    </w:p>
    <w:p>
      <w:pPr>
        <w:spacing w:before="0" w:after="240"/>
        <w:rPr>
          <w:rFonts w:eastAsia="Times New Roman"/>
          <w:noProof/>
          <w:szCs w:val="20"/>
        </w:rPr>
      </w:pPr>
      <w:r>
        <w:rPr>
          <w:noProof/>
        </w:rPr>
        <w:t xml:space="preserve">Ежегодното уточняване на позицията на Съюза, която трябва да се заеме на срещите на страните по Споразумението, се извършва в съответствие с приложение II. </w:t>
      </w:r>
    </w:p>
    <w:p>
      <w:pPr>
        <w:pStyle w:val="Titrearticle"/>
        <w:rPr>
          <w:noProof/>
        </w:rPr>
      </w:pPr>
      <w:r>
        <w:rPr>
          <w:noProof/>
        </w:rPr>
        <w:t>Член 3</w:t>
      </w:r>
    </w:p>
    <w:p>
      <w:pPr>
        <w:rPr>
          <w:noProof/>
        </w:rPr>
      </w:pPr>
      <w:r>
        <w:rPr>
          <w:noProof/>
        </w:rPr>
        <w:t>Позицията на Съюза, определена в приложение I, се оценява и при необходимост се преразглежда от Съвета по предложение на Комисията най-късно за срещата на страните по Споразумението през 2025 г.</w:t>
      </w:r>
    </w:p>
    <w:p>
      <w:pPr>
        <w:pStyle w:val="Titrearticle"/>
        <w:rPr>
          <w:noProof/>
        </w:rPr>
      </w:pPr>
      <w:r>
        <w:rPr>
          <w:noProof/>
        </w:rPr>
        <w:t>Член 4</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r>
      <w:r>
        <w:rPr>
          <w:noProof/>
        </w:rPr>
        <w:tab/>
      </w:r>
      <w:r>
        <w:rPr>
          <w:noProof/>
        </w:rPr>
        <w:tab/>
      </w:r>
      <w:r>
        <w:rPr>
          <w:noProof/>
        </w:rPr>
        <w:tab/>
        <w:t>За Съвета</w:t>
      </w:r>
    </w:p>
    <w:p>
      <w:pPr>
        <w:pStyle w:val="Personnequisigne"/>
        <w:rPr>
          <w:noProof/>
        </w:rPr>
      </w:pPr>
      <w:r>
        <w:rPr>
          <w:noProof/>
        </w:rPr>
        <w:tab/>
      </w:r>
      <w:r>
        <w:rPr>
          <w:noProof/>
        </w:rPr>
        <w:tab/>
      </w:r>
      <w:r>
        <w:rPr>
          <w:noProof/>
        </w:rPr>
        <w:tab/>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2019/407 на Съвета от 4 март 2019 г. относно сключването от името на Европейския съюз на Споразумение за предотвратяване на нерегулирания риболов в открито море в централната част на Северния ледовит океан (ОВ L 73, 15.3.2019 г., стр. 1).</w:t>
      </w:r>
    </w:p>
  </w:footnote>
  <w:footnote w:id="2">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pPr>
        <w:pStyle w:val="FootnoteText"/>
      </w:pPr>
      <w:r>
        <w:rPr>
          <w:rStyle w:val="FootnoteReference"/>
        </w:rPr>
        <w:footnoteRef/>
      </w:r>
      <w:r>
        <w:tab/>
        <w:t>COM(2011) 424, 13.7.2011 г.</w:t>
      </w:r>
    </w:p>
  </w:footnote>
  <w:footnote w:id="4">
    <w:p>
      <w:pPr>
        <w:pStyle w:val="FootnoteText"/>
      </w:pPr>
      <w:r>
        <w:rPr>
          <w:rStyle w:val="FootnoteReference"/>
        </w:rPr>
        <w:footnoteRef/>
      </w:r>
      <w:r>
        <w:tab/>
        <w:t>14249/19 от 19.11.2019 г.</w:t>
      </w:r>
    </w:p>
  </w:footnote>
  <w:footnote w:id="5">
    <w:p>
      <w:pPr>
        <w:pStyle w:val="FootnoteText"/>
      </w:pPr>
      <w:r>
        <w:rPr>
          <w:rStyle w:val="FootnoteReference"/>
        </w:rPr>
        <w:footnoteRef/>
      </w:r>
      <w:r>
        <w:tab/>
        <w:t>JOIN(2016) 21 final, 27.4.2016 г.</w:t>
      </w:r>
    </w:p>
  </w:footnote>
  <w:footnote w:id="6">
    <w:p>
      <w:pPr>
        <w:pStyle w:val="FootnoteText"/>
      </w:pPr>
      <w:r>
        <w:rPr>
          <w:rStyle w:val="FootnoteReference"/>
        </w:rPr>
        <w:footnoteRef/>
      </w:r>
      <w:r>
        <w:tab/>
        <w:t>7348/1/17 REV 1, 24.3.2017 г.</w:t>
      </w:r>
    </w:p>
  </w:footnote>
  <w:footnote w:id="7">
    <w:p>
      <w:pPr>
        <w:pStyle w:val="FootnoteText"/>
      </w:pPr>
      <w:r>
        <w:rPr>
          <w:rStyle w:val="FootnoteReference"/>
        </w:rPr>
        <w:footnoteRef/>
      </w:r>
      <w:r>
        <w:tab/>
        <w:t>JOIN(2016) 49 final, 10.11.2016 г.</w:t>
      </w:r>
    </w:p>
  </w:footnote>
  <w:footnote w:id="8">
    <w:p>
      <w:pPr>
        <w:pStyle w:val="FootnoteText"/>
      </w:pPr>
      <w:r>
        <w:rPr>
          <w:rStyle w:val="FootnoteReference"/>
        </w:rPr>
        <w:footnoteRef/>
      </w:r>
      <w:r>
        <w:tab/>
        <w:t xml:space="preserve">Решение на Съда на Европейския съюз от 7 октомври 2014 г., </w:t>
      </w:r>
      <w:r>
        <w:rPr>
          <w:i/>
        </w:rPr>
        <w:t>Германия/Съвет</w:t>
      </w:r>
      <w:r>
        <w:t xml:space="preserve">, C-399/12, ECLI:EU:C:2014:2258, т. 61—64. </w:t>
      </w:r>
    </w:p>
  </w:footnote>
  <w:footnote w:id="9">
    <w:p>
      <w:pPr>
        <w:pStyle w:val="FootnoteText"/>
      </w:pPr>
      <w:r>
        <w:rPr>
          <w:rStyle w:val="FootnoteReference"/>
        </w:rPr>
        <w:footnoteRef/>
      </w:r>
      <w:r>
        <w:tab/>
        <w:t>ОВ L 286, 29.10.2008 г., стр. 1.</w:t>
      </w:r>
    </w:p>
  </w:footnote>
  <w:footnote w:id="10">
    <w:p>
      <w:pPr>
        <w:pStyle w:val="FootnoteText"/>
      </w:pPr>
      <w:r>
        <w:rPr>
          <w:rStyle w:val="FootnoteReference"/>
        </w:rPr>
        <w:footnoteRef/>
      </w:r>
      <w:r>
        <w:tab/>
        <w:t>ОВ L 343, 22.12.2009 г., стр. 1.</w:t>
      </w:r>
    </w:p>
  </w:footnote>
  <w:footnote w:id="11">
    <w:p>
      <w:pPr>
        <w:pStyle w:val="FootnoteText"/>
      </w:pPr>
      <w:r>
        <w:rPr>
          <w:rStyle w:val="FootnoteReference"/>
        </w:rPr>
        <w:footnoteRef/>
      </w:r>
      <w:r>
        <w:tab/>
        <w:t>ОВ L 347, 28.12.2017 г., стр. 81.</w:t>
      </w:r>
    </w:p>
  </w:footnote>
  <w:footnote w:id="12">
    <w:p>
      <w:pPr>
        <w:pStyle w:val="FootnoteText"/>
      </w:pPr>
      <w:r>
        <w:rPr>
          <w:rStyle w:val="FootnoteReference"/>
        </w:rPr>
        <w:footnoteRef/>
      </w:r>
      <w:r>
        <w:tab/>
        <w:t>Решение (ЕС) 2019/407 от 4 март 2019 г. относно сключването от името на Европейския съюз на Споразумението за предотвратяване на нерегулирания риболов в открито море в централната част на Северния ледовит океан (ОВ L 73, 21.9.2018 г., стр. 1).</w:t>
      </w:r>
    </w:p>
  </w:footnote>
  <w:footnote w:id="13">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4">
    <w:p>
      <w:pPr>
        <w:pStyle w:val="FootnoteText"/>
      </w:pPr>
      <w:r>
        <w:rPr>
          <w:rStyle w:val="FootnoteReference"/>
        </w:rPr>
        <w:footnoteRef/>
      </w:r>
      <w:r>
        <w:tab/>
        <w:t>14249/19 от 19.11.2019 г.</w:t>
      </w:r>
    </w:p>
  </w:footnote>
  <w:footnote w:id="15">
    <w:p>
      <w:pPr>
        <w:pStyle w:val="FootnoteText"/>
      </w:pPr>
      <w:r>
        <w:rPr>
          <w:rStyle w:val="FootnoteReference"/>
        </w:rPr>
        <w:footnoteRef/>
      </w:r>
      <w:r>
        <w:tab/>
        <w:t>JOIN(2016) 21 final от 27.4.2016 г.</w:t>
      </w:r>
    </w:p>
  </w:footnote>
  <w:footnote w:id="16">
    <w:p>
      <w:pPr>
        <w:pStyle w:val="FootnoteText"/>
      </w:pPr>
      <w:r>
        <w:rPr>
          <w:rStyle w:val="FootnoteReference"/>
        </w:rPr>
        <w:footnoteRef/>
      </w:r>
      <w:r>
        <w:tab/>
        <w:t>7348/1/17 REV 1 от 24.3.2017 г.</w:t>
      </w:r>
    </w:p>
  </w:footnote>
  <w:footnote w:id="17">
    <w:p>
      <w:pPr>
        <w:pStyle w:val="FootnoteText"/>
      </w:pPr>
      <w:r>
        <w:rPr>
          <w:rStyle w:val="FootnoteReference"/>
        </w:rPr>
        <w:footnoteRef/>
      </w:r>
      <w:r>
        <w:tab/>
        <w:t>JOIN(2016) 49 final от 10.11.2016 г.</w:t>
      </w:r>
    </w:p>
  </w:footnote>
  <w:footnote w:id="18">
    <w:p>
      <w:pPr>
        <w:pStyle w:val="FootnoteText"/>
      </w:pPr>
      <w:r>
        <w:rPr>
          <w:rStyle w:val="FootnoteReference"/>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19">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20">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ЕС L 347, 28.12.2017 г., стp.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384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8EA3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1A86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A13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105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66D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DEB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80F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34: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FE3345-F79E-4F8A-B561-BFBBA7653B13"/>
    <w:docVar w:name="LW_COVERPAGE_TYPE" w:val="1"/>
    <w:docVar w:name="LW_CROSSREFERENCE" w:val="&lt;UNUSED&gt;"/>
    <w:docVar w:name="LW_DocType" w:val="COM"/>
    <w:docVar w:name="LW_EMISSION" w:val="31.8.2020"/>
    <w:docVar w:name="LW_EMISSION_ISODATE" w:val="2020-08-3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0"/>
    <w:docVar w:name="LW_REF.II.NEW.CP_YEAR" w:val="2020"/>
    <w:docVar w:name="LW_REF.INST.NEW" w:val="COM"/>
    <w:docVar w:name="LW_REF.INST.NEW_ADOPTED" w:val="final"/>
    <w:docVar w:name="LW_REF.INST.NEW_TEXT" w:val="(2020)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89?\u1088?\u1077?\u1097?\u1072?\u1090?\u1072? \u1085?\u1072? \u1089?\u1090?\u1088?\u1072?\u1085?\u1080?\u1090?\u1077? \u1087?\u1086? \u1057?\u1087?\u1086?\u1088?\u1072?\u1079?\u1091?\u1084?\u1077?\u1085?\u1080?\u1077?\u1090?\u1086?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A9F5B5-4C0A-43E9-8A70-90C25398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1817</Words>
  <Characters>10322</Characters>
  <Application>Microsoft Office Word</Application>
  <DocSecurity>0</DocSecurity>
  <Lines>198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2020-08-14T09:43:00Z</dcterms:created>
  <dcterms:modified xsi:type="dcterms:W3CDTF">2020-08-24T07:34:00Z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