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64059B-6BC7-4E3B-A50D-C3370A33E521"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concerne la décision établissant la position à prendre, au nom de l’Union, lors des réunions des parties à l’accord visant à prévenir la pêche non réglementée en haute mer dans l’océan Arctique central dans la perspective de l’adoption envisagée de mesures de conservation et de gestion. </w:t>
      </w:r>
    </w:p>
    <w:p>
      <w:pPr>
        <w:pStyle w:val="ManualHeading1"/>
        <w:rPr>
          <w:noProof/>
        </w:rPr>
      </w:pPr>
      <w:r>
        <w:t>2.</w:t>
      </w:r>
      <w:r>
        <w:tab/>
      </w:r>
      <w:r>
        <w:rPr>
          <w:noProof/>
        </w:rPr>
        <w:t>Contexte de la proposition</w:t>
      </w:r>
    </w:p>
    <w:p>
      <w:pPr>
        <w:pStyle w:val="ManualHeading2"/>
        <w:rPr>
          <w:noProof/>
        </w:rPr>
      </w:pPr>
      <w:r>
        <w:t>2.1.</w:t>
      </w:r>
      <w:r>
        <w:tab/>
      </w:r>
      <w:r>
        <w:rPr>
          <w:noProof/>
        </w:rPr>
        <w:t>Accord visant à prévenir la pêche non réglementée en haute mer dans l’océan Arctique central</w:t>
      </w:r>
    </w:p>
    <w:p>
      <w:pPr>
        <w:rPr>
          <w:rFonts w:eastAsia="Arial Unicode MS"/>
          <w:noProof/>
        </w:rPr>
      </w:pPr>
      <w:r>
        <w:rPr>
          <w:noProof/>
        </w:rPr>
        <w:t>L’accord visant à prévenir la pêche non réglementée en haute mer dans l’océan Arctique central (ci-après l’«accord») vise à empêcher la pêche non réglementée dans le secteur de la haute mer dans l'océan Arctique central grâce à la mise en œuvre de mesures de précaution en matière de conservation et de gestion dans le contexte d’une stratégie à long terme visant à préserver des écosystèmes marins sains et à garantir la conservation et l’exploitation durable des stocks halieutiques. L’accord devrait entrer en vigueur dans le courant de cette année.</w:t>
      </w:r>
    </w:p>
    <w:p>
      <w:pPr>
        <w:rPr>
          <w:rFonts w:eastAsia="Arial Unicode MS"/>
          <w:noProof/>
        </w:rPr>
      </w:pPr>
      <w:r>
        <w:rPr>
          <w:noProof/>
        </w:rPr>
        <w:t>L'Union est partie à l'accord</w:t>
      </w:r>
      <w:r>
        <w:rPr>
          <w:rStyle w:val="FootnoteReference"/>
          <w:rFonts w:eastAsia="Arial Unicode MS"/>
          <w:noProof/>
        </w:rPr>
        <w:footnoteReference w:id="1"/>
      </w:r>
      <w:r>
        <w:rPr>
          <w:noProof/>
        </w:rPr>
        <w:t>.</w:t>
      </w:r>
    </w:p>
    <w:p>
      <w:pPr>
        <w:pStyle w:val="ManualHeading2"/>
        <w:rPr>
          <w:noProof/>
        </w:rPr>
      </w:pPr>
      <w:r>
        <w:t>2.2.</w:t>
      </w:r>
      <w:r>
        <w:tab/>
      </w:r>
      <w:r>
        <w:rPr>
          <w:noProof/>
        </w:rPr>
        <w:t xml:space="preserve">Réunion des parties </w:t>
      </w:r>
    </w:p>
    <w:p>
      <w:pPr>
        <w:rPr>
          <w:rFonts w:eastAsia="Arial Unicode MS"/>
          <w:noProof/>
        </w:rPr>
      </w:pPr>
      <w:r>
        <w:rPr>
          <w:noProof/>
        </w:rPr>
        <w:t>La réunion des parties est l’organe de décision au titre de l’accord, qui se réunit tous les deux ans ou plus fréquemment si elle en décide ainsi. Les décisions sur les questions de procédure sont adoptées à la majorité et les décisions sur les questions de fond sont adoptées par voie de consensus. L’Union jouit du droit de participation et de vote.</w:t>
      </w:r>
    </w:p>
    <w:p>
      <w:pPr>
        <w:pStyle w:val="ManualHeading2"/>
        <w:rPr>
          <w:noProof/>
        </w:rPr>
      </w:pPr>
      <w:r>
        <w:t>2.3.</w:t>
      </w:r>
      <w:r>
        <w:tab/>
      </w:r>
      <w:r>
        <w:rPr>
          <w:noProof/>
        </w:rPr>
        <w:t>Décisions de la réunion des parties</w:t>
      </w:r>
    </w:p>
    <w:p>
      <w:pPr>
        <w:rPr>
          <w:rFonts w:eastAsia="Arial Unicode MS"/>
          <w:noProof/>
        </w:rPr>
      </w:pPr>
      <w:r>
        <w:rPr>
          <w:noProof/>
        </w:rPr>
        <w:t xml:space="preserve">La réunion des parties est habilitée à adopter des mesures de conservation et de gestion, qui sont contraignantes pour les parties contractantes.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Il est proposé que la position à adopter au nom de l’Union lors des réunions des parties soit établie selon une approche à deux niveaux. Une décision du Conseil énoncera, sur une base pluriannuelle, les principes directeurs et les orientations qui guideront la position de l'Union; par la suite, cette position sera adaptée pour chaque réunion au moyen de documents informels de la Commission qui seront examinés dans le cadre du groupe de travail du Conseil.</w:t>
      </w:r>
    </w:p>
    <w:p>
      <w:pPr>
        <w:rPr>
          <w:rFonts w:eastAsia="Arial Unicode MS"/>
          <w:noProof/>
        </w:rPr>
      </w:pPr>
      <w:r>
        <w:rPr>
          <w:noProof/>
        </w:rPr>
        <w:t>Cette approche est aussi suivie actuellement au sein des organisations régionales de gestion des pêches (ORGP) et en ce qui concerne la position à prendre au nom de l’Union lors de ces réunions.</w:t>
      </w:r>
    </w:p>
    <w:p>
      <w:pPr>
        <w:rPr>
          <w:noProof/>
        </w:rPr>
      </w:pPr>
      <w:r>
        <w:rPr>
          <w:noProof/>
        </w:rPr>
        <w:t>La présente décision intègre les principes et les orientations de la nouvelle politique commune de la pêche (PCP), tels que définis dans le règlement (UE) nº 1380/2013 du Parlement européen et du Conseil</w:t>
      </w:r>
      <w:r>
        <w:rPr>
          <w:rStyle w:val="FootnoteReference"/>
          <w:rFonts w:eastAsia="Arial Unicode MS"/>
          <w:noProof/>
        </w:rPr>
        <w:footnoteReference w:id="2"/>
      </w:r>
      <w:r>
        <w:rPr>
          <w:noProof/>
        </w:rPr>
        <w:t xml:space="preserve">, en prenant également en considération les objectifs fixés dans la </w:t>
      </w:r>
      <w:r>
        <w:rPr>
          <w:noProof/>
        </w:rPr>
        <w:lastRenderedPageBreak/>
        <w:t>communication de la Commission relative à la dimension extérieure de la PCP</w:t>
      </w:r>
      <w:r>
        <w:rPr>
          <w:rStyle w:val="FootnoteReference"/>
          <w:rFonts w:eastAsia="Arial Unicode MS"/>
          <w:noProof/>
        </w:rPr>
        <w:footnoteReference w:id="3"/>
      </w:r>
      <w:r>
        <w:rPr>
          <w:noProof/>
        </w:rPr>
        <w:t>. Elle tient également compte des conclusions du Conseil sur les océans et les mers, y compris l’Arctique</w:t>
      </w:r>
      <w:r>
        <w:rPr>
          <w:rStyle w:val="FootnoteReference"/>
          <w:rFonts w:eastAsia="Arial Unicode MS"/>
          <w:noProof/>
        </w:rPr>
        <w:footnoteReference w:id="4"/>
      </w:r>
      <w:r>
        <w:rPr>
          <w:noProof/>
        </w:rPr>
        <w:t>, de la communication conjointe de la haute représentante de l’Union pour les affaires étrangères et la politique de sécurité et de la Commission européenne intitulée «Une politique arctique intégrée de l’Union européenne»</w:t>
      </w:r>
      <w:r>
        <w:rPr>
          <w:rStyle w:val="FootnoteReference"/>
          <w:noProof/>
        </w:rPr>
        <w:footnoteReference w:id="5"/>
      </w:r>
      <w:r>
        <w:rPr>
          <w:noProof/>
        </w:rPr>
        <w:t>, ainsi que des conclusions du Conseil</w:t>
      </w:r>
      <w:r>
        <w:rPr>
          <w:rStyle w:val="FootnoteReference"/>
          <w:noProof/>
        </w:rPr>
        <w:footnoteReference w:id="6"/>
      </w:r>
      <w:r>
        <w:rPr>
          <w:noProof/>
        </w:rPr>
        <w:t xml:space="preserve"> sur la communication conjointe de la haute représentante de l’Union pour les affaires étrangères et la politique de sécurité et de la Commission intitulée «Gouvernance internationale des océans: un programme pour l’avenir de nos océans»</w:t>
      </w:r>
      <w:r>
        <w:rPr>
          <w:rStyle w:val="FootnoteReference"/>
          <w:noProof/>
        </w:rPr>
        <w:footnoteReference w:id="7"/>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Les «actes ayant des effets juridiques» englobent les actes ayant des effets juridiques en vertu des règles de droit international régissant l’instance en question. Ils englobent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8"/>
      </w:r>
      <w:r>
        <w:rPr>
          <w:noProof/>
        </w:rPr>
        <w:t>.</w:t>
      </w:r>
    </w:p>
    <w:p>
      <w:pPr>
        <w:pStyle w:val="ManualHeading3"/>
        <w:rPr>
          <w:noProof/>
        </w:rPr>
      </w:pPr>
      <w:r>
        <w:t>4.1.2.</w:t>
      </w:r>
      <w:r>
        <w:tab/>
      </w:r>
      <w:r>
        <w:rPr>
          <w:noProof/>
        </w:rPr>
        <w:t>Application en l’espèce</w:t>
      </w:r>
    </w:p>
    <w:p>
      <w:pPr>
        <w:rPr>
          <w:noProof/>
        </w:rPr>
      </w:pPr>
      <w:r>
        <w:rPr>
          <w:noProof/>
        </w:rPr>
        <w:t>La réunion des parties est une instance créée par un accord, en l'occurrence l’accord visant à prévenir la pêche non réglementée en haute mer dans l’océan Arctique central.</w:t>
      </w:r>
    </w:p>
    <w:p>
      <w:pPr>
        <w:rPr>
          <w:noProof/>
        </w:rPr>
      </w:pPr>
      <w:r>
        <w:rPr>
          <w:noProof/>
        </w:rPr>
        <w:t>Les actes que la réunion des parties est appelée à adopter constituent des actes ayant des effets juridiques. Les actes envisagés de la réunion des parties seront contraignants en vertu du droit international et susceptibles d’influencer de manière déterminante le contenu de la législation de l’Union européenne, à savoir</w:t>
      </w:r>
    </w:p>
    <w:p>
      <w:pPr>
        <w:pStyle w:val="Bullet0"/>
        <w:numPr>
          <w:ilvl w:val="0"/>
          <w:numId w:val="1"/>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9"/>
      </w:r>
      <w:r>
        <w:rPr>
          <w:noProof/>
        </w:rPr>
        <w:t xml:space="preserve">; </w:t>
      </w:r>
    </w:p>
    <w:p>
      <w:pPr>
        <w:pStyle w:val="Bullet0"/>
        <w:rPr>
          <w:noProof/>
        </w:rPr>
      </w:pPr>
      <w:r>
        <w:rPr>
          <w:noProof/>
        </w:rPr>
        <w:t>le règlement (CE) nº 1224/2009 du Conseil instituant un régime de l’Union de contrôle afin d’assurer le respect des règles de la politique commune de la pêche</w:t>
      </w:r>
      <w:r>
        <w:rPr>
          <w:rStyle w:val="FootnoteReference"/>
          <w:noProof/>
        </w:rPr>
        <w:footnoteReference w:id="10"/>
      </w:r>
      <w:r>
        <w:rPr>
          <w:noProof/>
        </w:rPr>
        <w:t xml:space="preserve">, et </w:t>
      </w:r>
    </w:p>
    <w:p>
      <w:pPr>
        <w:pStyle w:val="Bullet0"/>
        <w:rPr>
          <w:noProof/>
        </w:rPr>
      </w:pPr>
      <w:r>
        <w:rPr>
          <w:noProof/>
        </w:rPr>
        <w:t>le règlement (UE) 2017/2403 du Parlement européen et du Conseil du 12 décembre 2017 relatif à la gestion durable des flottes de pêche externes</w:t>
      </w:r>
      <w:r>
        <w:rPr>
          <w:rStyle w:val="FootnoteReference"/>
          <w:noProof/>
        </w:rPr>
        <w:footnoteReference w:id="11"/>
      </w:r>
      <w:r>
        <w:rPr>
          <w:noProof/>
        </w:rPr>
        <w:t>.</w:t>
      </w:r>
    </w:p>
    <w:p>
      <w:pPr>
        <w:rPr>
          <w:noProof/>
        </w:rPr>
      </w:pPr>
      <w:r>
        <w:rPr>
          <w:noProof/>
        </w:rPr>
        <w:lastRenderedPageBreak/>
        <w:t>Les actes envisagés ne complètent ni ne modifient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des actes envisagés portent essentiellement sur la pêche. La base juridique établissant les principes à intégrer dans la présente position est le règlement (UE) nº 1380/2013.</w:t>
      </w:r>
    </w:p>
    <w:p>
      <w:pPr>
        <w:rPr>
          <w:noProof/>
        </w:rPr>
      </w:pPr>
      <w:r>
        <w:rPr>
          <w:noProof/>
        </w:rPr>
        <w:t xml:space="preserve">En conséquence, la base juridique matérielle pour la décision proposée est l’article 43, paragraphe 2, du TFUE. </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w:t>
      </w:r>
      <w:r>
        <w:t>,</w:t>
      </w:r>
      <w:r>
        <w:rPr>
          <w:noProof/>
        </w:rPr>
        <w:t xml:space="preserv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des réunions des parties à l'accord visant à prévenir la pêche non réglementée en haute mer dans l'océan Arctique central</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visant à prévenir la pêche non réglementée en haute mer dans l’océan Arctique central (ci-après l’«accord») a été conclu par l’Union par la décision (UE) 2019/407 du Conseil</w:t>
      </w:r>
      <w:r>
        <w:rPr>
          <w:rStyle w:val="FootnoteReference"/>
          <w:noProof/>
        </w:rPr>
        <w:footnoteReference w:id="12"/>
      </w:r>
      <w:r>
        <w:rPr>
          <w:noProof/>
        </w:rPr>
        <w:t>. L’accord devrait entrer en vigueur dans le courant de cette année.</w:t>
      </w:r>
    </w:p>
    <w:p>
      <w:pPr>
        <w:pStyle w:val="ManualConsidrant"/>
        <w:rPr>
          <w:noProof/>
        </w:rPr>
      </w:pPr>
      <w:r>
        <w:t>(2)</w:t>
      </w:r>
      <w:r>
        <w:tab/>
      </w:r>
      <w:r>
        <w:rPr>
          <w:noProof/>
        </w:rPr>
        <w:t>La réunion des parties est chargée d’adopter des mesures destinées à garantir la mise en œuvre de l’accord visant à atteindre l'objectif de prévenir la pêche non réglementée dans le secteur de la haute mer dans l’océan Arctique central grâce à l’application de mesures de précaution en matière de conservation et de gestion dans le contexte d’une stratégie à long terme visant à préserver des écosystèmes marins sains et à garantir la conservation et l’exploitation durable des stocks halieutiques.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3"/>
      </w:r>
      <w:r>
        <w:rPr>
          <w:noProof/>
        </w:rPr>
        <w:t xml:space="preserve"> dispose que l’Union doit garantir que les activités de pêche et d’aquaculture sont durables à long terme sur le plan environnemental et gérées en cohérence avec les objectifs visant à obtenir des retombées positives sur les plans économique, social et en matière d’emploi et à contribuer à la sécurité de l’approvisionnement alimentaire. Il dispose également que l'Union doit appliquer l'approche de précaution en matière de gestion des pêches et viser à faire en sorte que l'exploitation des ressources biologiques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w:t>
      </w:r>
      <w:r>
        <w:rPr>
          <w:noProof/>
        </w:rPr>
        <w:lastRenderedPageBreak/>
        <w:t>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Comme indiqué dans les conclusions du Conseil sur les océans et les mers, y compris l’Arctique</w:t>
      </w:r>
      <w:r>
        <w:rPr>
          <w:rStyle w:val="FootnoteReference"/>
          <w:noProof/>
        </w:rPr>
        <w:footnoteReference w:id="14"/>
      </w:r>
      <w:r>
        <w:rPr>
          <w:noProof/>
        </w:rPr>
        <w:t>, dans la communication conjointe de la haute représentante de l’Union pour les affaires étrangères et la politique de sécurité et de la Commission européenne intitulée «Une politique arctique intégrée de l’Union européenne»</w:t>
      </w:r>
      <w:r>
        <w:rPr>
          <w:rStyle w:val="FootnoteReference"/>
          <w:noProof/>
        </w:rPr>
        <w:footnoteReference w:id="15"/>
      </w:r>
      <w:r>
        <w:rPr>
          <w:noProof/>
        </w:rPr>
        <w:t>, ainsi que dans les conclusions du Conseil</w:t>
      </w:r>
      <w:r>
        <w:rPr>
          <w:rStyle w:val="FootnoteReference"/>
          <w:noProof/>
        </w:rPr>
        <w:footnoteReference w:id="16"/>
      </w:r>
      <w:r>
        <w:rPr>
          <w:noProof/>
        </w:rPr>
        <w:t xml:space="preserve"> sur la communication conjointe de la haute représentante de l’Union pour les affaires étrangères et la politique de sécurité et de la Commission intitulée «Gouvernance internationale des océans: un programme pour l’avenir de nos océans»</w:t>
      </w:r>
      <w:r>
        <w:rPr>
          <w:rStyle w:val="FootnoteReference"/>
          <w:noProof/>
        </w:rPr>
        <w:footnoteReference w:id="17"/>
      </w:r>
      <w:r>
        <w:rPr>
          <w:noProof/>
        </w:rPr>
        <w:t>, le soutien à l’accord et la création éventuelle d’une organisation régionale ou d’un organisme régional de gestion des pêches en haute mer dans l'Arctique constituent un objectif important pour l’Union afin de préserver l’environnement arctique et de garantir un développement durable dans et autour de la région arctique sur la base de la coopération internationale.</w:t>
      </w:r>
    </w:p>
    <w:p>
      <w:pPr>
        <w:pStyle w:val="ManualConsidrant"/>
        <w:rPr>
          <w:noProof/>
        </w:rPr>
      </w:pPr>
      <w:r>
        <w:t>(5)</w:t>
      </w:r>
      <w:r>
        <w:tab/>
      </w:r>
      <w:r>
        <w:rPr>
          <w:noProof/>
        </w:rPr>
        <w:t>Il y a lieu d'établir la position à prendre, au nom de l'Union, lors de la réunion des parties à l’accord pour la période 2020-2024, dès lors que les mesures de conservation et d'exécution de l’accord seront contraignantes pour l'Union et de nature à influencer de manière déterminante le contenu du droit de l'Union, à savoir les règlements (CE) nº 1005/2008 du Conseil</w:t>
      </w:r>
      <w:r>
        <w:rPr>
          <w:rStyle w:val="FootnoteReference"/>
          <w:noProof/>
        </w:rPr>
        <w:footnoteReference w:id="18"/>
      </w:r>
      <w:r>
        <w:rPr>
          <w:noProof/>
        </w:rPr>
        <w:t xml:space="preserve"> et (CE) nº 1224/2009 du Conseil</w:t>
      </w:r>
      <w:r>
        <w:rPr>
          <w:rStyle w:val="FootnoteReference"/>
          <w:noProof/>
        </w:rPr>
        <w:footnoteReference w:id="19"/>
      </w:r>
      <w:r>
        <w:rPr>
          <w:noProof/>
        </w:rPr>
        <w:t>, ainsi que le règlement (UE) 2017/2403 du Parlement européen et du Conseil</w:t>
      </w:r>
      <w:r>
        <w:rPr>
          <w:rStyle w:val="FootnoteReference"/>
          <w:noProof/>
        </w:rPr>
        <w:footnoteReference w:id="20"/>
      </w:r>
      <w:r>
        <w:rPr>
          <w:noProof/>
        </w:rPr>
        <w:t>.</w:t>
      </w:r>
    </w:p>
    <w:p>
      <w:pPr>
        <w:pStyle w:val="ManualConsidrant"/>
        <w:rPr>
          <w:noProof/>
        </w:rPr>
      </w:pPr>
      <w:r>
        <w:t>(6)</w:t>
      </w:r>
      <w:r>
        <w:tab/>
      </w:r>
      <w:r>
        <w:rPr>
          <w:noProof/>
        </w:rPr>
        <w:t>Compte tenu des connaissances limitées en ce qui concerne les ressources halieutiques dans la zone couverte par l'accord et de la nature de ces ressources, et compte tenu du fait que la position de l'Union doit en conséquence prendre en considération les éléments nouveaux, y compris de nouvelles données scientifiques et autres informations pertinentes présentées avant ou pendant les réunions des parties, il convient de définir des procédures, conformément au principe de coopération loyale entre les institutions de l'Union consacré par l'article 13, paragraphe 2, du traité sur l'Union européenne, pour établir les éléments spécifiques, fixés chaque année, de la position de l'Union pour la période 2020-2024.</w:t>
      </w:r>
    </w:p>
    <w:p>
      <w:pPr>
        <w:pStyle w:val="ManualConsidrant"/>
        <w:rPr>
          <w:noProof/>
        </w:rPr>
      </w:pPr>
      <w:r>
        <w:lastRenderedPageBreak/>
        <w:t>(7)</w:t>
      </w:r>
      <w:r>
        <w:tab/>
      </w:r>
      <w:r>
        <w:rPr>
          <w:noProof/>
        </w:rPr>
        <w:t>La présente décision relative à la position à prendre au nom de l’Union lors des réunions des parties à l’accord peut être suivie, à un stade ultérieur, par une nouvelle décision distincte du Conseil concernant l’ouverture de négociations en vue de la création d'une ou de plusieurs organisations régionales ou sous-régionales de gestion des pêches ou d'un ou de plusieurs mécanismes régionaux ou sous-régionaux de gestion des pêches en haute mer dans l'Arctique,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lors des réunions des parties à l'accord visant à prévenir la pêche non réglementée en haute mer dans l'océan Arctique central (ci-après l’«accord») est énoncée à l’annexe I.</w:t>
      </w:r>
    </w:p>
    <w:p>
      <w:pPr>
        <w:pStyle w:val="Titrearticle"/>
        <w:rPr>
          <w:noProof/>
        </w:rPr>
      </w:pPr>
      <w:r>
        <w:rPr>
          <w:noProof/>
        </w:rPr>
        <w:t>Article 2</w:t>
      </w:r>
    </w:p>
    <w:p>
      <w:pPr>
        <w:spacing w:before="0" w:after="240"/>
        <w:rPr>
          <w:rFonts w:eastAsia="Times New Roman"/>
          <w:noProof/>
          <w:szCs w:val="20"/>
        </w:rPr>
      </w:pPr>
      <w:r>
        <w:rPr>
          <w:noProof/>
        </w:rPr>
        <w:t xml:space="preserve">Les éléments spécifiques de la position à prendre par l'Union lors des réunions des parties à l’accord sont fixés chaque année suivant les modalités définies à l'annexe II. </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des parties à l'accord qui se tiendra en 2025.</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r>
      <w:r>
        <w:rPr>
          <w:noProof/>
        </w:rPr>
        <w:tab/>
      </w:r>
      <w:r>
        <w:rPr>
          <w:noProof/>
        </w:rPr>
        <w:tab/>
      </w:r>
      <w:r>
        <w:rPr>
          <w:noProof/>
        </w:rPr>
        <w:tab/>
        <w:t>Par le Conseil</w:t>
      </w:r>
    </w:p>
    <w:p>
      <w:pPr>
        <w:pStyle w:val="Personnequisigne"/>
        <w:rPr>
          <w:noProof/>
        </w:rPr>
      </w:pPr>
      <w:r>
        <w:rPr>
          <w:noProof/>
        </w:rPr>
        <w:tab/>
      </w:r>
      <w:r>
        <w:rPr>
          <w:noProof/>
        </w:rPr>
        <w:tab/>
      </w:r>
      <w:r>
        <w:rPr>
          <w:noProof/>
        </w:rPr>
        <w:tab/>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(UE) 2019/407 du Conseil du 4 mars 2019 relative à la conclusion, au nom de l'Union européenne, de l'accord visant à prévenir la pêche non réglementée en haute mer dans l'océan Arctique central (JO L 73 du 15.3.2019, p. 1).</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pPr>
      <w:r>
        <w:rPr>
          <w:rStyle w:val="FootnoteReference"/>
        </w:rPr>
        <w:footnoteRef/>
      </w:r>
      <w:r>
        <w:tab/>
        <w:t>COM(2011) 424 du 13.7.2011.</w:t>
      </w:r>
    </w:p>
  </w:footnote>
  <w:footnote w:id="4">
    <w:p>
      <w:pPr>
        <w:pStyle w:val="FootnoteText"/>
      </w:pPr>
      <w:r>
        <w:rPr>
          <w:rStyle w:val="FootnoteReference"/>
        </w:rPr>
        <w:footnoteRef/>
      </w:r>
      <w:r>
        <w:tab/>
        <w:t>14249/19 du 19.11.2019.</w:t>
      </w:r>
    </w:p>
  </w:footnote>
  <w:footnote w:id="5">
    <w:p>
      <w:pPr>
        <w:pStyle w:val="FootnoteText"/>
      </w:pPr>
      <w:r>
        <w:rPr>
          <w:rStyle w:val="FootnoteReference"/>
        </w:rPr>
        <w:footnoteRef/>
      </w:r>
      <w:r>
        <w:tab/>
        <w:t>JOIN(2016) 21 final du 27.4.2016.</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JOIN(2016) 49 final du 10.11.2016.</w:t>
      </w:r>
    </w:p>
  </w:footnote>
  <w:footnote w:id="8">
    <w:p>
      <w:pPr>
        <w:pStyle w:val="FootnoteText"/>
      </w:pPr>
      <w:r>
        <w:rPr>
          <w:rStyle w:val="FootnoteReference"/>
        </w:rPr>
        <w:footnoteRef/>
      </w:r>
      <w:r>
        <w:tab/>
        <w:t xml:space="preserve">Arrêt du 7 octobre 2014, </w:t>
      </w:r>
      <w:r>
        <w:rPr>
          <w:i/>
          <w:iCs/>
        </w:rPr>
        <w:t>Allemagne/Conseil</w:t>
      </w:r>
      <w:r>
        <w:t xml:space="preserve">, C-399/12, EU:C:2014:2258, points 61 à 64. </w:t>
      </w:r>
    </w:p>
  </w:footnote>
  <w:footnote w:id="9">
    <w:p>
      <w:pPr>
        <w:pStyle w:val="FootnoteText"/>
      </w:pPr>
      <w:r>
        <w:rPr>
          <w:rStyle w:val="FootnoteReference"/>
        </w:rPr>
        <w:footnoteRef/>
      </w:r>
      <w:r>
        <w:tab/>
        <w:t>JO L 286 du 29.10.2008, p. 1.</w:t>
      </w:r>
    </w:p>
  </w:footnote>
  <w:footnote w:id="10">
    <w:p>
      <w:pPr>
        <w:pStyle w:val="FootnoteText"/>
      </w:pPr>
      <w:r>
        <w:rPr>
          <w:rStyle w:val="FootnoteReference"/>
        </w:rPr>
        <w:footnoteRef/>
      </w:r>
      <w:r>
        <w:tab/>
        <w:t>JO L 343 du 22.12.2009, p. 1.</w:t>
      </w:r>
    </w:p>
  </w:footnote>
  <w:footnote w:id="11">
    <w:p>
      <w:pPr>
        <w:pStyle w:val="FootnoteText"/>
      </w:pPr>
      <w:r>
        <w:rPr>
          <w:rStyle w:val="FootnoteReference"/>
        </w:rPr>
        <w:footnoteRef/>
      </w:r>
      <w:r>
        <w:tab/>
        <w:t>JO L 347 du 28.12.2017, p. 81.</w:t>
      </w:r>
    </w:p>
  </w:footnote>
  <w:footnote w:id="12">
    <w:p>
      <w:pPr>
        <w:pStyle w:val="FootnoteText"/>
      </w:pPr>
      <w:r>
        <w:rPr>
          <w:rStyle w:val="FootnoteReference"/>
        </w:rPr>
        <w:footnoteRef/>
      </w:r>
      <w:r>
        <w:tab/>
        <w:t>Décision (UE) 2019/407 du Conseil du 4 mars 2019 relative à la conclusion, au nom de l'Union européenne, de l'accord visant à prévenir la pêche non réglementée en haute mer dans l'océan Arctique central (JO L 73 du 15.3.2019, p. 1).</w:t>
      </w:r>
    </w:p>
  </w:footnote>
  <w:footnote w:id="13">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4">
    <w:p>
      <w:pPr>
        <w:pStyle w:val="FootnoteText"/>
      </w:pPr>
      <w:r>
        <w:rPr>
          <w:rStyle w:val="FootnoteReference"/>
        </w:rPr>
        <w:footnoteRef/>
      </w:r>
      <w:r>
        <w:tab/>
        <w:t>14249/19 du 19.11.2019.</w:t>
      </w:r>
    </w:p>
  </w:footnote>
  <w:footnote w:id="15">
    <w:p>
      <w:pPr>
        <w:pStyle w:val="FootnoteText"/>
      </w:pPr>
      <w:r>
        <w:rPr>
          <w:rStyle w:val="FootnoteReference"/>
        </w:rPr>
        <w:footnoteRef/>
      </w:r>
      <w:r>
        <w:tab/>
        <w:t>JOIN(2016) 21 final du 27.4.2016.</w:t>
      </w:r>
    </w:p>
  </w:footnote>
  <w:footnote w:id="16">
    <w:p>
      <w:pPr>
        <w:pStyle w:val="FootnoteText"/>
      </w:pPr>
      <w:r>
        <w:rPr>
          <w:rStyle w:val="FootnoteReference"/>
        </w:rPr>
        <w:footnoteRef/>
      </w:r>
      <w:r>
        <w:tab/>
        <w:t>7348/1/17 REV 1 du 24.3.2017.</w:t>
      </w:r>
    </w:p>
  </w:footnote>
  <w:footnote w:id="17">
    <w:p>
      <w:pPr>
        <w:pStyle w:val="FootnoteText"/>
      </w:pPr>
      <w:r>
        <w:rPr>
          <w:rStyle w:val="FootnoteReference"/>
        </w:rPr>
        <w:footnoteRef/>
      </w:r>
      <w:r>
        <w:tab/>
        <w:t>JOIN(2016) 49 final du 10.11.2016.</w:t>
      </w:r>
    </w:p>
  </w:footnote>
  <w:footnote w:id="18">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9">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20">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384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8EA3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1A86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2A13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1054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66D7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DEBB0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80FA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35: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64059B-6BC7-4E3B-A50D-C3370A33E521"/>
    <w:docVar w:name="LW_COVERPAGE_TYPE" w:val="1"/>
    <w:docVar w:name="LW_CROSSREFERENCE" w:val="&lt;UNUSED&gt;"/>
    <w:docVar w:name="LW_DocType" w:val="COM"/>
    <w:docVar w:name="LW_EMISSION" w:val="31.8.2020"/>
    <w:docVar w:name="LW_EMISSION_ISODATE" w:val="2020-08-3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0"/>
    <w:docVar w:name="LW_REF.II.NEW.CP_YEAR" w:val="2020"/>
    <w:docVar w:name="LW_REF.INST.NEW" w:val="COM"/>
    <w:docVar w:name="LW_REF.INST.NEW_ADOPTED" w:val="final"/>
    <w:docVar w:name="LW_REF.INST.NEW_TEXT" w:val="(2020)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lors des réunions des parties à l'accord visant à prévenir la pêche non réglementée en haute mer dans l'océan Arctique centra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69735A-9A57-481D-98EE-A91721E2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2023</Words>
  <Characters>10765</Characters>
  <Application>Microsoft Office Word</Application>
  <DocSecurity>0</DocSecurity>
  <Lines>188</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2020-08-13T11:20:00Z</dcterms:created>
  <dcterms:modified xsi:type="dcterms:W3CDTF">2020-08-24T07:35:00Z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