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BC717AA4-1A02-46C7-9ACC-F8F83B9C814A" style="width:450.35pt;height:345.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rPr>
          <w:noProof/>
        </w:rPr>
      </w:pPr>
      <w:bookmarkStart w:id="1" w:name="_Toc4680673"/>
      <w:bookmarkStart w:id="2" w:name="_Toc4682947"/>
      <w:bookmarkStart w:id="3" w:name="_GoBack"/>
      <w:bookmarkEnd w:id="3"/>
      <w:r>
        <w:rPr>
          <w:noProof/>
        </w:rPr>
        <w:lastRenderedPageBreak/>
        <w:br w:type="page"/>
      </w:r>
    </w:p>
    <w:p>
      <w:pPr>
        <w:pStyle w:val="AMPRCoverInsidecovertext"/>
        <w:tabs>
          <w:tab w:val="left" w:pos="634"/>
        </w:tabs>
        <w:spacing w:before="10900"/>
      </w:pPr>
      <w:r>
        <w:tab/>
      </w:r>
    </w:p>
    <w:p>
      <w:pPr>
        <w:pStyle w:val="AMPRCoverInsidecovertext-nospacebeforeandafter"/>
      </w:pPr>
    </w:p>
    <w:p>
      <w:pPr>
        <w:rPr>
          <w:noProof/>
          <w:sz w:val="4"/>
          <w:szCs w:val="6"/>
        </w:rPr>
      </w:pPr>
      <w:r>
        <w:rPr>
          <w:noProof/>
          <w:sz w:val="18"/>
          <w:szCs w:val="20"/>
        </w:rPr>
        <w:br w:type="page"/>
      </w:r>
    </w:p>
    <w:p>
      <w:pPr>
        <w:pStyle w:val="AMPRBodyText"/>
        <w:sectPr>
          <w:headerReference w:type="even" r:id="rId16"/>
          <w:headerReference w:type="default" r:id="rId17"/>
          <w:footerReference w:type="even" r:id="rId18"/>
          <w:footerReference w:type="default" r:id="rId19"/>
          <w:headerReference w:type="first" r:id="rId20"/>
          <w:footerReference w:type="first" r:id="rId21"/>
          <w:pgSz w:w="11907" w:h="16839" w:code="9"/>
          <w:pgMar w:top="1417" w:right="1417" w:bottom="1134" w:left="1417" w:header="567" w:footer="454" w:gutter="0"/>
          <w:pgNumType w:start="1"/>
          <w:cols w:space="720"/>
          <w:titlePg/>
          <w:docGrid w:linePitch="360"/>
        </w:sectPr>
      </w:pPr>
      <w:bookmarkStart w:id="4" w:name="_Toc37701076"/>
      <w:bookmarkStart w:id="5" w:name="_Toc39135906"/>
      <w:bookmarkStart w:id="6" w:name="_Toc39136170"/>
      <w:bookmarkStart w:id="7" w:name="_Toc39136314"/>
      <w:bookmarkStart w:id="8" w:name="_Toc39136462"/>
      <w:bookmarkStart w:id="9" w:name="_Toc39137279"/>
      <w:bookmarkStart w:id="10" w:name="_Toc39138011"/>
      <w:bookmarkStart w:id="11" w:name="_Toc39140496"/>
      <w:bookmarkStart w:id="12" w:name="_Toc39141716"/>
      <w:bookmarkStart w:id="13" w:name="_Toc39141986"/>
      <w:bookmarkStart w:id="14" w:name="_Toc39142938"/>
      <w:bookmarkStart w:id="15" w:name="_Toc39142996"/>
      <w:bookmarkStart w:id="16" w:name="_Toc39140026"/>
      <w:bookmarkStart w:id="17" w:name="_Toc39142070"/>
      <w:bookmarkStart w:id="18" w:name="_Toc39143902"/>
      <w:bookmarkStart w:id="19" w:name="_Toc39144004"/>
      <w:bookmarkStart w:id="20" w:name="_Toc39144678"/>
      <w:bookmarkStart w:id="21" w:name="_Toc39146013"/>
      <w:bookmarkStart w:id="22" w:name="_Toc39146182"/>
      <w:bookmarkStart w:id="23" w:name="_Toc39146307"/>
      <w:bookmarkStart w:id="24" w:name="_Toc39146691"/>
      <w:bookmarkStart w:id="25" w:name="_Toc39147227"/>
    </w:p>
    <w:p>
      <w:pPr>
        <w:rPr>
          <w:noProof/>
        </w:rPr>
      </w:pPr>
    </w:p>
    <w:p>
      <w:pPr>
        <w:rPr>
          <w:noProof/>
        </w:rPr>
      </w:pPr>
      <w:r>
        <w:rPr>
          <w:noProof/>
        </w:rPr>
        <w:br w:type="page"/>
      </w:r>
    </w:p>
    <w:p>
      <w:pPr>
        <w:rPr>
          <w:noProof/>
        </w:rPr>
      </w:pPr>
    </w:p>
    <w:p>
      <w:pPr>
        <w:rPr>
          <w:noProof/>
          <w:color w:val="000000"/>
          <w:szCs w:val="20"/>
        </w:rPr>
        <w:sectPr>
          <w:headerReference w:type="even" r:id="rId22"/>
          <w:headerReference w:type="default" r:id="rId23"/>
          <w:footerReference w:type="even" r:id="rId24"/>
          <w:footerReference w:type="default" r:id="rId25"/>
          <w:headerReference w:type="first" r:id="rId26"/>
          <w:footerReference w:type="first" r:id="rId27"/>
          <w:pgSz w:w="11907" w:h="16839" w:code="9"/>
          <w:pgMar w:top="1417" w:right="1417" w:bottom="1134" w:left="1417" w:header="567" w:footer="454" w:gutter="0"/>
          <w:pgNumType w:start="1"/>
          <w:cols w:space="720"/>
          <w:titlePg/>
          <w:docGrid w:linePitch="360"/>
        </w:sectPr>
      </w:pPr>
    </w:p>
    <w:p>
      <w:pPr>
        <w:pStyle w:val="AMPRTOCTITLE1-noTOC"/>
      </w:pPr>
      <w:r>
        <w:t>Съдържание</w:t>
      </w:r>
      <w:bookmarkEnd w:id="1"/>
      <w:bookmarkEnd w:id="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sdt>
      <w:sdtPr>
        <w:rPr>
          <w:rFonts w:asciiTheme="minorHAnsi" w:hAnsiTheme="minorHAnsi" w:cstheme="minorBidi"/>
          <w:b w:val="0"/>
          <w:caps w:val="0"/>
          <w:sz w:val="22"/>
        </w:rPr>
        <w:id w:val="-227231897"/>
        <w:docPartObj>
          <w:docPartGallery w:val="Table of Contents"/>
          <w:docPartUnique/>
        </w:docPartObj>
      </w:sdtPr>
      <w:sdtContent>
        <w:p>
          <w:pPr>
            <w:pStyle w:val="TOC1"/>
            <w:tabs>
              <w:tab w:val="clear" w:pos="9497"/>
              <w:tab w:val="right" w:leader="dot" w:pos="9498"/>
            </w:tabs>
            <w:rPr>
              <w:rFonts w:asciiTheme="minorHAnsi" w:eastAsiaTheme="minorEastAsia" w:hAnsiTheme="minorHAnsi" w:cstheme="minorBidi"/>
              <w:b w:val="0"/>
              <w:caps w:val="0"/>
              <w:sz w:val="22"/>
              <w:lang w:eastAsia="en-GB"/>
            </w:rPr>
          </w:pPr>
          <w:r>
            <w:rPr>
              <w:rStyle w:val="Hyperlink"/>
            </w:rPr>
            <w:fldChar w:fldCharType="begin" w:fldLock="1"/>
          </w:r>
          <w:r>
            <w:rPr>
              <w:rStyle w:val="Hyperlink"/>
            </w:rPr>
            <w:instrText xml:space="preserve"> TOC \o "1-2" \h \z \u </w:instrText>
          </w:r>
          <w:r>
            <w:rPr>
              <w:rStyle w:val="Hyperlink"/>
            </w:rPr>
            <w:fldChar w:fldCharType="separate"/>
          </w:r>
          <w:hyperlink w:anchor="_Toc40833191" w:history="1">
            <w:r>
              <w:rPr>
                <w:rStyle w:val="Hyperlink"/>
              </w:rPr>
              <w:t>Предговор</w:t>
            </w:r>
            <w:r>
              <w:rPr>
                <w:webHidden/>
              </w:rPr>
              <w:tab/>
            </w:r>
            <w:r>
              <w:rPr>
                <w:webHidden/>
              </w:rPr>
              <w:fldChar w:fldCharType="begin" w:fldLock="1"/>
            </w:r>
            <w:r>
              <w:rPr>
                <w:webHidden/>
              </w:rPr>
              <w:instrText xml:space="preserve"> PAGEREF _Toc40833191 \h </w:instrText>
            </w:r>
            <w:r>
              <w:rPr>
                <w:webHidden/>
              </w:rPr>
            </w:r>
            <w:r>
              <w:rPr>
                <w:webHidden/>
              </w:rPr>
              <w:fldChar w:fldCharType="separate"/>
            </w:r>
            <w:r>
              <w:rPr>
                <w:webHidden/>
              </w:rPr>
              <w:t>3</w:t>
            </w:r>
            <w:r>
              <w:rPr>
                <w:webHidden/>
              </w:rPr>
              <w:fldChar w:fldCharType="end"/>
            </w:r>
          </w:hyperlink>
        </w:p>
        <w:p>
          <w:pPr>
            <w:pStyle w:val="TOC1"/>
            <w:tabs>
              <w:tab w:val="clear" w:pos="9497"/>
              <w:tab w:val="right" w:leader="dot" w:pos="9498"/>
            </w:tabs>
            <w:rPr>
              <w:rFonts w:asciiTheme="minorHAnsi" w:eastAsiaTheme="minorEastAsia" w:hAnsiTheme="minorHAnsi" w:cstheme="minorBidi"/>
              <w:b w:val="0"/>
              <w:caps w:val="0"/>
              <w:sz w:val="22"/>
              <w:lang w:eastAsia="en-GB"/>
            </w:rPr>
          </w:pPr>
          <w:hyperlink w:anchor="_Toc40833192" w:history="1">
            <w:r>
              <w:rPr>
                <w:rStyle w:val="Hyperlink"/>
              </w:rPr>
              <w:t>Въведение</w:t>
            </w:r>
            <w:r>
              <w:rPr>
                <w:webHidden/>
              </w:rPr>
              <w:tab/>
            </w:r>
            <w:r>
              <w:rPr>
                <w:webHidden/>
              </w:rPr>
              <w:fldChar w:fldCharType="begin" w:fldLock="1"/>
            </w:r>
            <w:r>
              <w:rPr>
                <w:webHidden/>
              </w:rPr>
              <w:instrText xml:space="preserve"> PAGEREF _Toc40833192 \h </w:instrText>
            </w:r>
            <w:r>
              <w:rPr>
                <w:webHidden/>
              </w:rPr>
            </w:r>
            <w:r>
              <w:rPr>
                <w:webHidden/>
              </w:rPr>
              <w:fldChar w:fldCharType="separate"/>
            </w:r>
            <w:r>
              <w:rPr>
                <w:webHidden/>
              </w:rPr>
              <w:t>7</w:t>
            </w:r>
            <w:r>
              <w:rPr>
                <w:webHidden/>
              </w:rPr>
              <w:fldChar w:fldCharType="end"/>
            </w:r>
          </w:hyperlink>
        </w:p>
        <w:p>
          <w:pPr>
            <w:rPr>
              <w:noProof/>
            </w:rPr>
          </w:pPr>
        </w:p>
        <w:p>
          <w:pPr>
            <w:pStyle w:val="TOC1"/>
            <w:tabs>
              <w:tab w:val="clear" w:pos="9497"/>
              <w:tab w:val="right" w:leader="dot" w:pos="9498"/>
            </w:tabs>
            <w:rPr>
              <w:rFonts w:asciiTheme="minorHAnsi" w:eastAsiaTheme="minorEastAsia" w:hAnsiTheme="minorHAnsi" w:cstheme="minorBidi"/>
              <w:b w:val="0"/>
              <w:caps w:val="0"/>
              <w:sz w:val="22"/>
              <w:lang w:eastAsia="en-GB"/>
            </w:rPr>
          </w:pPr>
          <w:r>
            <w:rPr>
              <w:rStyle w:val="Hyperlink"/>
            </w:rPr>
            <w:t>Раздел</w:t>
          </w:r>
          <w:r>
            <w:rPr>
              <w:rFonts w:ascii="Calibri" w:hAnsi="Calibri" w:cs="Calibri"/>
            </w:rPr>
            <w:t> </w:t>
          </w:r>
          <w:r>
            <w:t xml:space="preserve">1 </w:t>
          </w:r>
          <w:r>
            <w:rPr>
              <w:rFonts w:cs="EC Square Sans Pro"/>
            </w:rPr>
            <w:t>–</w:t>
          </w:r>
          <w:r>
            <w:rPr>
              <w:vanish/>
            </w:rPr>
            <w:t xml:space="preserve"> </w:t>
          </w:r>
          <w:r>
            <w:t>Изпълнение и резултати</w:t>
          </w:r>
          <w:hyperlink w:anchor="_Toc40833193" w:history="1">
            <w:r>
              <w:rPr>
                <w:webHidden/>
              </w:rPr>
              <w:tab/>
            </w:r>
            <w:r>
              <w:rPr>
                <w:webHidden/>
              </w:rPr>
              <w:fldChar w:fldCharType="begin" w:fldLock="1"/>
            </w:r>
            <w:r>
              <w:rPr>
                <w:webHidden/>
              </w:rPr>
              <w:instrText xml:space="preserve"> PAGEREF _Toc40833193 \h </w:instrText>
            </w:r>
            <w:r>
              <w:rPr>
                <w:webHidden/>
              </w:rPr>
            </w:r>
            <w:r>
              <w:rPr>
                <w:webHidden/>
              </w:rPr>
              <w:fldChar w:fldCharType="separate"/>
            </w:r>
            <w:r>
              <w:rPr>
                <w:webHidden/>
              </w:rPr>
              <w:t>9</w:t>
            </w:r>
            <w:r>
              <w:rPr>
                <w:webHidden/>
              </w:rPr>
              <w:fldChar w:fldCharType="end"/>
            </w:r>
          </w:hyperlink>
        </w:p>
        <w:p>
          <w:pPr>
            <w:pStyle w:val="TOC2"/>
            <w:rPr>
              <w:rFonts w:asciiTheme="minorHAnsi" w:eastAsiaTheme="minorEastAsia" w:hAnsiTheme="minorHAnsi" w:cstheme="minorBidi"/>
              <w:sz w:val="22"/>
              <w:lang w:eastAsia="en-GB"/>
            </w:rPr>
          </w:pPr>
          <w:hyperlink w:anchor="_Toc40833194" w:history="1">
            <w:r>
              <w:rPr>
                <w:rStyle w:val="Hyperlink"/>
              </w:rPr>
              <w:t>1.1.</w:t>
            </w:r>
            <w:r>
              <w:rPr>
                <w:rFonts w:asciiTheme="minorHAnsi" w:eastAsiaTheme="minorEastAsia" w:hAnsiTheme="minorHAnsi" w:cstheme="minorBidi"/>
                <w:sz w:val="22"/>
                <w:lang w:eastAsia="en-GB"/>
              </w:rPr>
              <w:tab/>
              <w:t>Ориентиран към резултатите бюджет на ЕС</w:t>
            </w:r>
            <w:r>
              <w:rPr>
                <w:webHidden/>
              </w:rPr>
              <w:tab/>
            </w:r>
            <w:r>
              <w:rPr>
                <w:webHidden/>
              </w:rPr>
              <w:fldChar w:fldCharType="begin" w:fldLock="1"/>
            </w:r>
            <w:r>
              <w:rPr>
                <w:webHidden/>
              </w:rPr>
              <w:instrText xml:space="preserve"> PAGEREF _Toc40833194 \h </w:instrText>
            </w:r>
            <w:r>
              <w:rPr>
                <w:webHidden/>
              </w:rPr>
            </w:r>
            <w:r>
              <w:rPr>
                <w:webHidden/>
              </w:rPr>
              <w:fldChar w:fldCharType="separate"/>
            </w:r>
            <w:r>
              <w:rPr>
                <w:webHidden/>
              </w:rPr>
              <w:t>11</w:t>
            </w:r>
            <w:r>
              <w:rPr>
                <w:webHidden/>
              </w:rPr>
              <w:fldChar w:fldCharType="end"/>
            </w:r>
          </w:hyperlink>
        </w:p>
        <w:p>
          <w:pPr>
            <w:pStyle w:val="TOC2"/>
            <w:rPr>
              <w:rFonts w:asciiTheme="minorHAnsi" w:eastAsiaTheme="minorEastAsia" w:hAnsiTheme="minorHAnsi" w:cstheme="minorBidi"/>
              <w:sz w:val="22"/>
              <w:lang w:eastAsia="en-GB"/>
            </w:rPr>
          </w:pPr>
          <w:hyperlink w:anchor="_Toc40833195" w:history="1">
            <w:r>
              <w:rPr>
                <w:rStyle w:val="Hyperlink"/>
              </w:rPr>
              <w:t>1.2.</w:t>
            </w:r>
            <w:r>
              <w:rPr>
                <w:rFonts w:asciiTheme="minorHAnsi" w:eastAsiaTheme="minorEastAsia" w:hAnsiTheme="minorHAnsi" w:cstheme="minorBidi"/>
                <w:sz w:val="22"/>
                <w:lang w:eastAsia="en-GB"/>
              </w:rPr>
              <w:tab/>
              <w:t>Хоризонтални приоритети в бюджета на ЕС</w:t>
            </w:r>
            <w:r>
              <w:rPr>
                <w:webHidden/>
              </w:rPr>
              <w:tab/>
            </w:r>
            <w:r>
              <w:rPr>
                <w:webHidden/>
              </w:rPr>
              <w:fldChar w:fldCharType="begin" w:fldLock="1"/>
            </w:r>
            <w:r>
              <w:rPr>
                <w:webHidden/>
              </w:rPr>
              <w:instrText xml:space="preserve"> PAGEREF _Toc40833195 \h </w:instrText>
            </w:r>
            <w:r>
              <w:rPr>
                <w:webHidden/>
              </w:rPr>
            </w:r>
            <w:r>
              <w:rPr>
                <w:webHidden/>
              </w:rPr>
              <w:fldChar w:fldCharType="separate"/>
            </w:r>
            <w:r>
              <w:rPr>
                <w:webHidden/>
              </w:rPr>
              <w:t>14</w:t>
            </w:r>
            <w:r>
              <w:rPr>
                <w:webHidden/>
              </w:rPr>
              <w:fldChar w:fldCharType="end"/>
            </w:r>
          </w:hyperlink>
        </w:p>
        <w:p>
          <w:pPr>
            <w:pStyle w:val="TOC2"/>
            <w:rPr>
              <w:rFonts w:asciiTheme="minorHAnsi" w:eastAsiaTheme="minorEastAsia" w:hAnsiTheme="minorHAnsi" w:cstheme="minorBidi"/>
              <w:sz w:val="22"/>
              <w:lang w:eastAsia="en-GB"/>
            </w:rPr>
          </w:pPr>
          <w:hyperlink w:anchor="_Toc40833196" w:history="1">
            <w:r>
              <w:rPr>
                <w:rStyle w:val="Hyperlink"/>
              </w:rPr>
              <w:t>1.3.</w:t>
            </w:r>
            <w:r>
              <w:rPr>
                <w:rFonts w:asciiTheme="minorHAnsi" w:eastAsiaTheme="minorEastAsia" w:hAnsiTheme="minorHAnsi" w:cstheme="minorBidi"/>
                <w:sz w:val="22"/>
                <w:lang w:eastAsia="en-GB"/>
              </w:rPr>
              <w:tab/>
            </w:r>
            <w:r>
              <w:rPr>
                <w:rStyle w:val="Hyperlink"/>
              </w:rPr>
              <w:t>Конкурентоспособност за растеж и работни места</w:t>
            </w:r>
            <w:r>
              <w:rPr>
                <w:webHidden/>
              </w:rPr>
              <w:tab/>
            </w:r>
            <w:r>
              <w:rPr>
                <w:webHidden/>
              </w:rPr>
              <w:fldChar w:fldCharType="begin" w:fldLock="1"/>
            </w:r>
            <w:r>
              <w:rPr>
                <w:webHidden/>
              </w:rPr>
              <w:instrText xml:space="preserve"> PAGEREF _Toc40833196 \h </w:instrText>
            </w:r>
            <w:r>
              <w:rPr>
                <w:webHidden/>
              </w:rPr>
            </w:r>
            <w:r>
              <w:rPr>
                <w:webHidden/>
              </w:rPr>
              <w:fldChar w:fldCharType="separate"/>
            </w:r>
            <w:r>
              <w:rPr>
                <w:webHidden/>
              </w:rPr>
              <w:t>19</w:t>
            </w:r>
            <w:r>
              <w:rPr>
                <w:webHidden/>
              </w:rPr>
              <w:fldChar w:fldCharType="end"/>
            </w:r>
          </w:hyperlink>
        </w:p>
        <w:p>
          <w:pPr>
            <w:pStyle w:val="TOC2"/>
            <w:rPr>
              <w:rFonts w:asciiTheme="minorHAnsi" w:eastAsiaTheme="minorEastAsia" w:hAnsiTheme="minorHAnsi" w:cstheme="minorBidi"/>
              <w:sz w:val="22"/>
              <w:lang w:eastAsia="en-GB"/>
            </w:rPr>
          </w:pPr>
          <w:hyperlink w:anchor="_Toc40833197" w:history="1">
            <w:r>
              <w:rPr>
                <w:rStyle w:val="Hyperlink"/>
              </w:rPr>
              <w:t>1.4.</w:t>
            </w:r>
            <w:r>
              <w:rPr>
                <w:rFonts w:asciiTheme="minorHAnsi" w:eastAsiaTheme="minorEastAsia" w:hAnsiTheme="minorHAnsi" w:cstheme="minorBidi"/>
                <w:sz w:val="22"/>
                <w:lang w:eastAsia="en-GB"/>
              </w:rPr>
              <w:tab/>
            </w:r>
            <w:r>
              <w:rPr>
                <w:rStyle w:val="Hyperlink"/>
              </w:rPr>
              <w:t>Икономическо, социално и териториално сближаване</w:t>
            </w:r>
            <w:r>
              <w:rPr>
                <w:webHidden/>
              </w:rPr>
              <w:tab/>
            </w:r>
            <w:r>
              <w:rPr>
                <w:webHidden/>
              </w:rPr>
              <w:fldChar w:fldCharType="begin" w:fldLock="1"/>
            </w:r>
            <w:r>
              <w:rPr>
                <w:webHidden/>
              </w:rPr>
              <w:instrText xml:space="preserve"> PAGEREF _Toc40833197 \h </w:instrText>
            </w:r>
            <w:r>
              <w:rPr>
                <w:webHidden/>
              </w:rPr>
            </w:r>
            <w:r>
              <w:rPr>
                <w:webHidden/>
              </w:rPr>
              <w:fldChar w:fldCharType="separate"/>
            </w:r>
            <w:r>
              <w:rPr>
                <w:webHidden/>
              </w:rPr>
              <w:t>24</w:t>
            </w:r>
            <w:r>
              <w:rPr>
                <w:webHidden/>
              </w:rPr>
              <w:fldChar w:fldCharType="end"/>
            </w:r>
          </w:hyperlink>
        </w:p>
        <w:p>
          <w:pPr>
            <w:pStyle w:val="TOC2"/>
            <w:rPr>
              <w:rFonts w:asciiTheme="minorHAnsi" w:eastAsiaTheme="minorEastAsia" w:hAnsiTheme="minorHAnsi" w:cstheme="minorBidi"/>
              <w:sz w:val="22"/>
              <w:lang w:eastAsia="en-GB"/>
            </w:rPr>
          </w:pPr>
          <w:hyperlink w:anchor="_Toc40833198" w:history="1">
            <w:r>
              <w:rPr>
                <w:rStyle w:val="Hyperlink"/>
              </w:rPr>
              <w:t>1.5.</w:t>
            </w:r>
            <w:r>
              <w:rPr>
                <w:rFonts w:asciiTheme="minorHAnsi" w:eastAsiaTheme="minorEastAsia" w:hAnsiTheme="minorHAnsi" w:cstheme="minorBidi"/>
                <w:sz w:val="22"/>
                <w:lang w:eastAsia="en-GB"/>
              </w:rPr>
              <w:tab/>
            </w:r>
            <w:r>
              <w:rPr>
                <w:rStyle w:val="Hyperlink"/>
              </w:rPr>
              <w:t>Устойчив растеж: природни ресурси</w:t>
            </w:r>
            <w:r>
              <w:rPr>
                <w:webHidden/>
              </w:rPr>
              <w:tab/>
            </w:r>
            <w:r>
              <w:rPr>
                <w:webHidden/>
              </w:rPr>
              <w:fldChar w:fldCharType="begin" w:fldLock="1"/>
            </w:r>
            <w:r>
              <w:rPr>
                <w:webHidden/>
              </w:rPr>
              <w:instrText xml:space="preserve"> PAGEREF _Toc40833198 \h </w:instrText>
            </w:r>
            <w:r>
              <w:rPr>
                <w:webHidden/>
              </w:rPr>
            </w:r>
            <w:r>
              <w:rPr>
                <w:webHidden/>
              </w:rPr>
              <w:fldChar w:fldCharType="separate"/>
            </w:r>
            <w:r>
              <w:rPr>
                <w:webHidden/>
              </w:rPr>
              <w:t>28</w:t>
            </w:r>
            <w:r>
              <w:rPr>
                <w:webHidden/>
              </w:rPr>
              <w:fldChar w:fldCharType="end"/>
            </w:r>
          </w:hyperlink>
        </w:p>
        <w:p>
          <w:pPr>
            <w:pStyle w:val="TOC2"/>
            <w:rPr>
              <w:rFonts w:asciiTheme="minorHAnsi" w:eastAsiaTheme="minorEastAsia" w:hAnsiTheme="minorHAnsi" w:cstheme="minorBidi"/>
              <w:sz w:val="22"/>
              <w:lang w:eastAsia="en-GB"/>
            </w:rPr>
          </w:pPr>
          <w:hyperlink w:anchor="_Toc40833199" w:history="1">
            <w:r>
              <w:rPr>
                <w:rStyle w:val="Hyperlink"/>
              </w:rPr>
              <w:t>1.6.</w:t>
            </w:r>
            <w:r>
              <w:rPr>
                <w:rFonts w:asciiTheme="minorHAnsi" w:eastAsiaTheme="minorEastAsia" w:hAnsiTheme="minorHAnsi" w:cstheme="minorBidi"/>
                <w:sz w:val="22"/>
                <w:lang w:eastAsia="en-GB"/>
              </w:rPr>
              <w:tab/>
            </w:r>
            <w:r>
              <w:rPr>
                <w:rStyle w:val="Hyperlink"/>
              </w:rPr>
              <w:t>Сигурност и гражданство</w:t>
            </w:r>
            <w:r>
              <w:rPr>
                <w:webHidden/>
              </w:rPr>
              <w:tab/>
            </w:r>
            <w:r>
              <w:rPr>
                <w:webHidden/>
              </w:rPr>
              <w:fldChar w:fldCharType="begin" w:fldLock="1"/>
            </w:r>
            <w:r>
              <w:rPr>
                <w:webHidden/>
              </w:rPr>
              <w:instrText xml:space="preserve"> PAGEREF _Toc40833199 \h </w:instrText>
            </w:r>
            <w:r>
              <w:rPr>
                <w:webHidden/>
              </w:rPr>
            </w:r>
            <w:r>
              <w:rPr>
                <w:webHidden/>
              </w:rPr>
              <w:fldChar w:fldCharType="separate"/>
            </w:r>
            <w:r>
              <w:rPr>
                <w:webHidden/>
              </w:rPr>
              <w:t>32</w:t>
            </w:r>
            <w:r>
              <w:rPr>
                <w:webHidden/>
              </w:rPr>
              <w:fldChar w:fldCharType="end"/>
            </w:r>
          </w:hyperlink>
        </w:p>
        <w:p>
          <w:pPr>
            <w:pStyle w:val="TOC2"/>
            <w:rPr>
              <w:rFonts w:asciiTheme="minorHAnsi" w:eastAsiaTheme="minorEastAsia" w:hAnsiTheme="minorHAnsi" w:cstheme="minorBidi"/>
              <w:sz w:val="22"/>
              <w:lang w:eastAsia="en-GB"/>
            </w:rPr>
          </w:pPr>
          <w:hyperlink w:anchor="_Toc40833200" w:history="1">
            <w:r>
              <w:rPr>
                <w:rStyle w:val="Hyperlink"/>
              </w:rPr>
              <w:t>1.7.</w:t>
            </w:r>
            <w:r>
              <w:rPr>
                <w:rFonts w:asciiTheme="minorHAnsi" w:eastAsiaTheme="minorEastAsia" w:hAnsiTheme="minorHAnsi" w:cstheme="minorBidi"/>
                <w:sz w:val="22"/>
                <w:lang w:eastAsia="en-GB"/>
              </w:rPr>
              <w:tab/>
            </w:r>
            <w:r>
              <w:rPr>
                <w:rStyle w:val="Hyperlink"/>
              </w:rPr>
              <w:t>Глобална Европа</w:t>
            </w:r>
            <w:r>
              <w:rPr>
                <w:webHidden/>
              </w:rPr>
              <w:tab/>
            </w:r>
            <w:r>
              <w:rPr>
                <w:webHidden/>
              </w:rPr>
              <w:fldChar w:fldCharType="begin" w:fldLock="1"/>
            </w:r>
            <w:r>
              <w:rPr>
                <w:webHidden/>
              </w:rPr>
              <w:instrText xml:space="preserve"> PAGEREF _Toc40833200 \h </w:instrText>
            </w:r>
            <w:r>
              <w:rPr>
                <w:webHidden/>
              </w:rPr>
            </w:r>
            <w:r>
              <w:rPr>
                <w:webHidden/>
              </w:rPr>
              <w:fldChar w:fldCharType="separate"/>
            </w:r>
            <w:r>
              <w:rPr>
                <w:webHidden/>
              </w:rPr>
              <w:t>35</w:t>
            </w:r>
            <w:r>
              <w:rPr>
                <w:webHidden/>
              </w:rPr>
              <w:fldChar w:fldCharType="end"/>
            </w:r>
          </w:hyperlink>
        </w:p>
        <w:p>
          <w:pPr>
            <w:pStyle w:val="TOC2"/>
            <w:rPr>
              <w:rFonts w:asciiTheme="minorHAnsi" w:eastAsiaTheme="minorEastAsia" w:hAnsiTheme="minorHAnsi" w:cstheme="minorBidi"/>
              <w:sz w:val="22"/>
              <w:lang w:eastAsia="en-GB"/>
            </w:rPr>
          </w:pPr>
          <w:hyperlink w:anchor="_Toc40833201" w:history="1">
            <w:r>
              <w:rPr>
                <w:rStyle w:val="Hyperlink"/>
              </w:rPr>
              <w:t>1.8.</w:t>
            </w:r>
            <w:r>
              <w:rPr>
                <w:rFonts w:asciiTheme="minorHAnsi" w:eastAsiaTheme="minorEastAsia" w:hAnsiTheme="minorHAnsi" w:cstheme="minorBidi"/>
                <w:sz w:val="22"/>
                <w:lang w:eastAsia="en-GB"/>
              </w:rPr>
              <w:tab/>
            </w:r>
            <w:r>
              <w:rPr>
                <w:rStyle w:val="Hyperlink"/>
              </w:rPr>
              <w:t>Специални инструменти</w:t>
            </w:r>
            <w:r>
              <w:rPr>
                <w:webHidden/>
              </w:rPr>
              <w:tab/>
            </w:r>
            <w:r>
              <w:rPr>
                <w:webHidden/>
              </w:rPr>
              <w:fldChar w:fldCharType="begin" w:fldLock="1"/>
            </w:r>
            <w:r>
              <w:rPr>
                <w:webHidden/>
              </w:rPr>
              <w:instrText xml:space="preserve"> PAGEREF _Toc40833201 \h </w:instrText>
            </w:r>
            <w:r>
              <w:rPr>
                <w:webHidden/>
              </w:rPr>
            </w:r>
            <w:r>
              <w:rPr>
                <w:webHidden/>
              </w:rPr>
              <w:fldChar w:fldCharType="separate"/>
            </w:r>
            <w:r>
              <w:rPr>
                <w:webHidden/>
              </w:rPr>
              <w:t>39</w:t>
            </w:r>
            <w:r>
              <w:rPr>
                <w:webHidden/>
              </w:rPr>
              <w:fldChar w:fldCharType="end"/>
            </w:r>
          </w:hyperlink>
        </w:p>
        <w:p>
          <w:pPr>
            <w:tabs>
              <w:tab w:val="right" w:leader="dot" w:pos="9498"/>
            </w:tabs>
            <w:rPr>
              <w:noProof/>
            </w:rPr>
          </w:pPr>
          <w:r>
            <w:rPr>
              <w:noProof/>
            </w:rPr>
            <w:fldChar w:fldCharType="end"/>
          </w:r>
        </w:p>
      </w:sdtContent>
    </w:sdt>
    <w:sdt>
      <w:sdtPr>
        <w:rPr>
          <w:rFonts w:asciiTheme="minorHAnsi" w:hAnsiTheme="minorHAnsi" w:cstheme="minorBidi"/>
          <w:b w:val="0"/>
          <w:caps w:val="0"/>
          <w:sz w:val="22"/>
        </w:rPr>
        <w:id w:val="1332408019"/>
        <w:docPartObj>
          <w:docPartGallery w:val="Table of Contents"/>
          <w:docPartUnique/>
        </w:docPartObj>
      </w:sdtPr>
      <w:sdtContent>
        <w:p>
          <w:pPr>
            <w:pStyle w:val="TOC1"/>
            <w:rPr>
              <w:rFonts w:asciiTheme="minorHAnsi" w:eastAsiaTheme="minorEastAsia" w:hAnsiTheme="minorHAnsi" w:cstheme="minorBidi"/>
              <w:b w:val="0"/>
              <w:caps w:val="0"/>
              <w:sz w:val="22"/>
              <w:lang w:eastAsia="en-GB"/>
            </w:rPr>
          </w:pPr>
          <w:r>
            <w:fldChar w:fldCharType="begin" w:fldLock="1"/>
          </w:r>
          <w:r>
            <w:instrText xml:space="preserve"> TOC \o "1-2" \h \z \u </w:instrText>
          </w:r>
          <w:r>
            <w:fldChar w:fldCharType="separate"/>
          </w:r>
          <w:r>
            <w:t>Раздел 2 – Вътрешен контрол и финансово управление</w:t>
          </w:r>
          <w:r>
            <w:rPr>
              <w:webHidden/>
            </w:rPr>
            <w:tab/>
            <w:t>41</w:t>
          </w:r>
        </w:p>
        <w:p>
          <w:pPr>
            <w:pStyle w:val="TOC2"/>
            <w:rPr>
              <w:rFonts w:asciiTheme="minorHAnsi" w:eastAsiaTheme="minorEastAsia" w:hAnsiTheme="minorHAnsi" w:cstheme="minorBidi"/>
              <w:sz w:val="22"/>
              <w:lang w:eastAsia="en-GB"/>
            </w:rPr>
          </w:pPr>
          <w:r>
            <w:t>2.1.</w:t>
          </w:r>
          <w:r>
            <w:rPr>
              <w:rFonts w:asciiTheme="minorHAnsi" w:eastAsiaTheme="minorEastAsia" w:hAnsiTheme="minorHAnsi" w:cstheme="minorBidi"/>
              <w:sz w:val="22"/>
              <w:lang w:eastAsia="en-GB"/>
            </w:rPr>
            <w:tab/>
          </w:r>
          <w:r>
            <w:t>Комисията управлява бюджета на ЕС в комплексна среда</w:t>
          </w:r>
          <w:r>
            <w:rPr>
              <w:webHidden/>
            </w:rPr>
            <w:tab/>
            <w:t>43</w:t>
          </w:r>
        </w:p>
        <w:p>
          <w:pPr>
            <w:pStyle w:val="TOC2"/>
            <w:rPr>
              <w:rFonts w:asciiTheme="minorHAnsi" w:eastAsiaTheme="minorEastAsia" w:hAnsiTheme="minorHAnsi" w:cstheme="minorBidi"/>
              <w:sz w:val="22"/>
              <w:lang w:eastAsia="en-GB"/>
            </w:rPr>
          </w:pPr>
          <w:r>
            <w:t>2.2.</w:t>
          </w:r>
          <w:r>
            <w:rPr>
              <w:rFonts w:asciiTheme="minorHAnsi" w:eastAsiaTheme="minorEastAsia" w:hAnsiTheme="minorHAnsi" w:cstheme="minorBidi"/>
              <w:sz w:val="22"/>
              <w:lang w:eastAsia="en-GB"/>
            </w:rPr>
            <w:tab/>
          </w:r>
          <w:r>
            <w:t>Комисията разчита на различни инструменти, за да гарантира, че парите на данъкоплатците се управляват добре</w:t>
          </w:r>
          <w:r>
            <w:rPr>
              <w:webHidden/>
            </w:rPr>
            <w:tab/>
            <w:t>49</w:t>
          </w:r>
        </w:p>
        <w:p>
          <w:pPr>
            <w:pStyle w:val="TOC2"/>
            <w:rPr>
              <w:rFonts w:asciiTheme="minorHAnsi" w:eastAsiaTheme="minorEastAsia" w:hAnsiTheme="minorHAnsi" w:cstheme="minorBidi"/>
              <w:sz w:val="22"/>
              <w:lang w:eastAsia="en-GB"/>
            </w:rPr>
          </w:pPr>
          <w:r>
            <w:t>2.3.</w:t>
          </w:r>
          <w:r>
            <w:rPr>
              <w:rFonts w:asciiTheme="minorHAnsi" w:eastAsiaTheme="minorEastAsia" w:hAnsiTheme="minorHAnsi" w:cstheme="minorBidi"/>
              <w:sz w:val="22"/>
              <w:lang w:eastAsia="en-GB"/>
            </w:rPr>
            <w:tab/>
          </w:r>
          <w:r>
            <w:t>В резултатите от контрола, извършен от Комисията, се потвърждава, че бюджетът на ЕС е добре защитен</w:t>
          </w:r>
          <w:r>
            <w:rPr>
              <w:webHidden/>
            </w:rPr>
            <w:tab/>
            <w:t>58</w:t>
          </w:r>
        </w:p>
        <w:p>
          <w:pPr>
            <w:pStyle w:val="TOC2"/>
            <w:rPr>
              <w:rFonts w:asciiTheme="minorHAnsi" w:eastAsiaTheme="minorEastAsia" w:hAnsiTheme="minorHAnsi" w:cstheme="minorBidi"/>
              <w:sz w:val="22"/>
              <w:lang w:eastAsia="en-GB"/>
            </w:rPr>
          </w:pPr>
          <w:r>
            <w:t>2.4.</w:t>
          </w:r>
          <w:r>
            <w:rPr>
              <w:rFonts w:asciiTheme="minorHAnsi" w:eastAsiaTheme="minorEastAsia" w:hAnsiTheme="minorHAnsi" w:cstheme="minorBidi"/>
              <w:sz w:val="22"/>
              <w:lang w:eastAsia="en-GB"/>
            </w:rPr>
            <w:tab/>
          </w:r>
          <w:r>
            <w:t>По-нататъшно развитие: перспективи за 2020 г. и периода 2021–2027 г.</w:t>
          </w:r>
          <w:r>
            <w:rPr>
              <w:webHidden/>
            </w:rPr>
            <w:tab/>
            <w:t>70</w:t>
          </w:r>
        </w:p>
        <w:p>
          <w:pPr>
            <w:tabs>
              <w:tab w:val="right" w:leader="dot" w:pos="9498"/>
            </w:tabs>
            <w:rPr>
              <w:noProof/>
            </w:rPr>
          </w:pPr>
          <w:r>
            <w:rPr>
              <w:noProof/>
            </w:rPr>
            <w:fldChar w:fldCharType="end"/>
          </w:r>
        </w:p>
      </w:sdtContent>
    </w:sdt>
    <w:p>
      <w:pPr>
        <w:pStyle w:val="TOC1"/>
        <w:tabs>
          <w:tab w:val="clear" w:pos="9497"/>
          <w:tab w:val="right" w:leader="dot" w:pos="9498"/>
        </w:tabs>
      </w:pPr>
      <w:r>
        <w:rPr>
          <w:lang w:val="bg-BG"/>
        </w:rPr>
        <w:t>ПРИЛОЖЕНИЯ</w:t>
      </w:r>
      <w:r>
        <w:tab/>
        <w:t>73</w:t>
      </w:r>
    </w:p>
    <w:p>
      <w:pPr>
        <w:tabs>
          <w:tab w:val="right" w:leader="dot" w:pos="9498"/>
        </w:tabs>
        <w:rPr>
          <w:noProof/>
          <w:color w:val="BFBFBF" w:themeColor="background1" w:themeShade="BF"/>
          <w:sz w:val="12"/>
          <w:szCs w:val="12"/>
        </w:rPr>
      </w:pPr>
      <w:r>
        <w:rPr>
          <w:noProof/>
          <w:color w:val="BFBFBF" w:themeColor="background1" w:themeShade="BF"/>
          <w:sz w:val="12"/>
          <w:szCs w:val="12"/>
        </w:rPr>
        <w:fldChar w:fldCharType="begin"/>
      </w:r>
      <w:r>
        <w:rPr>
          <w:noProof/>
          <w:color w:val="BFBFBF" w:themeColor="background1" w:themeShade="BF"/>
          <w:sz w:val="12"/>
          <w:szCs w:val="12"/>
        </w:rPr>
        <w:instrText xml:space="preserve"> RD https://myintracomm-collab.ec.europa.eu/networks/AMPR/Document%20Library/AMPR%202019%20Master%20FILE%20B.docx </w:instrText>
      </w:r>
      <w:r>
        <w:rPr>
          <w:noProof/>
          <w:color w:val="BFBFBF" w:themeColor="background1" w:themeShade="BF"/>
          <w:sz w:val="12"/>
          <w:szCs w:val="12"/>
        </w:rPr>
        <w:fldChar w:fldCharType="end"/>
      </w:r>
    </w:p>
    <w:p>
      <w:pPr>
        <w:rPr>
          <w:noProof/>
        </w:rPr>
      </w:pPr>
      <w:r>
        <w:rPr>
          <w:noProof/>
        </w:rPr>
        <w:br w:type="page"/>
      </w:r>
    </w:p>
    <w:p>
      <w:pPr>
        <w:rPr>
          <w:noProof/>
        </w:rPr>
      </w:pPr>
    </w:p>
    <w:p>
      <w:pPr>
        <w:rPr>
          <w:noProof/>
        </w:rPr>
        <w:sectPr>
          <w:headerReference w:type="even" r:id="rId28"/>
          <w:headerReference w:type="default" r:id="rId29"/>
          <w:footerReference w:type="even" r:id="rId30"/>
          <w:footerReference w:type="default" r:id="rId31"/>
          <w:headerReference w:type="first" r:id="rId32"/>
          <w:footerReference w:type="first" r:id="rId33"/>
          <w:pgSz w:w="11907" w:h="16839" w:code="9"/>
          <w:pgMar w:top="1417" w:right="850" w:bottom="1134" w:left="1417" w:header="567" w:footer="454" w:gutter="0"/>
          <w:pgNumType w:start="1"/>
          <w:cols w:space="720"/>
          <w:titlePg/>
          <w:docGrid w:linePitch="360"/>
        </w:sectPr>
      </w:pPr>
    </w:p>
    <w:p>
      <w:pPr>
        <w:pStyle w:val="AMPRForewordTITLE1"/>
      </w:pPr>
      <w:bookmarkStart w:id="26" w:name="_Toc39135907"/>
      <w:bookmarkStart w:id="27" w:name="_Toc39136171"/>
      <w:bookmarkStart w:id="28" w:name="_Toc39136315"/>
      <w:bookmarkStart w:id="29" w:name="_Toc39136463"/>
      <w:bookmarkStart w:id="30" w:name="_Toc39137280"/>
      <w:bookmarkStart w:id="31" w:name="_Toc39138012"/>
      <w:bookmarkStart w:id="32" w:name="_Toc39140497"/>
      <w:bookmarkStart w:id="33" w:name="_Toc39141717"/>
      <w:bookmarkStart w:id="34" w:name="_Toc39141987"/>
      <w:bookmarkStart w:id="35" w:name="_Toc39142939"/>
      <w:bookmarkStart w:id="36" w:name="_Toc39142997"/>
      <w:bookmarkStart w:id="37" w:name="_Toc39143903"/>
      <w:bookmarkStart w:id="38" w:name="_Toc39144005"/>
      <w:bookmarkStart w:id="39" w:name="_Toc39144679"/>
      <w:bookmarkStart w:id="40" w:name="_Toc39146014"/>
      <w:bookmarkStart w:id="41" w:name="_Toc39146183"/>
      <w:bookmarkStart w:id="42" w:name="_Toc39146308"/>
      <w:bookmarkStart w:id="43" w:name="_Toc39146692"/>
      <w:bookmarkStart w:id="44" w:name="_Toc39147228"/>
      <w:bookmarkStart w:id="45" w:name="_Toc39688269"/>
      <w:bookmarkStart w:id="46" w:name="_Toc40832629"/>
      <w:bookmarkStart w:id="47" w:name="_Toc40833191"/>
      <w:bookmarkStart w:id="48" w:name="_Toc40833216"/>
      <w:bookmarkStart w:id="49" w:name="_Toc40861722"/>
      <w:bookmarkStart w:id="50" w:name="_Toc40862144"/>
      <w:bookmarkStart w:id="51" w:name="_Toc40884717"/>
      <w:bookmarkStart w:id="52" w:name="_Toc41420497"/>
      <w:bookmarkStart w:id="53" w:name="_Toc42272886"/>
      <w:bookmarkStart w:id="54" w:name="_Toc42332945"/>
      <w:r>
        <w:t>Предговор</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pStyle w:val="BodyText"/>
        <w:sectPr>
          <w:headerReference w:type="even" r:id="rId34"/>
          <w:headerReference w:type="default" r:id="rId35"/>
          <w:footerReference w:type="even" r:id="rId36"/>
          <w:footerReference w:type="default" r:id="rId37"/>
          <w:headerReference w:type="first" r:id="rId38"/>
          <w:footerReference w:type="first" r:id="rId39"/>
          <w:pgSz w:w="11907" w:h="16839"/>
          <w:pgMar w:top="1417" w:right="1417" w:bottom="1134" w:left="1417" w:header="567" w:footer="454" w:gutter="0"/>
          <w:cols w:space="720"/>
          <w:docGrid w:linePitch="360"/>
        </w:sectPr>
      </w:pPr>
    </w:p>
    <w:p>
      <w:pPr>
        <w:pStyle w:val="AMPRBodyText"/>
        <w:spacing w:before="0"/>
        <w:rPr>
          <w:spacing w:val="1"/>
        </w:rPr>
      </w:pPr>
      <w:r>
        <w:rPr>
          <w:lang w:eastAsia="en-GB"/>
        </w:rPr>
        <w:drawing>
          <wp:anchor distT="0" distB="43180" distL="114300" distR="114935" simplePos="0" relativeHeight="251642880" behindDoc="0" locked="0" layoutInCell="1" allowOverlap="1">
            <wp:simplePos x="0" y="0"/>
            <wp:positionH relativeFrom="column">
              <wp:posOffset>3175</wp:posOffset>
            </wp:positionH>
            <wp:positionV relativeFrom="paragraph">
              <wp:posOffset>36195</wp:posOffset>
            </wp:positionV>
            <wp:extent cx="1080000" cy="1080000"/>
            <wp:effectExtent l="0" t="0" r="6350" b="635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023064001304-34587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t xml:space="preserve">За мен е удоволствие да представя </w:t>
      </w:r>
      <w:r>
        <w:rPr>
          <w:i/>
          <w:iCs/>
        </w:rPr>
        <w:t>Годишния доклад за управлението и изпълнението на бюджета на ЕС — финансова 2019 година</w:t>
      </w:r>
      <w:r>
        <w:t>. В него се представя общ преглед на изпълнението, управлението и защитата на бюджета на ЕС и самият доклад представлява част от пакета от интегрирани отчети за финансите и управленската отговорност на Комисията. С него се изпълняват задълженията на Комисията съгласно Договора за функционирането на Европейския съюз</w:t>
      </w:r>
      <w:r>
        <w:rPr>
          <w:rStyle w:val="fnRef"/>
          <w:rFonts w:ascii="Arial" w:hAnsi="Arial"/>
        </w:rPr>
        <w:t> </w:t>
      </w:r>
      <w:r>
        <w:rPr>
          <w:rStyle w:val="fnRef"/>
        </w:rPr>
        <w:t>(</w:t>
      </w:r>
      <w:r>
        <w:rPr>
          <w:rStyle w:val="fnRefNo"/>
        </w:rPr>
        <w:footnoteReference w:id="1"/>
      </w:r>
      <w:r>
        <w:rPr>
          <w:rStyle w:val="fnRef"/>
        </w:rPr>
        <w:t>)</w:t>
      </w:r>
      <w:r>
        <w:t xml:space="preserve"> и Финансовия регламент</w:t>
      </w:r>
      <w:r>
        <w:rPr>
          <w:rStyle w:val="fnRef"/>
          <w:rFonts w:ascii="Arial" w:hAnsi="Arial"/>
        </w:rPr>
        <w:t> </w:t>
      </w:r>
      <w:r>
        <w:rPr>
          <w:rStyle w:val="fnRef"/>
        </w:rPr>
        <w:t>(</w:t>
      </w:r>
      <w:r>
        <w:rPr>
          <w:rStyle w:val="fnRefNo"/>
        </w:rPr>
        <w:footnoteReference w:id="2"/>
      </w:r>
      <w:r>
        <w:rPr>
          <w:rStyle w:val="fnRef"/>
        </w:rPr>
        <w:t>)</w:t>
      </w:r>
      <w:r>
        <w:t xml:space="preserve"> и той е съществена част от високоразвита система за финансова отчетност.</w:t>
      </w:r>
    </w:p>
    <w:p>
      <w:pPr>
        <w:pStyle w:val="AMPRBodyText"/>
        <w:rPr>
          <w:spacing w:val="1"/>
        </w:rPr>
      </w:pPr>
      <w:r>
        <w:t>2019 г. беше последната година на законодателния орган, действащ през периода 2014—2019 г., и затова беше поставен акцент върху завършването на работата по приоритетите на Комисията „Юнкер“ и подготовката на прехода към нова Комисия, ръководена от председателя Фон дер Лайен.</w:t>
      </w:r>
    </w:p>
    <w:p>
      <w:pPr>
        <w:pStyle w:val="AMPRBodyText"/>
        <w:rPr>
          <w:spacing w:val="1"/>
        </w:rPr>
      </w:pPr>
      <w:r>
        <w:t xml:space="preserve">Бюджетът на ЕС допринася за укрепването и по-голямата устойчивост на европейската икономика. Около половината от бюджета се отделя за интелигентен и приобщаващ растеж. Бюджетът се използва и за инвестиции в бъдещето, по-специално за преход към по-зелена и цифрова Европа. През 2019 г. бе отново доказано, че бюджетът на ЕС може да доведе до осезаема промяна в живота на гражданите на ЕС в много райони, независимо дали чрез подобрения в транспорта, по-добра свързаност у дома и по време на пътуване или чрез подобряване на околната среда, като бе изпълнено обещанието поне 20 % от него да бъдат използвани за борба с изменението на климата. </w:t>
      </w:r>
      <w:r>
        <w:rPr>
          <w:rFonts w:asciiTheme="minorHAnsi" w:hAnsiTheme="minorHAnsi"/>
        </w:rPr>
        <w:t>Чрез бюджета на ЕС бе подкрепен и общият европейски отговор в областта на миграцията и сигурността.</w:t>
      </w:r>
    </w:p>
    <w:p>
      <w:pPr>
        <w:pStyle w:val="AMPRBodyText"/>
        <w:rPr>
          <w:spacing w:val="1"/>
        </w:rPr>
      </w:pPr>
      <w:r>
        <w:t>Бюджетът на ЕС ще продължи да играе ключова роля в подкрепа на амбициозния Европейски зелен пакт. В същото време той остава от първостепенна важност при справянето с нови предизвикателства: в настоящата криза използвахме цялата му гъвкавост, за да насочим финансирането бързо натам, където нуждите, свързани с преодоляването на последиците от кризата, са най-големи.</w:t>
      </w:r>
    </w:p>
    <w:p>
      <w:pPr>
        <w:pStyle w:val="AMPRBodyText"/>
        <w:rPr>
          <w:spacing w:val="1"/>
        </w:rPr>
      </w:pPr>
      <w:r>
        <w:t xml:space="preserve">Настоящата криза, предизвикана от коронавируса, бе поредното доказателство колко е важно ЕС да може да разчита на правилно преценена и гъвкава многогодишна финансова рамка. </w:t>
      </w:r>
      <w:r>
        <w:rPr>
          <w:rStyle w:val="bumpedfont15"/>
        </w:rPr>
        <w:t xml:space="preserve">В рамките на установените граници на капацитета му и неговата регулаторна гъвкавост бюджетът предоставя средства за действие и бързо реагиране при непредвидени и безпрецедентни кризи. Подкрепен от инструмента Next Generation EU, </w:t>
      </w:r>
      <w:r>
        <w:t>дългосрочният бюджет на ЕС ще бъде също в основата на възстановяването, тъй като е доказана способността му да функционира като катализатор за солидарност, отговорност и иновации при същевременно гарантиране на доброто финансово управление през целия жизнен цикъл на финансираните чрез него програми.</w:t>
      </w:r>
    </w:p>
    <w:p>
      <w:pPr>
        <w:pStyle w:val="AMPRBodyText"/>
        <w:rPr>
          <w:spacing w:val="1"/>
        </w:rPr>
      </w:pPr>
      <w:r>
        <w:t>Комисията отдава голямо значение на това бюджетът на ЕС да се изразходва отговорно и правилно, както и на работата с всички участващи страни, за да се гарантира, че той води до осезаеми резултати по места. В настоящия доклад са представени стъпките, които се предприемат, за да се гарантира, че бюджетът на ЕС се управлява в съответствие с най-високите стандарти за добро финансово управление.</w:t>
      </w:r>
    </w:p>
    <w:p>
      <w:pPr>
        <w:pStyle w:val="AMPRBodyText"/>
        <w:rPr>
          <w:spacing w:val="1"/>
        </w:rPr>
      </w:pPr>
      <w:r>
        <w:t>Комисията внимателно следи изпълнението на бюджета на ЕС на място. Ако установи, че държави членки, посредници или крайни бенефициери са похарчили пари на ЕС неправилно, тя предприема незабавни мерки за коригиране на тези грешки и за събиране на средствата</w:t>
      </w:r>
      <w:r>
        <w:rPr>
          <w:rFonts w:asciiTheme="minorHAnsi" w:hAnsiTheme="minorHAnsi"/>
        </w:rPr>
        <w:t>,</w:t>
      </w:r>
      <w:r>
        <w:t xml:space="preserve"> ако това е необходимо. По оценка на Комисията оставащото след корекциите и събиранията на суми през следващите години равнище на грешки при разходите за 2019 г. ще бъде под 1 %, което е доста под прага на същественост от 2 %. Чрез настоящия доклад Комисията поема цялостна политическа отговорност за управлението на бюджета на ЕС през 2019 г.</w:t>
      </w:r>
    </w:p>
    <w:p>
      <w:pPr>
        <w:pStyle w:val="AMPRBodyText"/>
        <w:rPr>
          <w:spacing w:val="1"/>
        </w:rPr>
      </w:pPr>
      <w:r>
        <w:t>За Комисията съгласуваното докладване и подобряването на различните инструменти за контрол играят ключова роля за защитата на бюджета на ЕС. Мога да Ви уверя, че ще продължим да работим, за да гарантираме, че всяко евро, внесено от данъкоплатците от ЕС, е изразходвано правилно в интерес на гражданите.</w:t>
      </w:r>
    </w:p>
    <w:p>
      <w:pPr>
        <w:pStyle w:val="AMPRBodyText"/>
        <w:jc w:val="left"/>
        <w:rPr>
          <w:b/>
          <w:bCs/>
          <w:spacing w:val="1"/>
        </w:rPr>
      </w:pPr>
      <w:r>
        <w:rPr>
          <w:b/>
          <w:bCs/>
        </w:rPr>
        <w:t>Йоханес Хан, член на Комисията, отговарящ за бюджета и администрацията</w:t>
      </w:r>
    </w:p>
    <w:p>
      <w:pPr>
        <w:jc w:val="both"/>
        <w:rPr>
          <w:rFonts w:cstheme="minorHAnsi"/>
          <w:noProof/>
          <w:sz w:val="24"/>
          <w:szCs w:val="24"/>
        </w:rPr>
      </w:pPr>
    </w:p>
    <w:p>
      <w:pPr>
        <w:rPr>
          <w:noProof/>
          <w:lang w:eastAsia="fr-BE"/>
        </w:rPr>
      </w:pPr>
    </w:p>
    <w:p>
      <w:pPr>
        <w:rPr>
          <w:noProof/>
        </w:rPr>
      </w:pPr>
      <w:r>
        <w:rPr>
          <w:noProof/>
        </w:rPr>
        <w:br w:type="page"/>
      </w:r>
    </w:p>
    <w:p>
      <w:pPr>
        <w:rPr>
          <w:noProof/>
          <w:lang w:eastAsia="fr-BE"/>
        </w:rPr>
      </w:pPr>
    </w:p>
    <w:p>
      <w:pPr>
        <w:pStyle w:val="AMPRText"/>
        <w:sectPr>
          <w:headerReference w:type="even" r:id="rId41"/>
          <w:headerReference w:type="default" r:id="rId42"/>
          <w:footerReference w:type="even" r:id="rId43"/>
          <w:footerReference w:type="default" r:id="rId44"/>
          <w:headerReference w:type="first" r:id="rId45"/>
          <w:footerReference w:type="first" r:id="rId46"/>
          <w:type w:val="continuous"/>
          <w:pgSz w:w="11907" w:h="16839"/>
          <w:pgMar w:top="1417" w:right="1417" w:bottom="1134" w:left="1417" w:header="635" w:footer="635" w:gutter="0"/>
          <w:cols w:num="2" w:space="720"/>
          <w:docGrid w:linePitch="360"/>
        </w:sectPr>
      </w:pPr>
    </w:p>
    <w:p>
      <w:pPr>
        <w:rPr>
          <w:noProof/>
        </w:rPr>
      </w:pPr>
      <w:bookmarkStart w:id="55" w:name="_Toc39135908"/>
      <w:bookmarkStart w:id="56" w:name="_Toc39136172"/>
      <w:bookmarkStart w:id="57" w:name="_Toc39136316"/>
      <w:bookmarkStart w:id="58" w:name="_Toc39136464"/>
      <w:bookmarkStart w:id="59" w:name="_Toc39137281"/>
      <w:bookmarkStart w:id="60" w:name="_Toc39138013"/>
      <w:bookmarkStart w:id="61" w:name="_Toc39140498"/>
      <w:bookmarkStart w:id="62" w:name="_Toc39141718"/>
      <w:bookmarkStart w:id="63" w:name="_Toc39141988"/>
      <w:bookmarkStart w:id="64" w:name="_Toc39142940"/>
      <w:bookmarkStart w:id="65" w:name="_Toc39142998"/>
      <w:bookmarkStart w:id="66" w:name="_Toc39143904"/>
      <w:bookmarkStart w:id="67" w:name="_Toc39144006"/>
      <w:bookmarkStart w:id="68" w:name="_Toc39144680"/>
      <w:bookmarkStart w:id="69" w:name="_Toc39146015"/>
      <w:bookmarkStart w:id="70" w:name="_Toc39146184"/>
      <w:bookmarkStart w:id="71" w:name="_Toc39146309"/>
      <w:bookmarkStart w:id="72" w:name="_Toc39146693"/>
      <w:bookmarkStart w:id="73" w:name="_Toc39147229"/>
      <w:bookmarkStart w:id="74" w:name="_Toc39688270"/>
      <w:r>
        <w:rPr>
          <w:noProof/>
        </w:rPr>
        <w:br w:type="page"/>
      </w:r>
    </w:p>
    <w:p>
      <w:pPr>
        <w:pStyle w:val="AMPRBodyText"/>
      </w:pPr>
    </w:p>
    <w:p>
      <w:pPr>
        <w:pStyle w:val="AMPRReportTITLE1-noTOC"/>
        <w:spacing w:before="6880"/>
        <w:rPr>
          <w:sz w:val="56"/>
          <w:szCs w:val="56"/>
        </w:rPr>
      </w:pPr>
      <w:r>
        <w:t xml:space="preserve">Годишен доклад за управлението и изпълнението на бюджета на ЕС — </w:t>
      </w:r>
      <w:r>
        <w:rPr>
          <w:sz w:val="56"/>
          <w:szCs w:val="56"/>
        </w:rPr>
        <w:t>финансова 2019 година</w:t>
      </w:r>
    </w:p>
    <w:p>
      <w:pPr>
        <w:rPr>
          <w:rFonts w:ascii="EC Square Sans Pro" w:hAnsi="EC Square Sans Pro"/>
          <w:noProof/>
          <w:color w:val="000000"/>
          <w:sz w:val="20"/>
          <w:szCs w:val="20"/>
        </w:rPr>
      </w:pPr>
      <w:r>
        <w:rPr>
          <w:noProof/>
        </w:rPr>
        <w:br w:type="page"/>
      </w:r>
    </w:p>
    <w:p>
      <w:pPr>
        <w:pStyle w:val="TITLE1Report"/>
        <w:sectPr>
          <w:headerReference w:type="even" r:id="rId47"/>
          <w:headerReference w:type="default" r:id="rId48"/>
          <w:footerReference w:type="even" r:id="rId49"/>
          <w:footerReference w:type="default" r:id="rId50"/>
          <w:headerReference w:type="first" r:id="rId51"/>
          <w:footerReference w:type="first" r:id="rId52"/>
          <w:type w:val="continuous"/>
          <w:pgSz w:w="11907" w:h="16839"/>
          <w:pgMar w:top="1417" w:right="1417" w:bottom="1134" w:left="1417" w:header="567" w:footer="454" w:gutter="0"/>
          <w:cols w:space="720"/>
          <w:docGrid w:linePitch="360"/>
        </w:sectPr>
      </w:pPr>
    </w:p>
    <w:p>
      <w:pPr>
        <w:rPr>
          <w:rFonts w:ascii="EC Square Sans Pro" w:hAnsi="EC Square Sans Pro" w:cs="Times New Roman"/>
          <w:noProof/>
          <w:color w:val="005D95"/>
          <w:sz w:val="48"/>
        </w:rPr>
      </w:pPr>
      <w:bookmarkStart w:id="75" w:name="_Toc40832630"/>
      <w:bookmarkStart w:id="76" w:name="_Toc40833192"/>
      <w:bookmarkStart w:id="77" w:name="_Toc40833217"/>
      <w:bookmarkStart w:id="78" w:name="_Toc40861723"/>
      <w:bookmarkStart w:id="79" w:name="_Toc40862145"/>
      <w:bookmarkStart w:id="80" w:name="_Toc40884718"/>
      <w:bookmarkStart w:id="81" w:name="_Toc41420498"/>
      <w:bookmarkStart w:id="82" w:name="_Toc42272887"/>
      <w:bookmarkStart w:id="83" w:name="_Toc42332946"/>
      <w:r>
        <w:rPr>
          <w:noProof/>
        </w:rPr>
        <w:br w:type="page"/>
      </w:r>
    </w:p>
    <w:p>
      <w:pPr>
        <w:pStyle w:val="AMPRForewordTITLE1"/>
      </w:pPr>
      <w:r>
        <w:t>Въведение</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pStyle w:val="AMPRBodyText"/>
        <w:rPr>
          <w:spacing w:val="1"/>
        </w:rPr>
      </w:pPr>
      <w:r>
        <w:rPr>
          <w:i/>
          <w:iCs/>
        </w:rPr>
        <w:t xml:space="preserve">Годишният доклад за управлението и изпълнението на бюджета на ЕС — финансова 2019 година </w:t>
      </w:r>
      <w:r>
        <w:t>е основният принос на Комисията за ежегодната процедура по освобождаване от отговорност във връзка с изпълнението на бюджета на ЕС</w:t>
      </w:r>
      <w:r>
        <w:rPr>
          <w:rStyle w:val="fnRef"/>
          <w:rFonts w:ascii="Arial" w:hAnsi="Arial"/>
        </w:rPr>
        <w:t> </w:t>
      </w:r>
      <w:r>
        <w:rPr>
          <w:rStyle w:val="fnRef"/>
        </w:rPr>
        <w:t>(</w:t>
      </w:r>
      <w:r>
        <w:rPr>
          <w:rStyle w:val="fnRefNo"/>
        </w:rPr>
        <w:footnoteReference w:id="3"/>
      </w:r>
      <w:r>
        <w:rPr>
          <w:rStyle w:val="fnRef"/>
        </w:rPr>
        <w:t>)</w:t>
      </w:r>
      <w:r>
        <w:t>, чрез която Европейският парламент и Съветът контролират това изпълнение. Докладът обхваща както изпълнението на програмите, финансирани от бюджета на ЕС, така и управлението на бюджета на ЕС от Комисията през отчетната година.</w:t>
      </w:r>
    </w:p>
    <w:p>
      <w:pPr>
        <w:pStyle w:val="AMPRBodyText"/>
        <w:rPr>
          <w:spacing w:val="1"/>
        </w:rPr>
      </w:pPr>
      <w:r>
        <w:t>Настоящият доклад е част от по-широкия пакет от интегрирани отчети за финансите и управленската отговорност</w:t>
      </w:r>
      <w:r>
        <w:rPr>
          <w:rStyle w:val="fnRef"/>
          <w:rFonts w:ascii="Arial" w:hAnsi="Arial"/>
        </w:rPr>
        <w:t> </w:t>
      </w:r>
      <w:r>
        <w:rPr>
          <w:rStyle w:val="fnRef"/>
        </w:rPr>
        <w:t>(</w:t>
      </w:r>
      <w:r>
        <w:rPr>
          <w:rStyle w:val="fnRefNo"/>
        </w:rPr>
        <w:footnoteReference w:id="4"/>
      </w:r>
      <w:r>
        <w:rPr>
          <w:rStyle w:val="fnRef"/>
        </w:rPr>
        <w:t>)</w:t>
      </w:r>
      <w:r>
        <w:t>, който включва и годишните отчети</w:t>
      </w:r>
      <w:r>
        <w:rPr>
          <w:rStyle w:val="fnRef"/>
          <w:rFonts w:ascii="Arial" w:hAnsi="Arial"/>
        </w:rPr>
        <w:t> </w:t>
      </w:r>
      <w:r>
        <w:rPr>
          <w:rStyle w:val="fnRef"/>
        </w:rPr>
        <w:t>(</w:t>
      </w:r>
      <w:r>
        <w:rPr>
          <w:rStyle w:val="fnRefNo"/>
        </w:rPr>
        <w:footnoteReference w:id="5"/>
      </w:r>
      <w:r>
        <w:rPr>
          <w:rStyle w:val="fnRef"/>
        </w:rPr>
        <w:t>)</w:t>
      </w:r>
      <w:r>
        <w:t>, дългосрочна прогноза за бъдещите входящи и изходящи потоци за следващите 5</w:t>
      </w:r>
      <w:r>
        <w:rPr>
          <w:rFonts w:ascii="Calibri" w:hAnsi="Calibri"/>
        </w:rPr>
        <w:t> </w:t>
      </w:r>
      <w:r>
        <w:t>години</w:t>
      </w:r>
      <w:r>
        <w:rPr>
          <w:rStyle w:val="fnRef"/>
          <w:rFonts w:ascii="Arial" w:hAnsi="Arial"/>
        </w:rPr>
        <w:t> </w:t>
      </w:r>
      <w:r>
        <w:rPr>
          <w:rStyle w:val="fnRef"/>
        </w:rPr>
        <w:t>(</w:t>
      </w:r>
      <w:r>
        <w:rPr>
          <w:rStyle w:val="fnRefNo"/>
        </w:rPr>
        <w:footnoteReference w:id="6"/>
      </w:r>
      <w:r>
        <w:rPr>
          <w:rStyle w:val="fnRef"/>
        </w:rPr>
        <w:t>)</w:t>
      </w:r>
      <w:r>
        <w:t>, отчета за вътрешните одити</w:t>
      </w:r>
      <w:r>
        <w:rPr>
          <w:rStyle w:val="fnRef"/>
          <w:rFonts w:ascii="Arial" w:hAnsi="Arial"/>
        </w:rPr>
        <w:t> </w:t>
      </w:r>
      <w:r>
        <w:rPr>
          <w:rStyle w:val="fnRef"/>
        </w:rPr>
        <w:t>(</w:t>
      </w:r>
      <w:r>
        <w:rPr>
          <w:rStyle w:val="fnRefNo"/>
        </w:rPr>
        <w:footnoteReference w:id="7"/>
      </w:r>
      <w:r>
        <w:rPr>
          <w:rStyle w:val="fnRef"/>
        </w:rPr>
        <w:t>)</w:t>
      </w:r>
      <w:r>
        <w:t xml:space="preserve"> и доклада за последващите действия във връзка с освобождаването от отговорност</w:t>
      </w:r>
      <w:r>
        <w:rPr>
          <w:rStyle w:val="fnRef"/>
          <w:rFonts w:ascii="Arial" w:hAnsi="Arial"/>
        </w:rPr>
        <w:t> </w:t>
      </w:r>
      <w:r>
        <w:rPr>
          <w:rStyle w:val="fnRef"/>
        </w:rPr>
        <w:t>(</w:t>
      </w:r>
      <w:r>
        <w:rPr>
          <w:rStyle w:val="fnRefNo"/>
        </w:rPr>
        <w:footnoteReference w:id="8"/>
      </w:r>
      <w:r>
        <w:rPr>
          <w:rStyle w:val="fnRef"/>
        </w:rPr>
        <w:t>)</w:t>
      </w:r>
      <w:r>
        <w:t>.</w:t>
      </w:r>
    </w:p>
    <w:p>
      <w:pPr>
        <w:pStyle w:val="AMPRBodyText"/>
        <w:rPr>
          <w:spacing w:val="1"/>
        </w:rPr>
      </w:pPr>
      <w:r>
        <w:rPr>
          <w:rStyle w:val="AMPRcharBoldBlue"/>
        </w:rPr>
        <w:t>В раздел 1</w:t>
      </w:r>
      <w:r>
        <w:t xml:space="preserve"> се прави общ преглед на изпълнението на бюджета на ЕС през 2019 г., като се поставя акцент върху ключовите програми. В този раздел се представя най-новата информация от различни източници, включително мониторинга на програмите, оценките и одитите, във връзка с резултатите, постигнати с бюджета на ЕС до края на 2019 г. Този раздел е структуриран съгласно функциите от настоящата многогодишна финансова рамка.</w:t>
      </w:r>
    </w:p>
    <w:p>
      <w:pPr>
        <w:pStyle w:val="AMPRBodyText"/>
        <w:rPr>
          <w:spacing w:val="1"/>
        </w:rPr>
      </w:pPr>
      <w:r>
        <w:t xml:space="preserve">Това докладване се допълва от по-подробна информация за изпълнението по отделни програми в </w:t>
      </w:r>
      <w:r>
        <w:rPr>
          <w:rStyle w:val="AMPRcharBoldBlue"/>
        </w:rPr>
        <w:t>„Общ преглед на изпълнението на програмите“ (приложение</w:t>
      </w:r>
      <w:r>
        <w:rPr>
          <w:rStyle w:val="AMPRcharBoldBlue"/>
          <w:rFonts w:ascii="Calibri" w:hAnsi="Calibri"/>
        </w:rPr>
        <w:t> </w:t>
      </w:r>
      <w:r>
        <w:rPr>
          <w:rStyle w:val="AMPRcharBoldBlue"/>
        </w:rPr>
        <w:t>1).</w:t>
      </w:r>
      <w:r>
        <w:t xml:space="preserve"> В прегледа се обобщават основните изводи за изпълнението от програмните отчети, придружаващи предложението за проектобюджет за 2021 г.</w:t>
      </w:r>
    </w:p>
    <w:p>
      <w:pPr>
        <w:pStyle w:val="AMPRBodyText"/>
        <w:rPr>
          <w:spacing w:val="1"/>
        </w:rPr>
      </w:pPr>
      <w:r>
        <w:rPr>
          <w:rStyle w:val="AMPRcharBoldBlue"/>
        </w:rPr>
        <w:t>В раздел</w:t>
      </w:r>
      <w:r>
        <w:rPr>
          <w:rStyle w:val="AMPRcharBoldBlue"/>
          <w:rFonts w:ascii="Calibri" w:hAnsi="Calibri"/>
        </w:rPr>
        <w:t> </w:t>
      </w:r>
      <w:r>
        <w:rPr>
          <w:rStyle w:val="AMPRcharBoldBlue"/>
        </w:rPr>
        <w:t>2,</w:t>
      </w:r>
      <w:r>
        <w:t xml:space="preserve"> отнасящ се до вътрешния контрол и финансовото управление, се докладва за мерките, които Комисията предприе през 2019 г., за да осигури доброто финансово управление на бюджета на ЕС. Въз основа на резултатите от контрола, докладвани от отделите на Комисията, които отговарят за управлението на бюджета, се потвърждава, че бюджетът на ЕС е добре защитен. Чрез настоящия доклад Комисията поема цялостната политическа отговорност за управлението на бюджета на ЕС.</w:t>
      </w:r>
    </w:p>
    <w:p>
      <w:pPr>
        <w:rPr>
          <w:noProof/>
          <w:lang w:eastAsia="fr-BE"/>
        </w:rPr>
        <w:sectPr>
          <w:headerReference w:type="even" r:id="rId53"/>
          <w:headerReference w:type="default" r:id="rId54"/>
          <w:footerReference w:type="even" r:id="rId55"/>
          <w:footerReference w:type="default" r:id="rId56"/>
          <w:headerReference w:type="first" r:id="rId57"/>
          <w:footerReference w:type="first" r:id="rId58"/>
          <w:type w:val="continuous"/>
          <w:pgSz w:w="11907" w:h="16839"/>
          <w:pgMar w:top="1417" w:right="1417" w:bottom="1134" w:left="1417" w:header="567" w:footer="454" w:gutter="0"/>
          <w:cols w:space="720"/>
          <w:docGrid w:linePitch="360"/>
        </w:sectPr>
      </w:pPr>
    </w:p>
    <w:p>
      <w:pPr>
        <w:rPr>
          <w:noProof/>
        </w:rPr>
        <w:sectPr>
          <w:headerReference w:type="even" r:id="rId59"/>
          <w:headerReference w:type="default" r:id="rId60"/>
          <w:footerReference w:type="even" r:id="rId61"/>
          <w:footerReference w:type="default" r:id="rId62"/>
          <w:headerReference w:type="first" r:id="rId63"/>
          <w:footerReference w:type="first" r:id="rId64"/>
          <w:pgSz w:w="11907" w:h="16839" w:code="9"/>
          <w:pgMar w:top="1417" w:right="1417" w:bottom="1134" w:left="1417" w:header="567" w:footer="454" w:gutter="0"/>
          <w:cols w:space="720"/>
          <w:docGrid w:linePitch="360"/>
        </w:sectPr>
      </w:pPr>
    </w:p>
    <w:p>
      <w:pPr>
        <w:pStyle w:val="AMPRSec1TITLE1"/>
      </w:pPr>
      <w:bookmarkStart w:id="84" w:name="_Toc40832631"/>
      <w:bookmarkStart w:id="85" w:name="_Toc40833193"/>
      <w:bookmarkStart w:id="86" w:name="_Toc40833218"/>
      <w:bookmarkStart w:id="87" w:name="_Toc40861724"/>
      <w:bookmarkStart w:id="88" w:name="_Toc40862146"/>
      <w:bookmarkStart w:id="89" w:name="_Toc40884719"/>
      <w:bookmarkStart w:id="90" w:name="_Toc41420499"/>
      <w:bookmarkStart w:id="91" w:name="_Toc42272888"/>
      <w:bookmarkStart w:id="92" w:name="_Toc42332947"/>
      <w:r>
        <w:t>Раздел 1 –</w:t>
      </w:r>
      <w:r>
        <w:rPr>
          <w:vanish/>
        </w:rPr>
        <w:t xml:space="preserve"> </w:t>
      </w:r>
      <w:r>
        <w:br/>
        <w:t xml:space="preserve">Изпълнение </w:t>
      </w:r>
      <w:r>
        <w:br/>
        <w:t>и резултати</w:t>
      </w:r>
      <w:bookmarkEnd w:id="84"/>
      <w:bookmarkEnd w:id="85"/>
      <w:bookmarkEnd w:id="86"/>
      <w:bookmarkEnd w:id="87"/>
      <w:bookmarkEnd w:id="88"/>
      <w:bookmarkEnd w:id="89"/>
      <w:bookmarkEnd w:id="90"/>
      <w:bookmarkEnd w:id="91"/>
      <w:bookmarkEnd w:id="92"/>
    </w:p>
    <w:p>
      <w:pPr>
        <w:pStyle w:val="AMPRBodyText"/>
        <w:rPr>
          <w:b/>
          <w:i/>
        </w:rPr>
        <w:sectPr>
          <w:headerReference w:type="even" r:id="rId65"/>
          <w:headerReference w:type="default" r:id="rId66"/>
          <w:footerReference w:type="even" r:id="rId67"/>
          <w:footerReference w:type="default" r:id="rId68"/>
          <w:headerReference w:type="first" r:id="rId69"/>
          <w:footerReference w:type="first" r:id="rId70"/>
          <w:pgSz w:w="11907" w:h="16839" w:code="9"/>
          <w:pgMar w:top="1417" w:right="1417" w:bottom="1134" w:left="1417" w:header="567" w:footer="454" w:gutter="0"/>
          <w:cols w:space="720"/>
          <w:docGrid w:linePitch="360"/>
        </w:sectPr>
      </w:pPr>
    </w:p>
    <w:p>
      <w:pPr>
        <w:pStyle w:val="Forewordbodytext"/>
        <w:jc w:val="left"/>
        <w:rPr>
          <w:b/>
          <w:i/>
          <w:szCs w:val="20"/>
        </w:rPr>
        <w:sectPr>
          <w:headerReference w:type="even" r:id="rId71"/>
          <w:headerReference w:type="default" r:id="rId72"/>
          <w:footerReference w:type="even" r:id="rId73"/>
          <w:footerReference w:type="default" r:id="rId74"/>
          <w:headerReference w:type="first" r:id="rId75"/>
          <w:footerReference w:type="first" r:id="rId76"/>
          <w:pgSz w:w="11907" w:h="16839" w:code="9"/>
          <w:pgMar w:top="1417" w:right="1417" w:bottom="1134" w:left="1417" w:header="567" w:footer="454" w:gutter="0"/>
          <w:cols w:space="720"/>
          <w:docGrid w:linePitch="360"/>
        </w:sectPr>
      </w:pPr>
    </w:p>
    <w:p>
      <w:pPr>
        <w:pStyle w:val="AMPRSec1TITLE2-numbered"/>
      </w:pPr>
      <w:bookmarkStart w:id="93" w:name="_Toc39144682"/>
      <w:bookmarkStart w:id="94" w:name="_Toc39146017"/>
      <w:bookmarkStart w:id="95" w:name="_Toc39146186"/>
      <w:bookmarkStart w:id="96" w:name="_Toc39146311"/>
      <w:bookmarkStart w:id="97" w:name="_Toc39146695"/>
      <w:bookmarkStart w:id="98" w:name="_Toc39688272"/>
      <w:bookmarkStart w:id="99" w:name="_Toc40832632"/>
      <w:bookmarkStart w:id="100" w:name="_Toc40833194"/>
      <w:bookmarkStart w:id="101" w:name="_Toc40833219"/>
      <w:bookmarkStart w:id="102" w:name="_Toc40861725"/>
      <w:bookmarkStart w:id="103" w:name="_Toc40862147"/>
      <w:bookmarkStart w:id="104" w:name="_Toc40884720"/>
      <w:bookmarkStart w:id="105" w:name="_Toc41420500"/>
      <w:bookmarkStart w:id="106" w:name="_Toc42272889"/>
      <w:bookmarkStart w:id="107" w:name="_Toc42332948"/>
      <w:bookmarkStart w:id="108" w:name="Competitivenessforgrowthandjobs"/>
      <w:bookmarkStart w:id="109" w:name="_Toc3206052"/>
      <w:bookmarkStart w:id="110" w:name="_Toc4603941"/>
      <w:bookmarkStart w:id="111" w:name="_Toc4603962"/>
      <w:bookmarkStart w:id="112" w:name="_Toc4680689"/>
      <w:bookmarkStart w:id="113" w:name="_Toc4682963"/>
      <w:bookmarkStart w:id="114" w:name="_Toc4683087"/>
      <w:r>
        <w:t>Ориентиран към резултатите бюджет на ЕС</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pPr>
        <w:pStyle w:val="AMPRBodyText"/>
      </w:pPr>
      <w:r>
        <w:t>Бюджетът на ЕС помага приоритетите на Съюза да се превърнат в резултати, които променят живота на хората. Това е предимно бюджет за инвестиции, който помага да се осигурят ресурси, съответстващи на споделените амбиции на ЕС, за да бъдат те превърнати в реалност. Бюджетът е съсредоточен върху областите, в които обединяването на ресурси за справяне с общите предизвикателства може да доведе до резултати, които не могат да бъдат постигнати толкова ефективно или ефикасно от държавите членки, ако те действат самостоятелно. Такъв е случаят в най-различни области, като трансграничната инфраструктура, управлението на външните граници, широкомащабните космически проекти и паневропейските научни изследвания.</w:t>
      </w:r>
    </w:p>
    <w:p>
      <w:pPr>
        <w:pStyle w:val="AMPRSec1TITLE3-notnumbered"/>
        <w:numPr>
          <w:ilvl w:val="2"/>
          <w:numId w:val="25"/>
        </w:numPr>
      </w:pPr>
      <w:bookmarkStart w:id="115" w:name="_Toc39135911"/>
      <w:bookmarkStart w:id="116" w:name="_Toc39136175"/>
      <w:bookmarkStart w:id="117" w:name="_Toc39136319"/>
      <w:bookmarkStart w:id="118" w:name="_Toc39136467"/>
      <w:bookmarkStart w:id="119" w:name="_Toc39137284"/>
      <w:bookmarkStart w:id="120" w:name="_Toc39138016"/>
      <w:bookmarkStart w:id="121" w:name="_Toc39140500"/>
      <w:bookmarkStart w:id="122" w:name="_Toc39141720"/>
      <w:bookmarkStart w:id="123" w:name="_Toc39141990"/>
      <w:bookmarkStart w:id="124" w:name="_Toc39142942"/>
      <w:bookmarkStart w:id="125" w:name="_Toc39143000"/>
      <w:bookmarkStart w:id="126" w:name="_Toc39143906"/>
      <w:bookmarkStart w:id="127" w:name="_Toc39144008"/>
      <w:bookmarkStart w:id="128" w:name="_Toc39144683"/>
      <w:bookmarkStart w:id="129" w:name="_Toc39146018"/>
      <w:bookmarkStart w:id="130" w:name="_Toc39146187"/>
      <w:bookmarkStart w:id="131" w:name="_Toc39146312"/>
      <w:bookmarkStart w:id="132" w:name="_Toc39146696"/>
      <w:r>
        <w:t>Бюджетът на ЕС се управлява добре, като се поставя силен акцент върху резултатите</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pPr>
        <w:pStyle w:val="AMPRBodyText"/>
      </w:pPr>
      <w:r>
        <w:t xml:space="preserve">Бюджетът на ЕС е основно </w:t>
      </w:r>
      <w:r>
        <w:rPr>
          <w:rStyle w:val="AMPRcharBoldBlue"/>
        </w:rPr>
        <w:t>бюджет за инвестиции</w:t>
      </w:r>
      <w:r>
        <w:t>. В размер на приблизително 1 % от брутния национален доход на ЕС и представляващ около 2 % от всички публични разходи в ЕС, той има за цел да допълни националните бюджети и да се реализират съвместно договорените приоритети. За разлика от националните бюджети, бюджетът на ЕС се съсредоточава най-вече върху подпомагането на стратегическите инвестиции в средносрочен и дългосрочен план и върху използването на своя ефект на лоста за катализиране на инвестиции от други публични и частни източници. Финансовите програми на ЕС се управляват директно от Комисията, например в областта на научните изследвания, или съвместно с държавите членки, например по отношение на политиката на сближаване. Около две трети от бюджета на ЕС се управляват съвместно с държавите членки чрез споделено управление.</w:t>
      </w:r>
    </w:p>
    <w:p>
      <w:pPr>
        <w:pStyle w:val="AMPRBodyText"/>
      </w:pPr>
      <w:r>
        <w:t>Бюджетът на ЕС се приема ежегодно въз основа на 7-годишна финансова рамка. Структуриран в пет функции, той обединява 60 финансови програми с различен размер и обхват. В някои области на политиката бюджетът на ЕС е основният инструмент за изпълнение, например в общата селскостопанска политика. В други области той се допълва от регулаторни инструменти, които допринасят за постигането на целите на политиката на ЕС.</w:t>
      </w:r>
    </w:p>
    <w:p>
      <w:pPr>
        <w:pStyle w:val="AMPRBodyText"/>
      </w:pPr>
      <w:r>
        <w:t xml:space="preserve">Бюджетът на ЕС има солидна и интегрирана </w:t>
      </w:r>
      <w:r>
        <w:rPr>
          <w:rStyle w:val="AMPRcharBoldBlue"/>
        </w:rPr>
        <w:t>рамка за изпълнение</w:t>
      </w:r>
      <w:r>
        <w:t>, водеща до правилно управлявани и ориентирани към резултатите програми на ЕС. Тази рамка включва ясни и измерими цели за всяка програма, заедно с показатели, които осигуряват основа за мониторинг, докладване и оценка. Информацията от показателите, комбинирана с други източници на качествена и количествена информация за изпълнението, например оценки, дава възможност да се оценят изпълнението на програмата и напредъкът към договорените цели. По този начин ръководителите на програми могат да предвиждат и да преодоляват слабостите в изпълнението на програмата и се осигурява важен принос за вземането на решения, свързани с бюджета.</w:t>
      </w:r>
    </w:p>
    <w:p>
      <w:pPr>
        <w:pStyle w:val="AMPRBodyText"/>
      </w:pPr>
      <w:r>
        <w:t>Приложение</w:t>
      </w:r>
      <w:r>
        <w:rPr>
          <w:rFonts w:ascii="Calibri" w:hAnsi="Calibri"/>
        </w:rPr>
        <w:t> </w:t>
      </w:r>
      <w:r>
        <w:t>1 към настоящия доклад „Общ преглед на изпълнението на програмите“ съдържа последната налична информация за изпълнението на всяка програма. В него е направен общ преглед на целите на всяка програма заедно със състоянието на изпълнението на бюджета по програмата и най-новите налични данни за изпълнението.</w:t>
      </w:r>
    </w:p>
    <w:p>
      <w:pPr>
        <w:pStyle w:val="AMPRBodyText"/>
      </w:pPr>
      <w:r>
        <w:t>Оценката на изпълнението е застъпена още по-</w:t>
      </w:r>
      <w:r>
        <w:rPr>
          <w:lang w:val="bg-BG"/>
        </w:rPr>
        <w:t>силно</w:t>
      </w:r>
      <w:r>
        <w:t xml:space="preserve"> при разработването на някои финансови програми. За настоящите европейски структурни и инвестиционни фондове например е създаден </w:t>
      </w:r>
      <w:r>
        <w:rPr>
          <w:rStyle w:val="AMPRcharBoldBlue"/>
        </w:rPr>
        <w:t>резерв за изпълнение</w:t>
      </w:r>
      <w:r>
        <w:t>. Този резерв беше освободен през 2019 г. за програмите, които до края на 2018 г. са постигнали своите предварително определени етапни цели. По отношение на програмите и приоритетите, чиито етапни цели не са постигнати, ресурсите бяха преразпределени.</w:t>
      </w:r>
    </w:p>
    <w:p>
      <w:pPr>
        <w:pStyle w:val="AMPRBodyText"/>
      </w:pPr>
      <w:r>
        <w:t xml:space="preserve">Рамката за изпълнението на бюджета на ЕС и свързаното с нея докладване се укрепват с течение на времето. В това отношение бяха полезни одитите, извършени от </w:t>
      </w:r>
      <w:r>
        <w:rPr>
          <w:rStyle w:val="AMPRcharBoldBlue"/>
        </w:rPr>
        <w:t>вътрешни и външни одитори.</w:t>
      </w:r>
      <w:r>
        <w:t xml:space="preserve"> Неотдавнашните препоръки на Европейската сметна палата доведоха до по-балансирано докладване за изпълнението, като се отделя повече внимание на срещнатите предизвикателства, поставя се по-силен акцент върху надеждността и качеството на данните и се дават по-ясни обяснения за това как данните за изпълнението са използвани за подобряването му.</w:t>
      </w:r>
    </w:p>
    <w:p>
      <w:pPr>
        <w:pStyle w:val="AMPRBodyText"/>
      </w:pPr>
      <w:r>
        <w:t xml:space="preserve">Подобренията ще продължат с </w:t>
      </w:r>
      <w:r>
        <w:rPr>
          <w:rStyle w:val="AMPRcharBoldBlue"/>
        </w:rPr>
        <w:t>предложенията на Комисията за многогодишната финансова рамка за периода 2021—2027 г.</w:t>
      </w:r>
      <w:r>
        <w:t xml:space="preserve"> Въз основа на констатациите от всеобхватния преглед на разходите Комисията включи в предложенията за финансовите програми по-малък брой, но по-качествени показатели, свързани тясно с целите на програмите. Понастоящем Комисията работи с Европейския парламент и Съвета, за да гарантира, че тези подобрения, както и другите промени в разработването на програмите, които ще допринесат за подобряване на изпълнението, ще бъдат отразени в окончателните бъдещи програми.</w:t>
      </w:r>
    </w:p>
    <w:p>
      <w:pPr>
        <w:pStyle w:val="AMPRSec1TITLE3-notnumbered"/>
        <w:numPr>
          <w:ilvl w:val="2"/>
          <w:numId w:val="25"/>
        </w:numPr>
        <w:ind w:left="993" w:hanging="993"/>
      </w:pPr>
      <w:bookmarkStart w:id="133" w:name="_Toc39135912"/>
      <w:bookmarkStart w:id="134" w:name="_Toc39136176"/>
      <w:bookmarkStart w:id="135" w:name="_Toc39136320"/>
      <w:bookmarkStart w:id="136" w:name="_Toc39136468"/>
      <w:bookmarkStart w:id="137" w:name="_Toc39137285"/>
      <w:bookmarkStart w:id="138" w:name="_Toc39138017"/>
      <w:bookmarkStart w:id="139" w:name="_Toc39140501"/>
      <w:bookmarkStart w:id="140" w:name="_Toc39141721"/>
      <w:bookmarkStart w:id="141" w:name="_Toc39141991"/>
      <w:bookmarkStart w:id="142" w:name="_Toc39142943"/>
      <w:bookmarkStart w:id="143" w:name="_Toc39143001"/>
      <w:bookmarkStart w:id="144" w:name="_Toc39143907"/>
      <w:bookmarkStart w:id="145" w:name="_Toc39144009"/>
      <w:bookmarkStart w:id="146" w:name="_Toc39144684"/>
      <w:bookmarkStart w:id="147" w:name="_Toc39146019"/>
      <w:bookmarkStart w:id="148" w:name="_Toc39146188"/>
      <w:bookmarkStart w:id="149" w:name="_Toc39146313"/>
      <w:bookmarkStart w:id="150" w:name="_Toc39146697"/>
      <w:r>
        <w:t>Бюджет</w:t>
      </w:r>
      <w:r>
        <w:rPr>
          <w:lang w:val="bg-BG"/>
        </w:rPr>
        <w:t>ът</w:t>
      </w:r>
      <w:r>
        <w:t xml:space="preserve"> на ЕС през 2019 г.</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pPr>
        <w:pStyle w:val="AMPRBodyText"/>
      </w:pPr>
      <w:r>
        <w:t>Като се имат предвид европейските избори през май 2019 г., това беше година на преход за Европейския съюз. Акцентът беше поставен върху завършването на работата по политическите приоритети на Комисията „Юнкер“ и подготовката за встъпването в длъжност на нов Европейски парламент и нова Комисия, ръководена от председателя Урсула фон дер Лайен. В стратегическата програма на Европейския съвет</w:t>
      </w:r>
      <w:r>
        <w:rPr>
          <w:rStyle w:val="fnRef"/>
          <w:rFonts w:ascii="Arial" w:hAnsi="Arial"/>
        </w:rPr>
        <w:t> </w:t>
      </w:r>
      <w:r>
        <w:rPr>
          <w:rStyle w:val="fnRef"/>
        </w:rPr>
        <w:t>(</w:t>
      </w:r>
      <w:r>
        <w:rPr>
          <w:rStyle w:val="fnRefNo"/>
        </w:rPr>
        <w:footnoteReference w:id="9"/>
      </w:r>
      <w:r>
        <w:rPr>
          <w:rStyle w:val="fnRef"/>
        </w:rPr>
        <w:t>)</w:t>
      </w:r>
      <w:r>
        <w:t xml:space="preserve"> и политическите насоки</w:t>
      </w:r>
      <w:r>
        <w:rPr>
          <w:rStyle w:val="fnRef"/>
          <w:rFonts w:ascii="Arial" w:hAnsi="Arial"/>
        </w:rPr>
        <w:t> </w:t>
      </w:r>
      <w:r>
        <w:rPr>
          <w:rStyle w:val="fnRef"/>
        </w:rPr>
        <w:t>(</w:t>
      </w:r>
      <w:r>
        <w:rPr>
          <w:rStyle w:val="fnRefNo"/>
        </w:rPr>
        <w:footnoteReference w:id="10"/>
      </w:r>
      <w:r>
        <w:rPr>
          <w:rStyle w:val="fnRef"/>
        </w:rPr>
        <w:t>)</w:t>
      </w:r>
      <w:r>
        <w:t xml:space="preserve"> на Комисията, ръководена от председателя Фон дер Лайен, е определена политическата рамка за предстоящия период.</w:t>
      </w:r>
    </w:p>
    <w:p>
      <w:pPr>
        <w:pStyle w:val="AMPRBodyText"/>
      </w:pPr>
      <w:r>
        <w:t>2019 г. беше и предпоследната година от изпълнението на финансовите програми по многогодишната финансова рамка за периода 2014—2020 г. Тези програми вече се изпълняват с нормален ритъм на работа и имат голям принос за изпълнението на приоритетите на ЕС. През 2019 г. беше обърнато специално внимание на инвестициите в растежа и създаването на работни места, както и на подкрепата за изпълнението на приоритетите на ЕС в областта на миграцията и сигурността.</w:t>
      </w:r>
    </w:p>
    <w:p>
      <w:pPr>
        <w:pStyle w:val="AMPRBodyText"/>
      </w:pPr>
      <w:r>
        <w:t>През 2019 г. бюджетът на ЕС допринесе за укрепването и по-голямата устойчивост на европейската икономика. Чрез него бяха подкрепени също така инвестициите в двойния преход към по-зелена и по-цифрова Европа и бяха финансирани програми за насърчаване на солидарността и сигурността както в границите на ЕС, така и извън тях.</w:t>
      </w:r>
    </w:p>
    <w:p>
      <w:pPr>
        <w:pStyle w:val="AMPRBodyText"/>
      </w:pPr>
      <w:r>
        <w:t>През 2019 г. общият размер на поетите от бюджета на ЕС задължения възлизаше на</w:t>
      </w:r>
      <w:r>
        <w:rPr>
          <w:rFonts w:ascii="Calibri" w:hAnsi="Calibri"/>
        </w:rPr>
        <w:t> </w:t>
      </w:r>
      <w:r>
        <w:t>161</w:t>
      </w:r>
      <w:r>
        <w:rPr>
          <w:rFonts w:ascii="Calibri" w:hAnsi="Calibri"/>
        </w:rPr>
        <w:t> </w:t>
      </w:r>
      <w:r>
        <w:t>милиарда евро</w:t>
      </w:r>
      <w:r>
        <w:rPr>
          <w:rStyle w:val="fnRef"/>
          <w:rFonts w:ascii="Arial" w:hAnsi="Arial"/>
        </w:rPr>
        <w:t> </w:t>
      </w:r>
      <w:r>
        <w:rPr>
          <w:rStyle w:val="fnRef"/>
        </w:rPr>
        <w:t>(</w:t>
      </w:r>
      <w:r>
        <w:rPr>
          <w:rStyle w:val="fnRefNo"/>
        </w:rPr>
        <w:footnoteReference w:id="11"/>
      </w:r>
      <w:r>
        <w:rPr>
          <w:rStyle w:val="fnRef"/>
        </w:rPr>
        <w:t>)</w:t>
      </w:r>
      <w:r>
        <w:t>. Около половината от тази сума (81</w:t>
      </w:r>
      <w:r>
        <w:rPr>
          <w:rFonts w:ascii="Calibri" w:hAnsi="Calibri"/>
        </w:rPr>
        <w:t> </w:t>
      </w:r>
      <w:r>
        <w:t>милиарда евро) беше разпределена по функция</w:t>
      </w:r>
      <w:r>
        <w:rPr>
          <w:rFonts w:ascii="Calibri" w:hAnsi="Calibri"/>
        </w:rPr>
        <w:t> </w:t>
      </w:r>
      <w:r>
        <w:t xml:space="preserve">1 </w:t>
      </w:r>
      <w:r>
        <w:rPr>
          <w:rStyle w:val="AMPRcharBoldBlue"/>
        </w:rPr>
        <w:t>„Интелигентен и приобщаващ растеж“</w:t>
      </w:r>
      <w:r>
        <w:t>, разделена на функция</w:t>
      </w:r>
      <w:r>
        <w:rPr>
          <w:rFonts w:ascii="Calibri" w:hAnsi="Calibri"/>
        </w:rPr>
        <w:t> </w:t>
      </w:r>
      <w:r>
        <w:t xml:space="preserve">1а </w:t>
      </w:r>
      <w:r>
        <w:rPr>
          <w:rStyle w:val="AMPRcharBoldBlue"/>
        </w:rPr>
        <w:t>„Конкурентоспособност за растеж и работни места“</w:t>
      </w:r>
      <w:r>
        <w:t xml:space="preserve"> (14 %) и функция</w:t>
      </w:r>
      <w:r>
        <w:rPr>
          <w:rFonts w:ascii="Calibri" w:hAnsi="Calibri"/>
        </w:rPr>
        <w:t> </w:t>
      </w:r>
      <w:r>
        <w:t xml:space="preserve">1б </w:t>
      </w:r>
      <w:r>
        <w:rPr>
          <w:rStyle w:val="AMPRcharBoldBlue"/>
        </w:rPr>
        <w:t>„Икономическо, социално и териториално сближаване“</w:t>
      </w:r>
      <w:r>
        <w:t xml:space="preserve"> (35 %). Функция</w:t>
      </w:r>
      <w:r>
        <w:rPr>
          <w:rFonts w:ascii="Calibri" w:hAnsi="Calibri"/>
        </w:rPr>
        <w:t> </w:t>
      </w:r>
      <w:r>
        <w:t xml:space="preserve">2 </w:t>
      </w:r>
      <w:r>
        <w:rPr>
          <w:rStyle w:val="AMPRcharBoldBlue"/>
        </w:rPr>
        <w:t>„Устойчив растеж: природни ресурси</w:t>
      </w:r>
      <w:r>
        <w:t xml:space="preserve"> беше втората по големина област на бюджета, с 59</w:t>
      </w:r>
      <w:r>
        <w:rPr>
          <w:rFonts w:ascii="Calibri" w:hAnsi="Calibri"/>
        </w:rPr>
        <w:t> </w:t>
      </w:r>
      <w:r>
        <w:t>милиарда</w:t>
      </w:r>
      <w:r>
        <w:rPr>
          <w:rFonts w:ascii="Calibri" w:hAnsi="Calibri"/>
        </w:rPr>
        <w:t xml:space="preserve"> </w:t>
      </w:r>
      <w:r>
        <w:t>евро (37 %). 4</w:t>
      </w:r>
      <w:r>
        <w:rPr>
          <w:rFonts w:ascii="Calibri" w:hAnsi="Calibri"/>
        </w:rPr>
        <w:t> </w:t>
      </w:r>
      <w:r>
        <w:t>милиарда</w:t>
      </w:r>
      <w:r>
        <w:rPr>
          <w:rFonts w:ascii="Calibri" w:hAnsi="Calibri"/>
        </w:rPr>
        <w:t> </w:t>
      </w:r>
      <w:r>
        <w:t>евро бяха отпуснати за функция</w:t>
      </w:r>
      <w:r>
        <w:rPr>
          <w:rFonts w:ascii="Calibri" w:hAnsi="Calibri"/>
        </w:rPr>
        <w:t> </w:t>
      </w:r>
      <w:r>
        <w:t xml:space="preserve">3 </w:t>
      </w:r>
      <w:r>
        <w:rPr>
          <w:rStyle w:val="AMPRcharBoldBlue"/>
        </w:rPr>
        <w:t>„Сигурност и гражданство“</w:t>
      </w:r>
      <w:r>
        <w:t>, включително за укрепване на външните граници на ЕС и за справяне с бежанската криза и незаконната миграция. 12</w:t>
      </w:r>
      <w:r>
        <w:rPr>
          <w:rFonts w:ascii="Calibri" w:hAnsi="Calibri"/>
        </w:rPr>
        <w:t> </w:t>
      </w:r>
      <w:r>
        <w:t>милиарда евро бяха разпределени за функция</w:t>
      </w:r>
      <w:r>
        <w:rPr>
          <w:rFonts w:ascii="Calibri" w:hAnsi="Calibri"/>
        </w:rPr>
        <w:t> </w:t>
      </w:r>
      <w:r>
        <w:t xml:space="preserve">4 </w:t>
      </w:r>
      <w:r>
        <w:rPr>
          <w:rStyle w:val="AMPRcharBoldBlue"/>
        </w:rPr>
        <w:t>„Глобална Европа“</w:t>
      </w:r>
      <w:r>
        <w:t>, а 6</w:t>
      </w:r>
      <w:r>
        <w:rPr>
          <w:rFonts w:ascii="Calibri" w:hAnsi="Calibri"/>
        </w:rPr>
        <w:t> </w:t>
      </w:r>
      <w:r>
        <w:t xml:space="preserve">милиарда бяха изразходвани за </w:t>
      </w:r>
      <w:r>
        <w:rPr>
          <w:rStyle w:val="AMPRcharBoldBlue"/>
        </w:rPr>
        <w:t>административни разходи на Комисията</w:t>
      </w:r>
      <w:r>
        <w:t xml:space="preserve"> по функция</w:t>
      </w:r>
      <w:r>
        <w:rPr>
          <w:rFonts w:ascii="Calibri" w:hAnsi="Calibri"/>
        </w:rPr>
        <w:t> </w:t>
      </w:r>
      <w:r>
        <w:t>5.</w:t>
      </w:r>
    </w:p>
    <w:p>
      <w:pPr>
        <w:pStyle w:val="AMPRCharttitle"/>
      </w:pPr>
      <w:r>
        <w:rPr>
          <w:lang w:eastAsia="en-GB"/>
        </w:rPr>
        <w:drawing>
          <wp:inline distT="0" distB="0" distL="0" distR="0">
            <wp:extent cx="5760720" cy="23920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2392045"/>
                    </a:xfrm>
                    <a:prstGeom prst="rect">
                      <a:avLst/>
                    </a:prstGeom>
                  </pic:spPr>
                </pic:pic>
              </a:graphicData>
            </a:graphic>
          </wp:inline>
        </w:drawing>
      </w:r>
    </w:p>
    <w:p>
      <w:pPr>
        <w:pStyle w:val="AMPRCharttitle"/>
      </w:pPr>
      <w:r>
        <w:t>Бюджетът на ЕС за 2019 г., бюджетни кредити за поети задължения по бюджетни функции. Всички суми са в милиони евро.</w:t>
      </w:r>
    </w:p>
    <w:p>
      <w:pPr>
        <w:pStyle w:val="AMPRSource-Table-Chart-Photo-Caption"/>
      </w:pPr>
      <w:r>
        <w:rPr>
          <w:i/>
          <w:iCs w:val="0"/>
        </w:rPr>
        <w:t>Източник:</w:t>
      </w:r>
      <w:r>
        <w:t xml:space="preserve"> Европейска комисия</w:t>
      </w:r>
    </w:p>
    <w:p>
      <w:pPr>
        <w:pStyle w:val="AMPRBodyText"/>
      </w:pPr>
      <w:r>
        <w:t xml:space="preserve">Що се отнася до </w:t>
      </w:r>
      <w:r>
        <w:rPr>
          <w:rStyle w:val="AMPRcharBoldBlue"/>
        </w:rPr>
        <w:t>изпълнението на бюджета на ЕС</w:t>
      </w:r>
      <w:r>
        <w:t>, наличната отчетна информация в края на 2019 г., представена в „Общ преглед на изпълнението на програмите“ в приложение</w:t>
      </w:r>
      <w:r>
        <w:rPr>
          <w:rFonts w:ascii="Calibri" w:hAnsi="Calibri"/>
        </w:rPr>
        <w:t> </w:t>
      </w:r>
      <w:r>
        <w:t>1, показва, че повечето програми постигат добър напредък към постигане на целите, определени в началото на програмния период. Въпреки забавеното стартиране на програмите за сближаване за 2014—2020 г., напредъкът в изпълнението понастоящем се ускорява. Там, където имаше конкретни проблеми във връзка с изпълнението на определени програми, в „Общ преглед на изпълнението на програмите“ е включено допълнително обяснение как това е повлияло на резултатите и какви смекчаващи мерки са предприети. Окончателни заключения относно изпълнението на програмите обаче ще могат да бъдат изготвени само въз основа на подробни оценки след приключване на текущите програми. При всяка такава оценка следва да се обърне надлежно внимание на въздействието на пандемията от COVID-19 и стъпките, предприети за пренасочване на бюджета на ЕС за подпомагане на преодоляването на последиците от кризата и възстановяването след нея.</w:t>
      </w:r>
    </w:p>
    <w:p>
      <w:pPr>
        <w:pStyle w:val="AMPRBodyText"/>
      </w:pPr>
      <w:r>
        <w:t>Изпълнението на бюджета на ЕС е отговорност, споделена между многото участници, включени в изпълнението му. Като отговорник за бюджета на ЕС, който е изцяло отговорен за изпълнението по Договора, Комисията има пълноценна роля, като работи за осигуряване на ефективно и ефикасно управление на финансовите програми на ЕС и постигане на планираните резултати на място.</w:t>
      </w:r>
    </w:p>
    <w:p>
      <w:pPr>
        <w:pStyle w:val="AMPRBodyText"/>
      </w:pPr>
      <w:r>
        <w:t>Административният бюджет по функция</w:t>
      </w:r>
      <w:r>
        <w:rPr>
          <w:rFonts w:ascii="Calibri" w:hAnsi="Calibri"/>
        </w:rPr>
        <w:t> </w:t>
      </w:r>
      <w:r>
        <w:t>5, с който се подпомага както управлението на бюджета, така и пълния спектър от дейности на институциите на Европейския съюз, представлява малък дял от бюджета на ЕС. Съвместно с останалите институции Комисията предприе стъпки за подобряване на ефективността на всички свои операции и постигна значителни икономии при настоящата финансова рамка, включително чрез намаляване на персонала с 5 % между 2013 и 2017 г.</w:t>
      </w:r>
      <w:r>
        <w:rPr>
          <w:rStyle w:val="fnRef"/>
          <w:rFonts w:ascii="Arial" w:hAnsi="Arial"/>
        </w:rPr>
        <w:t> </w:t>
      </w:r>
      <w:r>
        <w:rPr>
          <w:rStyle w:val="fnRef"/>
        </w:rPr>
        <w:t>(</w:t>
      </w:r>
      <w:r>
        <w:rPr>
          <w:rStyle w:val="fnRefNo"/>
        </w:rPr>
        <w:footnoteReference w:id="12"/>
      </w:r>
      <w:r>
        <w:rPr>
          <w:rStyle w:val="fnRef"/>
        </w:rPr>
        <w:t>)</w:t>
      </w:r>
      <w:r>
        <w:t>. Европейската сметна палата потвърди тези икономии, като отбеляза отрицателните им последици за персонала</w:t>
      </w:r>
      <w:r>
        <w:rPr>
          <w:rStyle w:val="fnRef"/>
          <w:rFonts w:ascii="Arial" w:hAnsi="Arial"/>
        </w:rPr>
        <w:t> </w:t>
      </w:r>
      <w:r>
        <w:rPr>
          <w:rStyle w:val="fnRef"/>
        </w:rPr>
        <w:t>(</w:t>
      </w:r>
      <w:r>
        <w:rPr>
          <w:rStyle w:val="fnRefNo"/>
        </w:rPr>
        <w:footnoteReference w:id="13"/>
      </w:r>
      <w:r>
        <w:rPr>
          <w:rStyle w:val="fnRef"/>
        </w:rPr>
        <w:t>)</w:t>
      </w:r>
      <w:r>
        <w:t>. Тези икономии са реализирани в момента, когато все повече нарастват очакванията Комисията да постига успехи в области като прехода към зелена и цифрова икономика, индустриалната политика, икономическото и социално възстановяване, миграцията, върховенството на закона и сътрудничеството в областта на отбраната. Този натиск беше допълнително усилен от натоварването в резултат на разработването и разгръщането на цялостен отговор на ЕС на пандемията от COVID-19 и последствията от нея. Следователно стабилността на административния бюджет в рамките на бъдещата финансова рамка ще бъде от съществено значение, за да могат институциите на ЕС да продължат да постигат резултати във всички приоритетни области в ЕС.</w:t>
      </w:r>
    </w:p>
    <w:p>
      <w:pPr>
        <w:pStyle w:val="AMPRSec1TITLE2-numbered"/>
      </w:pPr>
      <w:bookmarkStart w:id="151" w:name="_Toc39135913"/>
      <w:bookmarkStart w:id="152" w:name="_Toc39136177"/>
      <w:bookmarkStart w:id="153" w:name="_Toc39136321"/>
      <w:bookmarkStart w:id="154" w:name="_Toc39136469"/>
      <w:bookmarkStart w:id="155" w:name="_Toc39137286"/>
      <w:bookmarkStart w:id="156" w:name="_Toc39138018"/>
      <w:bookmarkStart w:id="157" w:name="_Toc39140502"/>
      <w:bookmarkStart w:id="158" w:name="_Toc39141722"/>
      <w:bookmarkStart w:id="159" w:name="_Toc39141992"/>
      <w:bookmarkStart w:id="160" w:name="_Toc39142944"/>
      <w:bookmarkStart w:id="161" w:name="_Toc39143002"/>
      <w:bookmarkStart w:id="162" w:name="_Toc39143908"/>
      <w:bookmarkStart w:id="163" w:name="_Toc39144010"/>
      <w:bookmarkStart w:id="164" w:name="_Toc39144685"/>
      <w:bookmarkStart w:id="165" w:name="_Toc39146020"/>
      <w:bookmarkStart w:id="166" w:name="_Toc39146189"/>
      <w:bookmarkStart w:id="167" w:name="_Toc39146314"/>
      <w:bookmarkStart w:id="168" w:name="_Toc39146698"/>
      <w:bookmarkStart w:id="169" w:name="_Toc39688273"/>
      <w:bookmarkStart w:id="170" w:name="_Toc40832633"/>
      <w:bookmarkStart w:id="171" w:name="_Toc40833195"/>
      <w:bookmarkStart w:id="172" w:name="_Toc40833220"/>
      <w:bookmarkStart w:id="173" w:name="_Toc40861726"/>
      <w:bookmarkStart w:id="174" w:name="_Toc40862148"/>
      <w:bookmarkStart w:id="175" w:name="_Toc40884721"/>
      <w:bookmarkStart w:id="176" w:name="_Toc41420501"/>
      <w:bookmarkStart w:id="177" w:name="_Toc42272890"/>
      <w:bookmarkStart w:id="178" w:name="_Toc42332949"/>
      <w:r>
        <w:t>Хоризонтални приоритети в бюджета на ЕС</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pPr>
        <w:pStyle w:val="AMPRBodyText"/>
      </w:pPr>
      <w:r>
        <w:t>Бюджетът на ЕС е насочен към конкретните политически нужди чрез една или няколко програми. Хоризонталният характер на някои политически цели обаче изисква по-задълбочена интеграция в целия бюджет. Това важи особено за разходите, свързани с климата, защитата на биологичното разнообразие и преследването на целите за устойчиво развитие.</w:t>
      </w:r>
    </w:p>
    <w:p>
      <w:pPr>
        <w:pStyle w:val="AMPRSec1TITLE3-notnumbered"/>
        <w:numPr>
          <w:ilvl w:val="2"/>
          <w:numId w:val="26"/>
        </w:numPr>
      </w:pPr>
      <w:r>
        <w:t>Чрез бюджета на ЕС се осигурява силна подкрепа за заложените в него цели в областта на климата и биологичното разнообразие</w:t>
      </w:r>
    </w:p>
    <w:p>
      <w:pPr>
        <w:pStyle w:val="AMPRBodyText"/>
      </w:pPr>
      <w:r>
        <w:t xml:space="preserve">Подходът на </w:t>
      </w:r>
      <w:r>
        <w:rPr>
          <w:rStyle w:val="AMPRcharBoldBlue"/>
        </w:rPr>
        <w:t>интегриране на въпросите, свързани с климата</w:t>
      </w:r>
      <w:r>
        <w:t xml:space="preserve"> води до задълбочена интеграция на свързаните с климата разходи в дългосрочния бюджет. Настоящата обща цел е да се отделят 20</w:t>
      </w:r>
      <w:r>
        <w:rPr>
          <w:rFonts w:ascii="Calibri" w:hAnsi="Calibri" w:cs="Calibri"/>
        </w:rPr>
        <w:t> </w:t>
      </w:r>
      <w:r>
        <w:t xml:space="preserve">% </w:t>
      </w:r>
      <w:r>
        <w:rPr>
          <w:rFonts w:cs="EC Square Sans Pro"/>
        </w:rPr>
        <w:t>от</w:t>
      </w:r>
      <w:r>
        <w:t xml:space="preserve"> </w:t>
      </w:r>
      <w:r>
        <w:rPr>
          <w:rFonts w:cs="EC Square Sans Pro"/>
        </w:rPr>
        <w:t>разходите</w:t>
      </w:r>
      <w:r>
        <w:t xml:space="preserve"> </w:t>
      </w:r>
      <w:r>
        <w:rPr>
          <w:rFonts w:cs="EC Square Sans Pro"/>
        </w:rPr>
        <w:t>на</w:t>
      </w:r>
      <w:r>
        <w:t xml:space="preserve"> </w:t>
      </w:r>
      <w:r>
        <w:rPr>
          <w:rFonts w:cs="EC Square Sans Pro"/>
        </w:rPr>
        <w:t>ЕС</w:t>
      </w:r>
      <w:r>
        <w:t xml:space="preserve"> </w:t>
      </w:r>
      <w:r>
        <w:rPr>
          <w:rFonts w:cs="EC Square Sans Pro"/>
        </w:rPr>
        <w:t>за</w:t>
      </w:r>
      <w:r>
        <w:t xml:space="preserve"> </w:t>
      </w:r>
      <w:r>
        <w:rPr>
          <w:rFonts w:cs="EC Square Sans Pro"/>
        </w:rPr>
        <w:t>целите</w:t>
      </w:r>
      <w:r>
        <w:t xml:space="preserve"> </w:t>
      </w:r>
      <w:r>
        <w:rPr>
          <w:rFonts w:cs="EC Square Sans Pro"/>
        </w:rPr>
        <w:t>в</w:t>
      </w:r>
      <w:r>
        <w:t xml:space="preserve"> </w:t>
      </w:r>
      <w:r>
        <w:rPr>
          <w:rFonts w:cs="EC Square Sans Pro"/>
        </w:rPr>
        <w:t>областта</w:t>
      </w:r>
      <w:r>
        <w:t xml:space="preserve"> </w:t>
      </w:r>
      <w:r>
        <w:rPr>
          <w:rFonts w:cs="EC Square Sans Pro"/>
        </w:rPr>
        <w:t>на</w:t>
      </w:r>
      <w:r>
        <w:t xml:space="preserve"> </w:t>
      </w:r>
      <w:r>
        <w:rPr>
          <w:rFonts w:cs="EC Square Sans Pro"/>
        </w:rPr>
        <w:t>климата</w:t>
      </w:r>
      <w:r>
        <w:t xml:space="preserve">. </w:t>
      </w:r>
      <w:r>
        <w:rPr>
          <w:rFonts w:cs="EC Square Sans Pro"/>
        </w:rPr>
        <w:t>През</w:t>
      </w:r>
      <w:r>
        <w:t xml:space="preserve"> 2019</w:t>
      </w:r>
      <w:r>
        <w:rPr>
          <w:rFonts w:ascii="Calibri" w:hAnsi="Calibri" w:cs="Calibri"/>
        </w:rPr>
        <w:t> </w:t>
      </w:r>
      <w:r>
        <w:rPr>
          <w:rFonts w:cs="EC Square Sans Pro"/>
        </w:rPr>
        <w:t>г</w:t>
      </w:r>
      <w:r>
        <w:t xml:space="preserve">. </w:t>
      </w:r>
      <w:r>
        <w:rPr>
          <w:rFonts w:cs="EC Square Sans Pro"/>
        </w:rPr>
        <w:t>разходите</w:t>
      </w:r>
      <w:r>
        <w:t xml:space="preserve">, </w:t>
      </w:r>
      <w:r>
        <w:rPr>
          <w:rFonts w:cs="EC Square Sans Pro"/>
        </w:rPr>
        <w:t>свързани</w:t>
      </w:r>
      <w:r>
        <w:t xml:space="preserve"> </w:t>
      </w:r>
      <w:r>
        <w:rPr>
          <w:rFonts w:cs="EC Square Sans Pro"/>
        </w:rPr>
        <w:t>с</w:t>
      </w:r>
      <w:r>
        <w:t xml:space="preserve"> </w:t>
      </w:r>
      <w:r>
        <w:rPr>
          <w:rFonts w:cs="EC Square Sans Pro"/>
        </w:rPr>
        <w:t>климата</w:t>
      </w:r>
      <w:r>
        <w:t xml:space="preserve"> </w:t>
      </w:r>
      <w:r>
        <w:rPr>
          <w:rFonts w:cs="EC Square Sans Pro"/>
        </w:rPr>
        <w:t>надвишават</w:t>
      </w:r>
      <w:r>
        <w:t xml:space="preserve"> </w:t>
      </w:r>
      <w:r>
        <w:rPr>
          <w:rFonts w:cs="EC Square Sans Pro"/>
        </w:rPr>
        <w:t>тази</w:t>
      </w:r>
      <w:r>
        <w:t xml:space="preserve"> </w:t>
      </w:r>
      <w:r>
        <w:rPr>
          <w:rFonts w:cs="EC Square Sans Pro"/>
        </w:rPr>
        <w:t>цел</w:t>
      </w:r>
      <w:r>
        <w:t xml:space="preserve"> </w:t>
      </w:r>
      <w:r>
        <w:rPr>
          <w:rFonts w:cs="EC Square Sans Pro"/>
        </w:rPr>
        <w:t>и</w:t>
      </w:r>
      <w:r>
        <w:t xml:space="preserve"> </w:t>
      </w:r>
      <w:r>
        <w:rPr>
          <w:rFonts w:cs="EC Square Sans Pro"/>
        </w:rPr>
        <w:t>възлизат</w:t>
      </w:r>
      <w:r>
        <w:t xml:space="preserve"> </w:t>
      </w:r>
      <w:r>
        <w:rPr>
          <w:rFonts w:cs="EC Square Sans Pro"/>
        </w:rPr>
        <w:t>на</w:t>
      </w:r>
      <w:r>
        <w:t xml:space="preserve"> </w:t>
      </w:r>
      <w:r>
        <w:rPr>
          <w:rFonts w:cs="EC Square Sans Pro"/>
        </w:rPr>
        <w:t>около</w:t>
      </w:r>
      <w:r>
        <w:t xml:space="preserve"> 35</w:t>
      </w:r>
      <w:r>
        <w:rPr>
          <w:rFonts w:ascii="Calibri" w:hAnsi="Calibri"/>
        </w:rPr>
        <w:t> </w:t>
      </w:r>
      <w:r>
        <w:t>милиарда</w:t>
      </w:r>
      <w:r>
        <w:rPr>
          <w:rFonts w:ascii="Calibri" w:hAnsi="Calibri"/>
        </w:rPr>
        <w:t> </w:t>
      </w:r>
      <w:r>
        <w:t>евро, или 21</w:t>
      </w:r>
      <w:r>
        <w:rPr>
          <w:rFonts w:ascii="Calibri" w:hAnsi="Calibri" w:cs="Calibri"/>
        </w:rPr>
        <w:t> </w:t>
      </w:r>
      <w:r>
        <w:t xml:space="preserve">% </w:t>
      </w:r>
      <w:r>
        <w:rPr>
          <w:rFonts w:cs="EC Square Sans Pro"/>
        </w:rPr>
        <w:t>от</w:t>
      </w:r>
      <w:r>
        <w:t xml:space="preserve"> </w:t>
      </w:r>
      <w:r>
        <w:rPr>
          <w:rFonts w:cs="EC Square Sans Pro"/>
        </w:rPr>
        <w:t>бюджета</w:t>
      </w:r>
      <w:r>
        <w:t xml:space="preserve"> </w:t>
      </w:r>
      <w:r>
        <w:rPr>
          <w:rFonts w:cs="EC Square Sans Pro"/>
        </w:rPr>
        <w:t>на</w:t>
      </w:r>
      <w:r>
        <w:t xml:space="preserve"> </w:t>
      </w:r>
      <w:r>
        <w:rPr>
          <w:rFonts w:cs="EC Square Sans Pro"/>
        </w:rPr>
        <w:t>ЕС</w:t>
      </w:r>
      <w:r>
        <w:t xml:space="preserve">. </w:t>
      </w:r>
      <w:r>
        <w:rPr>
          <w:rFonts w:cs="EC Square Sans Pro"/>
        </w:rPr>
        <w:t>Кумулативно</w:t>
      </w:r>
      <w:r>
        <w:t xml:space="preserve"> </w:t>
      </w:r>
      <w:r>
        <w:rPr>
          <w:rFonts w:cs="EC Square Sans Pro"/>
        </w:rPr>
        <w:t>през</w:t>
      </w:r>
      <w:r>
        <w:t xml:space="preserve"> </w:t>
      </w:r>
      <w:r>
        <w:rPr>
          <w:rFonts w:cs="EC Square Sans Pro"/>
        </w:rPr>
        <w:t>периода</w:t>
      </w:r>
      <w:r>
        <w:t xml:space="preserve"> 2014</w:t>
      </w:r>
      <w:r>
        <w:rPr>
          <w:rFonts w:cs="EC Square Sans Pro"/>
        </w:rPr>
        <w:t>—</w:t>
      </w:r>
      <w:r>
        <w:t>2020</w:t>
      </w:r>
      <w:r>
        <w:rPr>
          <w:rFonts w:ascii="Calibri" w:hAnsi="Calibri" w:cs="Calibri"/>
        </w:rPr>
        <w:t> </w:t>
      </w:r>
      <w:r>
        <w:rPr>
          <w:rFonts w:cs="EC Square Sans Pro"/>
        </w:rPr>
        <w:t>г</w:t>
      </w:r>
      <w:r>
        <w:t xml:space="preserve">. </w:t>
      </w:r>
      <w:r>
        <w:rPr>
          <w:rFonts w:cs="EC Square Sans Pro"/>
        </w:rPr>
        <w:t>бюджетът</w:t>
      </w:r>
      <w:r>
        <w:t xml:space="preserve"> </w:t>
      </w:r>
      <w:r>
        <w:rPr>
          <w:rFonts w:cs="EC Square Sans Pro"/>
        </w:rPr>
        <w:t>на</w:t>
      </w:r>
      <w:r>
        <w:t xml:space="preserve"> </w:t>
      </w:r>
      <w:r>
        <w:rPr>
          <w:rFonts w:cs="EC Square Sans Pro"/>
        </w:rPr>
        <w:t>ЕС</w:t>
      </w:r>
      <w:r>
        <w:t xml:space="preserve"> </w:t>
      </w:r>
      <w:r>
        <w:rPr>
          <w:rFonts w:cs="EC Square Sans Pro"/>
        </w:rPr>
        <w:t>ще</w:t>
      </w:r>
      <w:r>
        <w:t xml:space="preserve"> </w:t>
      </w:r>
      <w:r>
        <w:rPr>
          <w:rFonts w:cs="EC Square Sans Pro"/>
        </w:rPr>
        <w:t>осигури</w:t>
      </w:r>
      <w:r>
        <w:t xml:space="preserve"> </w:t>
      </w:r>
      <w:r>
        <w:rPr>
          <w:rFonts w:cs="EC Square Sans Pro"/>
        </w:rPr>
        <w:t>принос</w:t>
      </w:r>
      <w:r>
        <w:t xml:space="preserve"> </w:t>
      </w:r>
      <w:r>
        <w:rPr>
          <w:rFonts w:cs="EC Square Sans Pro"/>
        </w:rPr>
        <w:t>в</w:t>
      </w:r>
      <w:r>
        <w:t xml:space="preserve"> </w:t>
      </w:r>
      <w:r>
        <w:rPr>
          <w:rFonts w:cs="EC Square Sans Pro"/>
        </w:rPr>
        <w:t>размер</w:t>
      </w:r>
      <w:r>
        <w:t xml:space="preserve"> </w:t>
      </w:r>
      <w:r>
        <w:rPr>
          <w:rFonts w:cs="EC Square Sans Pro"/>
        </w:rPr>
        <w:t>на</w:t>
      </w:r>
      <w:r>
        <w:t xml:space="preserve"> 211</w:t>
      </w:r>
      <w:r>
        <w:rPr>
          <w:rFonts w:ascii="Calibri" w:hAnsi="Calibri"/>
        </w:rPr>
        <w:t> </w:t>
      </w:r>
      <w:r>
        <w:t>милиарда</w:t>
      </w:r>
      <w:r>
        <w:rPr>
          <w:rFonts w:ascii="Calibri" w:hAnsi="Calibri"/>
        </w:rPr>
        <w:t> </w:t>
      </w:r>
      <w:r>
        <w:t>евро, или 19,8</w:t>
      </w:r>
      <w:r>
        <w:rPr>
          <w:rFonts w:ascii="Calibri" w:hAnsi="Calibri" w:cs="Calibri"/>
        </w:rPr>
        <w:t> </w:t>
      </w:r>
      <w:r>
        <w:t xml:space="preserve">%, </w:t>
      </w:r>
      <w:r>
        <w:rPr>
          <w:rFonts w:cs="EC Square Sans Pro"/>
        </w:rPr>
        <w:t>за</w:t>
      </w:r>
      <w:r>
        <w:t xml:space="preserve"> </w:t>
      </w:r>
      <w:r>
        <w:rPr>
          <w:rFonts w:cs="EC Square Sans Pro"/>
        </w:rPr>
        <w:t>целите</w:t>
      </w:r>
      <w:r>
        <w:t xml:space="preserve"> </w:t>
      </w:r>
      <w:r>
        <w:rPr>
          <w:rFonts w:cs="EC Square Sans Pro"/>
        </w:rPr>
        <w:t>в</w:t>
      </w:r>
      <w:r>
        <w:t xml:space="preserve"> </w:t>
      </w:r>
      <w:r>
        <w:rPr>
          <w:rFonts w:cs="EC Square Sans Pro"/>
        </w:rPr>
        <w:t>областта</w:t>
      </w:r>
      <w:r>
        <w:t xml:space="preserve"> </w:t>
      </w:r>
      <w:r>
        <w:rPr>
          <w:rFonts w:cs="EC Square Sans Pro"/>
        </w:rPr>
        <w:t>на</w:t>
      </w:r>
      <w:r>
        <w:t xml:space="preserve"> </w:t>
      </w:r>
      <w:r>
        <w:rPr>
          <w:rFonts w:cs="EC Square Sans Pro"/>
        </w:rPr>
        <w:t>климата</w:t>
      </w:r>
      <w:r>
        <w:t xml:space="preserve">. </w:t>
      </w:r>
      <w:r>
        <w:rPr>
          <w:rFonts w:cs="EC Square Sans Pro"/>
        </w:rPr>
        <w:t>Въпреки</w:t>
      </w:r>
      <w:r>
        <w:t xml:space="preserve"> </w:t>
      </w:r>
      <w:r>
        <w:rPr>
          <w:rFonts w:cs="EC Square Sans Pro"/>
        </w:rPr>
        <w:t>че</w:t>
      </w:r>
      <w:r>
        <w:t xml:space="preserve"> </w:t>
      </w:r>
      <w:r>
        <w:rPr>
          <w:rFonts w:cs="EC Square Sans Pro"/>
        </w:rPr>
        <w:t>това</w:t>
      </w:r>
      <w:r>
        <w:t xml:space="preserve"> </w:t>
      </w:r>
      <w:r>
        <w:rPr>
          <w:rFonts w:cs="EC Square Sans Pro"/>
        </w:rPr>
        <w:t>е</w:t>
      </w:r>
      <w:r>
        <w:t xml:space="preserve"> </w:t>
      </w:r>
      <w:r>
        <w:rPr>
          <w:rFonts w:cs="EC Square Sans Pro"/>
        </w:rPr>
        <w:t>малко</w:t>
      </w:r>
      <w:r>
        <w:t xml:space="preserve"> </w:t>
      </w:r>
      <w:r>
        <w:rPr>
          <w:rFonts w:cs="EC Square Sans Pro"/>
        </w:rPr>
        <w:t>по</w:t>
      </w:r>
      <w:r>
        <w:t>-</w:t>
      </w:r>
      <w:r>
        <w:rPr>
          <w:rFonts w:cs="EC Square Sans Pro"/>
        </w:rPr>
        <w:t>малко</w:t>
      </w:r>
      <w:r>
        <w:t xml:space="preserve"> </w:t>
      </w:r>
      <w:r>
        <w:rPr>
          <w:rFonts w:cs="EC Square Sans Pro"/>
        </w:rPr>
        <w:t>от</w:t>
      </w:r>
      <w:r>
        <w:t xml:space="preserve"> </w:t>
      </w:r>
      <w:r>
        <w:rPr>
          <w:rFonts w:cs="EC Square Sans Pro"/>
        </w:rPr>
        <w:t>целта</w:t>
      </w:r>
      <w:r>
        <w:t xml:space="preserve">, </w:t>
      </w:r>
      <w:r>
        <w:rPr>
          <w:rFonts w:cs="EC Square Sans Pro"/>
        </w:rPr>
        <w:t>годишните</w:t>
      </w:r>
      <w:r>
        <w:t xml:space="preserve"> </w:t>
      </w:r>
      <w:r>
        <w:rPr>
          <w:rFonts w:cs="EC Square Sans Pro"/>
        </w:rPr>
        <w:t>разходи</w:t>
      </w:r>
      <w:r>
        <w:t xml:space="preserve">, </w:t>
      </w:r>
      <w:r>
        <w:rPr>
          <w:rFonts w:cs="EC Square Sans Pro"/>
        </w:rPr>
        <w:t>свързан</w:t>
      </w:r>
      <w:r>
        <w:t>и с климата постоянно надвишават 20</w:t>
      </w:r>
      <w:r>
        <w:rPr>
          <w:rFonts w:ascii="Calibri" w:hAnsi="Calibri" w:cs="Calibri"/>
        </w:rPr>
        <w:t> </w:t>
      </w:r>
      <w:r>
        <w:t xml:space="preserve">% </w:t>
      </w:r>
      <w:r>
        <w:rPr>
          <w:rFonts w:cs="EC Square Sans Pro"/>
        </w:rPr>
        <w:t>през</w:t>
      </w:r>
      <w:r>
        <w:t xml:space="preserve"> </w:t>
      </w:r>
      <w:r>
        <w:rPr>
          <w:rFonts w:cs="EC Square Sans Pro"/>
        </w:rPr>
        <w:t>последните</w:t>
      </w:r>
      <w:r>
        <w:t xml:space="preserve"> </w:t>
      </w:r>
      <w:r>
        <w:rPr>
          <w:rFonts w:cs="EC Square Sans Pro"/>
        </w:rPr>
        <w:t>години</w:t>
      </w:r>
      <w:r>
        <w:t xml:space="preserve"> </w:t>
      </w:r>
      <w:r>
        <w:rPr>
          <w:rFonts w:cs="EC Square Sans Pro"/>
        </w:rPr>
        <w:t>като</w:t>
      </w:r>
      <w:r>
        <w:t xml:space="preserve"> </w:t>
      </w:r>
      <w:r>
        <w:rPr>
          <w:rFonts w:cs="EC Square Sans Pro"/>
        </w:rPr>
        <w:t>компенсация</w:t>
      </w:r>
      <w:r>
        <w:t xml:space="preserve"> </w:t>
      </w:r>
      <w:r>
        <w:rPr>
          <w:rFonts w:cs="EC Square Sans Pro"/>
        </w:rPr>
        <w:t>след</w:t>
      </w:r>
      <w:r>
        <w:t xml:space="preserve"> </w:t>
      </w:r>
      <w:r>
        <w:rPr>
          <w:rFonts w:cs="EC Square Sans Pro"/>
        </w:rPr>
        <w:t>сравнително</w:t>
      </w:r>
      <w:r>
        <w:t xml:space="preserve"> </w:t>
      </w:r>
      <w:r>
        <w:rPr>
          <w:rFonts w:cs="EC Square Sans Pro"/>
        </w:rPr>
        <w:t>ниските</w:t>
      </w:r>
      <w:r>
        <w:t xml:space="preserve"> </w:t>
      </w:r>
      <w:r>
        <w:rPr>
          <w:rFonts w:cs="EC Square Sans Pro"/>
        </w:rPr>
        <w:t>нива</w:t>
      </w:r>
      <w:r>
        <w:t xml:space="preserve"> </w:t>
      </w:r>
      <w:r>
        <w:rPr>
          <w:rFonts w:cs="EC Square Sans Pro"/>
        </w:rPr>
        <w:t>по</w:t>
      </w:r>
      <w:r>
        <w:t>-</w:t>
      </w:r>
      <w:r>
        <w:rPr>
          <w:rFonts w:cs="EC Square Sans Pro"/>
        </w:rPr>
        <w:t>рано</w:t>
      </w:r>
      <w:r>
        <w:t xml:space="preserve"> </w:t>
      </w:r>
      <w:r>
        <w:rPr>
          <w:rFonts w:cs="EC Square Sans Pro"/>
        </w:rPr>
        <w:t>през</w:t>
      </w:r>
      <w:r>
        <w:t xml:space="preserve"> </w:t>
      </w:r>
      <w:r>
        <w:rPr>
          <w:rFonts w:cs="EC Square Sans Pro"/>
        </w:rPr>
        <w:t>периода</w:t>
      </w:r>
      <w:r>
        <w:t>.</w:t>
      </w:r>
    </w:p>
    <w:p>
      <w:pPr>
        <w:spacing w:before="520" w:after="0" w:line="240" w:lineRule="auto"/>
        <w:rPr>
          <w:rFonts w:ascii="EC Square Sans Cond Pro Medium" w:hAnsi="EC Square Sans Cond Pro Medium"/>
          <w:iCs/>
          <w:noProof/>
          <w:sz w:val="16"/>
          <w:szCs w:val="16"/>
        </w:rPr>
      </w:pPr>
      <w:r>
        <w:rPr>
          <w:noProof/>
          <w:lang w:eastAsia="en-GB"/>
        </w:rPr>
        <w:drawing>
          <wp:inline distT="0" distB="0" distL="0" distR="0">
            <wp:extent cx="2912792" cy="2296998"/>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35708" cy="2315070"/>
                    </a:xfrm>
                    <a:prstGeom prst="rect">
                      <a:avLst/>
                    </a:prstGeom>
                  </pic:spPr>
                </pic:pic>
              </a:graphicData>
            </a:graphic>
          </wp:inline>
        </w:drawing>
      </w:r>
      <w:r>
        <w:rPr>
          <w:noProof/>
          <w:lang w:eastAsia="en-GB"/>
        </w:rPr>
        <w:drawing>
          <wp:inline distT="0" distB="0" distL="0" distR="0">
            <wp:extent cx="2841266" cy="23056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47734" cy="2310886"/>
                    </a:xfrm>
                    <a:prstGeom prst="rect">
                      <a:avLst/>
                    </a:prstGeom>
                  </pic:spPr>
                </pic:pic>
              </a:graphicData>
            </a:graphic>
          </wp:inline>
        </w:drawing>
      </w:r>
      <w:r>
        <w:rPr>
          <w:rFonts w:ascii="EC Square Sans Cond Pro Medium" w:hAnsi="EC Square Sans Cond Pro Medium"/>
          <w:noProof/>
          <w:sz w:val="16"/>
          <w:szCs w:val="16"/>
        </w:rPr>
        <w:t>Ляво: Принос към разходите, свързани с климата през 2019</w:t>
      </w:r>
      <w:r>
        <w:rPr>
          <w:rFonts w:ascii="Calibri" w:hAnsi="Calibri" w:cs="Calibri"/>
          <w:noProof/>
          <w:sz w:val="16"/>
          <w:szCs w:val="16"/>
        </w:rPr>
        <w:t> </w:t>
      </w:r>
      <w:r>
        <w:rPr>
          <w:rFonts w:ascii="EC Square Sans Cond Pro Medium" w:hAnsi="EC Square Sans Cond Pro Medium" w:cs="EC Square Sans Cond Pro Medium"/>
          <w:noProof/>
          <w:sz w:val="16"/>
          <w:szCs w:val="16"/>
        </w:rPr>
        <w:t>г</w:t>
      </w:r>
      <w:r>
        <w:rPr>
          <w:rFonts w:ascii="EC Square Sans Cond Pro Medium" w:hAnsi="EC Square Sans Cond Pro Medium"/>
          <w:noProof/>
          <w:sz w:val="16"/>
          <w:szCs w:val="16"/>
        </w:rPr>
        <w:t>.</w:t>
      </w:r>
      <w:r>
        <w:rPr>
          <w:rFonts w:ascii="EC Square Sans Cond Pro Medium" w:hAnsi="EC Square Sans Cond Pro Medium"/>
          <w:noProof/>
          <w:sz w:val="16"/>
          <w:szCs w:val="16"/>
          <w:lang w:val="bg-BG"/>
        </w:rPr>
        <w:t>,</w:t>
      </w:r>
      <w:r>
        <w:rPr>
          <w:rFonts w:ascii="EC Square Sans Cond Pro Medium" w:hAnsi="EC Square Sans Cond Pro Medium"/>
          <w:noProof/>
          <w:sz w:val="16"/>
          <w:szCs w:val="16"/>
        </w:rPr>
        <w:t xml:space="preserve"> по бюджетни функции. </w:t>
      </w:r>
      <w:r>
        <w:rPr>
          <w:rFonts w:ascii="EC Square Sans Cond Pro Medium" w:hAnsi="EC Square Sans Cond Pro Medium"/>
          <w:noProof/>
          <w:sz w:val="16"/>
          <w:szCs w:val="16"/>
        </w:rPr>
        <w:br/>
        <w:t>Дясно: Дял на основните програми през 2019</w:t>
      </w:r>
      <w:r>
        <w:rPr>
          <w:rFonts w:ascii="Calibri" w:hAnsi="Calibri" w:cs="Calibri"/>
          <w:noProof/>
          <w:sz w:val="16"/>
          <w:szCs w:val="16"/>
        </w:rPr>
        <w:t> </w:t>
      </w:r>
      <w:r>
        <w:rPr>
          <w:rFonts w:ascii="EC Square Sans Cond Pro Medium" w:hAnsi="EC Square Sans Cond Pro Medium" w:cs="EC Square Sans Cond Pro Medium"/>
          <w:noProof/>
          <w:sz w:val="16"/>
          <w:szCs w:val="16"/>
        </w:rPr>
        <w:t>г</w:t>
      </w:r>
      <w:r>
        <w:rPr>
          <w:rFonts w:ascii="EC Square Sans Cond Pro Medium" w:hAnsi="EC Square Sans Cond Pro Medium"/>
          <w:noProof/>
          <w:sz w:val="16"/>
          <w:szCs w:val="16"/>
        </w:rPr>
        <w:t xml:space="preserve">., </w:t>
      </w:r>
      <w:r>
        <w:rPr>
          <w:rFonts w:ascii="EC Square Sans Cond Pro Medium" w:hAnsi="EC Square Sans Cond Pro Medium" w:cs="EC Square Sans Cond Pro Medium"/>
          <w:noProof/>
          <w:sz w:val="16"/>
          <w:szCs w:val="16"/>
        </w:rPr>
        <w:t>които</w:t>
      </w:r>
      <w:r>
        <w:rPr>
          <w:rFonts w:ascii="EC Square Sans Cond Pro Medium" w:hAnsi="EC Square Sans Cond Pro Medium"/>
          <w:noProof/>
          <w:sz w:val="16"/>
          <w:szCs w:val="16"/>
        </w:rPr>
        <w:t xml:space="preserve"> </w:t>
      </w:r>
      <w:r>
        <w:rPr>
          <w:rFonts w:ascii="EC Square Sans Cond Pro Medium" w:hAnsi="EC Square Sans Cond Pro Medium" w:cs="EC Square Sans Cond Pro Medium"/>
          <w:noProof/>
          <w:sz w:val="16"/>
          <w:szCs w:val="16"/>
        </w:rPr>
        <w:t>имат</w:t>
      </w:r>
      <w:r>
        <w:rPr>
          <w:rFonts w:ascii="EC Square Sans Cond Pro Medium" w:hAnsi="EC Square Sans Cond Pro Medium"/>
          <w:noProof/>
          <w:sz w:val="16"/>
          <w:szCs w:val="16"/>
        </w:rPr>
        <w:t xml:space="preserve"> </w:t>
      </w:r>
      <w:r>
        <w:rPr>
          <w:rFonts w:ascii="EC Square Sans Cond Pro Medium" w:hAnsi="EC Square Sans Cond Pro Medium" w:cs="EC Square Sans Cond Pro Medium"/>
          <w:noProof/>
          <w:sz w:val="16"/>
          <w:szCs w:val="16"/>
        </w:rPr>
        <w:t>принос</w:t>
      </w:r>
      <w:r>
        <w:rPr>
          <w:rFonts w:ascii="EC Square Sans Cond Pro Medium" w:hAnsi="EC Square Sans Cond Pro Medium"/>
          <w:noProof/>
          <w:sz w:val="16"/>
          <w:szCs w:val="16"/>
        </w:rPr>
        <w:t xml:space="preserve"> </w:t>
      </w:r>
      <w:r>
        <w:rPr>
          <w:rFonts w:ascii="EC Square Sans Cond Pro Medium" w:hAnsi="EC Square Sans Cond Pro Medium" w:cs="EC Square Sans Cond Pro Medium"/>
          <w:noProof/>
          <w:sz w:val="16"/>
          <w:szCs w:val="16"/>
        </w:rPr>
        <w:t>в</w:t>
      </w:r>
      <w:r>
        <w:rPr>
          <w:rFonts w:ascii="EC Square Sans Cond Pro Medium" w:hAnsi="EC Square Sans Cond Pro Medium"/>
          <w:noProof/>
          <w:sz w:val="16"/>
          <w:szCs w:val="16"/>
        </w:rPr>
        <w:t xml:space="preserve"> </w:t>
      </w:r>
      <w:r>
        <w:rPr>
          <w:rFonts w:ascii="EC Square Sans Cond Pro Medium" w:hAnsi="EC Square Sans Cond Pro Medium" w:cs="EC Square Sans Cond Pro Medium"/>
          <w:noProof/>
          <w:sz w:val="16"/>
          <w:szCs w:val="16"/>
        </w:rPr>
        <w:t>областта</w:t>
      </w:r>
      <w:r>
        <w:rPr>
          <w:rFonts w:ascii="EC Square Sans Cond Pro Medium" w:hAnsi="EC Square Sans Cond Pro Medium"/>
          <w:noProof/>
          <w:sz w:val="16"/>
          <w:szCs w:val="16"/>
        </w:rPr>
        <w:t xml:space="preserve"> </w:t>
      </w:r>
      <w:r>
        <w:rPr>
          <w:rFonts w:ascii="EC Square Sans Cond Pro Medium" w:hAnsi="EC Square Sans Cond Pro Medium" w:cs="EC Square Sans Cond Pro Medium"/>
          <w:noProof/>
          <w:sz w:val="16"/>
          <w:szCs w:val="16"/>
        </w:rPr>
        <w:t>на</w:t>
      </w:r>
      <w:r>
        <w:rPr>
          <w:rFonts w:ascii="EC Square Sans Cond Pro Medium" w:hAnsi="EC Square Sans Cond Pro Medium"/>
          <w:noProof/>
          <w:sz w:val="16"/>
          <w:szCs w:val="16"/>
        </w:rPr>
        <w:t xml:space="preserve"> </w:t>
      </w:r>
      <w:r>
        <w:rPr>
          <w:rFonts w:ascii="EC Square Sans Cond Pro Medium" w:hAnsi="EC Square Sans Cond Pro Medium" w:cs="EC Square Sans Cond Pro Medium"/>
          <w:noProof/>
          <w:sz w:val="16"/>
          <w:szCs w:val="16"/>
        </w:rPr>
        <w:t>климата</w:t>
      </w:r>
      <w:r>
        <w:rPr>
          <w:rFonts w:ascii="EC Square Sans Cond Pro Medium" w:hAnsi="EC Square Sans Cond Pro Medium"/>
          <w:noProof/>
          <w:sz w:val="16"/>
          <w:szCs w:val="16"/>
        </w:rPr>
        <w:t>.</w:t>
      </w:r>
    </w:p>
    <w:p>
      <w:pPr>
        <w:pStyle w:val="AMPRSource-Table-Chart-Photo-Caption"/>
        <w:spacing w:after="480"/>
      </w:pPr>
      <w:r>
        <w:rPr>
          <w:i/>
          <w:iCs w:val="0"/>
        </w:rPr>
        <w:t>Източник:</w:t>
      </w:r>
      <w:r>
        <w:t xml:space="preserve"> Европейска комисия</w:t>
      </w:r>
    </w:p>
    <w:p>
      <w:pPr>
        <w:pStyle w:val="AMPRBOXA-bgWHITElnORANGE-BLUEtext"/>
        <w:rPr>
          <w:noProof/>
        </w:rPr>
      </w:pPr>
      <w:r>
        <w:rPr>
          <w:noProof/>
          <w:lang w:eastAsia="en-GB"/>
        </w:rPr>
        <mc:AlternateContent>
          <mc:Choice Requires="wps">
            <w:drawing>
              <wp:anchor distT="0" distB="0" distL="0" distR="71755" simplePos="0" relativeHeight="251645952" behindDoc="1" locked="0" layoutInCell="1" allowOverlap="1">
                <wp:simplePos x="0" y="0"/>
                <wp:positionH relativeFrom="column">
                  <wp:posOffset>-136800</wp:posOffset>
                </wp:positionH>
                <wp:positionV relativeFrom="paragraph">
                  <wp:posOffset>150025</wp:posOffset>
                </wp:positionV>
                <wp:extent cx="270000" cy="295200"/>
                <wp:effectExtent l="0" t="0" r="0" b="0"/>
                <wp:wrapSquare wrapText="bothSides"/>
                <wp:docPr id="23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0000" cy="295200"/>
                        </a:xfrm>
                        <a:custGeom>
                          <a:avLst/>
                          <a:gdLst>
                            <a:gd name="T0" fmla="*/ 205 w 223"/>
                            <a:gd name="T1" fmla="*/ 1 h 240"/>
                            <a:gd name="T2" fmla="*/ 141 w 223"/>
                            <a:gd name="T3" fmla="*/ 17 h 240"/>
                            <a:gd name="T4" fmla="*/ 174 w 223"/>
                            <a:gd name="T5" fmla="*/ 240 h 240"/>
                            <a:gd name="T6" fmla="*/ 174 w 223"/>
                            <a:gd name="T7" fmla="*/ 228 h 240"/>
                            <a:gd name="T8" fmla="*/ 153 w 223"/>
                            <a:gd name="T9" fmla="*/ 158 h 240"/>
                            <a:gd name="T10" fmla="*/ 161 w 223"/>
                            <a:gd name="T11" fmla="*/ 139 h 240"/>
                            <a:gd name="T12" fmla="*/ 153 w 223"/>
                            <a:gd name="T13" fmla="*/ 115 h 240"/>
                            <a:gd name="T14" fmla="*/ 155 w 223"/>
                            <a:gd name="T15" fmla="*/ 103 h 240"/>
                            <a:gd name="T16" fmla="*/ 155 w 223"/>
                            <a:gd name="T17" fmla="*/ 85 h 240"/>
                            <a:gd name="T18" fmla="*/ 153 w 223"/>
                            <a:gd name="T19" fmla="*/ 73 h 240"/>
                            <a:gd name="T20" fmla="*/ 161 w 223"/>
                            <a:gd name="T21" fmla="*/ 49 h 240"/>
                            <a:gd name="T22" fmla="*/ 153 w 223"/>
                            <a:gd name="T23" fmla="*/ 22 h 240"/>
                            <a:gd name="T24" fmla="*/ 194 w 223"/>
                            <a:gd name="T25" fmla="*/ 43 h 240"/>
                            <a:gd name="T26" fmla="*/ 196 w 223"/>
                            <a:gd name="T27" fmla="*/ 55 h 240"/>
                            <a:gd name="T28" fmla="*/ 188 w 223"/>
                            <a:gd name="T29" fmla="*/ 79 h 240"/>
                            <a:gd name="T30" fmla="*/ 196 w 223"/>
                            <a:gd name="T31" fmla="*/ 103 h 240"/>
                            <a:gd name="T32" fmla="*/ 194 w 223"/>
                            <a:gd name="T33" fmla="*/ 115 h 240"/>
                            <a:gd name="T34" fmla="*/ 194 w 223"/>
                            <a:gd name="T35" fmla="*/ 133 h 240"/>
                            <a:gd name="T36" fmla="*/ 196 w 223"/>
                            <a:gd name="T37" fmla="*/ 145 h 240"/>
                            <a:gd name="T38" fmla="*/ 211 w 223"/>
                            <a:gd name="T39" fmla="*/ 191 h 240"/>
                            <a:gd name="T40" fmla="*/ 129 w 223"/>
                            <a:gd name="T41" fmla="*/ 120 h 240"/>
                            <a:gd name="T42" fmla="*/ 108 w 223"/>
                            <a:gd name="T43" fmla="*/ 80 h 240"/>
                            <a:gd name="T44" fmla="*/ 121 w 223"/>
                            <a:gd name="T45" fmla="*/ 64 h 240"/>
                            <a:gd name="T46" fmla="*/ 122 w 223"/>
                            <a:gd name="T47" fmla="*/ 31 h 240"/>
                            <a:gd name="T48" fmla="*/ 102 w 223"/>
                            <a:gd name="T49" fmla="*/ 18 h 240"/>
                            <a:gd name="T50" fmla="*/ 0 w 223"/>
                            <a:gd name="T51" fmla="*/ 120 h 240"/>
                            <a:gd name="T52" fmla="*/ 102 w 223"/>
                            <a:gd name="T53" fmla="*/ 223 h 240"/>
                            <a:gd name="T54" fmla="*/ 113 w 223"/>
                            <a:gd name="T55" fmla="*/ 210 h 240"/>
                            <a:gd name="T56" fmla="*/ 111 w 223"/>
                            <a:gd name="T57" fmla="*/ 173 h 240"/>
                            <a:gd name="T58" fmla="*/ 108 w 223"/>
                            <a:gd name="T59" fmla="*/ 161 h 240"/>
                            <a:gd name="T60" fmla="*/ 68 w 223"/>
                            <a:gd name="T61" fmla="*/ 36 h 240"/>
                            <a:gd name="T62" fmla="*/ 68 w 223"/>
                            <a:gd name="T63" fmla="*/ 36 h 240"/>
                            <a:gd name="T64" fmla="*/ 42 w 223"/>
                            <a:gd name="T65" fmla="*/ 114 h 240"/>
                            <a:gd name="T66" fmla="*/ 11 w 223"/>
                            <a:gd name="T67" fmla="*/ 126 h 240"/>
                            <a:gd name="T68" fmla="*/ 31 w 223"/>
                            <a:gd name="T69" fmla="*/ 177 h 240"/>
                            <a:gd name="T70" fmla="*/ 60 w 223"/>
                            <a:gd name="T71" fmla="*/ 181 h 240"/>
                            <a:gd name="T72" fmla="*/ 96 w 223"/>
                            <a:gd name="T73" fmla="*/ 211 h 240"/>
                            <a:gd name="T74" fmla="*/ 96 w 223"/>
                            <a:gd name="T75" fmla="*/ 173 h 240"/>
                            <a:gd name="T76" fmla="*/ 68 w 223"/>
                            <a:gd name="T77" fmla="*/ 168 h 240"/>
                            <a:gd name="T78" fmla="*/ 96 w 223"/>
                            <a:gd name="T79" fmla="*/ 161 h 240"/>
                            <a:gd name="T80" fmla="*/ 68 w 223"/>
                            <a:gd name="T81" fmla="*/ 73 h 240"/>
                            <a:gd name="T82" fmla="*/ 96 w 223"/>
                            <a:gd name="T83" fmla="*/ 68 h 240"/>
                            <a:gd name="T84" fmla="*/ 96 w 223"/>
                            <a:gd name="T85" fmla="*/ 29 h 240"/>
                            <a:gd name="T86" fmla="*/ 180 w 223"/>
                            <a:gd name="T87" fmla="*/ 35 h 240"/>
                            <a:gd name="T88" fmla="*/ 169 w 223"/>
                            <a:gd name="T89" fmla="*/ 172 h 240"/>
                            <a:gd name="T90" fmla="*/ 195 w 223"/>
                            <a:gd name="T91" fmla="*/ 191 h 240"/>
                            <a:gd name="T92" fmla="*/ 165 w 223"/>
                            <a:gd name="T93" fmla="*/ 191 h 240"/>
                            <a:gd name="T94" fmla="*/ 174 w 223"/>
                            <a:gd name="T95" fmla="*/ 20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3" h="240">
                              <a:moveTo>
                                <a:pt x="207" y="156"/>
                              </a:moveTo>
                              <a:cubicBezTo>
                                <a:pt x="207" y="6"/>
                                <a:pt x="207" y="6"/>
                                <a:pt x="207" y="6"/>
                              </a:cubicBezTo>
                              <a:cubicBezTo>
                                <a:pt x="207" y="4"/>
                                <a:pt x="207" y="3"/>
                                <a:pt x="205" y="1"/>
                              </a:cubicBezTo>
                              <a:cubicBezTo>
                                <a:pt x="204" y="0"/>
                                <a:pt x="202" y="0"/>
                                <a:pt x="200" y="0"/>
                              </a:cubicBezTo>
                              <a:cubicBezTo>
                                <a:pt x="146" y="12"/>
                                <a:pt x="146" y="12"/>
                                <a:pt x="146" y="12"/>
                              </a:cubicBezTo>
                              <a:cubicBezTo>
                                <a:pt x="143" y="12"/>
                                <a:pt x="141" y="15"/>
                                <a:pt x="141" y="17"/>
                              </a:cubicBezTo>
                              <a:cubicBezTo>
                                <a:pt x="141" y="156"/>
                                <a:pt x="141" y="156"/>
                                <a:pt x="141" y="156"/>
                              </a:cubicBezTo>
                              <a:cubicBezTo>
                                <a:pt x="131" y="165"/>
                                <a:pt x="126" y="178"/>
                                <a:pt x="126" y="191"/>
                              </a:cubicBezTo>
                              <a:cubicBezTo>
                                <a:pt x="126" y="218"/>
                                <a:pt x="148" y="240"/>
                                <a:pt x="174" y="240"/>
                              </a:cubicBezTo>
                              <a:cubicBezTo>
                                <a:pt x="201" y="240"/>
                                <a:pt x="223" y="218"/>
                                <a:pt x="223" y="191"/>
                              </a:cubicBezTo>
                              <a:cubicBezTo>
                                <a:pt x="223" y="178"/>
                                <a:pt x="217" y="165"/>
                                <a:pt x="207" y="156"/>
                              </a:cubicBezTo>
                              <a:close/>
                              <a:moveTo>
                                <a:pt x="174" y="228"/>
                              </a:moveTo>
                              <a:cubicBezTo>
                                <a:pt x="154" y="228"/>
                                <a:pt x="137" y="212"/>
                                <a:pt x="137" y="191"/>
                              </a:cubicBezTo>
                              <a:cubicBezTo>
                                <a:pt x="137" y="180"/>
                                <a:pt x="142" y="170"/>
                                <a:pt x="151" y="163"/>
                              </a:cubicBezTo>
                              <a:cubicBezTo>
                                <a:pt x="152" y="162"/>
                                <a:pt x="153" y="160"/>
                                <a:pt x="153" y="158"/>
                              </a:cubicBezTo>
                              <a:cubicBezTo>
                                <a:pt x="153" y="145"/>
                                <a:pt x="153" y="145"/>
                                <a:pt x="153" y="145"/>
                              </a:cubicBezTo>
                              <a:cubicBezTo>
                                <a:pt x="155" y="145"/>
                                <a:pt x="155" y="145"/>
                                <a:pt x="155" y="145"/>
                              </a:cubicBezTo>
                              <a:cubicBezTo>
                                <a:pt x="158" y="145"/>
                                <a:pt x="161" y="142"/>
                                <a:pt x="161" y="139"/>
                              </a:cubicBezTo>
                              <a:cubicBezTo>
                                <a:pt x="161" y="136"/>
                                <a:pt x="158" y="133"/>
                                <a:pt x="155" y="133"/>
                              </a:cubicBezTo>
                              <a:cubicBezTo>
                                <a:pt x="153" y="133"/>
                                <a:pt x="153" y="133"/>
                                <a:pt x="153" y="133"/>
                              </a:cubicBezTo>
                              <a:cubicBezTo>
                                <a:pt x="153" y="115"/>
                                <a:pt x="153" y="115"/>
                                <a:pt x="153" y="115"/>
                              </a:cubicBezTo>
                              <a:cubicBezTo>
                                <a:pt x="155" y="115"/>
                                <a:pt x="155" y="115"/>
                                <a:pt x="155" y="115"/>
                              </a:cubicBezTo>
                              <a:cubicBezTo>
                                <a:pt x="158" y="115"/>
                                <a:pt x="161" y="112"/>
                                <a:pt x="161" y="109"/>
                              </a:cubicBezTo>
                              <a:cubicBezTo>
                                <a:pt x="161" y="106"/>
                                <a:pt x="158" y="103"/>
                                <a:pt x="155" y="103"/>
                              </a:cubicBezTo>
                              <a:cubicBezTo>
                                <a:pt x="153" y="103"/>
                                <a:pt x="153" y="103"/>
                                <a:pt x="153" y="103"/>
                              </a:cubicBezTo>
                              <a:cubicBezTo>
                                <a:pt x="153" y="85"/>
                                <a:pt x="153" y="85"/>
                                <a:pt x="153" y="85"/>
                              </a:cubicBezTo>
                              <a:cubicBezTo>
                                <a:pt x="155" y="85"/>
                                <a:pt x="155" y="85"/>
                                <a:pt x="155" y="85"/>
                              </a:cubicBezTo>
                              <a:cubicBezTo>
                                <a:pt x="158" y="85"/>
                                <a:pt x="161" y="82"/>
                                <a:pt x="161" y="79"/>
                              </a:cubicBezTo>
                              <a:cubicBezTo>
                                <a:pt x="161" y="76"/>
                                <a:pt x="158" y="73"/>
                                <a:pt x="155" y="73"/>
                              </a:cubicBezTo>
                              <a:cubicBezTo>
                                <a:pt x="153" y="73"/>
                                <a:pt x="153" y="73"/>
                                <a:pt x="153" y="73"/>
                              </a:cubicBezTo>
                              <a:cubicBezTo>
                                <a:pt x="153" y="55"/>
                                <a:pt x="153" y="55"/>
                                <a:pt x="153" y="55"/>
                              </a:cubicBezTo>
                              <a:cubicBezTo>
                                <a:pt x="155" y="55"/>
                                <a:pt x="155" y="55"/>
                                <a:pt x="155" y="55"/>
                              </a:cubicBezTo>
                              <a:cubicBezTo>
                                <a:pt x="158" y="55"/>
                                <a:pt x="161" y="52"/>
                                <a:pt x="161" y="49"/>
                              </a:cubicBezTo>
                              <a:cubicBezTo>
                                <a:pt x="161" y="46"/>
                                <a:pt x="158" y="43"/>
                                <a:pt x="155" y="43"/>
                              </a:cubicBezTo>
                              <a:cubicBezTo>
                                <a:pt x="153" y="43"/>
                                <a:pt x="153" y="43"/>
                                <a:pt x="153" y="43"/>
                              </a:cubicBezTo>
                              <a:cubicBezTo>
                                <a:pt x="153" y="22"/>
                                <a:pt x="153" y="22"/>
                                <a:pt x="153" y="22"/>
                              </a:cubicBezTo>
                              <a:cubicBezTo>
                                <a:pt x="196" y="13"/>
                                <a:pt x="196" y="13"/>
                                <a:pt x="196" y="13"/>
                              </a:cubicBezTo>
                              <a:cubicBezTo>
                                <a:pt x="196" y="43"/>
                                <a:pt x="196" y="43"/>
                                <a:pt x="196" y="43"/>
                              </a:cubicBezTo>
                              <a:cubicBezTo>
                                <a:pt x="194" y="43"/>
                                <a:pt x="194" y="43"/>
                                <a:pt x="194" y="43"/>
                              </a:cubicBezTo>
                              <a:cubicBezTo>
                                <a:pt x="191" y="43"/>
                                <a:pt x="188" y="46"/>
                                <a:pt x="188" y="49"/>
                              </a:cubicBezTo>
                              <a:cubicBezTo>
                                <a:pt x="188" y="52"/>
                                <a:pt x="191" y="55"/>
                                <a:pt x="194" y="55"/>
                              </a:cubicBezTo>
                              <a:cubicBezTo>
                                <a:pt x="196" y="55"/>
                                <a:pt x="196" y="55"/>
                                <a:pt x="196" y="55"/>
                              </a:cubicBezTo>
                              <a:cubicBezTo>
                                <a:pt x="196" y="73"/>
                                <a:pt x="196" y="73"/>
                                <a:pt x="196" y="73"/>
                              </a:cubicBezTo>
                              <a:cubicBezTo>
                                <a:pt x="194" y="73"/>
                                <a:pt x="194" y="73"/>
                                <a:pt x="194" y="73"/>
                              </a:cubicBezTo>
                              <a:cubicBezTo>
                                <a:pt x="191" y="73"/>
                                <a:pt x="188" y="76"/>
                                <a:pt x="188" y="79"/>
                              </a:cubicBezTo>
                              <a:cubicBezTo>
                                <a:pt x="188" y="82"/>
                                <a:pt x="191" y="85"/>
                                <a:pt x="194" y="85"/>
                              </a:cubicBezTo>
                              <a:cubicBezTo>
                                <a:pt x="196" y="85"/>
                                <a:pt x="196" y="85"/>
                                <a:pt x="196" y="85"/>
                              </a:cubicBezTo>
                              <a:cubicBezTo>
                                <a:pt x="196" y="103"/>
                                <a:pt x="196" y="103"/>
                                <a:pt x="196" y="103"/>
                              </a:cubicBezTo>
                              <a:cubicBezTo>
                                <a:pt x="194" y="103"/>
                                <a:pt x="194" y="103"/>
                                <a:pt x="194" y="103"/>
                              </a:cubicBezTo>
                              <a:cubicBezTo>
                                <a:pt x="191" y="103"/>
                                <a:pt x="188" y="106"/>
                                <a:pt x="188" y="109"/>
                              </a:cubicBezTo>
                              <a:cubicBezTo>
                                <a:pt x="188" y="112"/>
                                <a:pt x="191" y="115"/>
                                <a:pt x="194" y="115"/>
                              </a:cubicBezTo>
                              <a:cubicBezTo>
                                <a:pt x="196" y="115"/>
                                <a:pt x="196" y="115"/>
                                <a:pt x="196" y="115"/>
                              </a:cubicBezTo>
                              <a:cubicBezTo>
                                <a:pt x="196" y="133"/>
                                <a:pt x="196" y="133"/>
                                <a:pt x="196" y="133"/>
                              </a:cubicBezTo>
                              <a:cubicBezTo>
                                <a:pt x="194" y="133"/>
                                <a:pt x="194" y="133"/>
                                <a:pt x="194" y="133"/>
                              </a:cubicBezTo>
                              <a:cubicBezTo>
                                <a:pt x="191" y="133"/>
                                <a:pt x="188" y="136"/>
                                <a:pt x="188" y="139"/>
                              </a:cubicBezTo>
                              <a:cubicBezTo>
                                <a:pt x="188" y="142"/>
                                <a:pt x="191" y="145"/>
                                <a:pt x="194" y="145"/>
                              </a:cubicBezTo>
                              <a:cubicBezTo>
                                <a:pt x="196" y="145"/>
                                <a:pt x="196" y="145"/>
                                <a:pt x="196" y="145"/>
                              </a:cubicBezTo>
                              <a:cubicBezTo>
                                <a:pt x="196" y="158"/>
                                <a:pt x="196" y="158"/>
                                <a:pt x="196" y="158"/>
                              </a:cubicBezTo>
                              <a:cubicBezTo>
                                <a:pt x="196" y="160"/>
                                <a:pt x="197" y="162"/>
                                <a:pt x="198" y="163"/>
                              </a:cubicBezTo>
                              <a:cubicBezTo>
                                <a:pt x="206" y="170"/>
                                <a:pt x="211" y="180"/>
                                <a:pt x="211" y="191"/>
                              </a:cubicBezTo>
                              <a:cubicBezTo>
                                <a:pt x="211" y="212"/>
                                <a:pt x="195" y="228"/>
                                <a:pt x="174" y="228"/>
                              </a:cubicBezTo>
                              <a:close/>
                              <a:moveTo>
                                <a:pt x="123" y="126"/>
                              </a:moveTo>
                              <a:cubicBezTo>
                                <a:pt x="126" y="126"/>
                                <a:pt x="129" y="123"/>
                                <a:pt x="129" y="120"/>
                              </a:cubicBezTo>
                              <a:cubicBezTo>
                                <a:pt x="129" y="117"/>
                                <a:pt x="126" y="114"/>
                                <a:pt x="123" y="114"/>
                              </a:cubicBezTo>
                              <a:cubicBezTo>
                                <a:pt x="108" y="114"/>
                                <a:pt x="108" y="114"/>
                                <a:pt x="108" y="114"/>
                              </a:cubicBezTo>
                              <a:cubicBezTo>
                                <a:pt x="108" y="80"/>
                                <a:pt x="108" y="80"/>
                                <a:pt x="108" y="80"/>
                              </a:cubicBezTo>
                              <a:cubicBezTo>
                                <a:pt x="124" y="76"/>
                                <a:pt x="124" y="76"/>
                                <a:pt x="124" y="76"/>
                              </a:cubicBezTo>
                              <a:cubicBezTo>
                                <a:pt x="127" y="75"/>
                                <a:pt x="129" y="72"/>
                                <a:pt x="128" y="69"/>
                              </a:cubicBezTo>
                              <a:cubicBezTo>
                                <a:pt x="128" y="65"/>
                                <a:pt x="125" y="64"/>
                                <a:pt x="121" y="64"/>
                              </a:cubicBezTo>
                              <a:cubicBezTo>
                                <a:pt x="108" y="68"/>
                                <a:pt x="108" y="68"/>
                                <a:pt x="108" y="68"/>
                              </a:cubicBezTo>
                              <a:cubicBezTo>
                                <a:pt x="108" y="29"/>
                                <a:pt x="108" y="29"/>
                                <a:pt x="108" y="29"/>
                              </a:cubicBezTo>
                              <a:cubicBezTo>
                                <a:pt x="113" y="30"/>
                                <a:pt x="117" y="30"/>
                                <a:pt x="122" y="31"/>
                              </a:cubicBezTo>
                              <a:cubicBezTo>
                                <a:pt x="125" y="32"/>
                                <a:pt x="128" y="30"/>
                                <a:pt x="129" y="27"/>
                              </a:cubicBezTo>
                              <a:cubicBezTo>
                                <a:pt x="129" y="24"/>
                                <a:pt x="127" y="21"/>
                                <a:pt x="124" y="20"/>
                              </a:cubicBezTo>
                              <a:cubicBezTo>
                                <a:pt x="117" y="18"/>
                                <a:pt x="109" y="18"/>
                                <a:pt x="102" y="18"/>
                              </a:cubicBezTo>
                              <a:cubicBezTo>
                                <a:pt x="73" y="18"/>
                                <a:pt x="47" y="29"/>
                                <a:pt x="29" y="49"/>
                              </a:cubicBezTo>
                              <a:cubicBezTo>
                                <a:pt x="27" y="50"/>
                                <a:pt x="22" y="57"/>
                                <a:pt x="20" y="58"/>
                              </a:cubicBezTo>
                              <a:cubicBezTo>
                                <a:pt x="7" y="75"/>
                                <a:pt x="0" y="97"/>
                                <a:pt x="0" y="120"/>
                              </a:cubicBezTo>
                              <a:cubicBezTo>
                                <a:pt x="0" y="145"/>
                                <a:pt x="9" y="169"/>
                                <a:pt x="24" y="186"/>
                              </a:cubicBezTo>
                              <a:cubicBezTo>
                                <a:pt x="24" y="187"/>
                                <a:pt x="25" y="187"/>
                                <a:pt x="25" y="188"/>
                              </a:cubicBezTo>
                              <a:cubicBezTo>
                                <a:pt x="44" y="209"/>
                                <a:pt x="71" y="223"/>
                                <a:pt x="102" y="223"/>
                              </a:cubicBezTo>
                              <a:cubicBezTo>
                                <a:pt x="106" y="223"/>
                                <a:pt x="111" y="222"/>
                                <a:pt x="115" y="222"/>
                              </a:cubicBezTo>
                              <a:cubicBezTo>
                                <a:pt x="118" y="221"/>
                                <a:pt x="120" y="219"/>
                                <a:pt x="120" y="215"/>
                              </a:cubicBezTo>
                              <a:cubicBezTo>
                                <a:pt x="120" y="212"/>
                                <a:pt x="117" y="210"/>
                                <a:pt x="113" y="210"/>
                              </a:cubicBezTo>
                              <a:cubicBezTo>
                                <a:pt x="112" y="211"/>
                                <a:pt x="110" y="211"/>
                                <a:pt x="108" y="211"/>
                              </a:cubicBezTo>
                              <a:cubicBezTo>
                                <a:pt x="108" y="173"/>
                                <a:pt x="108" y="173"/>
                                <a:pt x="108" y="173"/>
                              </a:cubicBezTo>
                              <a:cubicBezTo>
                                <a:pt x="111" y="173"/>
                                <a:pt x="111" y="173"/>
                                <a:pt x="111" y="173"/>
                              </a:cubicBezTo>
                              <a:cubicBezTo>
                                <a:pt x="114" y="174"/>
                                <a:pt x="117" y="172"/>
                                <a:pt x="118" y="169"/>
                              </a:cubicBezTo>
                              <a:cubicBezTo>
                                <a:pt x="119" y="166"/>
                                <a:pt x="117" y="163"/>
                                <a:pt x="114" y="162"/>
                              </a:cubicBezTo>
                              <a:cubicBezTo>
                                <a:pt x="108" y="161"/>
                                <a:pt x="108" y="161"/>
                                <a:pt x="108" y="161"/>
                              </a:cubicBezTo>
                              <a:cubicBezTo>
                                <a:pt x="108" y="126"/>
                                <a:pt x="108" y="126"/>
                                <a:pt x="108" y="126"/>
                              </a:cubicBezTo>
                              <a:lnTo>
                                <a:pt x="123" y="126"/>
                              </a:lnTo>
                              <a:close/>
                              <a:moveTo>
                                <a:pt x="68" y="36"/>
                              </a:moveTo>
                              <a:cubicBezTo>
                                <a:pt x="60" y="59"/>
                                <a:pt x="60" y="59"/>
                                <a:pt x="60" y="59"/>
                              </a:cubicBezTo>
                              <a:cubicBezTo>
                                <a:pt x="40" y="54"/>
                                <a:pt x="40" y="54"/>
                                <a:pt x="40" y="54"/>
                              </a:cubicBezTo>
                              <a:cubicBezTo>
                                <a:pt x="48" y="46"/>
                                <a:pt x="58" y="40"/>
                                <a:pt x="68" y="36"/>
                              </a:cubicBezTo>
                              <a:close/>
                              <a:moveTo>
                                <a:pt x="31" y="64"/>
                              </a:moveTo>
                              <a:cubicBezTo>
                                <a:pt x="57" y="70"/>
                                <a:pt x="57" y="70"/>
                                <a:pt x="57" y="70"/>
                              </a:cubicBezTo>
                              <a:cubicBezTo>
                                <a:pt x="42" y="114"/>
                                <a:pt x="42" y="114"/>
                                <a:pt x="42" y="114"/>
                              </a:cubicBezTo>
                              <a:cubicBezTo>
                                <a:pt x="11" y="114"/>
                                <a:pt x="11" y="114"/>
                                <a:pt x="11" y="114"/>
                              </a:cubicBezTo>
                              <a:cubicBezTo>
                                <a:pt x="13" y="95"/>
                                <a:pt x="20" y="78"/>
                                <a:pt x="31" y="64"/>
                              </a:cubicBezTo>
                              <a:close/>
                              <a:moveTo>
                                <a:pt x="11" y="126"/>
                              </a:moveTo>
                              <a:cubicBezTo>
                                <a:pt x="42" y="126"/>
                                <a:pt x="42" y="126"/>
                                <a:pt x="42" y="126"/>
                              </a:cubicBezTo>
                              <a:cubicBezTo>
                                <a:pt x="57" y="170"/>
                                <a:pt x="57" y="170"/>
                                <a:pt x="57" y="170"/>
                              </a:cubicBezTo>
                              <a:cubicBezTo>
                                <a:pt x="31" y="177"/>
                                <a:pt x="31" y="177"/>
                                <a:pt x="31" y="177"/>
                              </a:cubicBezTo>
                              <a:cubicBezTo>
                                <a:pt x="20" y="163"/>
                                <a:pt x="13" y="145"/>
                                <a:pt x="11" y="126"/>
                              </a:cubicBezTo>
                              <a:close/>
                              <a:moveTo>
                                <a:pt x="40" y="186"/>
                              </a:moveTo>
                              <a:cubicBezTo>
                                <a:pt x="60" y="181"/>
                                <a:pt x="60" y="181"/>
                                <a:pt x="60" y="181"/>
                              </a:cubicBezTo>
                              <a:cubicBezTo>
                                <a:pt x="68" y="204"/>
                                <a:pt x="68" y="204"/>
                                <a:pt x="68" y="204"/>
                              </a:cubicBezTo>
                              <a:cubicBezTo>
                                <a:pt x="58" y="200"/>
                                <a:pt x="48" y="194"/>
                                <a:pt x="40" y="186"/>
                              </a:cubicBezTo>
                              <a:close/>
                              <a:moveTo>
                                <a:pt x="96" y="211"/>
                              </a:moveTo>
                              <a:cubicBezTo>
                                <a:pt x="91" y="210"/>
                                <a:pt x="86" y="210"/>
                                <a:pt x="82" y="209"/>
                              </a:cubicBezTo>
                              <a:cubicBezTo>
                                <a:pt x="72" y="179"/>
                                <a:pt x="72" y="179"/>
                                <a:pt x="72" y="179"/>
                              </a:cubicBezTo>
                              <a:cubicBezTo>
                                <a:pt x="96" y="173"/>
                                <a:pt x="96" y="173"/>
                                <a:pt x="96" y="173"/>
                              </a:cubicBezTo>
                              <a:lnTo>
                                <a:pt x="96" y="211"/>
                              </a:lnTo>
                              <a:close/>
                              <a:moveTo>
                                <a:pt x="96" y="161"/>
                              </a:moveTo>
                              <a:cubicBezTo>
                                <a:pt x="68" y="168"/>
                                <a:pt x="68" y="168"/>
                                <a:pt x="68" y="168"/>
                              </a:cubicBezTo>
                              <a:cubicBezTo>
                                <a:pt x="54" y="126"/>
                                <a:pt x="54" y="126"/>
                                <a:pt x="54" y="126"/>
                              </a:cubicBezTo>
                              <a:cubicBezTo>
                                <a:pt x="96" y="126"/>
                                <a:pt x="96" y="126"/>
                                <a:pt x="96" y="126"/>
                              </a:cubicBezTo>
                              <a:lnTo>
                                <a:pt x="96" y="161"/>
                              </a:lnTo>
                              <a:close/>
                              <a:moveTo>
                                <a:pt x="96" y="114"/>
                              </a:moveTo>
                              <a:cubicBezTo>
                                <a:pt x="54" y="114"/>
                                <a:pt x="54" y="114"/>
                                <a:pt x="54" y="114"/>
                              </a:cubicBezTo>
                              <a:cubicBezTo>
                                <a:pt x="68" y="73"/>
                                <a:pt x="68" y="73"/>
                                <a:pt x="68" y="73"/>
                              </a:cubicBezTo>
                              <a:cubicBezTo>
                                <a:pt x="96" y="80"/>
                                <a:pt x="96" y="80"/>
                                <a:pt x="96" y="80"/>
                              </a:cubicBezTo>
                              <a:lnTo>
                                <a:pt x="96" y="114"/>
                              </a:lnTo>
                              <a:close/>
                              <a:moveTo>
                                <a:pt x="96" y="68"/>
                              </a:moveTo>
                              <a:cubicBezTo>
                                <a:pt x="72" y="62"/>
                                <a:pt x="72" y="62"/>
                                <a:pt x="72" y="62"/>
                              </a:cubicBezTo>
                              <a:cubicBezTo>
                                <a:pt x="82" y="32"/>
                                <a:pt x="82" y="32"/>
                                <a:pt x="82" y="32"/>
                              </a:cubicBezTo>
                              <a:cubicBezTo>
                                <a:pt x="86" y="30"/>
                                <a:pt x="91" y="30"/>
                                <a:pt x="96" y="29"/>
                              </a:cubicBezTo>
                              <a:lnTo>
                                <a:pt x="96" y="68"/>
                              </a:lnTo>
                              <a:close/>
                              <a:moveTo>
                                <a:pt x="180" y="172"/>
                              </a:moveTo>
                              <a:cubicBezTo>
                                <a:pt x="180" y="35"/>
                                <a:pt x="180" y="35"/>
                                <a:pt x="180" y="35"/>
                              </a:cubicBezTo>
                              <a:cubicBezTo>
                                <a:pt x="180" y="31"/>
                                <a:pt x="178" y="29"/>
                                <a:pt x="174" y="29"/>
                              </a:cubicBezTo>
                              <a:cubicBezTo>
                                <a:pt x="171" y="29"/>
                                <a:pt x="169" y="31"/>
                                <a:pt x="169" y="35"/>
                              </a:cubicBezTo>
                              <a:cubicBezTo>
                                <a:pt x="169" y="172"/>
                                <a:pt x="169" y="172"/>
                                <a:pt x="169" y="172"/>
                              </a:cubicBezTo>
                              <a:cubicBezTo>
                                <a:pt x="160" y="174"/>
                                <a:pt x="154" y="182"/>
                                <a:pt x="154" y="191"/>
                              </a:cubicBezTo>
                              <a:cubicBezTo>
                                <a:pt x="154" y="203"/>
                                <a:pt x="163" y="212"/>
                                <a:pt x="174" y="212"/>
                              </a:cubicBezTo>
                              <a:cubicBezTo>
                                <a:pt x="186" y="212"/>
                                <a:pt x="195" y="203"/>
                                <a:pt x="195" y="191"/>
                              </a:cubicBezTo>
                              <a:cubicBezTo>
                                <a:pt x="195" y="182"/>
                                <a:pt x="189" y="174"/>
                                <a:pt x="180" y="172"/>
                              </a:cubicBezTo>
                              <a:close/>
                              <a:moveTo>
                                <a:pt x="174" y="201"/>
                              </a:moveTo>
                              <a:cubicBezTo>
                                <a:pt x="169" y="201"/>
                                <a:pt x="165" y="196"/>
                                <a:pt x="165" y="191"/>
                              </a:cubicBezTo>
                              <a:cubicBezTo>
                                <a:pt x="165" y="186"/>
                                <a:pt x="169" y="182"/>
                                <a:pt x="174" y="182"/>
                              </a:cubicBezTo>
                              <a:cubicBezTo>
                                <a:pt x="179" y="182"/>
                                <a:pt x="183" y="186"/>
                                <a:pt x="183" y="191"/>
                              </a:cubicBezTo>
                              <a:cubicBezTo>
                                <a:pt x="183" y="196"/>
                                <a:pt x="179" y="201"/>
                                <a:pt x="174" y="201"/>
                              </a:cubicBezTo>
                              <a:close/>
                              <a:moveTo>
                                <a:pt x="174" y="201"/>
                              </a:moveTo>
                              <a:cubicBezTo>
                                <a:pt x="174" y="201"/>
                                <a:pt x="174" y="201"/>
                                <a:pt x="174" y="201"/>
                              </a:cubicBezTo>
                            </a:path>
                          </a:pathLst>
                        </a:custGeom>
                        <a:solidFill>
                          <a:schemeClr val="accent2"/>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6C754C" id="Freeform 7" o:spid="_x0000_s1026" style="position:absolute;margin-left:-10.75pt;margin-top:11.8pt;width:21.25pt;height:23.25pt;z-index:-251670528;visibility:visible;mso-wrap-style:square;mso-width-percent:0;mso-height-percent:0;mso-wrap-distance-left:0;mso-wrap-distance-top:0;mso-wrap-distance-right:5.65pt;mso-wrap-distance-bottom:0;mso-position-horizontal:absolute;mso-position-horizontal-relative:text;mso-position-vertical:absolute;mso-position-vertical-relative:text;mso-width-percent:0;mso-height-percent:0;mso-width-relative:margin;mso-height-relative:margin;v-text-anchor:top" coordsize="22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" path="m207,156c207,6,207,6,207,6v,-2,,-3,-2,-5c204,,202,,200,,146,12,146,12,146,12v-3,,-5,3,-5,5c141,156,141,156,141,156v-10,9,-15,22,-15,35c126,218,148,240,174,240v27,,49,-22,49,-49c223,178,217,165,207,156xm174,228v-20,,-37,-16,-37,-37c137,180,142,170,151,163v1,-1,2,-3,2,-5c153,145,153,145,153,145v2,,2,,2,c158,145,161,142,161,139v,-3,-3,-6,-6,-6c153,133,153,133,153,133v,-18,,-18,,-18c155,115,155,115,155,115v3,,6,-3,6,-6c161,106,158,103,155,103v-2,,-2,,-2,c153,85,153,85,153,85v2,,2,,2,c158,85,161,82,161,79v,-3,-3,-6,-6,-6c153,73,153,73,153,73v,-18,,-18,,-18c155,55,155,55,155,55v3,,6,-3,6,-6c161,46,158,43,155,43v-2,,-2,,-2,c153,22,153,22,153,22v43,-9,43,-9,43,-9c196,43,196,43,196,43v-2,,-2,,-2,c191,43,188,46,188,49v,3,3,6,6,6c196,55,196,55,196,55v,18,,18,,18c194,73,194,73,194,73v-3,,-6,3,-6,6c188,82,191,85,194,85v2,,2,,2,c196,103,196,103,196,103v-2,,-2,,-2,c191,103,188,106,188,109v,3,3,6,6,6c196,115,196,115,196,115v,18,,18,,18c194,133,194,133,194,133v-3,,-6,3,-6,6c188,142,191,145,194,145v2,,2,,2,c196,158,196,158,196,158v,2,1,4,2,5c206,170,211,180,211,191v,21,-16,37,-37,37xm123,126v3,,6,-3,6,-6c129,117,126,114,123,114v-15,,-15,,-15,c108,80,108,80,108,80v16,-4,16,-4,16,-4c127,75,129,72,128,69v,-4,-3,-5,-7,-5c108,68,108,68,108,68v,-39,,-39,,-39c113,30,117,30,122,31v3,1,6,-1,7,-4c129,24,127,21,124,20v-7,-2,-15,-2,-22,-2c73,18,47,29,29,49v-2,1,-7,8,-9,9c7,75,,97,,120v,25,9,49,24,66c24,187,25,187,25,188v19,21,46,35,77,35c106,223,111,222,115,222v3,-1,5,-3,5,-7c120,212,117,210,113,210v-1,1,-3,1,-5,1c108,173,108,173,108,173v3,,3,,3,c114,174,117,172,118,169v1,-3,-1,-6,-4,-7c108,161,108,161,108,161v,-35,,-35,,-35l123,126xm68,36c60,59,60,59,60,59,40,54,40,54,40,54,48,46,58,40,68,36xm31,64v26,6,26,6,26,6c42,114,42,114,42,114v-31,,-31,,-31,c13,95,20,78,31,64xm11,126v31,,31,,31,c57,170,57,170,57,170v-26,7,-26,7,-26,7c20,163,13,145,11,126xm40,186v20,-5,20,-5,20,-5c68,204,68,204,68,204,58,200,48,194,40,186xm96,211v-5,-1,-10,-1,-14,-2c72,179,72,179,72,179v24,-6,24,-6,24,-6l96,211xm96,161v-28,7,-28,7,-28,7c54,126,54,126,54,126v42,,42,,42,l96,161xm96,114v-42,,-42,,-42,c68,73,68,73,68,73v28,7,28,7,28,7l96,114xm96,68c72,62,72,62,72,62,82,32,82,32,82,32v4,-2,9,-2,14,-3l96,68xm180,172v,-137,,-137,,-137c180,31,178,29,174,29v-3,,-5,2,-5,6c169,172,169,172,169,172v-9,2,-15,10,-15,19c154,203,163,212,174,212v12,,21,-9,21,-21c195,182,189,174,180,172xm174,201v-5,,-9,-5,-9,-10c165,186,169,182,174,182v5,,9,4,9,9c183,196,179,201,174,201xm174,201v,,,,,e" fillcolor="#ed7d31 [3205]" stroked="f">
                <v:path arrowok="t" o:connecttype="custom" o:connectlocs="248206,1230;170717,20910;210673,295200;210673,280440;185247,194340;194933,170970;185247,141450;187668,126690;187668,104550;185247,89790;194933,60270;185247,27060;234888,52890;237309,67650;227623,97170;237309,126690;234888,141450;234888,163590;237309,178350;255471,234930;156188,147600;130762,98400;146502,78720;147713,38130;123498,22140;0,147600;123498,274290;136816,258300;134395,212790;130762,198030;82332,44280;82332,44280;50852,140220;13318,154980;37534,217710;72646,222630;116233,259530;116233,212790;82332,206640;116233,198030;82332,89790;116233,83640;116233,35670;217937,43050;204619,211560;236099,234930;199776,234930;210673,247230" o:connectangles="0,0,0,0,0,0,0,0,0,0,0,0,0,0,0,0,0,0,0,0,0,0,0,0,0,0,0,0,0,0,0,0,0,0,0,0,0,0,0,0,0,0,0,0,0,0,0,0"/>
                <o:lock v:ext="edit" verticies="t"/>
                <w10:wrap type="square"/>
              </v:shape>
            </w:pict>
          </mc:Fallback>
        </mc:AlternateContent>
      </w:r>
      <w:r>
        <w:rPr>
          <w:noProof/>
        </w:rPr>
        <w:t xml:space="preserve">Благодарение на подхода на интегриране, всички функции имат принос за постигането на този всеобхватен приоритет. Повече от </w:t>
      </w:r>
      <w:r>
        <w:rPr>
          <w:rStyle w:val="AMPRcharBoldBlue"/>
        </w:rPr>
        <w:t>90 %</w:t>
      </w:r>
      <w:r>
        <w:rPr>
          <w:noProof/>
        </w:rPr>
        <w:t xml:space="preserve"> от разходите, свързани с климата, се финансират по функции „Устойчив растеж: природни ресурси“(функция</w:t>
      </w:r>
      <w:r>
        <w:rPr>
          <w:rFonts w:ascii="Calibri" w:hAnsi="Calibri"/>
          <w:noProof/>
        </w:rPr>
        <w:t> </w:t>
      </w:r>
      <w:r>
        <w:rPr>
          <w:noProof/>
        </w:rPr>
        <w:t>2), „Икономическо, социално и териториално сближаване“ (функция</w:t>
      </w:r>
      <w:r>
        <w:rPr>
          <w:rFonts w:ascii="Calibri" w:hAnsi="Calibri"/>
          <w:noProof/>
        </w:rPr>
        <w:t> </w:t>
      </w:r>
      <w:r>
        <w:rPr>
          <w:noProof/>
        </w:rPr>
        <w:t>1б) и „Конкурентоспособност за растеж и работни места“ (функция</w:t>
      </w:r>
      <w:r>
        <w:rPr>
          <w:rFonts w:ascii="Calibri" w:hAnsi="Calibri"/>
          <w:noProof/>
        </w:rPr>
        <w:t> </w:t>
      </w:r>
      <w:r>
        <w:rPr>
          <w:noProof/>
        </w:rPr>
        <w:t>1а).</w:t>
      </w:r>
    </w:p>
    <w:p>
      <w:pPr>
        <w:pStyle w:val="AMPRBOXA-bgWHITElnORANGE-BLUEtext"/>
        <w:rPr>
          <w:noProof/>
        </w:rPr>
      </w:pPr>
      <w:r>
        <w:rPr>
          <w:noProof/>
        </w:rPr>
        <w:t>Степента, до която отделната програма е свързана с климата варира в зависимост от нейната област на действие и естеството на инвестицията. През 2019 г. за целите в областта на климата е осигурен принос в размер на 28 %, или 16</w:t>
      </w:r>
      <w:r>
        <w:rPr>
          <w:rFonts w:ascii="Calibri" w:hAnsi="Calibri"/>
          <w:noProof/>
        </w:rPr>
        <w:t> </w:t>
      </w:r>
      <w:r>
        <w:rPr>
          <w:noProof/>
        </w:rPr>
        <w:t>милиарда</w:t>
      </w:r>
      <w:r>
        <w:rPr>
          <w:rFonts w:ascii="Calibri" w:hAnsi="Calibri"/>
          <w:noProof/>
        </w:rPr>
        <w:t> </w:t>
      </w:r>
      <w:r>
        <w:rPr>
          <w:noProof/>
        </w:rPr>
        <w:t xml:space="preserve">евро, от финансирането за </w:t>
      </w:r>
      <w:r>
        <w:rPr>
          <w:rStyle w:val="AMPRcharBoldBlue"/>
        </w:rPr>
        <w:t>общата селскостопанска политика</w:t>
      </w:r>
      <w:r>
        <w:rPr>
          <w:noProof/>
        </w:rPr>
        <w:t xml:space="preserve"> и 21 % по линия на Европейския фонд за регионално развитие и Кохезионния фонд. Благодарение на внимателното разработване на програми делът на разходите, свързани с климата, нараства в други области: например приносът на </w:t>
      </w:r>
      <w:r>
        <w:rPr>
          <w:rStyle w:val="AMPRcharBoldBlue"/>
        </w:rPr>
        <w:t>Европейския социален фонд</w:t>
      </w:r>
      <w:r>
        <w:rPr>
          <w:noProof/>
        </w:rPr>
        <w:t xml:space="preserve"> е увеличен от 0 % през 2014 г. на 12 %, или 1,6</w:t>
      </w:r>
      <w:r>
        <w:rPr>
          <w:rFonts w:ascii="Calibri" w:hAnsi="Calibri"/>
          <w:noProof/>
        </w:rPr>
        <w:t> </w:t>
      </w:r>
      <w:r>
        <w:rPr>
          <w:noProof/>
        </w:rPr>
        <w:t>милиарда евро, през 2019 г.</w:t>
      </w:r>
    </w:p>
    <w:p>
      <w:pPr>
        <w:pStyle w:val="AMPRBodyText"/>
        <w:spacing w:before="360"/>
      </w:pPr>
      <w:r>
        <w:t xml:space="preserve">С цел да се бори с изменението на климата и влошаването на състоянието на околната среда и да се превърне в </w:t>
      </w:r>
      <w:r>
        <w:rPr>
          <w:rStyle w:val="AMPRcharBoldBlue"/>
        </w:rPr>
        <w:t>първата в света неутрална по отношение на климата икономика</w:t>
      </w:r>
      <w:r>
        <w:t xml:space="preserve"> до 2050 г., ЕС трябва да ускори прехода към по-устойчива икономика. В съответствие с Парижкото споразумение по изменение на климата и с целите на Организацията на обединените нации (ООН) за устойчиво развитие Комисията предлага за следващия дългосрочен бюджет да се определи дори още по-амбициозна цел за интегриране на въпросите, свързани с климата във всички програми на ЕС, </w:t>
      </w:r>
      <w:r>
        <w:rPr>
          <w:rStyle w:val="AMPRcharBoldBlue"/>
        </w:rPr>
        <w:t>а именно поне 25 % от разходите на ЕС да се насочват към постигането на свързани с климата цели</w:t>
      </w:r>
      <w:r>
        <w:t>. Това ще осигури важен принос за реализирането на предложения от Комисията Европейски зелен пакт.</w:t>
      </w:r>
    </w:p>
    <w:p>
      <w:pPr>
        <w:pStyle w:val="AMPRBodyText"/>
      </w:pPr>
      <w:r>
        <w:t xml:space="preserve">ЕС също така полага съгласувани усилия в подкрепа на </w:t>
      </w:r>
      <w:r>
        <w:rPr>
          <w:rStyle w:val="AMPRcharBoldBlue"/>
        </w:rPr>
        <w:t>биологичното разнообразие</w:t>
      </w:r>
      <w:r>
        <w:t>. Между 2014 и 2020 г. от бюджета на ЕС са осигурени 85</w:t>
      </w:r>
      <w:r>
        <w:rPr>
          <w:rFonts w:ascii="Calibri" w:hAnsi="Calibri"/>
        </w:rPr>
        <w:t> </w:t>
      </w:r>
      <w:r>
        <w:t>милиарда евро (8 % от общите разходи) за подпомагане на биоразнообразието. Приносът на бюджета е стабилен през целия период, с изключение на първите 2</w:t>
      </w:r>
      <w:r>
        <w:rPr>
          <w:rFonts w:ascii="Calibri" w:hAnsi="Calibri"/>
        </w:rPr>
        <w:t> </w:t>
      </w:r>
      <w:r>
        <w:t>години от изпълнението.</w:t>
      </w:r>
    </w:p>
    <w:p>
      <w:pPr>
        <w:pStyle w:val="AMPRCharttitle"/>
        <w:spacing w:before="0"/>
        <w:rPr>
          <w:iCs w:val="0"/>
        </w:rPr>
      </w:pPr>
      <w:r>
        <w:rPr>
          <w:lang w:eastAsia="en-GB"/>
        </w:rPr>
        <mc:AlternateContent>
          <mc:Choice Requires="wps">
            <w:drawing>
              <wp:anchor distT="0" distB="0" distL="114300" distR="114300" simplePos="0" relativeHeight="251644928" behindDoc="0" locked="0" layoutInCell="1" allowOverlap="1">
                <wp:simplePos x="0" y="0"/>
                <wp:positionH relativeFrom="column">
                  <wp:posOffset>3172558</wp:posOffset>
                </wp:positionH>
                <wp:positionV relativeFrom="paragraph">
                  <wp:posOffset>55880</wp:posOffset>
                </wp:positionV>
                <wp:extent cx="0" cy="2567354"/>
                <wp:effectExtent l="0" t="0" r="19050" b="23495"/>
                <wp:wrapNone/>
                <wp:docPr id="12" name="Straight Connector 12"/>
                <wp:cNvGraphicFramePr/>
                <a:graphic xmlns:a="http://schemas.openxmlformats.org/drawingml/2006/main">
                  <a:graphicData uri="http://schemas.microsoft.com/office/word/2010/wordprocessingShape">
                    <wps:wsp>
                      <wps:cNvCnPr/>
                      <wps:spPr>
                        <a:xfrm flipH="1" flipV="1">
                          <a:off x="0" y="0"/>
                          <a:ext cx="0" cy="2567354"/>
                        </a:xfrm>
                        <a:prstGeom prst="line">
                          <a:avLst/>
                        </a:prstGeom>
                        <a:ln w="15875">
                          <a:solidFill>
                            <a:srgbClr val="F68A42"/>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1F1B83" id="Straight Connector 12" o:spid="_x0000_s1026" style="position:absolute;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8pt,4.4pt" to="249.8pt,2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" strokecolor="#f68a42" strokeweight="1.25pt">
                <v:stroke dashstyle="dash" joinstyle="miter"/>
              </v:line>
            </w:pict>
          </mc:Fallback>
        </mc:AlternateContent>
      </w:r>
      <w:r>
        <w:rPr>
          <w:lang w:eastAsia="en-GB"/>
        </w:rPr>
        <w:drawing>
          <wp:inline distT="0" distB="0" distL="0" distR="0">
            <wp:extent cx="3052868" cy="2741727"/>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80068" cy="2766155"/>
                    </a:xfrm>
                    <a:prstGeom prst="rect">
                      <a:avLst/>
                    </a:prstGeom>
                  </pic:spPr>
                </pic:pic>
              </a:graphicData>
            </a:graphic>
          </wp:inline>
        </w:drawing>
      </w:r>
      <w:r>
        <w:rPr>
          <w:lang w:eastAsia="en-GB"/>
        </w:rPr>
        <w:drawing>
          <wp:inline distT="0" distB="0" distL="0" distR="0">
            <wp:extent cx="2590800" cy="27708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56138" cy="2840731"/>
                    </a:xfrm>
                    <a:prstGeom prst="rect">
                      <a:avLst/>
                    </a:prstGeom>
                  </pic:spPr>
                </pic:pic>
              </a:graphicData>
            </a:graphic>
          </wp:inline>
        </w:drawing>
      </w:r>
      <w:r>
        <w:rPr>
          <w:iCs w:val="0"/>
        </w:rPr>
        <w:t xml:space="preserve">Ляво: Принос </w:t>
      </w:r>
      <w:r>
        <w:t>към</w:t>
      </w:r>
      <w:r>
        <w:rPr>
          <w:iCs w:val="0"/>
        </w:rPr>
        <w:t xml:space="preserve"> разходите, свързани с биологичното разнообразие през 2019</w:t>
      </w:r>
      <w:r>
        <w:rPr>
          <w:rFonts w:ascii="Calibri" w:hAnsi="Calibri" w:cs="Calibri"/>
          <w:iCs w:val="0"/>
        </w:rPr>
        <w:t> </w:t>
      </w:r>
      <w:r>
        <w:rPr>
          <w:rFonts w:cs="EC Square Sans Cond Pro Medium"/>
          <w:iCs w:val="0"/>
        </w:rPr>
        <w:t>г</w:t>
      </w:r>
      <w:r>
        <w:rPr>
          <w:iCs w:val="0"/>
        </w:rPr>
        <w:t xml:space="preserve">., </w:t>
      </w:r>
      <w:r>
        <w:rPr>
          <w:rFonts w:cs="EC Square Sans Cond Pro Medium"/>
          <w:iCs w:val="0"/>
        </w:rPr>
        <w:t>по</w:t>
      </w:r>
      <w:r>
        <w:rPr>
          <w:iCs w:val="0"/>
        </w:rPr>
        <w:t xml:space="preserve"> </w:t>
      </w:r>
      <w:r>
        <w:rPr>
          <w:rFonts w:cs="EC Square Sans Cond Pro Medium"/>
          <w:iCs w:val="0"/>
        </w:rPr>
        <w:t>бюджетни</w:t>
      </w:r>
      <w:r>
        <w:rPr>
          <w:iCs w:val="0"/>
        </w:rPr>
        <w:t xml:space="preserve"> </w:t>
      </w:r>
      <w:r>
        <w:rPr>
          <w:rFonts w:cs="EC Square Sans Cond Pro Medium"/>
          <w:iCs w:val="0"/>
        </w:rPr>
        <w:t>функции</w:t>
      </w:r>
      <w:r>
        <w:rPr>
          <w:iCs w:val="0"/>
        </w:rPr>
        <w:t xml:space="preserve">. </w:t>
      </w:r>
    </w:p>
    <w:p>
      <w:pPr>
        <w:pStyle w:val="AMPRCharttitle"/>
        <w:spacing w:before="0"/>
      </w:pPr>
      <w:r>
        <w:t>Дясно: Дял на основните програми през 2019 г., които имат принос в областта на биологичното разнообразие.</w:t>
      </w:r>
    </w:p>
    <w:p>
      <w:pPr>
        <w:pStyle w:val="AMPRSource-Table-Chart-Photo-Caption"/>
        <w:spacing w:after="440"/>
      </w:pPr>
      <w:r>
        <w:rPr>
          <w:i/>
          <w:iCs w:val="0"/>
        </w:rPr>
        <w:t>Източник:</w:t>
      </w:r>
      <w:r>
        <w:t xml:space="preserve"> Европейска комисия</w:t>
      </w:r>
    </w:p>
    <w:p>
      <w:pPr>
        <w:pStyle w:val="AMPRBOXA-bgWHITElnORANGE-BLUEtext"/>
        <w:rPr>
          <w:noProof/>
        </w:rPr>
      </w:pPr>
      <w:r>
        <w:rPr>
          <w:noProof/>
          <w:lang w:eastAsia="en-GB"/>
        </w:rPr>
        <mc:AlternateContent>
          <mc:Choice Requires="wps">
            <w:drawing>
              <wp:anchor distT="0" distB="0" distL="114300" distR="114300" simplePos="0" relativeHeight="251646976" behindDoc="0" locked="0" layoutInCell="1" allowOverlap="1">
                <wp:simplePos x="0" y="0"/>
                <wp:positionH relativeFrom="column">
                  <wp:posOffset>-24765</wp:posOffset>
                </wp:positionH>
                <wp:positionV relativeFrom="paragraph">
                  <wp:posOffset>159948</wp:posOffset>
                </wp:positionV>
                <wp:extent cx="287655" cy="288290"/>
                <wp:effectExtent l="0" t="0" r="0" b="0"/>
                <wp:wrapSquare wrapText="bothSides"/>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87655" cy="288290"/>
                        </a:xfrm>
                        <a:custGeom>
                          <a:avLst/>
                          <a:gdLst>
                            <a:gd name="T0" fmla="*/ 563 w 687"/>
                            <a:gd name="T1" fmla="*/ 155 h 688"/>
                            <a:gd name="T2" fmla="*/ 652 w 687"/>
                            <a:gd name="T3" fmla="*/ 121 h 688"/>
                            <a:gd name="T4" fmla="*/ 659 w 687"/>
                            <a:gd name="T5" fmla="*/ 2 h 688"/>
                            <a:gd name="T6" fmla="*/ 547 w 687"/>
                            <a:gd name="T7" fmla="*/ 58 h 688"/>
                            <a:gd name="T8" fmla="*/ 436 w 687"/>
                            <a:gd name="T9" fmla="*/ 2 h 688"/>
                            <a:gd name="T10" fmla="*/ 444 w 687"/>
                            <a:gd name="T11" fmla="*/ 121 h 688"/>
                            <a:gd name="T12" fmla="*/ 532 w 687"/>
                            <a:gd name="T13" fmla="*/ 155 h 688"/>
                            <a:gd name="T14" fmla="*/ 509 w 687"/>
                            <a:gd name="T15" fmla="*/ 322 h 688"/>
                            <a:gd name="T16" fmla="*/ 218 w 687"/>
                            <a:gd name="T17" fmla="*/ 276 h 688"/>
                            <a:gd name="T18" fmla="*/ 15 w 687"/>
                            <a:gd name="T19" fmla="*/ 368 h 688"/>
                            <a:gd name="T20" fmla="*/ 0 w 687"/>
                            <a:gd name="T21" fmla="*/ 581 h 688"/>
                            <a:gd name="T22" fmla="*/ 65 w 687"/>
                            <a:gd name="T23" fmla="*/ 596 h 688"/>
                            <a:gd name="T24" fmla="*/ 449 w 687"/>
                            <a:gd name="T25" fmla="*/ 688 h 688"/>
                            <a:gd name="T26" fmla="*/ 497 w 687"/>
                            <a:gd name="T27" fmla="*/ 612 h 688"/>
                            <a:gd name="T28" fmla="*/ 543 w 687"/>
                            <a:gd name="T29" fmla="*/ 535 h 688"/>
                            <a:gd name="T30" fmla="*/ 589 w 687"/>
                            <a:gd name="T31" fmla="*/ 459 h 688"/>
                            <a:gd name="T32" fmla="*/ 586 w 687"/>
                            <a:gd name="T33" fmla="*/ 353 h 688"/>
                            <a:gd name="T34" fmla="*/ 563 w 687"/>
                            <a:gd name="T35" fmla="*/ 261 h 688"/>
                            <a:gd name="T36" fmla="*/ 655 w 687"/>
                            <a:gd name="T37" fmla="*/ 33 h 688"/>
                            <a:gd name="T38" fmla="*/ 564 w 687"/>
                            <a:gd name="T39" fmla="*/ 124 h 688"/>
                            <a:gd name="T40" fmla="*/ 466 w 687"/>
                            <a:gd name="T41" fmla="*/ 100 h 688"/>
                            <a:gd name="T42" fmla="*/ 509 w 687"/>
                            <a:gd name="T43" fmla="*/ 57 h 688"/>
                            <a:gd name="T44" fmla="*/ 466 w 687"/>
                            <a:gd name="T45" fmla="*/ 100 h 688"/>
                            <a:gd name="T46" fmla="*/ 218 w 687"/>
                            <a:gd name="T47" fmla="*/ 657 h 688"/>
                            <a:gd name="T48" fmla="*/ 75 w 687"/>
                            <a:gd name="T49" fmla="*/ 566 h 688"/>
                            <a:gd name="T50" fmla="*/ 30 w 687"/>
                            <a:gd name="T51" fmla="*/ 398 h 688"/>
                            <a:gd name="T52" fmla="*/ 76 w 687"/>
                            <a:gd name="T53" fmla="*/ 398 h 688"/>
                            <a:gd name="T54" fmla="*/ 80 w 687"/>
                            <a:gd name="T55" fmla="*/ 398 h 688"/>
                            <a:gd name="T56" fmla="*/ 84 w 687"/>
                            <a:gd name="T57" fmla="*/ 396 h 688"/>
                            <a:gd name="T58" fmla="*/ 88 w 687"/>
                            <a:gd name="T59" fmla="*/ 392 h 688"/>
                            <a:gd name="T60" fmla="*/ 90 w 687"/>
                            <a:gd name="T61" fmla="*/ 388 h 688"/>
                            <a:gd name="T62" fmla="*/ 459 w 687"/>
                            <a:gd name="T63" fmla="*/ 307 h 688"/>
                            <a:gd name="T64" fmla="*/ 473 w 687"/>
                            <a:gd name="T65" fmla="*/ 347 h 688"/>
                            <a:gd name="T66" fmla="*/ 297 w 687"/>
                            <a:gd name="T67" fmla="*/ 353 h 688"/>
                            <a:gd name="T68" fmla="*/ 294 w 687"/>
                            <a:gd name="T69" fmla="*/ 353 h 688"/>
                            <a:gd name="T70" fmla="*/ 291 w 687"/>
                            <a:gd name="T71" fmla="*/ 354 h 688"/>
                            <a:gd name="T72" fmla="*/ 288 w 687"/>
                            <a:gd name="T73" fmla="*/ 356 h 688"/>
                            <a:gd name="T74" fmla="*/ 285 w 687"/>
                            <a:gd name="T75" fmla="*/ 357 h 688"/>
                            <a:gd name="T76" fmla="*/ 284 w 687"/>
                            <a:gd name="T77" fmla="*/ 359 h 688"/>
                            <a:gd name="T78" fmla="*/ 282 w 687"/>
                            <a:gd name="T79" fmla="*/ 363 h 688"/>
                            <a:gd name="T80" fmla="*/ 154 w 687"/>
                            <a:gd name="T81" fmla="*/ 434 h 688"/>
                            <a:gd name="T82" fmla="*/ 154 w 687"/>
                            <a:gd name="T83" fmla="*/ 465 h 688"/>
                            <a:gd name="T84" fmla="*/ 306 w 687"/>
                            <a:gd name="T85" fmla="*/ 383 h 688"/>
                            <a:gd name="T86" fmla="*/ 410 w 687"/>
                            <a:gd name="T87" fmla="*/ 406 h 688"/>
                            <a:gd name="T88" fmla="*/ 365 w 687"/>
                            <a:gd name="T89" fmla="*/ 482 h 688"/>
                            <a:gd name="T90" fmla="*/ 320 w 687"/>
                            <a:gd name="T91" fmla="*/ 558 h 688"/>
                            <a:gd name="T92" fmla="*/ 320 w 687"/>
                            <a:gd name="T93" fmla="*/ 635 h 688"/>
                            <a:gd name="T94" fmla="*/ 449 w 687"/>
                            <a:gd name="T95" fmla="*/ 657 h 688"/>
                            <a:gd name="T96" fmla="*/ 350 w 687"/>
                            <a:gd name="T97" fmla="*/ 635 h 688"/>
                            <a:gd name="T98" fmla="*/ 449 w 687"/>
                            <a:gd name="T99" fmla="*/ 612 h 688"/>
                            <a:gd name="T100" fmla="*/ 449 w 687"/>
                            <a:gd name="T101" fmla="*/ 657 h 688"/>
                            <a:gd name="T102" fmla="*/ 373 w 687"/>
                            <a:gd name="T103" fmla="*/ 581 h 688"/>
                            <a:gd name="T104" fmla="*/ 373 w 687"/>
                            <a:gd name="T105" fmla="*/ 535 h 688"/>
                            <a:gd name="T106" fmla="*/ 518 w 687"/>
                            <a:gd name="T107" fmla="*/ 558 h 688"/>
                            <a:gd name="T108" fmla="*/ 541 w 687"/>
                            <a:gd name="T109" fmla="*/ 505 h 688"/>
                            <a:gd name="T110" fmla="*/ 396 w 687"/>
                            <a:gd name="T111" fmla="*/ 482 h 688"/>
                            <a:gd name="T112" fmla="*/ 541 w 687"/>
                            <a:gd name="T113" fmla="*/ 459 h 688"/>
                            <a:gd name="T114" fmla="*/ 541 w 687"/>
                            <a:gd name="T115" fmla="*/ 505 h 688"/>
                            <a:gd name="T116" fmla="*/ 609 w 687"/>
                            <a:gd name="T117" fmla="*/ 406 h 688"/>
                            <a:gd name="T118" fmla="*/ 464 w 687"/>
                            <a:gd name="T119" fmla="*/ 429 h 688"/>
                            <a:gd name="T120" fmla="*/ 464 w 687"/>
                            <a:gd name="T121" fmla="*/ 383 h 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87" h="688">
                              <a:moveTo>
                                <a:pt x="563" y="261"/>
                              </a:moveTo>
                              <a:cubicBezTo>
                                <a:pt x="563" y="155"/>
                                <a:pt x="563" y="155"/>
                                <a:pt x="563" y="155"/>
                              </a:cubicBezTo>
                              <a:cubicBezTo>
                                <a:pt x="565" y="155"/>
                                <a:pt x="566" y="155"/>
                                <a:pt x="567" y="155"/>
                              </a:cubicBezTo>
                              <a:cubicBezTo>
                                <a:pt x="601" y="155"/>
                                <a:pt x="631" y="143"/>
                                <a:pt x="652" y="121"/>
                              </a:cubicBezTo>
                              <a:cubicBezTo>
                                <a:pt x="675" y="97"/>
                                <a:pt x="687" y="64"/>
                                <a:pt x="684" y="26"/>
                              </a:cubicBezTo>
                              <a:cubicBezTo>
                                <a:pt x="683" y="14"/>
                                <a:pt x="672" y="3"/>
                                <a:pt x="659" y="2"/>
                              </a:cubicBezTo>
                              <a:cubicBezTo>
                                <a:pt x="622" y="0"/>
                                <a:pt x="589" y="11"/>
                                <a:pt x="565" y="35"/>
                              </a:cubicBezTo>
                              <a:cubicBezTo>
                                <a:pt x="558" y="42"/>
                                <a:pt x="552" y="50"/>
                                <a:pt x="547" y="58"/>
                              </a:cubicBezTo>
                              <a:cubicBezTo>
                                <a:pt x="543" y="50"/>
                                <a:pt x="537" y="42"/>
                                <a:pt x="530" y="35"/>
                              </a:cubicBezTo>
                              <a:cubicBezTo>
                                <a:pt x="507" y="12"/>
                                <a:pt x="474" y="0"/>
                                <a:pt x="436" y="2"/>
                              </a:cubicBezTo>
                              <a:cubicBezTo>
                                <a:pt x="423" y="3"/>
                                <a:pt x="413" y="14"/>
                                <a:pt x="412" y="26"/>
                              </a:cubicBezTo>
                              <a:cubicBezTo>
                                <a:pt x="409" y="64"/>
                                <a:pt x="421" y="97"/>
                                <a:pt x="444" y="121"/>
                              </a:cubicBezTo>
                              <a:cubicBezTo>
                                <a:pt x="465" y="142"/>
                                <a:pt x="496" y="155"/>
                                <a:pt x="528" y="155"/>
                              </a:cubicBezTo>
                              <a:cubicBezTo>
                                <a:pt x="530" y="155"/>
                                <a:pt x="531" y="155"/>
                                <a:pt x="532" y="155"/>
                              </a:cubicBezTo>
                              <a:cubicBezTo>
                                <a:pt x="532" y="261"/>
                                <a:pt x="532" y="261"/>
                                <a:pt x="532" y="261"/>
                              </a:cubicBezTo>
                              <a:cubicBezTo>
                                <a:pt x="532" y="285"/>
                                <a:pt x="523" y="306"/>
                                <a:pt x="509" y="322"/>
                              </a:cubicBezTo>
                              <a:cubicBezTo>
                                <a:pt x="505" y="296"/>
                                <a:pt x="483" y="276"/>
                                <a:pt x="458" y="276"/>
                              </a:cubicBezTo>
                              <a:cubicBezTo>
                                <a:pt x="218" y="276"/>
                                <a:pt x="218" y="276"/>
                                <a:pt x="218" y="276"/>
                              </a:cubicBezTo>
                              <a:cubicBezTo>
                                <a:pt x="164" y="276"/>
                                <a:pt x="96" y="305"/>
                                <a:pt x="66" y="368"/>
                              </a:cubicBezTo>
                              <a:cubicBezTo>
                                <a:pt x="15" y="368"/>
                                <a:pt x="15" y="368"/>
                                <a:pt x="15" y="368"/>
                              </a:cubicBezTo>
                              <a:cubicBezTo>
                                <a:pt x="6" y="368"/>
                                <a:pt x="0" y="375"/>
                                <a:pt x="0" y="383"/>
                              </a:cubicBezTo>
                              <a:cubicBezTo>
                                <a:pt x="0" y="581"/>
                                <a:pt x="0" y="581"/>
                                <a:pt x="0" y="581"/>
                              </a:cubicBezTo>
                              <a:cubicBezTo>
                                <a:pt x="0" y="590"/>
                                <a:pt x="6" y="596"/>
                                <a:pt x="15" y="596"/>
                              </a:cubicBezTo>
                              <a:cubicBezTo>
                                <a:pt x="65" y="596"/>
                                <a:pt x="65" y="596"/>
                                <a:pt x="65" y="596"/>
                              </a:cubicBezTo>
                              <a:cubicBezTo>
                                <a:pt x="95" y="659"/>
                                <a:pt x="163" y="688"/>
                                <a:pt x="218" y="688"/>
                              </a:cubicBezTo>
                              <a:cubicBezTo>
                                <a:pt x="449" y="688"/>
                                <a:pt x="449" y="688"/>
                                <a:pt x="449" y="688"/>
                              </a:cubicBezTo>
                              <a:cubicBezTo>
                                <a:pt x="479" y="688"/>
                                <a:pt x="503" y="664"/>
                                <a:pt x="503" y="635"/>
                              </a:cubicBezTo>
                              <a:cubicBezTo>
                                <a:pt x="503" y="626"/>
                                <a:pt x="501" y="619"/>
                                <a:pt x="497" y="612"/>
                              </a:cubicBezTo>
                              <a:cubicBezTo>
                                <a:pt x="525" y="610"/>
                                <a:pt x="548" y="587"/>
                                <a:pt x="548" y="558"/>
                              </a:cubicBezTo>
                              <a:cubicBezTo>
                                <a:pt x="548" y="550"/>
                                <a:pt x="547" y="542"/>
                                <a:pt x="543" y="535"/>
                              </a:cubicBezTo>
                              <a:cubicBezTo>
                                <a:pt x="571" y="534"/>
                                <a:pt x="594" y="511"/>
                                <a:pt x="594" y="482"/>
                              </a:cubicBezTo>
                              <a:cubicBezTo>
                                <a:pt x="594" y="474"/>
                                <a:pt x="592" y="466"/>
                                <a:pt x="589" y="459"/>
                              </a:cubicBezTo>
                              <a:cubicBezTo>
                                <a:pt x="617" y="458"/>
                                <a:pt x="640" y="435"/>
                                <a:pt x="640" y="406"/>
                              </a:cubicBezTo>
                              <a:cubicBezTo>
                                <a:pt x="640" y="376"/>
                                <a:pt x="616" y="353"/>
                                <a:pt x="586" y="353"/>
                              </a:cubicBezTo>
                              <a:cubicBezTo>
                                <a:pt x="522" y="353"/>
                                <a:pt x="522" y="353"/>
                                <a:pt x="522" y="353"/>
                              </a:cubicBezTo>
                              <a:cubicBezTo>
                                <a:pt x="547" y="331"/>
                                <a:pt x="563" y="298"/>
                                <a:pt x="563" y="261"/>
                              </a:cubicBezTo>
                              <a:close/>
                              <a:moveTo>
                                <a:pt x="588" y="57"/>
                              </a:moveTo>
                              <a:cubicBezTo>
                                <a:pt x="604" y="40"/>
                                <a:pt x="627" y="32"/>
                                <a:pt x="655" y="33"/>
                              </a:cubicBezTo>
                              <a:cubicBezTo>
                                <a:pt x="656" y="59"/>
                                <a:pt x="647" y="83"/>
                                <a:pt x="631" y="100"/>
                              </a:cubicBezTo>
                              <a:cubicBezTo>
                                <a:pt x="615" y="116"/>
                                <a:pt x="591" y="125"/>
                                <a:pt x="564" y="124"/>
                              </a:cubicBezTo>
                              <a:cubicBezTo>
                                <a:pt x="563" y="97"/>
                                <a:pt x="571" y="74"/>
                                <a:pt x="588" y="57"/>
                              </a:cubicBezTo>
                              <a:close/>
                              <a:moveTo>
                                <a:pt x="466" y="100"/>
                              </a:moveTo>
                              <a:cubicBezTo>
                                <a:pt x="449" y="83"/>
                                <a:pt x="441" y="59"/>
                                <a:pt x="442" y="33"/>
                              </a:cubicBezTo>
                              <a:cubicBezTo>
                                <a:pt x="469" y="32"/>
                                <a:pt x="493" y="40"/>
                                <a:pt x="509" y="57"/>
                              </a:cubicBezTo>
                              <a:cubicBezTo>
                                <a:pt x="526" y="74"/>
                                <a:pt x="535" y="97"/>
                                <a:pt x="533" y="124"/>
                              </a:cubicBezTo>
                              <a:cubicBezTo>
                                <a:pt x="506" y="125"/>
                                <a:pt x="482" y="116"/>
                                <a:pt x="466" y="100"/>
                              </a:cubicBezTo>
                              <a:close/>
                              <a:moveTo>
                                <a:pt x="325" y="657"/>
                              </a:moveTo>
                              <a:cubicBezTo>
                                <a:pt x="218" y="657"/>
                                <a:pt x="218" y="657"/>
                                <a:pt x="218" y="657"/>
                              </a:cubicBezTo>
                              <a:cubicBezTo>
                                <a:pt x="170" y="657"/>
                                <a:pt x="112" y="631"/>
                                <a:pt x="90" y="580"/>
                              </a:cubicBezTo>
                              <a:cubicBezTo>
                                <a:pt x="90" y="572"/>
                                <a:pt x="83" y="566"/>
                                <a:pt x="75" y="566"/>
                              </a:cubicBezTo>
                              <a:cubicBezTo>
                                <a:pt x="30" y="566"/>
                                <a:pt x="30" y="566"/>
                                <a:pt x="30" y="566"/>
                              </a:cubicBezTo>
                              <a:cubicBezTo>
                                <a:pt x="30" y="398"/>
                                <a:pt x="30" y="398"/>
                                <a:pt x="30" y="398"/>
                              </a:cubicBezTo>
                              <a:cubicBezTo>
                                <a:pt x="76" y="398"/>
                                <a:pt x="76" y="398"/>
                                <a:pt x="76" y="398"/>
                              </a:cubicBezTo>
                              <a:cubicBezTo>
                                <a:pt x="76" y="398"/>
                                <a:pt x="76" y="398"/>
                                <a:pt x="76" y="398"/>
                              </a:cubicBezTo>
                              <a:cubicBezTo>
                                <a:pt x="77" y="398"/>
                                <a:pt x="78" y="398"/>
                                <a:pt x="80" y="398"/>
                              </a:cubicBezTo>
                              <a:cubicBezTo>
                                <a:pt x="80" y="398"/>
                                <a:pt x="80" y="398"/>
                                <a:pt x="80" y="398"/>
                              </a:cubicBezTo>
                              <a:cubicBezTo>
                                <a:pt x="82" y="397"/>
                                <a:pt x="83" y="397"/>
                                <a:pt x="84" y="396"/>
                              </a:cubicBezTo>
                              <a:cubicBezTo>
                                <a:pt x="84" y="396"/>
                                <a:pt x="84" y="396"/>
                                <a:pt x="84" y="396"/>
                              </a:cubicBezTo>
                              <a:cubicBezTo>
                                <a:pt x="85" y="395"/>
                                <a:pt x="86" y="395"/>
                                <a:pt x="87" y="393"/>
                              </a:cubicBezTo>
                              <a:cubicBezTo>
                                <a:pt x="88" y="392"/>
                                <a:pt x="88" y="392"/>
                                <a:pt x="88" y="392"/>
                              </a:cubicBezTo>
                              <a:cubicBezTo>
                                <a:pt x="89" y="391"/>
                                <a:pt x="90" y="390"/>
                                <a:pt x="90" y="388"/>
                              </a:cubicBezTo>
                              <a:cubicBezTo>
                                <a:pt x="90" y="388"/>
                                <a:pt x="90" y="388"/>
                                <a:pt x="90" y="388"/>
                              </a:cubicBezTo>
                              <a:cubicBezTo>
                                <a:pt x="111" y="335"/>
                                <a:pt x="170" y="307"/>
                                <a:pt x="218" y="307"/>
                              </a:cubicBezTo>
                              <a:cubicBezTo>
                                <a:pt x="459" y="307"/>
                                <a:pt x="459" y="307"/>
                                <a:pt x="459" y="307"/>
                              </a:cubicBezTo>
                              <a:cubicBezTo>
                                <a:pt x="471" y="307"/>
                                <a:pt x="480" y="317"/>
                                <a:pt x="480" y="330"/>
                              </a:cubicBezTo>
                              <a:cubicBezTo>
                                <a:pt x="480" y="337"/>
                                <a:pt x="477" y="343"/>
                                <a:pt x="473" y="347"/>
                              </a:cubicBezTo>
                              <a:cubicBezTo>
                                <a:pt x="464" y="350"/>
                                <a:pt x="453" y="353"/>
                                <a:pt x="442" y="353"/>
                              </a:cubicBezTo>
                              <a:cubicBezTo>
                                <a:pt x="297" y="353"/>
                                <a:pt x="297" y="353"/>
                                <a:pt x="297" y="353"/>
                              </a:cubicBezTo>
                              <a:cubicBezTo>
                                <a:pt x="296" y="353"/>
                                <a:pt x="295" y="353"/>
                                <a:pt x="295" y="353"/>
                              </a:cubicBezTo>
                              <a:cubicBezTo>
                                <a:pt x="295" y="353"/>
                                <a:pt x="294" y="353"/>
                                <a:pt x="294" y="353"/>
                              </a:cubicBezTo>
                              <a:cubicBezTo>
                                <a:pt x="293" y="353"/>
                                <a:pt x="293" y="353"/>
                                <a:pt x="292" y="353"/>
                              </a:cubicBezTo>
                              <a:cubicBezTo>
                                <a:pt x="291" y="353"/>
                                <a:pt x="291" y="353"/>
                                <a:pt x="291" y="354"/>
                              </a:cubicBezTo>
                              <a:cubicBezTo>
                                <a:pt x="291" y="354"/>
                                <a:pt x="290" y="354"/>
                                <a:pt x="289" y="355"/>
                              </a:cubicBezTo>
                              <a:cubicBezTo>
                                <a:pt x="288" y="355"/>
                                <a:pt x="288" y="356"/>
                                <a:pt x="288" y="356"/>
                              </a:cubicBezTo>
                              <a:cubicBezTo>
                                <a:pt x="287" y="356"/>
                                <a:pt x="287" y="356"/>
                                <a:pt x="286" y="356"/>
                              </a:cubicBezTo>
                              <a:cubicBezTo>
                                <a:pt x="285" y="357"/>
                                <a:pt x="285" y="357"/>
                                <a:pt x="285" y="357"/>
                              </a:cubicBezTo>
                              <a:cubicBezTo>
                                <a:pt x="285" y="357"/>
                                <a:pt x="285" y="358"/>
                                <a:pt x="285" y="359"/>
                              </a:cubicBezTo>
                              <a:cubicBezTo>
                                <a:pt x="284" y="359"/>
                                <a:pt x="284" y="359"/>
                                <a:pt x="284" y="359"/>
                              </a:cubicBezTo>
                              <a:cubicBezTo>
                                <a:pt x="284" y="360"/>
                                <a:pt x="284" y="360"/>
                                <a:pt x="283" y="361"/>
                              </a:cubicBezTo>
                              <a:cubicBezTo>
                                <a:pt x="283" y="362"/>
                                <a:pt x="282" y="362"/>
                                <a:pt x="282" y="363"/>
                              </a:cubicBezTo>
                              <a:cubicBezTo>
                                <a:pt x="282" y="363"/>
                                <a:pt x="282" y="363"/>
                                <a:pt x="282" y="363"/>
                              </a:cubicBezTo>
                              <a:cubicBezTo>
                                <a:pt x="262" y="414"/>
                                <a:pt x="203" y="433"/>
                                <a:pt x="154" y="434"/>
                              </a:cubicBezTo>
                              <a:cubicBezTo>
                                <a:pt x="145" y="434"/>
                                <a:pt x="138" y="441"/>
                                <a:pt x="138" y="449"/>
                              </a:cubicBezTo>
                              <a:cubicBezTo>
                                <a:pt x="138" y="458"/>
                                <a:pt x="145" y="465"/>
                                <a:pt x="154" y="465"/>
                              </a:cubicBezTo>
                              <a:cubicBezTo>
                                <a:pt x="154" y="465"/>
                                <a:pt x="154" y="465"/>
                                <a:pt x="154" y="465"/>
                              </a:cubicBezTo>
                              <a:cubicBezTo>
                                <a:pt x="210" y="464"/>
                                <a:pt x="278" y="442"/>
                                <a:pt x="306" y="383"/>
                              </a:cubicBezTo>
                              <a:cubicBezTo>
                                <a:pt x="416" y="383"/>
                                <a:pt x="416" y="383"/>
                                <a:pt x="416" y="383"/>
                              </a:cubicBezTo>
                              <a:cubicBezTo>
                                <a:pt x="413" y="390"/>
                                <a:pt x="410" y="398"/>
                                <a:pt x="410" y="406"/>
                              </a:cubicBezTo>
                              <a:cubicBezTo>
                                <a:pt x="410" y="414"/>
                                <a:pt x="412" y="422"/>
                                <a:pt x="416" y="429"/>
                              </a:cubicBezTo>
                              <a:cubicBezTo>
                                <a:pt x="388" y="430"/>
                                <a:pt x="365" y="453"/>
                                <a:pt x="365" y="482"/>
                              </a:cubicBezTo>
                              <a:cubicBezTo>
                                <a:pt x="365" y="491"/>
                                <a:pt x="367" y="498"/>
                                <a:pt x="371" y="505"/>
                              </a:cubicBezTo>
                              <a:cubicBezTo>
                                <a:pt x="342" y="507"/>
                                <a:pt x="320" y="529"/>
                                <a:pt x="320" y="558"/>
                              </a:cubicBezTo>
                              <a:cubicBezTo>
                                <a:pt x="320" y="574"/>
                                <a:pt x="326" y="587"/>
                                <a:pt x="336" y="596"/>
                              </a:cubicBezTo>
                              <a:cubicBezTo>
                                <a:pt x="326" y="606"/>
                                <a:pt x="320" y="619"/>
                                <a:pt x="320" y="635"/>
                              </a:cubicBezTo>
                              <a:cubicBezTo>
                                <a:pt x="320" y="643"/>
                                <a:pt x="322" y="651"/>
                                <a:pt x="325" y="657"/>
                              </a:cubicBezTo>
                              <a:close/>
                              <a:moveTo>
                                <a:pt x="449" y="657"/>
                              </a:moveTo>
                              <a:cubicBezTo>
                                <a:pt x="373" y="657"/>
                                <a:pt x="373" y="657"/>
                                <a:pt x="373" y="657"/>
                              </a:cubicBezTo>
                              <a:cubicBezTo>
                                <a:pt x="360" y="657"/>
                                <a:pt x="350" y="647"/>
                                <a:pt x="350" y="635"/>
                              </a:cubicBezTo>
                              <a:cubicBezTo>
                                <a:pt x="350" y="622"/>
                                <a:pt x="360" y="612"/>
                                <a:pt x="373" y="612"/>
                              </a:cubicBezTo>
                              <a:cubicBezTo>
                                <a:pt x="449" y="612"/>
                                <a:pt x="449" y="612"/>
                                <a:pt x="449" y="612"/>
                              </a:cubicBezTo>
                              <a:cubicBezTo>
                                <a:pt x="462" y="612"/>
                                <a:pt x="472" y="622"/>
                                <a:pt x="472" y="635"/>
                              </a:cubicBezTo>
                              <a:cubicBezTo>
                                <a:pt x="472" y="647"/>
                                <a:pt x="462" y="657"/>
                                <a:pt x="449" y="657"/>
                              </a:cubicBezTo>
                              <a:close/>
                              <a:moveTo>
                                <a:pt x="495" y="581"/>
                              </a:moveTo>
                              <a:cubicBezTo>
                                <a:pt x="373" y="581"/>
                                <a:pt x="373" y="581"/>
                                <a:pt x="373" y="581"/>
                              </a:cubicBezTo>
                              <a:cubicBezTo>
                                <a:pt x="360" y="581"/>
                                <a:pt x="350" y="571"/>
                                <a:pt x="350" y="558"/>
                              </a:cubicBezTo>
                              <a:cubicBezTo>
                                <a:pt x="350" y="545"/>
                                <a:pt x="360" y="535"/>
                                <a:pt x="373" y="535"/>
                              </a:cubicBezTo>
                              <a:cubicBezTo>
                                <a:pt x="495" y="535"/>
                                <a:pt x="495" y="535"/>
                                <a:pt x="495" y="535"/>
                              </a:cubicBezTo>
                              <a:cubicBezTo>
                                <a:pt x="508" y="535"/>
                                <a:pt x="518" y="545"/>
                                <a:pt x="518" y="558"/>
                              </a:cubicBezTo>
                              <a:cubicBezTo>
                                <a:pt x="518" y="571"/>
                                <a:pt x="508" y="581"/>
                                <a:pt x="495" y="581"/>
                              </a:cubicBezTo>
                              <a:close/>
                              <a:moveTo>
                                <a:pt x="541" y="505"/>
                              </a:moveTo>
                              <a:cubicBezTo>
                                <a:pt x="419" y="505"/>
                                <a:pt x="419" y="505"/>
                                <a:pt x="419" y="505"/>
                              </a:cubicBezTo>
                              <a:cubicBezTo>
                                <a:pt x="406" y="505"/>
                                <a:pt x="396" y="494"/>
                                <a:pt x="396" y="482"/>
                              </a:cubicBezTo>
                              <a:cubicBezTo>
                                <a:pt x="396" y="469"/>
                                <a:pt x="406" y="459"/>
                                <a:pt x="419" y="459"/>
                              </a:cubicBezTo>
                              <a:cubicBezTo>
                                <a:pt x="541" y="459"/>
                                <a:pt x="541" y="459"/>
                                <a:pt x="541" y="459"/>
                              </a:cubicBezTo>
                              <a:cubicBezTo>
                                <a:pt x="554" y="459"/>
                                <a:pt x="563" y="469"/>
                                <a:pt x="563" y="482"/>
                              </a:cubicBezTo>
                              <a:cubicBezTo>
                                <a:pt x="563" y="494"/>
                                <a:pt x="554" y="505"/>
                                <a:pt x="541" y="505"/>
                              </a:cubicBezTo>
                              <a:close/>
                              <a:moveTo>
                                <a:pt x="586" y="383"/>
                              </a:moveTo>
                              <a:cubicBezTo>
                                <a:pt x="599" y="383"/>
                                <a:pt x="609" y="393"/>
                                <a:pt x="609" y="406"/>
                              </a:cubicBezTo>
                              <a:cubicBezTo>
                                <a:pt x="609" y="418"/>
                                <a:pt x="599" y="429"/>
                                <a:pt x="586" y="429"/>
                              </a:cubicBezTo>
                              <a:cubicBezTo>
                                <a:pt x="464" y="429"/>
                                <a:pt x="464" y="429"/>
                                <a:pt x="464" y="429"/>
                              </a:cubicBezTo>
                              <a:cubicBezTo>
                                <a:pt x="451" y="429"/>
                                <a:pt x="442" y="418"/>
                                <a:pt x="442" y="406"/>
                              </a:cubicBezTo>
                              <a:cubicBezTo>
                                <a:pt x="442" y="393"/>
                                <a:pt x="451" y="383"/>
                                <a:pt x="464" y="383"/>
                              </a:cubicBezTo>
                              <a:lnTo>
                                <a:pt x="586" y="383"/>
                              </a:lnTo>
                              <a:close/>
                            </a:path>
                          </a:pathLst>
                        </a:custGeom>
                        <a:solidFill>
                          <a:schemeClr val="accent2"/>
                        </a:solidFill>
                        <a:ln>
                          <a:noFill/>
                        </a:ln>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9EBAAF" id="Freeform 19" o:spid="_x0000_s1026" style="position:absolute;margin-left:-1.95pt;margin-top:12.6pt;width:22.65pt;height:22.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8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" path="m563,261v,-106,,-106,,-106c565,155,566,155,567,155v34,,64,-12,85,-34c675,97,687,64,684,26,683,14,672,3,659,2,622,,589,11,565,35v-7,7,-13,15,-18,23c543,50,537,42,530,35,507,12,474,,436,2,423,3,413,14,412,26v-3,38,9,71,32,95c465,142,496,155,528,155v2,,3,,4,c532,261,532,261,532,261v,24,-9,45,-23,61c505,296,483,276,458,276v-240,,-240,,-240,c164,276,96,305,66,368v-51,,-51,,-51,c6,368,,375,,383,,581,,581,,581v,9,6,15,15,15c65,596,65,596,65,596v30,63,98,92,153,92c449,688,449,688,449,688v30,,54,-24,54,-53c503,626,501,619,497,612v28,-2,51,-25,51,-54c548,550,547,542,543,535v28,-1,51,-24,51,-53c594,474,592,466,589,459v28,-1,51,-24,51,-53c640,376,616,353,586,353v-64,,-64,,-64,c547,331,563,298,563,261xm588,57c604,40,627,32,655,33v1,26,-8,50,-24,67c615,116,591,125,564,124v-1,-27,7,-50,24,-67xm466,100c449,83,441,59,442,33v27,-1,51,7,67,24c526,74,535,97,533,124v-27,1,-51,-8,-67,-24xm325,657v-107,,-107,,-107,c170,657,112,631,90,580v,-8,-7,-14,-15,-14c30,566,30,566,30,566v,-168,,-168,,-168c76,398,76,398,76,398v,,,,,c77,398,78,398,80,398v,,,,,c82,397,83,397,84,396v,,,,,c85,395,86,395,87,393v1,-1,1,-1,1,-1c89,391,90,390,90,388v,,,,,c111,335,170,307,218,307v241,,241,,241,c471,307,480,317,480,330v,7,-3,13,-7,17c464,350,453,353,442,353v-145,,-145,,-145,c296,353,295,353,295,353v,,-1,,-1,c293,353,293,353,292,353v-1,,-1,,-1,1c291,354,290,354,289,355v-1,,-1,1,-1,1c287,356,287,356,286,356v-1,1,-1,1,-1,1c285,357,285,358,285,359v-1,,-1,,-1,c284,360,284,360,283,361v,1,-1,1,-1,2c282,363,282,363,282,363v-20,51,-79,70,-128,71c145,434,138,441,138,449v,9,7,16,16,16c154,465,154,465,154,465v56,-1,124,-23,152,-82c416,383,416,383,416,383v-3,7,-6,15,-6,23c410,414,412,422,416,429v-28,1,-51,24,-51,53c365,491,367,498,371,505v-29,2,-51,24,-51,53c320,574,326,587,336,596v-10,10,-16,23,-16,39c320,643,322,651,325,657xm449,657v-76,,-76,,-76,c360,657,350,647,350,635v,-13,10,-23,23,-23c449,612,449,612,449,612v13,,23,10,23,23c472,647,462,657,449,657xm495,581v-122,,-122,,-122,c360,581,350,571,350,558v,-13,10,-23,23,-23c495,535,495,535,495,535v13,,23,10,23,23c518,571,508,581,495,581xm541,505v-122,,-122,,-122,c406,505,396,494,396,482v,-13,10,-23,23,-23c541,459,541,459,541,459v13,,22,10,22,23c563,494,554,505,541,505xm586,383v13,,23,10,23,23c609,418,599,429,586,429v-122,,-122,,-122,c451,429,442,418,442,406v,-13,9,-23,22,-23l586,383xe" fillcolor="#ed7d31 [3205]" stroked="f">
                <v:path arrowok="t" o:connecttype="custom" o:connectlocs="235735,64949;273000,50702;275931,838;229035,24304;182558,838;185908,50702;222755,64949;213124,134926;91279,115651;6281,154202;0,243454;27216,249740;188002,288290;208100,256444;227361,224179;246621,192333;245365,147916;235735,109366;274256,13828;236153,51959;195120,41903;213124,23884;195120,41903;91279,275300;31403,237169;12561,166772;31822,166772;33497,166772;35172,165934;36847,164258;37684,162582;192189,128641;198051,145402;124357,147916;123101,147916;121845,148335;120589,149173;119333,149592;118914,150430;118077,152106;64482,181857;64482,194847;128126,160487;171672,170125;152830,201971;133988,233817;133988,266082;188002,275300;146549,266082;188002,256444;188002,275300;156179,243454;156179,224179;216893,233817;226523,211608;165810,201971;226523,192333;226523,211608;254995,170125;194282,179762;194282,160487" o:connectangles="0,0,0,0,0,0,0,0,0,0,0,0,0,0,0,0,0,0,0,0,0,0,0,0,0,0,0,0,0,0,0,0,0,0,0,0,0,0,0,0,0,0,0,0,0,0,0,0,0,0,0,0,0,0,0,0,0,0,0,0,0"/>
                <o:lock v:ext="edit" verticies="t"/>
                <w10:wrap type="square"/>
              </v:shape>
            </w:pict>
          </mc:Fallback>
        </mc:AlternateContent>
      </w:r>
      <w:r>
        <w:rPr>
          <w:noProof/>
        </w:rPr>
        <w:t>Въпреки че по-голямата част от разходите за биологично разнообразие са свързани с функцията „Устойчив растеж: природни ресурси“(функция</w:t>
      </w:r>
      <w:r>
        <w:rPr>
          <w:rFonts w:ascii="Calibri" w:hAnsi="Calibri"/>
          <w:noProof/>
        </w:rPr>
        <w:t> </w:t>
      </w:r>
      <w:r>
        <w:rPr>
          <w:noProof/>
        </w:rPr>
        <w:t>2), много други програми също допринасят за справянето със загубата на биологично разнообразие.</w:t>
      </w:r>
    </w:p>
    <w:p>
      <w:pPr>
        <w:pStyle w:val="AMPRBOXA-bgWHITElnORANGE-BLUEtext"/>
        <w:rPr>
          <w:noProof/>
        </w:rPr>
      </w:pPr>
      <w:r>
        <w:rPr>
          <w:noProof/>
        </w:rPr>
        <w:t>През 2019 г. приносът от бюджета на ЕС за борбата срещу загубата на биологично разнообразие възлиза на почти</w:t>
      </w:r>
      <w:r>
        <w:rPr>
          <w:rStyle w:val="AMPRcharBoldBlue"/>
        </w:rPr>
        <w:t>13,4</w:t>
      </w:r>
      <w:r>
        <w:rPr>
          <w:rStyle w:val="AMPRcharBoldBlue"/>
          <w:rFonts w:ascii="Calibri" w:hAnsi="Calibri"/>
        </w:rPr>
        <w:t> </w:t>
      </w:r>
      <w:r>
        <w:rPr>
          <w:rStyle w:val="AMPRcharBoldBlue"/>
        </w:rPr>
        <w:t>милиарда евро</w:t>
      </w:r>
      <w:r>
        <w:rPr>
          <w:noProof/>
        </w:rPr>
        <w:t xml:space="preserve">, или </w:t>
      </w:r>
      <w:r>
        <w:rPr>
          <w:rStyle w:val="AMPRcharBoldBlue"/>
        </w:rPr>
        <w:t>8,3 %</w:t>
      </w:r>
      <w:r>
        <w:rPr>
          <w:noProof/>
        </w:rPr>
        <w:t xml:space="preserve"> от бюджета. Повече от </w:t>
      </w:r>
      <w:r>
        <w:rPr>
          <w:rStyle w:val="AMPRcharBoldBlue"/>
        </w:rPr>
        <w:t>75 %</w:t>
      </w:r>
      <w:r>
        <w:rPr>
          <w:noProof/>
        </w:rPr>
        <w:t xml:space="preserve"> от разходите са направени по линия на общата селскостопанска политика.</w:t>
      </w:r>
    </w:p>
    <w:p>
      <w:pPr>
        <w:pStyle w:val="AMPRBodyText"/>
        <w:spacing w:before="320"/>
        <w:rPr>
          <w:spacing w:val="-3"/>
        </w:rPr>
      </w:pPr>
      <w:r>
        <w:t xml:space="preserve">Като неразделен елемент на Европейския зелен пакт, </w:t>
      </w:r>
      <w:r>
        <w:rPr>
          <w:rStyle w:val="AMPRcharBoldBlue"/>
        </w:rPr>
        <w:t>новата стратегия за биологичното разнообразие за 2030 г.</w:t>
      </w:r>
      <w:r>
        <w:t xml:space="preserve"> ще включва трансформационен план за по-нататъшна защита и възстановяване на природата, което ще доведе до ползи както за спиране на загубата на биологично разнообразие, така и за смекчаване на последиците от изменението на климата. Бюджетът на ЕС ще играе важна роля за осъществяването на тази стратегия.</w:t>
      </w:r>
    </w:p>
    <w:p>
      <w:pPr>
        <w:pStyle w:val="AMPRBodyText"/>
      </w:pPr>
      <w:r>
        <w:t>Допълнителна информация за това как се използва бюджетът на ЕС за подпомагане на климата и биологичното разнообразие е предоставена в приложение</w:t>
      </w:r>
      <w:r>
        <w:rPr>
          <w:rFonts w:ascii="Calibri" w:hAnsi="Calibri"/>
        </w:rPr>
        <w:t> </w:t>
      </w:r>
      <w:r>
        <w:t>2 към настоящия доклад.</w:t>
      </w:r>
    </w:p>
    <w:p>
      <w:pPr>
        <w:pStyle w:val="AMPRSec1TITLE3-notnumbered"/>
        <w:numPr>
          <w:ilvl w:val="2"/>
          <w:numId w:val="26"/>
        </w:numPr>
        <w:spacing w:before="660" w:after="320"/>
      </w:pPr>
      <w:bookmarkStart w:id="179" w:name="_Toc39135914"/>
      <w:bookmarkStart w:id="180" w:name="_Toc39136178"/>
      <w:bookmarkStart w:id="181" w:name="_Toc39136322"/>
      <w:bookmarkStart w:id="182" w:name="_Toc39136470"/>
      <w:bookmarkStart w:id="183" w:name="_Toc39137287"/>
      <w:bookmarkStart w:id="184" w:name="_Toc39138019"/>
      <w:bookmarkStart w:id="185" w:name="_Toc39140503"/>
      <w:bookmarkStart w:id="186" w:name="_Toc39141723"/>
      <w:bookmarkStart w:id="187" w:name="_Toc39141993"/>
      <w:bookmarkStart w:id="188" w:name="_Toc39142945"/>
      <w:bookmarkStart w:id="189" w:name="_Toc39143003"/>
      <w:bookmarkStart w:id="190" w:name="_Toc39143909"/>
      <w:bookmarkStart w:id="191" w:name="_Toc39144011"/>
      <w:bookmarkStart w:id="192" w:name="_Toc39144686"/>
      <w:bookmarkStart w:id="193" w:name="_Toc39146021"/>
      <w:bookmarkStart w:id="194" w:name="_Toc39146190"/>
      <w:bookmarkStart w:id="195" w:name="_Toc39146315"/>
      <w:bookmarkStart w:id="196" w:name="_Toc39146699"/>
      <w:bookmarkStart w:id="197" w:name="SDG"/>
      <w:r>
        <w:t>Бюджетът на ЕС и програмата за устойчиво развитие до 2030 г.</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pPr>
        <w:pStyle w:val="AMPRBodyText"/>
      </w:pPr>
      <w:r>
        <w:t xml:space="preserve">ЕС, съвместно със своите държави членки, е напълно ангажиран да застане начело в изпълнението на </w:t>
      </w:r>
      <w:r>
        <w:rPr>
          <w:rStyle w:val="AMPRcharBoldBlue"/>
        </w:rPr>
        <w:t>програмата до 2030 г. за устойчиво развитие</w:t>
      </w:r>
      <w:r>
        <w:t>. Програмата до 2030 г. представлява споделената пътна карта, приета под егидата на Организацията на обединените нации за мирен и проспериращ свят, която е от първостепенно значение за ценностите на ЕС и бъдещето на Европа. ЕС се ангажира да прилага целите за устойчиво развитие както във вътрешната, така и във външната си политика. След приемането на програмата през 2015 г. ЕС постигна значителен напредък в постигането на целите за устойчиво развитие и продължава да полага все повече усилия.</w:t>
      </w:r>
    </w:p>
    <w:p>
      <w:pPr>
        <w:pStyle w:val="AMPRBodyText"/>
      </w:pPr>
      <w:r>
        <w:t xml:space="preserve">ЕС предприе преход към нисковъглеродна, неутрална по отношение на климата, кръгова икономика с ефективно използване на ресурсите, която се отличава с повишена сигурност, просперитет, равенство и приобщаване. В тази светлина, разработването и прилагането на разходните програми на ЕС е насочено към реализиране на целите във всяка област на политиката, като същевременно се насърчава устойчивостта чрез действия и намеси на съответните програми. Чрез </w:t>
      </w:r>
      <w:r>
        <w:rPr>
          <w:rStyle w:val="AMPRcharBoldBlue"/>
        </w:rPr>
        <w:t>Европейския консенсус относно развитието</w:t>
      </w:r>
      <w:r>
        <w:t xml:space="preserve"> ЕС също така съгласува подхода си към политиката за международно сътрудничество и развитие с програмата до 2030 г., като постави целите за устойчиво развитие и Парижкото споразумение в центъра на външните си действия.</w:t>
      </w:r>
    </w:p>
    <w:p>
      <w:pPr>
        <w:pStyle w:val="AMPRBodyText"/>
      </w:pPr>
      <w:r>
        <w:t>Предвид взаимосвързания характер на тези цели, повечето от бюджетните програми на ЕС са предназначени за постигане на множество цели за устойчиво развитие. В момента 75 % от бюджетните програми на ЕС (45 от общо 60) допринасят за постигането на тези цели. На следващата инфографика е даден неизчерпателен брой примери за това как програмите на ЕС допринасят за целите за устойчиво развитие. Съгласуваният подход на ЕС подкрепя различни инициативи в широк спектър от области на политиката в цял свят, за да се насърчава устойчивото развитие за всички.</w:t>
      </w:r>
    </w:p>
    <w:tbl>
      <w:tblPr>
        <w:tblStyle w:val="TableGrid"/>
        <w:tblW w:w="9072" w:type="dxa"/>
        <w:tblInd w:w="215" w:type="dxa"/>
        <w:tblBorders>
          <w:top w:val="none" w:sz="0" w:space="0" w:color="auto"/>
          <w:left w:val="none" w:sz="0" w:space="0" w:color="auto"/>
          <w:bottom w:val="none" w:sz="0" w:space="0" w:color="auto"/>
          <w:right w:val="none" w:sz="0" w:space="0" w:color="auto"/>
          <w:insideH w:val="single" w:sz="4" w:space="0" w:color="F68A42"/>
          <w:insideV w:val="none" w:sz="0" w:space="0" w:color="auto"/>
        </w:tblBorders>
        <w:tblLayout w:type="fixed"/>
        <w:tblCellMar>
          <w:top w:w="170" w:type="dxa"/>
          <w:left w:w="227" w:type="dxa"/>
          <w:bottom w:w="170" w:type="dxa"/>
          <w:right w:w="227" w:type="dxa"/>
        </w:tblCellMar>
        <w:tblLook w:val="04A0" w:firstRow="1" w:lastRow="0" w:firstColumn="1" w:lastColumn="0" w:noHBand="0" w:noVBand="1"/>
      </w:tblPr>
      <w:tblGrid>
        <w:gridCol w:w="1269"/>
        <w:gridCol w:w="3155"/>
        <w:gridCol w:w="1269"/>
        <w:gridCol w:w="3379"/>
      </w:tblGrid>
      <w:tr>
        <w:trPr>
          <w:cantSplit/>
        </w:trPr>
        <w:tc>
          <w:tcPr>
            <w:tcW w:w="1276" w:type="dxa"/>
            <w:vAlign w:val="center"/>
          </w:tcPr>
          <w:p>
            <w:pPr>
              <w:tabs>
                <w:tab w:val="left" w:pos="2705"/>
              </w:tabs>
              <w:rPr>
                <w:noProof/>
                <w:sz w:val="16"/>
                <w:szCs w:val="16"/>
              </w:rPr>
            </w:pPr>
            <w:r>
              <w:rPr>
                <w:noProof/>
                <w:sz w:val="16"/>
                <w:szCs w:val="16"/>
                <w:lang w:eastAsia="en-GB"/>
              </w:rPr>
              <w:drawing>
                <wp:inline distT="0" distB="0" distL="0" distR="0">
                  <wp:extent cx="719455" cy="719455"/>
                  <wp:effectExtent l="0" t="0" r="4445" b="444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inline>
              </w:drawing>
            </w:r>
          </w:p>
        </w:tc>
        <w:tc>
          <w:tcPr>
            <w:tcW w:w="3176" w:type="dxa"/>
            <w:tcBorders>
              <w:right w:val="single" w:sz="4" w:space="0" w:color="F68A42"/>
            </w:tcBorders>
            <w:vAlign w:val="center"/>
          </w:tcPr>
          <w:p>
            <w:pPr>
              <w:pStyle w:val="AMPRTableF-Text-DarkBlue"/>
              <w:framePr w:hSpace="0" w:wrap="auto" w:vAnchor="margin" w:hAnchor="text" w:yAlign="inline"/>
            </w:pPr>
            <w:r>
              <w:t xml:space="preserve">През 2018 г. на </w:t>
            </w:r>
            <w:r>
              <w:rPr>
                <w:rStyle w:val="AMPRcharBold"/>
              </w:rPr>
              <w:t xml:space="preserve">фонд „Убежище, миграция и интеграция“ </w:t>
            </w:r>
            <w:r>
              <w:t>са отпуснати над 194</w:t>
            </w:r>
            <w:r>
              <w:rPr>
                <w:rFonts w:ascii="Calibri" w:hAnsi="Calibri"/>
              </w:rPr>
              <w:t> </w:t>
            </w:r>
            <w:r>
              <w:t>милиона евро, предвидени за парична помощ и схема за настаняване в Гърция, чрез които са осигурени близо 25</w:t>
            </w:r>
            <w:r>
              <w:rPr>
                <w:rFonts w:ascii="Calibri" w:hAnsi="Calibri"/>
              </w:rPr>
              <w:t> </w:t>
            </w:r>
            <w:r>
              <w:t>000 места в апартаменти и подходящи приюти за най-уязвимите мигранти.</w:t>
            </w:r>
          </w:p>
        </w:tc>
        <w:tc>
          <w:tcPr>
            <w:tcW w:w="1275" w:type="dxa"/>
            <w:tcBorders>
              <w:top w:val="nil"/>
              <w:left w:val="single" w:sz="4" w:space="0" w:color="F68A42"/>
              <w:bottom w:val="single" w:sz="4" w:space="0" w:color="F68A42"/>
            </w:tcBorders>
            <w:vAlign w:val="center"/>
          </w:tcPr>
          <w:p>
            <w:pPr>
              <w:pStyle w:val="AMPRTableF-Text-DarkBlue"/>
              <w:framePr w:hSpace="0" w:wrap="auto" w:vAnchor="margin" w:hAnchor="text" w:yAlign="inline"/>
            </w:pPr>
            <w:r>
              <w:rPr>
                <w:lang w:eastAsia="en-GB"/>
              </w:rPr>
              <w:drawing>
                <wp:inline distT="0" distB="0" distL="0" distR="0">
                  <wp:extent cx="719455" cy="719455"/>
                  <wp:effectExtent l="0" t="0" r="4445" b="4445"/>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inline>
              </w:drawing>
            </w:r>
          </w:p>
        </w:tc>
        <w:tc>
          <w:tcPr>
            <w:tcW w:w="3402" w:type="dxa"/>
            <w:vAlign w:val="center"/>
          </w:tcPr>
          <w:p>
            <w:pPr>
              <w:pStyle w:val="AMPRTableF-Text-DarkBlue"/>
              <w:framePr w:hSpace="0" w:wrap="auto" w:vAnchor="margin" w:hAnchor="text" w:yAlign="inline"/>
              <w:rPr>
                <w:lang w:val="en-GB"/>
              </w:rPr>
            </w:pPr>
          </w:p>
          <w:p>
            <w:pPr>
              <w:pStyle w:val="AMPRTableF-Text-DarkBlue"/>
              <w:framePr w:hSpace="0" w:wrap="auto" w:vAnchor="margin" w:hAnchor="text" w:yAlign="inline"/>
              <w:rPr>
                <w:lang w:val="en-GB"/>
              </w:rPr>
            </w:pPr>
            <w:r>
              <w:t>Програмата</w:t>
            </w:r>
            <w:r>
              <w:rPr>
                <w:lang w:val="en-GB"/>
              </w:rPr>
              <w:t xml:space="preserve"> „</w:t>
            </w:r>
            <w:r>
              <w:t>безопасно</w:t>
            </w:r>
            <w:r>
              <w:rPr>
                <w:lang w:val="en-GB"/>
              </w:rPr>
              <w:t xml:space="preserve"> </w:t>
            </w:r>
            <w:r>
              <w:t>и</w:t>
            </w:r>
            <w:r>
              <w:rPr>
                <w:lang w:val="en-GB"/>
              </w:rPr>
              <w:t xml:space="preserve"> </w:t>
            </w:r>
            <w:r>
              <w:t>справедливо</w:t>
            </w:r>
            <w:r>
              <w:rPr>
                <w:lang w:val="en-GB"/>
              </w:rPr>
              <w:t>“ (</w:t>
            </w:r>
            <w:r>
              <w:t>на</w:t>
            </w:r>
            <w:r>
              <w:rPr>
                <w:lang w:val="en-GB"/>
              </w:rPr>
              <w:t xml:space="preserve"> </w:t>
            </w:r>
            <w:r>
              <w:t>стойност</w:t>
            </w:r>
            <w:r>
              <w:rPr>
                <w:lang w:val="en-GB"/>
              </w:rPr>
              <w:t xml:space="preserve"> 25</w:t>
            </w:r>
            <w:r>
              <w:rPr>
                <w:rFonts w:ascii="Calibri" w:hAnsi="Calibri"/>
                <w:lang w:val="en-GB"/>
              </w:rPr>
              <w:t> </w:t>
            </w:r>
            <w:r>
              <w:t>милиона</w:t>
            </w:r>
            <w:r>
              <w:rPr>
                <w:lang w:val="en-GB"/>
              </w:rPr>
              <w:t xml:space="preserve"> </w:t>
            </w:r>
            <w:r>
              <w:t>евро</w:t>
            </w:r>
            <w:r>
              <w:rPr>
                <w:lang w:val="en-GB"/>
              </w:rPr>
              <w:t xml:space="preserve">) </w:t>
            </w:r>
            <w:r>
              <w:t>в</w:t>
            </w:r>
            <w:r>
              <w:rPr>
                <w:lang w:val="en-GB"/>
              </w:rPr>
              <w:t xml:space="preserve"> </w:t>
            </w:r>
            <w:r>
              <w:t>рамките</w:t>
            </w:r>
            <w:r>
              <w:rPr>
                <w:lang w:val="en-GB"/>
              </w:rPr>
              <w:t xml:space="preserve"> </w:t>
            </w:r>
            <w:r>
              <w:t>на</w:t>
            </w:r>
            <w:r>
              <w:rPr>
                <w:lang w:val="en-GB"/>
              </w:rPr>
              <w:t xml:space="preserve"> </w:t>
            </w:r>
            <w:r>
              <w:rPr>
                <w:rStyle w:val="AMPRcharBold"/>
              </w:rPr>
              <w:t>инициативата</w:t>
            </w:r>
            <w:r>
              <w:rPr>
                <w:rStyle w:val="AMPRcharBold"/>
                <w:lang w:val="en-GB"/>
              </w:rPr>
              <w:t xml:space="preserve"> Spotlight</w:t>
            </w:r>
            <w:r>
              <w:rPr>
                <w:lang w:val="en-GB"/>
              </w:rPr>
              <w:t xml:space="preserve"> </w:t>
            </w:r>
            <w:r>
              <w:t>има</w:t>
            </w:r>
            <w:r>
              <w:rPr>
                <w:lang w:val="en-GB"/>
              </w:rPr>
              <w:t xml:space="preserve"> </w:t>
            </w:r>
            <w:r>
              <w:t>за</w:t>
            </w:r>
            <w:r>
              <w:rPr>
                <w:lang w:val="en-GB"/>
              </w:rPr>
              <w:t xml:space="preserve"> </w:t>
            </w:r>
            <w:r>
              <w:t>цел</w:t>
            </w:r>
            <w:r>
              <w:rPr>
                <w:lang w:val="en-GB"/>
              </w:rPr>
              <w:t xml:space="preserve"> </w:t>
            </w:r>
            <w:r>
              <w:t>да</w:t>
            </w:r>
            <w:r>
              <w:rPr>
                <w:lang w:val="en-GB"/>
              </w:rPr>
              <w:t xml:space="preserve"> </w:t>
            </w:r>
            <w:r>
              <w:t>гарантира</w:t>
            </w:r>
            <w:r>
              <w:rPr>
                <w:lang w:val="en-GB"/>
              </w:rPr>
              <w:t xml:space="preserve">, </w:t>
            </w:r>
            <w:r>
              <w:t>че</w:t>
            </w:r>
            <w:r>
              <w:rPr>
                <w:lang w:val="en-GB"/>
              </w:rPr>
              <w:t xml:space="preserve"> </w:t>
            </w:r>
            <w:r>
              <w:t>трудовата</w:t>
            </w:r>
            <w:r>
              <w:rPr>
                <w:lang w:val="en-GB"/>
              </w:rPr>
              <w:t xml:space="preserve"> </w:t>
            </w:r>
            <w:r>
              <w:t>миграция</w:t>
            </w:r>
            <w:r>
              <w:rPr>
                <w:lang w:val="en-GB"/>
              </w:rPr>
              <w:t xml:space="preserve"> </w:t>
            </w:r>
            <w:r>
              <w:t>е</w:t>
            </w:r>
            <w:r>
              <w:rPr>
                <w:lang w:val="en-GB"/>
              </w:rPr>
              <w:t xml:space="preserve"> </w:t>
            </w:r>
            <w:r>
              <w:t>безопасна</w:t>
            </w:r>
            <w:r>
              <w:rPr>
                <w:lang w:val="en-GB"/>
              </w:rPr>
              <w:t xml:space="preserve"> </w:t>
            </w:r>
            <w:r>
              <w:t>и</w:t>
            </w:r>
            <w:r>
              <w:rPr>
                <w:lang w:val="en-GB"/>
              </w:rPr>
              <w:t xml:space="preserve"> </w:t>
            </w:r>
            <w:r>
              <w:t>справедлива</w:t>
            </w:r>
            <w:r>
              <w:rPr>
                <w:lang w:val="en-GB"/>
              </w:rPr>
              <w:t xml:space="preserve"> </w:t>
            </w:r>
            <w:r>
              <w:t>за</w:t>
            </w:r>
            <w:r>
              <w:rPr>
                <w:lang w:val="en-GB"/>
              </w:rPr>
              <w:t xml:space="preserve"> </w:t>
            </w:r>
            <w:r>
              <w:t>всички</w:t>
            </w:r>
            <w:r>
              <w:rPr>
                <w:lang w:val="en-GB"/>
              </w:rPr>
              <w:t xml:space="preserve"> </w:t>
            </w:r>
            <w:r>
              <w:t>жени</w:t>
            </w:r>
            <w:r>
              <w:rPr>
                <w:lang w:val="en-GB"/>
              </w:rPr>
              <w:t xml:space="preserve"> </w:t>
            </w:r>
            <w:r>
              <w:t>в</w:t>
            </w:r>
            <w:r>
              <w:rPr>
                <w:lang w:val="en-GB"/>
              </w:rPr>
              <w:t xml:space="preserve"> </w:t>
            </w:r>
            <w:r>
              <w:t>региона</w:t>
            </w:r>
            <w:r>
              <w:rPr>
                <w:lang w:val="en-GB"/>
              </w:rPr>
              <w:t xml:space="preserve">, </w:t>
            </w:r>
            <w:r>
              <w:t>обхванат</w:t>
            </w:r>
            <w:r>
              <w:rPr>
                <w:lang w:val="en-GB"/>
              </w:rPr>
              <w:t xml:space="preserve"> </w:t>
            </w:r>
            <w:r>
              <w:t>от</w:t>
            </w:r>
            <w:r>
              <w:rPr>
                <w:lang w:val="en-GB"/>
              </w:rPr>
              <w:t xml:space="preserve"> </w:t>
            </w:r>
            <w:r>
              <w:t>Асоциацията</w:t>
            </w:r>
            <w:r>
              <w:rPr>
                <w:lang w:val="en-GB"/>
              </w:rPr>
              <w:t xml:space="preserve"> </w:t>
            </w:r>
            <w:r>
              <w:t>на</w:t>
            </w:r>
            <w:r>
              <w:rPr>
                <w:lang w:val="en-GB"/>
              </w:rPr>
              <w:t xml:space="preserve"> </w:t>
            </w:r>
            <w:r>
              <w:t>народите</w:t>
            </w:r>
            <w:r>
              <w:rPr>
                <w:lang w:val="en-GB"/>
              </w:rPr>
              <w:t xml:space="preserve"> </w:t>
            </w:r>
            <w:r>
              <w:t>от</w:t>
            </w:r>
            <w:r>
              <w:rPr>
                <w:lang w:val="en-GB"/>
              </w:rPr>
              <w:t xml:space="preserve"> </w:t>
            </w:r>
            <w:r>
              <w:t>Югоизточна</w:t>
            </w:r>
            <w:r>
              <w:rPr>
                <w:lang w:val="en-GB"/>
              </w:rPr>
              <w:t xml:space="preserve"> </w:t>
            </w:r>
            <w:r>
              <w:t>Азия</w:t>
            </w:r>
            <w:r>
              <w:rPr>
                <w:lang w:val="en-GB"/>
              </w:rPr>
              <w:t>.</w:t>
            </w:r>
          </w:p>
          <w:p>
            <w:pPr>
              <w:pStyle w:val="AMPRTableF-Text-DarkBlue"/>
              <w:framePr w:hSpace="0" w:wrap="auto" w:vAnchor="margin" w:hAnchor="text" w:yAlign="inline"/>
              <w:rPr>
                <w:lang w:val="en-GB"/>
              </w:rPr>
            </w:pPr>
          </w:p>
        </w:tc>
      </w:tr>
      <w:tr>
        <w:trPr>
          <w:cantSplit/>
        </w:trPr>
        <w:tc>
          <w:tcPr>
            <w:tcW w:w="1276" w:type="dxa"/>
            <w:vAlign w:val="center"/>
          </w:tcPr>
          <w:p>
            <w:pPr>
              <w:tabs>
                <w:tab w:val="left" w:pos="2705"/>
              </w:tabs>
              <w:rPr>
                <w:noProof/>
                <w:sz w:val="16"/>
                <w:szCs w:val="16"/>
              </w:rPr>
            </w:pPr>
            <w:r>
              <w:rPr>
                <w:noProof/>
                <w:sz w:val="16"/>
                <w:szCs w:val="16"/>
                <w:lang w:eastAsia="en-GB"/>
              </w:rPr>
              <w:drawing>
                <wp:inline distT="0" distB="0" distL="0" distR="0">
                  <wp:extent cx="719455" cy="719455"/>
                  <wp:effectExtent l="0" t="0" r="4445" b="4445"/>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inline>
              </w:drawing>
            </w:r>
          </w:p>
        </w:tc>
        <w:tc>
          <w:tcPr>
            <w:tcW w:w="3176" w:type="dxa"/>
            <w:tcBorders>
              <w:right w:val="single" w:sz="4" w:space="0" w:color="F68A42"/>
            </w:tcBorders>
            <w:vAlign w:val="center"/>
          </w:tcPr>
          <w:p>
            <w:pPr>
              <w:pStyle w:val="AMPRTableF-Text-DarkBlue"/>
              <w:framePr w:hSpace="0" w:wrap="auto" w:vAnchor="margin" w:hAnchor="text" w:yAlign="inline"/>
            </w:pPr>
            <w:r>
              <w:t>През 2018 г. хранителната помощ достигна до 12,6</w:t>
            </w:r>
            <w:r>
              <w:rPr>
                <w:rFonts w:ascii="Calibri" w:hAnsi="Calibri"/>
              </w:rPr>
              <w:t> </w:t>
            </w:r>
            <w:r>
              <w:t xml:space="preserve">милиона души чрез </w:t>
            </w:r>
            <w:r>
              <w:rPr>
                <w:rStyle w:val="AMPRcharBold"/>
              </w:rPr>
              <w:t>Фонда за европейско подпомагане на най-нуждаещите се лица</w:t>
            </w:r>
            <w:r>
              <w:t>.</w:t>
            </w:r>
          </w:p>
        </w:tc>
        <w:tc>
          <w:tcPr>
            <w:tcW w:w="1275" w:type="dxa"/>
            <w:tcBorders>
              <w:top w:val="single" w:sz="4" w:space="0" w:color="F68A42"/>
              <w:left w:val="single" w:sz="4" w:space="0" w:color="F68A42"/>
              <w:bottom w:val="single" w:sz="4" w:space="0" w:color="F68A42"/>
            </w:tcBorders>
            <w:vAlign w:val="center"/>
          </w:tcPr>
          <w:p>
            <w:pPr>
              <w:pStyle w:val="AMPRTableF-Text-DarkBlue"/>
              <w:framePr w:hSpace="0" w:wrap="auto" w:vAnchor="margin" w:hAnchor="text" w:yAlign="inline"/>
            </w:pPr>
            <w:r>
              <w:rPr>
                <w:lang w:eastAsia="en-GB"/>
              </w:rPr>
              <w:drawing>
                <wp:inline distT="0" distB="0" distL="0" distR="0">
                  <wp:extent cx="720000" cy="720000"/>
                  <wp:effectExtent l="0" t="0" r="4445" b="444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vAlign w:val="center"/>
          </w:tcPr>
          <w:p>
            <w:pPr>
              <w:pStyle w:val="AMPRTableF-Text-DarkBlue"/>
              <w:framePr w:hSpace="0" w:wrap="auto" w:vAnchor="margin" w:hAnchor="text" w:yAlign="inline"/>
              <w:rPr>
                <w:rFonts w:eastAsia="EC Square Sans Pro"/>
                <w:spacing w:val="-4"/>
              </w:rPr>
            </w:pPr>
            <w:r>
              <w:rPr>
                <w:spacing w:val="-4"/>
              </w:rPr>
              <w:t xml:space="preserve">До края на 2018 г. финансирането от </w:t>
            </w:r>
            <w:r>
              <w:rPr>
                <w:b/>
                <w:bCs/>
                <w:spacing w:val="-4"/>
              </w:rPr>
              <w:t>Европейския фонд за регионално развитие и</w:t>
            </w:r>
            <w:r>
              <w:rPr>
                <w:b/>
                <w:spacing w:val="-4"/>
              </w:rPr>
              <w:t xml:space="preserve"> Кохезионния фонд</w:t>
            </w:r>
            <w:r>
              <w:rPr>
                <w:spacing w:val="-4"/>
              </w:rPr>
              <w:t xml:space="preserve"> доведе до увеличаване на капацитета за рециклиране на 765 000 тона годишно в сравнение с 48 000</w:t>
            </w:r>
            <w:r>
              <w:rPr>
                <w:rFonts w:ascii="Calibri" w:hAnsi="Calibri"/>
                <w:spacing w:val="-4"/>
              </w:rPr>
              <w:t> </w:t>
            </w:r>
            <w:r>
              <w:rPr>
                <w:spacing w:val="-4"/>
              </w:rPr>
              <w:t>тона годишно в края на 2017 г.</w:t>
            </w:r>
          </w:p>
        </w:tc>
      </w:tr>
      <w:tr>
        <w:trPr>
          <w:cantSplit/>
        </w:trPr>
        <w:tc>
          <w:tcPr>
            <w:tcW w:w="1276" w:type="dxa"/>
            <w:vAlign w:val="center"/>
          </w:tcPr>
          <w:p>
            <w:pPr>
              <w:tabs>
                <w:tab w:val="left" w:pos="2705"/>
              </w:tabs>
              <w:rPr>
                <w:noProof/>
                <w:sz w:val="16"/>
                <w:szCs w:val="16"/>
              </w:rPr>
            </w:pPr>
            <w:r>
              <w:rPr>
                <w:noProof/>
                <w:sz w:val="16"/>
                <w:szCs w:val="16"/>
                <w:lang w:eastAsia="en-GB"/>
              </w:rPr>
              <w:drawing>
                <wp:inline distT="0" distB="0" distL="0" distR="0">
                  <wp:extent cx="720000" cy="720000"/>
                  <wp:effectExtent l="0" t="0" r="4445" b="4445"/>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right w:val="single" w:sz="4" w:space="0" w:color="F68A42"/>
            </w:tcBorders>
            <w:vAlign w:val="center"/>
          </w:tcPr>
          <w:p>
            <w:pPr>
              <w:pStyle w:val="AMPRTableF-Text-DarkBlue"/>
              <w:framePr w:hSpace="0" w:wrap="auto" w:vAnchor="margin" w:hAnchor="text" w:yAlign="inline"/>
            </w:pPr>
            <w:r>
              <w:t>27,5</w:t>
            </w:r>
            <w:r>
              <w:rPr>
                <w:rFonts w:ascii="Calibri" w:hAnsi="Calibri"/>
              </w:rPr>
              <w:t> </w:t>
            </w:r>
            <w:r>
              <w:t xml:space="preserve">милиона души са облагодетелствани от подобрените здравни услуги, финансирани от </w:t>
            </w:r>
            <w:r>
              <w:rPr>
                <w:rStyle w:val="AMPRcharBold"/>
              </w:rPr>
              <w:t>Европейския фонд за регионално развитие</w:t>
            </w:r>
            <w:r>
              <w:t xml:space="preserve"> до края на 2018 г.</w:t>
            </w:r>
          </w:p>
        </w:tc>
        <w:tc>
          <w:tcPr>
            <w:tcW w:w="1275" w:type="dxa"/>
            <w:tcBorders>
              <w:top w:val="single" w:sz="4" w:space="0" w:color="F68A42"/>
              <w:left w:val="single" w:sz="4" w:space="0" w:color="F68A42"/>
              <w:bottom w:val="single" w:sz="4" w:space="0" w:color="F68A42"/>
            </w:tcBorders>
            <w:vAlign w:val="center"/>
          </w:tcPr>
          <w:p>
            <w:pPr>
              <w:pStyle w:val="AMPRTableF-Text-DarkBlue"/>
              <w:framePr w:hSpace="0" w:wrap="auto" w:vAnchor="margin" w:hAnchor="text" w:yAlign="inline"/>
            </w:pPr>
            <w:r>
              <w:rPr>
                <w:lang w:eastAsia="en-GB"/>
              </w:rPr>
              <w:drawing>
                <wp:inline distT="0" distB="0" distL="0" distR="0">
                  <wp:extent cx="720000" cy="720000"/>
                  <wp:effectExtent l="0" t="0" r="4445" b="4445"/>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vAlign w:val="center"/>
          </w:tcPr>
          <w:p>
            <w:pPr>
              <w:pStyle w:val="AMPRTableF-Text-DarkBlue"/>
              <w:framePr w:hSpace="0" w:wrap="auto" w:vAnchor="margin" w:hAnchor="text" w:yAlign="inline"/>
            </w:pPr>
            <w:r>
              <w:t xml:space="preserve">С финансиране от </w:t>
            </w:r>
            <w:r>
              <w:rPr>
                <w:rStyle w:val="AMPRcharBold"/>
              </w:rPr>
              <w:t>Инструмента за сътрудничество за развитие</w:t>
            </w:r>
            <w:r>
              <w:t xml:space="preserve"> по програма Switch Africa Green се предоставя финансиране за екологични бизнес проекти в Африка. В първия етап на програмата са подкрепени 3</w:t>
            </w:r>
            <w:r>
              <w:rPr>
                <w:rFonts w:ascii="Calibri" w:hAnsi="Calibri"/>
              </w:rPr>
              <w:t> </w:t>
            </w:r>
            <w:r>
              <w:t>000 микро-, малки и средни предприятия и е осигурен принос за създаването или осигуряването на 10</w:t>
            </w:r>
            <w:r>
              <w:rPr>
                <w:rFonts w:ascii="Calibri" w:hAnsi="Calibri"/>
              </w:rPr>
              <w:t> </w:t>
            </w:r>
            <w:r>
              <w:t>000 екологични работни места.</w:t>
            </w:r>
          </w:p>
        </w:tc>
      </w:tr>
      <w:tr>
        <w:trPr>
          <w:cantSplit/>
        </w:trPr>
        <w:tc>
          <w:tcPr>
            <w:tcW w:w="1276" w:type="dxa"/>
            <w:tcBorders>
              <w:bottom w:val="single" w:sz="4" w:space="0" w:color="F68A42"/>
            </w:tcBorders>
            <w:vAlign w:val="center"/>
          </w:tcPr>
          <w:p>
            <w:pPr>
              <w:tabs>
                <w:tab w:val="left" w:pos="2705"/>
              </w:tabs>
              <w:rPr>
                <w:noProof/>
                <w:sz w:val="16"/>
                <w:szCs w:val="16"/>
              </w:rPr>
            </w:pPr>
            <w:r>
              <w:rPr>
                <w:noProof/>
                <w:sz w:val="16"/>
                <w:szCs w:val="16"/>
                <w:lang w:eastAsia="en-GB"/>
              </w:rPr>
              <w:drawing>
                <wp:inline distT="0" distB="0" distL="0" distR="0">
                  <wp:extent cx="720000" cy="720000"/>
                  <wp:effectExtent l="0" t="0" r="4445" b="4445"/>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bottom w:val="single" w:sz="4" w:space="0" w:color="F68A42"/>
              <w:right w:val="single" w:sz="4" w:space="0" w:color="F68A42"/>
            </w:tcBorders>
            <w:vAlign w:val="center"/>
          </w:tcPr>
          <w:p>
            <w:pPr>
              <w:pStyle w:val="AMPRTableF-Text-DarkBlue"/>
              <w:framePr w:hSpace="0" w:wrap="auto" w:vAnchor="margin" w:hAnchor="text" w:yAlign="inline"/>
              <w:rPr>
                <w:rFonts w:eastAsia="EC Square Sans Pro"/>
              </w:rPr>
            </w:pPr>
            <w:r>
              <w:t>През 2019 г., в рамките на съюза Африка—Европа над 8</w:t>
            </w:r>
            <w:r>
              <w:rPr>
                <w:rFonts w:ascii="Calibri" w:hAnsi="Calibri"/>
              </w:rPr>
              <w:t> </w:t>
            </w:r>
            <w:r>
              <w:t xml:space="preserve">000 африкански студенти и служители получиха стипендии в университети в ЕС по програма </w:t>
            </w:r>
            <w:r>
              <w:rPr>
                <w:rStyle w:val="AMPRcharBold"/>
              </w:rPr>
              <w:t>Еразъм+</w:t>
            </w:r>
            <w:r>
              <w:t>, като общият им брой е достигнал над 26</w:t>
            </w:r>
            <w:r>
              <w:rPr>
                <w:rFonts w:ascii="Calibri" w:hAnsi="Calibri"/>
              </w:rPr>
              <w:t> </w:t>
            </w:r>
            <w:r>
              <w:t>000 от 2014 г. насам.</w:t>
            </w:r>
          </w:p>
        </w:tc>
        <w:tc>
          <w:tcPr>
            <w:tcW w:w="1275" w:type="dxa"/>
            <w:tcBorders>
              <w:top w:val="single" w:sz="4" w:space="0" w:color="F68A42"/>
              <w:left w:val="single" w:sz="4" w:space="0" w:color="F68A42"/>
              <w:bottom w:val="single" w:sz="4" w:space="0" w:color="F68A42"/>
            </w:tcBorders>
            <w:vAlign w:val="center"/>
          </w:tcPr>
          <w:p>
            <w:pPr>
              <w:pStyle w:val="AMPRTableF-Text-DarkBlue"/>
              <w:framePr w:hSpace="0" w:wrap="auto" w:vAnchor="margin" w:hAnchor="text" w:yAlign="inline"/>
            </w:pPr>
            <w:r>
              <w:rPr>
                <w:lang w:eastAsia="en-GB"/>
              </w:rPr>
              <w:drawing>
                <wp:inline distT="0" distB="0" distL="0" distR="0">
                  <wp:extent cx="720000" cy="720000"/>
                  <wp:effectExtent l="0" t="0" r="4445" b="4445"/>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tcBorders>
              <w:bottom w:val="single" w:sz="4" w:space="0" w:color="F68A42"/>
            </w:tcBorders>
            <w:vAlign w:val="center"/>
          </w:tcPr>
          <w:p>
            <w:pPr>
              <w:pStyle w:val="AMPRTableF-Text-DarkBlue"/>
              <w:framePr w:hSpace="0" w:wrap="auto" w:vAnchor="margin" w:hAnchor="text" w:yAlign="inline"/>
            </w:pPr>
            <w:r>
              <w:t xml:space="preserve">През 2019 г. чрез </w:t>
            </w:r>
            <w:r>
              <w:rPr>
                <w:rStyle w:val="AMPRcharBold"/>
              </w:rPr>
              <w:t>хуманитарна помощ</w:t>
            </w:r>
            <w:r>
              <w:t xml:space="preserve"> е осигурено финансиране за 24 държави и за шест регионални интервенции за укрепване на готовността при бедствия на националните системи за реагиране, както и за смекчаване на въздействието на предизвиканите от климата бедствия върху хуманитарните нужди.</w:t>
            </w:r>
          </w:p>
        </w:tc>
      </w:tr>
      <w:tr>
        <w:trPr>
          <w:cantSplit/>
        </w:trPr>
        <w:tc>
          <w:tcPr>
            <w:tcW w:w="1276" w:type="dxa"/>
            <w:tcBorders>
              <w:top w:val="single" w:sz="4" w:space="0" w:color="F68A42"/>
              <w:bottom w:val="single" w:sz="4" w:space="0" w:color="F68A42"/>
            </w:tcBorders>
            <w:vAlign w:val="center"/>
          </w:tcPr>
          <w:p>
            <w:pPr>
              <w:tabs>
                <w:tab w:val="left" w:pos="2705"/>
              </w:tabs>
              <w:rPr>
                <w:noProof/>
                <w:sz w:val="16"/>
                <w:szCs w:val="16"/>
              </w:rPr>
            </w:pPr>
            <w:r>
              <w:rPr>
                <w:noProof/>
                <w:sz w:val="16"/>
                <w:szCs w:val="16"/>
                <w:lang w:eastAsia="en-GB"/>
              </w:rPr>
              <w:drawing>
                <wp:inline distT="0" distB="0" distL="0" distR="0">
                  <wp:extent cx="720000" cy="720000"/>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top w:val="single" w:sz="4" w:space="0" w:color="F68A42"/>
              <w:bottom w:val="single" w:sz="4" w:space="0" w:color="F68A42"/>
              <w:right w:val="single" w:sz="4" w:space="0" w:color="F68A42"/>
            </w:tcBorders>
            <w:vAlign w:val="center"/>
          </w:tcPr>
          <w:p>
            <w:pPr>
              <w:pStyle w:val="AMPRTableF-Text-DarkBlue"/>
              <w:framePr w:hSpace="0" w:wrap="auto" w:vAnchor="margin" w:hAnchor="text" w:yAlign="inline"/>
            </w:pPr>
            <w:r>
              <w:t xml:space="preserve">До края на 2019 г. от </w:t>
            </w:r>
            <w:r>
              <w:rPr>
                <w:rStyle w:val="AMPRcharBold"/>
              </w:rPr>
              <w:t>Европейския социален фонд</w:t>
            </w:r>
            <w:r>
              <w:t xml:space="preserve"> бяха отпуснати 2,4</w:t>
            </w:r>
            <w:r>
              <w:rPr>
                <w:rFonts w:ascii="Calibri" w:hAnsi="Calibri"/>
              </w:rPr>
              <w:t> </w:t>
            </w:r>
            <w:r>
              <w:t>милиарда евро за проекти, насочени към постигане на равенство между половете. Например по проекта nidi gratis в Ломбардия, Италия бе предоставен безплатен достъп до детските градини за децата на 30</w:t>
            </w:r>
            <w:r>
              <w:rPr>
                <w:rFonts w:ascii="Calibri" w:hAnsi="Calibri"/>
              </w:rPr>
              <w:t> </w:t>
            </w:r>
            <w:r>
              <w:t>000 семейства с ниски доходи.</w:t>
            </w:r>
          </w:p>
        </w:tc>
        <w:tc>
          <w:tcPr>
            <w:tcW w:w="1275" w:type="dxa"/>
            <w:tcBorders>
              <w:top w:val="single" w:sz="4" w:space="0" w:color="F68A42"/>
              <w:left w:val="single" w:sz="4" w:space="0" w:color="F68A42"/>
              <w:bottom w:val="single" w:sz="4" w:space="0" w:color="F68A42"/>
            </w:tcBorders>
            <w:vAlign w:val="center"/>
          </w:tcPr>
          <w:p>
            <w:pPr>
              <w:pStyle w:val="AMPRTableF-Text-DarkBlue"/>
              <w:framePr w:hSpace="0" w:wrap="auto" w:vAnchor="margin" w:hAnchor="text" w:yAlign="inline"/>
            </w:pPr>
            <w:r>
              <w:rPr>
                <w:lang w:eastAsia="en-GB"/>
              </w:rPr>
              <w:drawing>
                <wp:inline distT="0" distB="0" distL="0" distR="0">
                  <wp:extent cx="720000" cy="720000"/>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tcBorders>
              <w:top w:val="single" w:sz="4" w:space="0" w:color="F68A42"/>
              <w:bottom w:val="single" w:sz="4" w:space="0" w:color="F68A42"/>
            </w:tcBorders>
            <w:vAlign w:val="center"/>
          </w:tcPr>
          <w:p>
            <w:pPr>
              <w:pStyle w:val="AMPRTableF-Text-DarkBlue"/>
              <w:framePr w:hSpace="0" w:wrap="auto" w:vAnchor="margin" w:hAnchor="text" w:yAlign="inline"/>
            </w:pPr>
            <w:r>
              <w:t xml:space="preserve">Към днешна дата </w:t>
            </w:r>
            <w:r>
              <w:rPr>
                <w:rStyle w:val="AMPRcharBold"/>
              </w:rPr>
              <w:t>Европейският фонд за морско дело и рибарство</w:t>
            </w:r>
            <w:r>
              <w:t xml:space="preserve"> е финансирал близо 15</w:t>
            </w:r>
            <w:r>
              <w:rPr>
                <w:rFonts w:ascii="Calibri" w:hAnsi="Calibri"/>
              </w:rPr>
              <w:t> </w:t>
            </w:r>
            <w:r>
              <w:t>000 проекта за опазване на морската среда и гарантиране на по-добра ефективност на ресурсите.</w:t>
            </w:r>
          </w:p>
        </w:tc>
      </w:tr>
      <w:tr>
        <w:trPr>
          <w:cantSplit/>
        </w:trPr>
        <w:tc>
          <w:tcPr>
            <w:tcW w:w="1276" w:type="dxa"/>
            <w:tcBorders>
              <w:top w:val="single" w:sz="4" w:space="0" w:color="F68A42"/>
              <w:bottom w:val="single" w:sz="4" w:space="0" w:color="F68A42"/>
            </w:tcBorders>
            <w:vAlign w:val="center"/>
          </w:tcPr>
          <w:p>
            <w:pPr>
              <w:tabs>
                <w:tab w:val="left" w:pos="2705"/>
              </w:tabs>
              <w:rPr>
                <w:noProof/>
                <w:sz w:val="16"/>
                <w:szCs w:val="16"/>
              </w:rPr>
            </w:pPr>
            <w:r>
              <w:rPr>
                <w:noProof/>
                <w:sz w:val="16"/>
                <w:szCs w:val="16"/>
                <w:lang w:eastAsia="en-GB"/>
              </w:rPr>
              <w:drawing>
                <wp:inline distT="0" distB="0" distL="0" distR="0">
                  <wp:extent cx="720000" cy="720000"/>
                  <wp:effectExtent l="0" t="0" r="444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top w:val="single" w:sz="4" w:space="0" w:color="F68A42"/>
              <w:bottom w:val="single" w:sz="4" w:space="0" w:color="F68A42"/>
              <w:right w:val="single" w:sz="4" w:space="0" w:color="F68A42"/>
            </w:tcBorders>
            <w:vAlign w:val="center"/>
          </w:tcPr>
          <w:p>
            <w:pPr>
              <w:pStyle w:val="AMPRTableF-Text-DarkBlue"/>
              <w:framePr w:hSpace="0" w:wrap="auto" w:vAnchor="margin" w:hAnchor="text" w:yAlign="inline"/>
            </w:pPr>
            <w:r>
              <w:t xml:space="preserve">От 2014 г. насам над 3 милиона души са получили достъп до висококачествена питейна вода и пречистване на отпадъчни води по линия на </w:t>
            </w:r>
            <w:r>
              <w:rPr>
                <w:rStyle w:val="AMPRcharBold"/>
              </w:rPr>
              <w:t>Европейския фонд за регионално развитие</w:t>
            </w:r>
            <w:r>
              <w:t xml:space="preserve"> и </w:t>
            </w:r>
            <w:r>
              <w:rPr>
                <w:rStyle w:val="AMPRcharBold"/>
              </w:rPr>
              <w:t>Кохезионния фонд</w:t>
            </w:r>
            <w:r>
              <w:t>.</w:t>
            </w:r>
          </w:p>
          <w:p>
            <w:pPr>
              <w:pStyle w:val="AMPRTableF-Text-DarkBlue"/>
              <w:framePr w:hSpace="0" w:wrap="auto" w:vAnchor="margin" w:hAnchor="text" w:yAlign="inline"/>
              <w:rPr>
                <w:lang w:val="bg-BG"/>
              </w:rPr>
            </w:pPr>
          </w:p>
        </w:tc>
        <w:tc>
          <w:tcPr>
            <w:tcW w:w="1275" w:type="dxa"/>
            <w:tcBorders>
              <w:top w:val="single" w:sz="4" w:space="0" w:color="F68A42"/>
              <w:left w:val="single" w:sz="4" w:space="0" w:color="F68A42"/>
              <w:bottom w:val="single" w:sz="4" w:space="0" w:color="F68A42"/>
            </w:tcBorders>
            <w:vAlign w:val="center"/>
          </w:tcPr>
          <w:p>
            <w:pPr>
              <w:pStyle w:val="AMPRTableF-Text-DarkBlue"/>
              <w:framePr w:hSpace="0" w:wrap="auto" w:vAnchor="margin" w:hAnchor="text" w:yAlign="inline"/>
            </w:pPr>
            <w:r>
              <w:rPr>
                <w:lang w:eastAsia="en-GB"/>
              </w:rPr>
              <w:drawing>
                <wp:inline distT="0" distB="0" distL="0" distR="0">
                  <wp:extent cx="720000" cy="720000"/>
                  <wp:effectExtent l="0" t="0" r="444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tcBorders>
              <w:top w:val="single" w:sz="4" w:space="0" w:color="F68A42"/>
              <w:bottom w:val="single" w:sz="4" w:space="0" w:color="F68A42"/>
            </w:tcBorders>
            <w:vAlign w:val="center"/>
          </w:tcPr>
          <w:p>
            <w:pPr>
              <w:pStyle w:val="AMPRTableF-Text-DarkBlue"/>
              <w:framePr w:hSpace="0" w:wrap="auto" w:vAnchor="margin" w:hAnchor="text" w:yAlign="inline"/>
              <w:rPr>
                <w:rFonts w:eastAsia="EC Square Sans Pro"/>
              </w:rPr>
            </w:pPr>
            <w:r>
              <w:t xml:space="preserve">Проектът Diversifood, финансиран по програма </w:t>
            </w:r>
            <w:r>
              <w:rPr>
                <w:rStyle w:val="AMPRcharBold"/>
              </w:rPr>
              <w:t>„Хоризонт 2020“</w:t>
            </w:r>
            <w:r>
              <w:t xml:space="preserve"> има за цел да се развива биологично земеделие и земеделие с ниско равнище на използваните ресурси чрез обогатяване на разнообразието от култивирани растения в различните агроекосистеми</w:t>
            </w:r>
            <w:r>
              <w:rPr>
                <w:sz w:val="16"/>
              </w:rPr>
              <w:t>.</w:t>
            </w:r>
          </w:p>
        </w:tc>
      </w:tr>
      <w:tr>
        <w:trPr>
          <w:cantSplit/>
          <w:trHeight w:val="1242"/>
        </w:trPr>
        <w:tc>
          <w:tcPr>
            <w:tcW w:w="1276" w:type="dxa"/>
            <w:tcBorders>
              <w:top w:val="single" w:sz="4" w:space="0" w:color="F68A42"/>
            </w:tcBorders>
            <w:vAlign w:val="center"/>
          </w:tcPr>
          <w:p>
            <w:pPr>
              <w:tabs>
                <w:tab w:val="left" w:pos="2705"/>
              </w:tabs>
              <w:rPr>
                <w:noProof/>
                <w:sz w:val="16"/>
                <w:szCs w:val="16"/>
              </w:rPr>
            </w:pPr>
            <w:r>
              <w:rPr>
                <w:noProof/>
                <w:sz w:val="16"/>
                <w:szCs w:val="16"/>
                <w:lang w:eastAsia="en-GB"/>
              </w:rPr>
              <w:drawing>
                <wp:inline distT="0" distB="0" distL="0" distR="0">
                  <wp:extent cx="720000" cy="720000"/>
                  <wp:effectExtent l="0" t="0" r="4445"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top w:val="single" w:sz="4" w:space="0" w:color="F68A42"/>
              <w:right w:val="single" w:sz="4" w:space="0" w:color="F68A42"/>
            </w:tcBorders>
            <w:vAlign w:val="center"/>
          </w:tcPr>
          <w:p>
            <w:pPr>
              <w:pStyle w:val="AMPRTableF-Text-DarkBlue"/>
              <w:framePr w:hSpace="0" w:wrap="auto" w:vAnchor="margin" w:hAnchor="text" w:yAlign="inline"/>
              <w:rPr>
                <w:rFonts w:eastAsia="EC Square Sans Pro"/>
              </w:rPr>
            </w:pPr>
            <w:r>
              <w:rPr>
                <w:rStyle w:val="AMPRcharBold"/>
              </w:rPr>
              <w:t>Европейският фонд за стратегически инвестиции</w:t>
            </w:r>
            <w:r>
              <w:t xml:space="preserve"> помогна за осигуряването на възобновяема енергия за приблизително 10</w:t>
            </w:r>
            <w:r>
              <w:rPr>
                <w:rFonts w:ascii="Calibri" w:hAnsi="Calibri"/>
              </w:rPr>
              <w:t> </w:t>
            </w:r>
            <w:r>
              <w:t>милиона домакинства и спестяването на над 5</w:t>
            </w:r>
            <w:r>
              <w:rPr>
                <w:rFonts w:ascii="Calibri" w:hAnsi="Calibri"/>
              </w:rPr>
              <w:t> </w:t>
            </w:r>
            <w:r>
              <w:t>000 гигаватчаса енергия годишно.</w:t>
            </w:r>
          </w:p>
        </w:tc>
        <w:tc>
          <w:tcPr>
            <w:tcW w:w="1275" w:type="dxa"/>
            <w:tcBorders>
              <w:top w:val="single" w:sz="4" w:space="0" w:color="F68A42"/>
              <w:left w:val="single" w:sz="4" w:space="0" w:color="F68A42"/>
              <w:bottom w:val="single" w:sz="4" w:space="0" w:color="F68A42"/>
            </w:tcBorders>
            <w:vAlign w:val="center"/>
          </w:tcPr>
          <w:p>
            <w:pPr>
              <w:pStyle w:val="AMPRTableF-Text-DarkBlue"/>
              <w:framePr w:hSpace="0" w:wrap="auto" w:vAnchor="margin" w:hAnchor="text" w:yAlign="inline"/>
            </w:pPr>
            <w:r>
              <w:rPr>
                <w:lang w:eastAsia="en-GB"/>
              </w:rPr>
              <w:drawing>
                <wp:inline distT="0" distB="0" distL="0" distR="0">
                  <wp:extent cx="720000" cy="720000"/>
                  <wp:effectExtent l="0" t="0" r="444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tcBorders>
              <w:top w:val="single" w:sz="4" w:space="0" w:color="F68A42"/>
            </w:tcBorders>
            <w:vAlign w:val="center"/>
          </w:tcPr>
          <w:p>
            <w:pPr>
              <w:pStyle w:val="AMPRTableF-Text-DarkBlue"/>
              <w:framePr w:hSpace="0" w:wrap="auto" w:vAnchor="margin" w:hAnchor="text" w:yAlign="inline"/>
            </w:pPr>
            <w:r>
              <w:t xml:space="preserve">По програмата за </w:t>
            </w:r>
            <w:r>
              <w:rPr>
                <w:rStyle w:val="AMPRcharBold"/>
              </w:rPr>
              <w:t>правосъдие</w:t>
            </w:r>
            <w:r>
              <w:t xml:space="preserve"> бе подкрепено участието на 1</w:t>
            </w:r>
            <w:r>
              <w:rPr>
                <w:rFonts w:ascii="Calibri" w:hAnsi="Calibri"/>
              </w:rPr>
              <w:t> </w:t>
            </w:r>
            <w:r>
              <w:t>358 участници в програми за съдебно обучение през 2018 г., като по този начин бе насърчена общата правна и съдебна култура.</w:t>
            </w:r>
          </w:p>
        </w:tc>
      </w:tr>
      <w:tr>
        <w:trPr>
          <w:cantSplit/>
        </w:trPr>
        <w:tc>
          <w:tcPr>
            <w:tcW w:w="1276" w:type="dxa"/>
            <w:vAlign w:val="center"/>
          </w:tcPr>
          <w:p>
            <w:pPr>
              <w:tabs>
                <w:tab w:val="left" w:pos="2705"/>
              </w:tabs>
              <w:rPr>
                <w:noProof/>
                <w:sz w:val="16"/>
                <w:szCs w:val="16"/>
              </w:rPr>
            </w:pPr>
            <w:r>
              <w:rPr>
                <w:noProof/>
                <w:sz w:val="16"/>
                <w:szCs w:val="16"/>
                <w:lang w:eastAsia="en-GB"/>
              </w:rPr>
              <w:drawing>
                <wp:inline distT="0" distB="0" distL="0" distR="0">
                  <wp:extent cx="720000" cy="720000"/>
                  <wp:effectExtent l="0" t="0" r="4445"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right w:val="single" w:sz="4" w:space="0" w:color="F68A42"/>
            </w:tcBorders>
            <w:vAlign w:val="center"/>
          </w:tcPr>
          <w:p>
            <w:pPr>
              <w:pStyle w:val="AMPRTableF-Text-DarkBlue"/>
              <w:framePr w:hSpace="0" w:wrap="auto" w:vAnchor="margin" w:hAnchor="text" w:yAlign="inline"/>
              <w:rPr>
                <w:rFonts w:eastAsia="EC Square Sans Pro"/>
              </w:rPr>
            </w:pPr>
            <w:r>
              <w:t>Оценки и насоки за управление на иновациите се предоставят на над 4</w:t>
            </w:r>
            <w:r>
              <w:rPr>
                <w:rFonts w:ascii="Calibri" w:hAnsi="Calibri"/>
              </w:rPr>
              <w:t> </w:t>
            </w:r>
            <w:r>
              <w:t xml:space="preserve">000 малки и средни предприятия (МСП) годишно по </w:t>
            </w:r>
            <w:r>
              <w:rPr>
                <w:rStyle w:val="AMPRcharBold"/>
              </w:rPr>
              <w:t>програмата за конкурентоспособност на предприятията и малките и средните предприятия</w:t>
            </w:r>
            <w:r>
              <w:t>.</w:t>
            </w:r>
          </w:p>
        </w:tc>
        <w:tc>
          <w:tcPr>
            <w:tcW w:w="1275" w:type="dxa"/>
            <w:tcBorders>
              <w:top w:val="single" w:sz="4" w:space="0" w:color="F68A42"/>
              <w:left w:val="single" w:sz="4" w:space="0" w:color="F68A42"/>
              <w:bottom w:val="single" w:sz="4" w:space="0" w:color="F68A42"/>
            </w:tcBorders>
            <w:vAlign w:val="center"/>
          </w:tcPr>
          <w:p>
            <w:pPr>
              <w:pStyle w:val="AMPRTableF-Text-DarkBlue"/>
              <w:framePr w:hSpace="0" w:wrap="auto" w:vAnchor="margin" w:hAnchor="text" w:yAlign="inline"/>
            </w:pPr>
            <w:r>
              <w:rPr>
                <w:lang w:eastAsia="en-GB"/>
              </w:rPr>
              <w:drawing>
                <wp:inline distT="0" distB="0" distL="0" distR="0">
                  <wp:extent cx="720000" cy="720000"/>
                  <wp:effectExtent l="0" t="0" r="4445" b="4445"/>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02" w:type="dxa"/>
            <w:vAlign w:val="center"/>
          </w:tcPr>
          <w:p>
            <w:pPr>
              <w:pStyle w:val="AMPRTableF-Text-DarkBlue"/>
              <w:framePr w:hSpace="0" w:wrap="auto" w:vAnchor="margin" w:hAnchor="text" w:yAlign="inline"/>
            </w:pPr>
            <w:r>
              <w:t xml:space="preserve">Очаква се близо 50 % от населението на света да получи свободен, пълен и отворен достъп до данни, произтичащ от споразуменията за международно сътрудничество по </w:t>
            </w:r>
            <w:r>
              <w:rPr>
                <w:rStyle w:val="AMPRcharBold"/>
              </w:rPr>
              <w:t>програма „Коперник“</w:t>
            </w:r>
            <w:r>
              <w:t xml:space="preserve"> чрез местен център за данни.</w:t>
            </w:r>
          </w:p>
          <w:p>
            <w:pPr>
              <w:pStyle w:val="AMPRTableF-Text-DarkBlue"/>
              <w:framePr w:hSpace="0" w:wrap="auto" w:vAnchor="margin" w:hAnchor="text" w:yAlign="inline"/>
              <w:rPr>
                <w:lang w:val="bg-BG"/>
              </w:rPr>
            </w:pPr>
          </w:p>
        </w:tc>
      </w:tr>
      <w:tr>
        <w:trPr>
          <w:cantSplit/>
        </w:trPr>
        <w:tc>
          <w:tcPr>
            <w:tcW w:w="1276" w:type="dxa"/>
            <w:vAlign w:val="center"/>
          </w:tcPr>
          <w:p>
            <w:pPr>
              <w:tabs>
                <w:tab w:val="left" w:pos="2705"/>
              </w:tabs>
              <w:rPr>
                <w:noProof/>
                <w:sz w:val="16"/>
                <w:szCs w:val="16"/>
              </w:rPr>
            </w:pPr>
            <w:r>
              <w:rPr>
                <w:noProof/>
                <w:lang w:eastAsia="en-GB"/>
              </w:rPr>
              <w:drawing>
                <wp:inline distT="0" distB="0" distL="0" distR="0">
                  <wp:extent cx="720000" cy="720000"/>
                  <wp:effectExtent l="0" t="0" r="4445"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176" w:type="dxa"/>
            <w:tcBorders>
              <w:right w:val="single" w:sz="4" w:space="0" w:color="F68A42"/>
            </w:tcBorders>
            <w:vAlign w:val="center"/>
          </w:tcPr>
          <w:p>
            <w:pPr>
              <w:pStyle w:val="AMPRTableF-Text-DarkBlue"/>
              <w:framePr w:hSpace="0" w:wrap="auto" w:vAnchor="margin" w:hAnchor="text" w:yAlign="inline"/>
            </w:pPr>
            <w:r>
              <w:t xml:space="preserve">Услугата за търсене и спасяване на </w:t>
            </w:r>
            <w:r>
              <w:rPr>
                <w:rStyle w:val="AMPRcharBold"/>
              </w:rPr>
              <w:t>„Галилео“</w:t>
            </w:r>
            <w:r>
              <w:t xml:space="preserve"> позволява времето, необходимо за откриване на аварийни маяци при бедствени ситуации да бъде намалено на 10 минути.</w:t>
            </w:r>
          </w:p>
          <w:p>
            <w:pPr>
              <w:pStyle w:val="AMPRTableF-Text-DarkBlue"/>
              <w:framePr w:hSpace="0" w:wrap="auto" w:vAnchor="margin" w:hAnchor="text" w:yAlign="inline"/>
              <w:rPr>
                <w:lang w:val="bg-BG"/>
              </w:rPr>
            </w:pPr>
          </w:p>
        </w:tc>
        <w:tc>
          <w:tcPr>
            <w:tcW w:w="1275" w:type="dxa"/>
            <w:tcBorders>
              <w:top w:val="single" w:sz="4" w:space="0" w:color="F68A42"/>
              <w:left w:val="single" w:sz="4" w:space="0" w:color="F68A42"/>
              <w:bottom w:val="nil"/>
            </w:tcBorders>
            <w:vAlign w:val="center"/>
          </w:tcPr>
          <w:p>
            <w:pPr>
              <w:pStyle w:val="AMPRTableF-Text-DarkBlue"/>
              <w:framePr w:hSpace="0" w:wrap="auto" w:vAnchor="margin" w:hAnchor="text" w:yAlign="inline"/>
              <w:rPr>
                <w:lang w:val="bg-BG" w:eastAsia="en-GB"/>
              </w:rPr>
            </w:pPr>
          </w:p>
        </w:tc>
        <w:tc>
          <w:tcPr>
            <w:tcW w:w="3402" w:type="dxa"/>
            <w:vAlign w:val="center"/>
          </w:tcPr>
          <w:p>
            <w:pPr>
              <w:pStyle w:val="AMPRTableF-Text-DarkBlue"/>
              <w:framePr w:hSpace="0" w:wrap="auto" w:vAnchor="margin" w:hAnchor="text" w:yAlign="inline"/>
              <w:rPr>
                <w:lang w:val="bg-BG"/>
              </w:rPr>
            </w:pPr>
          </w:p>
          <w:p>
            <w:pPr>
              <w:pStyle w:val="AMPRTableF-Text-DarkBlue"/>
              <w:framePr w:hSpace="0" w:wrap="auto" w:vAnchor="margin" w:hAnchor="text" w:yAlign="inline"/>
              <w:rPr>
                <w:lang w:val="bg-BG"/>
              </w:rPr>
            </w:pPr>
          </w:p>
        </w:tc>
      </w:tr>
    </w:tbl>
    <w:p>
      <w:pPr>
        <w:pStyle w:val="AMPRSec1TITLE3-notnumbered"/>
        <w:numPr>
          <w:ilvl w:val="2"/>
          <w:numId w:val="26"/>
        </w:numPr>
        <w:rPr>
          <w:lang w:val="fr-BE"/>
        </w:rPr>
      </w:pPr>
      <w:bookmarkStart w:id="198" w:name="_Toc39135915"/>
      <w:bookmarkStart w:id="199" w:name="_Toc39136179"/>
      <w:bookmarkStart w:id="200" w:name="_Toc39136323"/>
      <w:bookmarkStart w:id="201" w:name="_Toc39136471"/>
      <w:bookmarkStart w:id="202" w:name="_Toc39137288"/>
      <w:bookmarkStart w:id="203" w:name="_Toc39138020"/>
      <w:bookmarkStart w:id="204" w:name="_Toc39140504"/>
      <w:bookmarkStart w:id="205" w:name="_Toc39141724"/>
      <w:bookmarkStart w:id="206" w:name="_Toc39141994"/>
      <w:bookmarkStart w:id="207" w:name="_Toc39142946"/>
      <w:bookmarkStart w:id="208" w:name="_Toc39143004"/>
      <w:bookmarkStart w:id="209" w:name="_Toc39143564"/>
      <w:bookmarkStart w:id="210" w:name="_Toc39143910"/>
      <w:bookmarkStart w:id="211" w:name="_Toc39144012"/>
      <w:bookmarkStart w:id="212" w:name="_Toc39144687"/>
      <w:bookmarkStart w:id="213" w:name="_Toc39146022"/>
      <w:bookmarkStart w:id="214" w:name="_Toc39146191"/>
      <w:bookmarkStart w:id="215" w:name="_Toc39146316"/>
      <w:bookmarkStart w:id="216" w:name="_Toc39146700"/>
      <w:r>
        <w:t>Бюджетът</w:t>
      </w:r>
      <w:r>
        <w:rPr>
          <w:lang w:val="fr-BE"/>
        </w:rPr>
        <w:t xml:space="preserve"> </w:t>
      </w:r>
      <w:r>
        <w:t>на</w:t>
      </w:r>
      <w:r>
        <w:rPr>
          <w:lang w:val="fr-BE"/>
        </w:rPr>
        <w:t xml:space="preserve"> </w:t>
      </w:r>
      <w:r>
        <w:t>ЕС</w:t>
      </w:r>
      <w:r>
        <w:rPr>
          <w:lang w:val="fr-BE"/>
        </w:rPr>
        <w:t xml:space="preserve">: </w:t>
      </w:r>
      <w:r>
        <w:t>мощен</w:t>
      </w:r>
      <w:r>
        <w:rPr>
          <w:lang w:val="fr-BE"/>
        </w:rPr>
        <w:t xml:space="preserve"> </w:t>
      </w:r>
      <w:r>
        <w:t>инструмент</w:t>
      </w:r>
      <w:r>
        <w:rPr>
          <w:lang w:val="fr-BE"/>
        </w:rPr>
        <w:t xml:space="preserve"> </w:t>
      </w:r>
      <w:r>
        <w:t>за</w:t>
      </w:r>
      <w:r>
        <w:rPr>
          <w:lang w:val="fr-BE"/>
        </w:rPr>
        <w:t xml:space="preserve"> </w:t>
      </w:r>
      <w:r>
        <w:t>реагиране</w:t>
      </w:r>
      <w:r>
        <w:rPr>
          <w:lang w:val="fr-BE"/>
        </w:rPr>
        <w:t xml:space="preserve"> </w:t>
      </w:r>
      <w:r>
        <w:t>при</w:t>
      </w:r>
      <w:r>
        <w:rPr>
          <w:lang w:val="fr-BE"/>
        </w:rPr>
        <w:t xml:space="preserve"> </w:t>
      </w:r>
      <w:r>
        <w:t>кризи</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pPr>
        <w:pStyle w:val="AMPRBodyText"/>
      </w:pPr>
      <w:r>
        <w:t>Бюджетът</w:t>
      </w:r>
      <w:r>
        <w:rPr>
          <w:lang w:val="fr-BE"/>
        </w:rPr>
        <w:t xml:space="preserve"> </w:t>
      </w:r>
      <w:r>
        <w:t>на</w:t>
      </w:r>
      <w:r>
        <w:rPr>
          <w:lang w:val="fr-BE"/>
        </w:rPr>
        <w:t xml:space="preserve"> </w:t>
      </w:r>
      <w:r>
        <w:t>ЕС</w:t>
      </w:r>
      <w:r>
        <w:rPr>
          <w:lang w:val="fr-BE"/>
        </w:rPr>
        <w:t xml:space="preserve"> </w:t>
      </w:r>
      <w:r>
        <w:t>може</w:t>
      </w:r>
      <w:r>
        <w:rPr>
          <w:lang w:val="fr-BE"/>
        </w:rPr>
        <w:t xml:space="preserve"> </w:t>
      </w:r>
      <w:r>
        <w:t>да</w:t>
      </w:r>
      <w:r>
        <w:rPr>
          <w:lang w:val="fr-BE"/>
        </w:rPr>
        <w:t xml:space="preserve"> </w:t>
      </w:r>
      <w:r>
        <w:t>бъде</w:t>
      </w:r>
      <w:r>
        <w:rPr>
          <w:lang w:val="fr-BE"/>
        </w:rPr>
        <w:t xml:space="preserve"> </w:t>
      </w:r>
      <w:r>
        <w:t>мобилизиран</w:t>
      </w:r>
      <w:r>
        <w:rPr>
          <w:lang w:val="fr-BE"/>
        </w:rPr>
        <w:t xml:space="preserve"> </w:t>
      </w:r>
      <w:r>
        <w:t>по</w:t>
      </w:r>
      <w:r>
        <w:rPr>
          <w:lang w:val="fr-BE"/>
        </w:rPr>
        <w:t xml:space="preserve"> </w:t>
      </w:r>
      <w:r>
        <w:t>бърз</w:t>
      </w:r>
      <w:r>
        <w:rPr>
          <w:lang w:val="fr-BE"/>
        </w:rPr>
        <w:t xml:space="preserve"> </w:t>
      </w:r>
      <w:r>
        <w:t>и</w:t>
      </w:r>
      <w:r>
        <w:rPr>
          <w:lang w:val="fr-BE"/>
        </w:rPr>
        <w:t xml:space="preserve"> </w:t>
      </w:r>
      <w:r>
        <w:t>гъвкав</w:t>
      </w:r>
      <w:r>
        <w:rPr>
          <w:lang w:val="fr-BE"/>
        </w:rPr>
        <w:t xml:space="preserve"> </w:t>
      </w:r>
      <w:r>
        <w:t>начин</w:t>
      </w:r>
      <w:r>
        <w:rPr>
          <w:lang w:val="fr-BE"/>
        </w:rPr>
        <w:t xml:space="preserve"> </w:t>
      </w:r>
      <w:r>
        <w:t>като</w:t>
      </w:r>
      <w:r>
        <w:rPr>
          <w:lang w:val="fr-BE"/>
        </w:rPr>
        <w:t xml:space="preserve"> </w:t>
      </w:r>
      <w:r>
        <w:t>част</w:t>
      </w:r>
      <w:r>
        <w:rPr>
          <w:lang w:val="fr-BE"/>
        </w:rPr>
        <w:t xml:space="preserve"> </w:t>
      </w:r>
      <w:r>
        <w:t>от</w:t>
      </w:r>
      <w:r>
        <w:rPr>
          <w:lang w:val="fr-BE"/>
        </w:rPr>
        <w:t xml:space="preserve"> </w:t>
      </w:r>
      <w:r>
        <w:t>координирана</w:t>
      </w:r>
      <w:r>
        <w:rPr>
          <w:lang w:val="fr-BE"/>
        </w:rPr>
        <w:t xml:space="preserve"> </w:t>
      </w:r>
      <w:r>
        <w:t>европейска</w:t>
      </w:r>
      <w:r>
        <w:rPr>
          <w:lang w:val="fr-BE"/>
        </w:rPr>
        <w:t xml:space="preserve"> </w:t>
      </w:r>
      <w:r>
        <w:t>реакция</w:t>
      </w:r>
      <w:r>
        <w:rPr>
          <w:lang w:val="fr-BE"/>
        </w:rPr>
        <w:t xml:space="preserve"> </w:t>
      </w:r>
      <w:r>
        <w:t>при</w:t>
      </w:r>
      <w:r>
        <w:rPr>
          <w:lang w:val="fr-BE"/>
        </w:rPr>
        <w:t xml:space="preserve"> </w:t>
      </w:r>
      <w:r>
        <w:t>кризи</w:t>
      </w:r>
      <w:r>
        <w:rPr>
          <w:lang w:val="fr-BE"/>
        </w:rPr>
        <w:t xml:space="preserve">. </w:t>
      </w:r>
      <w:r>
        <w:t>Това</w:t>
      </w:r>
      <w:r>
        <w:rPr>
          <w:lang w:val="fr-BE"/>
        </w:rPr>
        <w:t xml:space="preserve"> </w:t>
      </w:r>
      <w:r>
        <w:t>е</w:t>
      </w:r>
      <w:r>
        <w:rPr>
          <w:lang w:val="fr-BE"/>
        </w:rPr>
        <w:t xml:space="preserve"> </w:t>
      </w:r>
      <w:r>
        <w:t>явно</w:t>
      </w:r>
      <w:r>
        <w:rPr>
          <w:lang w:val="fr-BE"/>
        </w:rPr>
        <w:t xml:space="preserve"> </w:t>
      </w:r>
      <w:r>
        <w:t>илюстрирано</w:t>
      </w:r>
      <w:r>
        <w:rPr>
          <w:lang w:val="fr-BE"/>
        </w:rPr>
        <w:t xml:space="preserve"> </w:t>
      </w:r>
      <w:r>
        <w:t>от</w:t>
      </w:r>
      <w:r>
        <w:rPr>
          <w:lang w:val="fr-BE"/>
        </w:rPr>
        <w:t xml:space="preserve"> </w:t>
      </w:r>
      <w:r>
        <w:t>продължаващия</w:t>
      </w:r>
      <w:r>
        <w:rPr>
          <w:lang w:val="fr-BE"/>
        </w:rPr>
        <w:t xml:space="preserve"> </w:t>
      </w:r>
      <w:r>
        <w:t>отговор</w:t>
      </w:r>
      <w:r>
        <w:rPr>
          <w:lang w:val="fr-BE"/>
        </w:rPr>
        <w:t xml:space="preserve"> </w:t>
      </w:r>
      <w:r>
        <w:t>на</w:t>
      </w:r>
      <w:r>
        <w:rPr>
          <w:lang w:val="fr-BE"/>
        </w:rPr>
        <w:t xml:space="preserve"> </w:t>
      </w:r>
      <w:r>
        <w:t>пандемията</w:t>
      </w:r>
      <w:r>
        <w:rPr>
          <w:lang w:val="fr-BE"/>
        </w:rPr>
        <w:t xml:space="preserve"> </w:t>
      </w:r>
      <w:r>
        <w:t>от</w:t>
      </w:r>
      <w:r>
        <w:rPr>
          <w:lang w:val="fr-BE"/>
        </w:rPr>
        <w:t xml:space="preserve"> COVID-19. </w:t>
      </w:r>
      <w:r>
        <w:t>Комисията</w:t>
      </w:r>
      <w:r>
        <w:rPr>
          <w:lang w:val="fr-BE"/>
        </w:rPr>
        <w:t xml:space="preserve"> </w:t>
      </w:r>
      <w:r>
        <w:t>предложи</w:t>
      </w:r>
      <w:r>
        <w:rPr>
          <w:lang w:val="fr-BE"/>
        </w:rPr>
        <w:t xml:space="preserve"> </w:t>
      </w:r>
      <w:r>
        <w:t>да</w:t>
      </w:r>
      <w:r>
        <w:rPr>
          <w:lang w:val="fr-BE"/>
        </w:rPr>
        <w:t xml:space="preserve"> </w:t>
      </w:r>
      <w:r>
        <w:t>се</w:t>
      </w:r>
      <w:r>
        <w:rPr>
          <w:lang w:val="fr-BE"/>
        </w:rPr>
        <w:t xml:space="preserve"> </w:t>
      </w:r>
      <w:r>
        <w:t>използва</w:t>
      </w:r>
      <w:r>
        <w:rPr>
          <w:lang w:val="fr-BE"/>
        </w:rPr>
        <w:t xml:space="preserve"> </w:t>
      </w:r>
      <w:r>
        <w:t>цялата</w:t>
      </w:r>
      <w:r>
        <w:rPr>
          <w:lang w:val="fr-BE"/>
        </w:rPr>
        <w:t xml:space="preserve"> </w:t>
      </w:r>
      <w:r>
        <w:t>останала</w:t>
      </w:r>
      <w:r>
        <w:rPr>
          <w:lang w:val="fr-BE"/>
        </w:rPr>
        <w:t xml:space="preserve"> </w:t>
      </w:r>
      <w:r>
        <w:t>гъвкавост</w:t>
      </w:r>
      <w:r>
        <w:rPr>
          <w:lang w:val="fr-BE"/>
        </w:rPr>
        <w:t xml:space="preserve"> </w:t>
      </w:r>
      <w:r>
        <w:t>в</w:t>
      </w:r>
      <w:r>
        <w:rPr>
          <w:lang w:val="fr-BE"/>
        </w:rPr>
        <w:t xml:space="preserve"> </w:t>
      </w:r>
      <w:r>
        <w:t>настоящата</w:t>
      </w:r>
      <w:r>
        <w:rPr>
          <w:lang w:val="fr-BE"/>
        </w:rPr>
        <w:t xml:space="preserve"> </w:t>
      </w:r>
      <w:r>
        <w:t>финансова</w:t>
      </w:r>
      <w:r>
        <w:rPr>
          <w:lang w:val="fr-BE"/>
        </w:rPr>
        <w:t xml:space="preserve"> </w:t>
      </w:r>
      <w:r>
        <w:t>рамка</w:t>
      </w:r>
      <w:r>
        <w:rPr>
          <w:lang w:val="fr-BE"/>
        </w:rPr>
        <w:t xml:space="preserve">, </w:t>
      </w:r>
      <w:r>
        <w:t>за</w:t>
      </w:r>
      <w:r>
        <w:rPr>
          <w:lang w:val="fr-BE"/>
        </w:rPr>
        <w:t xml:space="preserve"> </w:t>
      </w:r>
      <w:r>
        <w:t>да</w:t>
      </w:r>
      <w:r>
        <w:rPr>
          <w:lang w:val="fr-BE"/>
        </w:rPr>
        <w:t xml:space="preserve"> </w:t>
      </w:r>
      <w:r>
        <w:t>бъде</w:t>
      </w:r>
      <w:r>
        <w:rPr>
          <w:lang w:val="fr-BE"/>
        </w:rPr>
        <w:t xml:space="preserve"> </w:t>
      </w:r>
      <w:r>
        <w:t>доставено</w:t>
      </w:r>
      <w:r>
        <w:rPr>
          <w:lang w:val="fr-BE"/>
        </w:rPr>
        <w:t xml:space="preserve"> </w:t>
      </w:r>
      <w:r>
        <w:t>бързо</w:t>
      </w:r>
      <w:r>
        <w:rPr>
          <w:lang w:val="fr-BE"/>
        </w:rPr>
        <w:t xml:space="preserve"> </w:t>
      </w:r>
      <w:r>
        <w:t>финансиране</w:t>
      </w:r>
      <w:r>
        <w:rPr>
          <w:lang w:val="fr-BE"/>
        </w:rPr>
        <w:t xml:space="preserve"> </w:t>
      </w:r>
      <w:r>
        <w:t>там</w:t>
      </w:r>
      <w:r>
        <w:rPr>
          <w:lang w:val="fr-BE"/>
        </w:rPr>
        <w:t xml:space="preserve">, </w:t>
      </w:r>
      <w:r>
        <w:t>където</w:t>
      </w:r>
      <w:r>
        <w:rPr>
          <w:lang w:val="fr-BE"/>
        </w:rPr>
        <w:t xml:space="preserve"> </w:t>
      </w:r>
      <w:r>
        <w:t>е</w:t>
      </w:r>
      <w:r>
        <w:rPr>
          <w:lang w:val="fr-BE"/>
        </w:rPr>
        <w:t xml:space="preserve"> </w:t>
      </w:r>
      <w:r>
        <w:t>най</w:t>
      </w:r>
      <w:r>
        <w:rPr>
          <w:lang w:val="fr-BE"/>
        </w:rPr>
        <w:t>-</w:t>
      </w:r>
      <w:r>
        <w:t>необходимо</w:t>
      </w:r>
      <w:r>
        <w:rPr>
          <w:lang w:val="fr-BE"/>
        </w:rPr>
        <w:t xml:space="preserve">. </w:t>
      </w:r>
      <w:r>
        <w:t>Тук са включени следните примери.</w:t>
      </w:r>
    </w:p>
    <w:p>
      <w:pPr>
        <w:pStyle w:val="AMPRListOrange-L1"/>
        <w:rPr>
          <w:lang w:val="bg-BG"/>
        </w:rPr>
      </w:pPr>
      <w:r>
        <w:t xml:space="preserve">Чрез </w:t>
      </w:r>
      <w:r>
        <w:rPr>
          <w:rStyle w:val="AMPRcharBoldBlue"/>
        </w:rPr>
        <w:t xml:space="preserve">Инвестиционната инициатива в отговор на коронавируса </w:t>
      </w:r>
      <w:r>
        <w:t xml:space="preserve">бяха мобилизирани всички налични фондове за сближаване, за да се предостави незабавна подкрепа на мерките за реагиране при кризи на държавите членки. Тази подкрепа включва задоволяване на най-належащите нужди от медицински консумативи и оборудване, както и справяне с последиците от икономическата криза чрез краткосрочни схеми за работа, финансова подкрепа за МСП и предоставяне на незабавна ликвидност. Мерките са придружени от редица </w:t>
      </w:r>
      <w:r>
        <w:rPr>
          <w:lang w:val="bg-BG"/>
        </w:rPr>
        <w:t>механизми</w:t>
      </w:r>
      <w:r>
        <w:t xml:space="preserve"> за гъвкавост, </w:t>
      </w:r>
      <w:r>
        <w:rPr>
          <w:lang w:val="bg-BG"/>
        </w:rPr>
        <w:t xml:space="preserve">включително относно </w:t>
      </w:r>
      <w:r>
        <w:t>правилата за съфинансиране.</w:t>
      </w:r>
      <w:r>
        <w:rPr>
          <w:lang w:val="bg-BG"/>
        </w:rPr>
        <w:t xml:space="preserve"> </w:t>
      </w:r>
      <w:r>
        <w:rPr>
          <w:color w:val="FF0000"/>
          <w:lang w:val="bg-BG"/>
        </w:rPr>
        <w:t>Благодарение на Инициативата бяха мобилизирани общо до 54 милиарда евро от европейските структурни и инвестиционни фондове, за да се посрещнат неотложните кризисни нужди в държавите членки.</w:t>
      </w:r>
    </w:p>
    <w:p>
      <w:pPr>
        <w:pStyle w:val="AMPRListOrange-L1"/>
        <w:rPr>
          <w:lang w:val="bg-BG"/>
        </w:rPr>
      </w:pPr>
      <w:r>
        <w:rPr>
          <w:lang w:val="bg-BG"/>
        </w:rPr>
        <w:t xml:space="preserve">Обхватът на </w:t>
      </w:r>
      <w:r>
        <w:rPr>
          <w:rStyle w:val="AMPRcharBoldBlue"/>
          <w:lang w:val="bg-BG"/>
        </w:rPr>
        <w:t>фонд „Солидарност“ на ЕС</w:t>
      </w:r>
      <w:r>
        <w:rPr>
          <w:lang w:val="bg-BG"/>
        </w:rPr>
        <w:t xml:space="preserve"> беше разширен от 1 април 2020</w:t>
      </w:r>
      <w:r>
        <w:t> </w:t>
      </w:r>
      <w:r>
        <w:rPr>
          <w:lang w:val="bg-BG"/>
        </w:rPr>
        <w:t>г., за да бъдат включени в него тежките извънредни ситуации в областта на общественото здраве. До 800</w:t>
      </w:r>
      <w:r>
        <w:rPr>
          <w:rFonts w:ascii="Calibri" w:hAnsi="Calibri"/>
        </w:rPr>
        <w:t> </w:t>
      </w:r>
      <w:r>
        <w:rPr>
          <w:lang w:val="bg-BG"/>
        </w:rPr>
        <w:t xml:space="preserve">милиона евро могат да бъдат предоставени на държавите членки и на държавите кандидатки, които са сериозно засегнати от извънредното положение във връзка с </w:t>
      </w:r>
      <w:r>
        <w:t>COVID</w:t>
      </w:r>
      <w:r>
        <w:rPr>
          <w:lang w:val="bg-BG"/>
        </w:rPr>
        <w:t>-19, за финансиране на помощта за населението (мерки в областта на медицината, здравния сектор и мерки от типа на гражданската защита) и мерките, предприети за ограничаване разпространението на болестта.</w:t>
      </w:r>
    </w:p>
    <w:p>
      <w:pPr>
        <w:pStyle w:val="AMPRListOrange-L1"/>
        <w:rPr>
          <w:lang w:val="bg-BG"/>
        </w:rPr>
      </w:pPr>
      <w:r>
        <w:rPr>
          <w:lang w:val="bg-BG"/>
        </w:rPr>
        <w:t xml:space="preserve"> </w:t>
      </w:r>
      <w:r>
        <w:rPr>
          <w:rStyle w:val="AMPRcharBoldBlue"/>
          <w:lang w:val="bg-BG"/>
        </w:rPr>
        <w:t>Инструментът за спешна подкрепа</w:t>
      </w:r>
      <w:r>
        <w:rPr>
          <w:lang w:val="bg-BG"/>
        </w:rPr>
        <w:t xml:space="preserve"> бе повторно активиран през април 2020</w:t>
      </w:r>
      <w:r>
        <w:t> </w:t>
      </w:r>
      <w:r>
        <w:rPr>
          <w:lang w:val="bg-BG"/>
        </w:rPr>
        <w:t>г. с бюджет от 2,7</w:t>
      </w:r>
      <w:r>
        <w:rPr>
          <w:rFonts w:ascii="Calibri" w:hAnsi="Calibri"/>
        </w:rPr>
        <w:t> </w:t>
      </w:r>
      <w:r>
        <w:rPr>
          <w:lang w:val="bg-BG"/>
        </w:rPr>
        <w:t>милиарда евро за подпомагане на държавите членки, а бюджетът на Механизма за гражданска защита на Съюза/</w:t>
      </w:r>
      <w:r>
        <w:t>rescEU</w:t>
      </w:r>
      <w:r>
        <w:rPr>
          <w:lang w:val="bg-BG"/>
        </w:rPr>
        <w:t xml:space="preserve"> беше увеличен с 380</w:t>
      </w:r>
      <w:r>
        <w:rPr>
          <w:rFonts w:ascii="Calibri" w:hAnsi="Calibri"/>
        </w:rPr>
        <w:t> </w:t>
      </w:r>
      <w:r>
        <w:rPr>
          <w:lang w:val="bg-BG"/>
        </w:rPr>
        <w:t xml:space="preserve">милиона евро. С тези средства се помага на държавите членки бързо да набавят и разпространяват доставките, необходими за борба с коронавируса чрез мерки, които включват създаване на стратегически резерв в </w:t>
      </w:r>
      <w:r>
        <w:t>rescEU</w:t>
      </w:r>
      <w:r>
        <w:rPr>
          <w:lang w:val="bg-BG"/>
        </w:rPr>
        <w:t xml:space="preserve"> от медицинско оборудване, включително вентилатори и лични предпазни средства, например маски.</w:t>
      </w:r>
    </w:p>
    <w:p>
      <w:pPr>
        <w:pStyle w:val="AMPRListOrange-L1"/>
        <w:rPr>
          <w:lang w:val="bg-BG"/>
        </w:rPr>
      </w:pPr>
      <w:r>
        <w:rPr>
          <w:lang w:val="bg-BG"/>
        </w:rPr>
        <w:t xml:space="preserve">В съответствие с програмата за научни изследвания и иновации </w:t>
      </w:r>
      <w:r>
        <w:rPr>
          <w:rStyle w:val="AMPRcharBoldBlue"/>
          <w:lang w:val="bg-BG"/>
        </w:rPr>
        <w:t>„Хоризонт</w:t>
      </w:r>
      <w:r>
        <w:rPr>
          <w:rStyle w:val="AMPRcharBoldBlue"/>
        </w:rPr>
        <w:t> </w:t>
      </w:r>
      <w:r>
        <w:rPr>
          <w:rStyle w:val="AMPRcharBoldBlue"/>
          <w:lang w:val="bg-BG"/>
        </w:rPr>
        <w:t>2020“</w:t>
      </w:r>
      <w:r>
        <w:rPr>
          <w:lang w:val="bg-BG"/>
        </w:rPr>
        <w:t xml:space="preserve"> Комисията стартира </w:t>
      </w:r>
      <w:hyperlink r:id="rId99" w:history="1">
        <w:r>
          <w:rPr>
            <w:lang w:val="bg-BG"/>
          </w:rPr>
          <w:t>покана за заявяване на интерес</w:t>
        </w:r>
      </w:hyperlink>
      <w:r>
        <w:rPr>
          <w:lang w:val="bg-BG"/>
        </w:rPr>
        <w:t xml:space="preserve"> за подкрепа на изследванията, свързани с </w:t>
      </w:r>
      <w:r>
        <w:t>COVID</w:t>
      </w:r>
      <w:r>
        <w:rPr>
          <w:lang w:val="bg-BG"/>
        </w:rPr>
        <w:t xml:space="preserve">-19, с финансиране, мобилизирано по линия на </w:t>
      </w:r>
      <w:r>
        <w:rPr>
          <w:rStyle w:val="AMPRcharBoldBlue"/>
          <w:lang w:val="bg-BG"/>
        </w:rPr>
        <w:t>специален фонд за спешни изследвания</w:t>
      </w:r>
      <w:r>
        <w:rPr>
          <w:lang w:val="bg-BG"/>
        </w:rPr>
        <w:t>. През януари 2020</w:t>
      </w:r>
      <w:r>
        <w:t> </w:t>
      </w:r>
      <w:r>
        <w:rPr>
          <w:lang w:val="bg-BG"/>
        </w:rPr>
        <w:t xml:space="preserve">г. например беше първата покана за здравни изследвания в областта на </w:t>
      </w:r>
      <w:r>
        <w:t>COVID</w:t>
      </w:r>
      <w:r>
        <w:rPr>
          <w:lang w:val="bg-BG"/>
        </w:rPr>
        <w:t xml:space="preserve">-19, насочени към разработването на ваксини, алтернативни диагностични тестове, нови лечения и подобряване на мерките за обществено здраве. В резултат на поканата 136 изследователски екипа ще работят с общ бюджет от 47,5 милиона евро по 17 проекта. Допълнителни 45 милиона евро ще бъдат отпуснати чрез </w:t>
      </w:r>
      <w:hyperlink r:id="rId100" w:history="1">
        <w:r>
          <w:rPr>
            <w:lang w:val="bg-BG"/>
          </w:rPr>
          <w:t>съвместното предприятие за изпълнение на втората инициатива за иновативни лекарства</w:t>
        </w:r>
      </w:hyperlink>
      <w:r>
        <w:rPr>
          <w:lang w:val="bg-BG"/>
        </w:rPr>
        <w:t>, както и 164 милиона евро чрез покана, отправена в пилотната фаза на Европейския съвет по иновациите.</w:t>
      </w:r>
    </w:p>
    <w:p>
      <w:pPr>
        <w:pStyle w:val="AMPRListOrange-L1"/>
        <w:rPr>
          <w:lang w:val="bg-BG"/>
        </w:rPr>
      </w:pPr>
      <w:r>
        <w:rPr>
          <w:rStyle w:val="AMPRcharBoldBlue"/>
          <w:lang w:val="bg-BG"/>
        </w:rPr>
        <w:t>Като глобален фактор и същевременно участник в колективни инициативи като Екип Европа</w:t>
      </w:r>
      <w:r>
        <w:rPr>
          <w:rStyle w:val="BOLDBLUE"/>
          <w:lang w:val="bg-BG"/>
        </w:rPr>
        <w:t xml:space="preserve"> </w:t>
      </w:r>
      <w:r>
        <w:rPr>
          <w:lang w:val="bg-BG"/>
        </w:rPr>
        <w:t xml:space="preserve">(ЕС, държави членки, финансови институции) ЕС осигури финансова подкрепа на държавите партньори на стойност общо над 36 милиарда евро, като се съсредоточи върху справянето с непосредствената здравна криза и произтичащите от нея хуманитарни нужди, укрепването на здравните системи, системите за водоснабдяване и канализация на държавите партньори и техния капацитет за научни изследвания и готовност за справяне с пандемията, както и върху смекчаването на социално-икономическото въздействие. Освен това </w:t>
      </w:r>
      <w:r>
        <w:rPr>
          <w:rStyle w:val="AMPRcharBoldBlue"/>
          <w:lang w:val="bg-BG"/>
        </w:rPr>
        <w:t>ЕС насърчава глобалните действия срещу коронавируса съвместно с многостранни партньори</w:t>
      </w:r>
      <w:r>
        <w:rPr>
          <w:lang w:val="bg-BG"/>
        </w:rPr>
        <w:t>; на международна конференция на донорите бяха обещани над 9,8 милиарда евро от повече от 40 държавни или правителствени ръководители и министри в подкрепа на съвместното развитие и универсалното внедряване на диагностика, лечение и ваксини срещу коронавируса.</w:t>
      </w:r>
    </w:p>
    <w:p>
      <w:pPr>
        <w:pStyle w:val="AMPRBodyText"/>
        <w:rPr>
          <w:lang w:val="bg-BG"/>
        </w:rPr>
      </w:pPr>
      <w:r>
        <w:rPr>
          <w:lang w:val="bg-BG"/>
        </w:rPr>
        <w:t>В допълнение към тази реакция, която ще доведе до бърза подкрепа, Комисията предложи да се използва и пълният потенциал на бюджета на ЕС за осигуряване на трайно и проспериращо възстановяване. Като част от Плана за възстановяване на Европейския съюз</w:t>
      </w:r>
      <w:r>
        <w:rPr>
          <w:rStyle w:val="fnRef"/>
          <w:rFonts w:ascii="Arial" w:hAnsi="Arial"/>
        </w:rPr>
        <w:t> </w:t>
      </w:r>
      <w:r>
        <w:rPr>
          <w:rStyle w:val="fnRef"/>
          <w:lang w:val="bg-BG"/>
        </w:rPr>
        <w:t>(</w:t>
      </w:r>
      <w:r>
        <w:rPr>
          <w:rStyle w:val="fnRefNo"/>
        </w:rPr>
        <w:footnoteReference w:id="14"/>
      </w:r>
      <w:r>
        <w:rPr>
          <w:rStyle w:val="fnRef"/>
          <w:lang w:val="bg-BG"/>
        </w:rPr>
        <w:t>)</w:t>
      </w:r>
      <w:r>
        <w:rPr>
          <w:lang w:val="bg-BG"/>
        </w:rPr>
        <w:t>, на 27 май 2020</w:t>
      </w:r>
      <w:r>
        <w:t> </w:t>
      </w:r>
      <w:r>
        <w:rPr>
          <w:lang w:val="bg-BG"/>
        </w:rPr>
        <w:t>г. Комисията предложи подсилена многогодишна финансова рамка за периода 2021—2027</w:t>
      </w:r>
      <w:r>
        <w:t> </w:t>
      </w:r>
      <w:r>
        <w:rPr>
          <w:lang w:val="bg-BG"/>
        </w:rPr>
        <w:t>г., заедно с нов Европейски инструмент за възстановяване (</w:t>
      </w:r>
      <w:r>
        <w:t>Next</w:t>
      </w:r>
      <w:r>
        <w:rPr>
          <w:lang w:val="bg-BG"/>
        </w:rPr>
        <w:t xml:space="preserve"> </w:t>
      </w:r>
      <w:r>
        <w:t>Generation</w:t>
      </w:r>
      <w:r>
        <w:rPr>
          <w:lang w:val="bg-BG"/>
        </w:rPr>
        <w:t xml:space="preserve"> </w:t>
      </w:r>
      <w:r>
        <w:t>EU</w:t>
      </w:r>
      <w:r>
        <w:rPr>
          <w:lang w:val="bg-BG"/>
        </w:rPr>
        <w:t xml:space="preserve">) за стимулиране и предварително финансиране. Тези предложения са в подкрепа на справянето с кризи и осигуряват рамка за дългосрочни инвестиции в устойчивостта на ЕС и прехода към зелена и цифрова икономика. Повишаването на гъвкавостта на бюджета на ЕС и инвестирането в готовност за справяне с кризи и устойчивост ще бъдат приоритетни за бъдещата финансова рамка. </w:t>
      </w:r>
    </w:p>
    <w:p>
      <w:pPr>
        <w:pStyle w:val="AMPRBodyText"/>
        <w:rPr>
          <w:lang w:val="bg-BG"/>
        </w:rPr>
      </w:pPr>
      <w:r>
        <w:rPr>
          <w:lang w:val="bg-BG"/>
        </w:rPr>
        <w:t xml:space="preserve">Финансирането, събрано за </w:t>
      </w:r>
      <w:r>
        <w:t>Next</w:t>
      </w:r>
      <w:r>
        <w:rPr>
          <w:lang w:val="bg-BG"/>
        </w:rPr>
        <w:t xml:space="preserve"> </w:t>
      </w:r>
      <w:r>
        <w:t>Generation</w:t>
      </w:r>
      <w:r>
        <w:rPr>
          <w:lang w:val="bg-BG"/>
        </w:rPr>
        <w:t xml:space="preserve"> </w:t>
      </w:r>
      <w:r>
        <w:t>EU</w:t>
      </w:r>
      <w:r>
        <w:rPr>
          <w:lang w:val="bg-BG"/>
        </w:rPr>
        <w:t xml:space="preserve"> ще бъде инвестирано в три стълба: подкрепа за държавите членки с инвестиции и реформи; енергичен импулс за икономиката на ЕС чрез стимулиране на частните инвестиции; и извличане на поуки от кризата. Пример за извличане на поуки от кризата е предложението за програмата „ЕС в подкрепа на здравето“ за периода 2021—2027 г.: общият бюджет от 9,4 милиарда евро е знак за съществена промяна в приноса от ЕС за здравния сектор. </w:t>
      </w:r>
    </w:p>
    <w:p>
      <w:pPr>
        <w:pStyle w:val="AMPRBodyText"/>
        <w:rPr>
          <w:lang w:val="bg-BG"/>
        </w:rPr>
      </w:pPr>
    </w:p>
    <w:p>
      <w:pPr>
        <w:pStyle w:val="AMPRSec1TITLE2-numbered"/>
        <w:rPr>
          <w:lang w:val="bg-BG"/>
        </w:rPr>
      </w:pPr>
      <w:bookmarkStart w:id="217" w:name="_Toc42272891"/>
      <w:bookmarkStart w:id="218" w:name="_Toc42332950"/>
      <w:bookmarkStart w:id="219" w:name="_Toc39135916"/>
      <w:bookmarkStart w:id="220" w:name="_Toc39136180"/>
      <w:bookmarkStart w:id="221" w:name="_Toc39136324"/>
      <w:bookmarkStart w:id="222" w:name="_Toc39136472"/>
      <w:bookmarkStart w:id="223" w:name="_Toc39137289"/>
      <w:bookmarkStart w:id="224" w:name="_Toc39138021"/>
      <w:bookmarkStart w:id="225" w:name="_Toc39140505"/>
      <w:bookmarkStart w:id="226" w:name="_Toc39141725"/>
      <w:bookmarkStart w:id="227" w:name="_Toc39141995"/>
      <w:bookmarkStart w:id="228" w:name="_Toc39142947"/>
      <w:bookmarkStart w:id="229" w:name="_Toc39143005"/>
      <w:bookmarkStart w:id="230" w:name="_Toc39143911"/>
      <w:bookmarkStart w:id="231" w:name="_Toc39144013"/>
      <w:bookmarkStart w:id="232" w:name="_Toc39144688"/>
      <w:bookmarkStart w:id="233" w:name="_Toc39146023"/>
      <w:bookmarkStart w:id="234" w:name="_Toc39146192"/>
      <w:bookmarkStart w:id="235" w:name="_Toc39146317"/>
      <w:bookmarkStart w:id="236" w:name="_Toc39146701"/>
      <w:bookmarkStart w:id="237" w:name="_Toc39688274"/>
      <w:bookmarkStart w:id="238" w:name="_Toc40832634"/>
      <w:bookmarkStart w:id="239" w:name="_Toc40833196"/>
      <w:bookmarkStart w:id="240" w:name="_Toc40833221"/>
      <w:bookmarkStart w:id="241" w:name="_Toc40861727"/>
      <w:bookmarkStart w:id="242" w:name="_Toc40862149"/>
      <w:bookmarkStart w:id="243" w:name="_Toc40884722"/>
      <w:bookmarkStart w:id="244" w:name="_Toc41420502"/>
      <w:bookmarkStart w:id="245" w:name="_Toc42272892"/>
      <w:bookmarkStart w:id="246" w:name="_Toc42332951"/>
      <w:bookmarkEnd w:id="197"/>
      <w:bookmarkEnd w:id="217"/>
      <w:bookmarkEnd w:id="218"/>
      <w:r>
        <w:rPr>
          <w:lang w:val="bg-BG"/>
        </w:rPr>
        <w:t>Конкурентоспособност за растеж и работни места</w:t>
      </w:r>
      <w:bookmarkEnd w:id="108"/>
      <w:bookmarkEnd w:id="109"/>
      <w:bookmarkEnd w:id="110"/>
      <w:bookmarkEnd w:id="111"/>
      <w:bookmarkEnd w:id="112"/>
      <w:bookmarkEnd w:id="113"/>
      <w:bookmarkEnd w:id="114"/>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pStyle w:val="AMPRSource-Table-Chart-Photo-Caption"/>
        <w:spacing w:before="120"/>
        <w:rPr>
          <w:lang w:val="bg-BG"/>
        </w:rPr>
      </w:pPr>
    </w:p>
    <w:p>
      <w:pPr>
        <w:pStyle w:val="AMPRSource-Table-Chart-Photo-Caption"/>
        <w:spacing w:before="120"/>
        <w:rPr>
          <w:lang w:val="bg-BG"/>
        </w:rPr>
      </w:pPr>
      <w:r>
        <w:rPr>
          <w:lang w:eastAsia="en-GB"/>
        </w:rPr>
        <w:drawing>
          <wp:inline distT="0" distB="0" distL="0" distR="0">
            <wp:extent cx="5760720" cy="29451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2945130"/>
                    </a:xfrm>
                    <a:prstGeom prst="rect">
                      <a:avLst/>
                    </a:prstGeom>
                  </pic:spPr>
                </pic:pic>
              </a:graphicData>
            </a:graphic>
          </wp:inline>
        </w:drawing>
      </w:r>
      <w:r>
        <w:rPr>
          <w:lang w:val="bg-BG"/>
        </w:rPr>
        <w:t xml:space="preserve"> Всички суми са в милиони евро.</w:t>
      </w:r>
    </w:p>
    <w:p>
      <w:pPr>
        <w:pStyle w:val="AMPRSource-Table-Chart-Photo-Caption"/>
        <w:rPr>
          <w:lang w:val="bg-BG"/>
        </w:rPr>
      </w:pPr>
      <w:r>
        <w:rPr>
          <w:i/>
          <w:iCs w:val="0"/>
          <w:lang w:val="bg-BG"/>
        </w:rPr>
        <w:t>Източник:</w:t>
      </w:r>
      <w:r>
        <w:rPr>
          <w:lang w:val="bg-BG"/>
        </w:rPr>
        <w:t xml:space="preserve"> Европейска комисия</w:t>
      </w:r>
    </w:p>
    <w:p>
      <w:pPr>
        <w:pStyle w:val="AMPRBodyText"/>
        <w:rPr>
          <w:lang w:val="bg-BG"/>
        </w:rPr>
      </w:pPr>
      <w:r>
        <w:rPr>
          <w:lang w:val="bg-BG"/>
        </w:rPr>
        <w:t>През 2019</w:t>
      </w:r>
      <w:r>
        <w:t> </w:t>
      </w:r>
      <w:r>
        <w:rPr>
          <w:lang w:val="bg-BG"/>
        </w:rPr>
        <w:t>г. бяха отпуснати 23</w:t>
      </w:r>
      <w:r>
        <w:rPr>
          <w:rFonts w:ascii="Calibri" w:hAnsi="Calibri"/>
        </w:rPr>
        <w:t> </w:t>
      </w:r>
      <w:r>
        <w:rPr>
          <w:lang w:val="bg-BG"/>
        </w:rPr>
        <w:t>милиарда евро за конкурентоспособност за растеж и работни места, което представлява почти 15</w:t>
      </w:r>
      <w:r>
        <w:t> </w:t>
      </w:r>
      <w:r>
        <w:rPr>
          <w:lang w:val="bg-BG"/>
        </w:rPr>
        <w:t xml:space="preserve">% от бюджета на ЕС. В тази бюджетна функция са привлечени значителни икономически инвестиции за инфраструктура, научни изследвания и иновации, а също и за подкрепа на малки и средни предприятия. Този тип инвестиции са ключови за двойния преход към </w:t>
      </w:r>
      <w:r>
        <w:rPr>
          <w:rStyle w:val="AMPRcharBoldBlue"/>
          <w:lang w:val="bg-BG"/>
        </w:rPr>
        <w:t>цифрова и неутрална по отношение на климата икономика</w:t>
      </w:r>
      <w:r>
        <w:rPr>
          <w:lang w:val="bg-BG"/>
        </w:rPr>
        <w:t xml:space="preserve"> и имат фундаментална роля за устойчивия дългосрочен растеж в Европа.</w:t>
      </w:r>
    </w:p>
    <w:p>
      <w:pPr>
        <w:pStyle w:val="AMPRBodyText"/>
        <w:rPr>
          <w:lang w:val="bg-BG"/>
        </w:rPr>
      </w:pPr>
      <w:r>
        <w:rPr>
          <w:lang w:val="bg-BG"/>
        </w:rPr>
        <w:t>С тази функция също така се илюстрира силата на бюджета на ЕС да мобилизира инвестиции от други източници. До края на 2019</w:t>
      </w:r>
      <w:r>
        <w:t> </w:t>
      </w:r>
      <w:r>
        <w:rPr>
          <w:lang w:val="bg-BG"/>
        </w:rPr>
        <w:t xml:space="preserve">г например </w:t>
      </w:r>
      <w:r>
        <w:rPr>
          <w:rStyle w:val="AMPRcharBoldBlue"/>
          <w:lang w:val="bg-BG"/>
        </w:rPr>
        <w:t>Европейският фонд за стратегически инвестиции</w:t>
      </w:r>
      <w:r>
        <w:rPr>
          <w:lang w:val="bg-BG"/>
        </w:rPr>
        <w:t xml:space="preserve"> беше мобилизирал повече от 458</w:t>
      </w:r>
      <w:r>
        <w:rPr>
          <w:rFonts w:ascii="Calibri" w:hAnsi="Calibri"/>
        </w:rPr>
        <w:t> </w:t>
      </w:r>
      <w:r>
        <w:rPr>
          <w:lang w:val="bg-BG"/>
        </w:rPr>
        <w:t>милиарда инвестиции и беше осигурил подкрепа за повече от 8,5</w:t>
      </w:r>
      <w:r>
        <w:rPr>
          <w:rFonts w:ascii="Calibri" w:hAnsi="Calibri"/>
        </w:rPr>
        <w:t> </w:t>
      </w:r>
      <w:r>
        <w:rPr>
          <w:lang w:val="bg-BG"/>
        </w:rPr>
        <w:t>милиона работни места</w:t>
      </w:r>
      <w:r>
        <w:rPr>
          <w:rStyle w:val="fnRef"/>
          <w:rFonts w:ascii="Arial" w:hAnsi="Arial"/>
        </w:rPr>
        <w:t> </w:t>
      </w:r>
      <w:r>
        <w:rPr>
          <w:rStyle w:val="fnRef"/>
          <w:lang w:val="bg-BG"/>
        </w:rPr>
        <w:t>(</w:t>
      </w:r>
      <w:r>
        <w:rPr>
          <w:rStyle w:val="fnRefNo"/>
        </w:rPr>
        <w:footnoteReference w:id="15"/>
      </w:r>
      <w:r>
        <w:rPr>
          <w:rStyle w:val="fnRef"/>
          <w:lang w:val="bg-BG"/>
        </w:rPr>
        <w:t>)</w:t>
      </w:r>
      <w:r>
        <w:rPr>
          <w:lang w:val="bg-BG"/>
        </w:rPr>
        <w:t>. Той изигра важна роля за подкрепата на икономиката чрез финансиране на ключови инвестиции в инфраструктура в области като енергетика и транспорт, както и за подпомагането на малките и средните предприятия.</w:t>
      </w:r>
    </w:p>
    <w:p>
      <w:pPr>
        <w:pStyle w:val="AMPRBodyText"/>
        <w:rPr>
          <w:lang w:val="bg-BG"/>
        </w:rPr>
      </w:pPr>
      <w:bookmarkStart w:id="247" w:name="_Toc37701082"/>
      <w:r>
        <w:rPr>
          <w:lang w:val="bg-BG"/>
        </w:rPr>
        <w:t>Значителен дял от инвестициите по тази бюджетна функция е предназначен да гарантира, че ЕС ще запази конкурентните си предимства на днешните глобални пазари. Разработването на най-съвременни технологии и подкрепата за внедряването им в ЕС са от съществено значение за приемането на тези технологии от участниците на пазара и гражданите. Чрез тези програми се осигуряват също така инвестиции в основна инфраструктура, независимо дали чрез предоставяне на пряко финансиране в области с недостатъчно финансиране или чрез инвестиции в развитието или поддържането на инфраструктура, която е основна за функционирането на вътрешния пазар. Освен това посредством тази бюджетна функция, заедно с други части от бюджета на ЕС, се инвестира в човешки капитал, по-специално чрез предоставяне на възможности за мобилност.</w:t>
      </w:r>
    </w:p>
    <w:p>
      <w:pPr>
        <w:pStyle w:val="AMPRSec1TITLE3-notnumbered"/>
        <w:ind w:left="993" w:hanging="993"/>
        <w:rPr>
          <w:lang w:val="bg-BG"/>
        </w:rPr>
      </w:pPr>
      <w:bookmarkStart w:id="248" w:name="_Toc39135917"/>
      <w:bookmarkStart w:id="249" w:name="_Toc39136181"/>
      <w:bookmarkStart w:id="250" w:name="_Toc39136325"/>
      <w:bookmarkStart w:id="251" w:name="_Toc39136473"/>
      <w:bookmarkStart w:id="252" w:name="_Toc39137290"/>
      <w:bookmarkStart w:id="253" w:name="_Toc39138022"/>
      <w:bookmarkStart w:id="254" w:name="_Toc39140506"/>
      <w:bookmarkStart w:id="255" w:name="_Toc39141726"/>
      <w:bookmarkStart w:id="256" w:name="_Toc39141996"/>
      <w:bookmarkStart w:id="257" w:name="_Toc39142948"/>
      <w:bookmarkStart w:id="258" w:name="_Toc39143006"/>
      <w:bookmarkStart w:id="259" w:name="_Toc39143946"/>
      <w:bookmarkStart w:id="260" w:name="_Toc39144014"/>
      <w:bookmarkStart w:id="261" w:name="_Toc39144689"/>
      <w:bookmarkStart w:id="262" w:name="_Toc39146193"/>
      <w:bookmarkStart w:id="263" w:name="_Toc39146318"/>
      <w:bookmarkStart w:id="264" w:name="_Toc39146702"/>
      <w:r>
        <w:rPr>
          <w:lang w:val="bg-BG"/>
        </w:rPr>
        <w:t>1.3.1.</w:t>
      </w:r>
      <w:r>
        <w:rPr>
          <w:lang w:val="bg-BG"/>
        </w:rPr>
        <w:tab/>
        <w:t>Бюджетът на ЕС създава възможност за преход към зелена икономика чрез подкрепа за иновациите и инвестиции в чиста енергия и транспорт</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pPr>
        <w:pStyle w:val="AMPRBodyText"/>
        <w:rPr>
          <w:lang w:val="bg-BG"/>
        </w:rPr>
      </w:pPr>
      <w:r>
        <w:rPr>
          <w:lang w:val="bg-BG"/>
        </w:rPr>
        <w:t>За да бъде възможен преходът към зелена икономика, от бюджета на ЕС се финансира съответната инфраструктура, като например за производство на възобновяема енергия, и се поставя акцент върху интелигентни решения чрез разработване на иновативни технологии и съчетаването им с инвестиции в основна инфраструктура.</w:t>
      </w:r>
    </w:p>
    <w:p>
      <w:pPr>
        <w:pStyle w:val="AMPRBodyText"/>
        <w:spacing w:after="360"/>
        <w:rPr>
          <w:lang w:val="bg-BG"/>
        </w:rPr>
      </w:pPr>
      <w:r>
        <w:rPr>
          <w:lang w:val="bg-BG"/>
        </w:rPr>
        <w:t xml:space="preserve">Програмата </w:t>
      </w:r>
      <w:r>
        <w:rPr>
          <w:rStyle w:val="AMPRcharBoldBlue"/>
          <w:lang w:val="bg-BG"/>
        </w:rPr>
        <w:t>„Хоризонт 2020“</w:t>
      </w:r>
      <w:r>
        <w:rPr>
          <w:lang w:val="bg-BG"/>
        </w:rPr>
        <w:t xml:space="preserve"> за научни изследвания и иновации е една от най-големите единни интегрирани програми за научни изследвания и иновации от този тип в света. Тя е особено важна и емблематична за по-широкия стремеж да се подкрепят иновациите и технологичното развитие чрез бюджета на ЕС. Чрез „Хоризонт 2020“ се подкрепя цялата верига от изследвания и развойна дейност от лабораторията до пазара. Целта е да гарантира, че ЕС генерира наука и технологии от световна класа, за премахване на пречките пред иновациите и улесняване на съвместната работа на публичния и частния сектор за намиране на решения на основните предизвикателства, пред които се изправя нашето общество. До края на 2019</w:t>
      </w:r>
      <w:r>
        <w:t> </w:t>
      </w:r>
      <w:r>
        <w:rPr>
          <w:lang w:val="bg-BG"/>
        </w:rPr>
        <w:t>г. по програмата бяха подкрепени над 23</w:t>
      </w:r>
      <w:r>
        <w:rPr>
          <w:rFonts w:ascii="Calibri" w:hAnsi="Calibri"/>
        </w:rPr>
        <w:t> </w:t>
      </w:r>
      <w:r>
        <w:rPr>
          <w:lang w:val="bg-BG"/>
        </w:rPr>
        <w:t>000 организации, за да получат достъп до рисково финансиране, както и 5522 висококачествени изследователски проекта в рамките на Европейския научноизследователски съвет и 44</w:t>
      </w:r>
      <w:r>
        <w:rPr>
          <w:rFonts w:ascii="Calibri" w:hAnsi="Calibri"/>
        </w:rPr>
        <w:t> </w:t>
      </w:r>
      <w:r>
        <w:rPr>
          <w:lang w:val="bg-BG"/>
        </w:rPr>
        <w:t>000 иновации, които включват прототипи и дейности по изпитване</w:t>
      </w:r>
      <w:r>
        <w:rPr>
          <w:rStyle w:val="fnRef"/>
          <w:rFonts w:ascii="Arial" w:hAnsi="Arial"/>
        </w:rPr>
        <w:t> </w:t>
      </w:r>
      <w:r>
        <w:rPr>
          <w:rStyle w:val="fnRef"/>
          <w:lang w:val="bg-BG"/>
        </w:rPr>
        <w:t>(</w:t>
      </w:r>
      <w:r>
        <w:rPr>
          <w:rStyle w:val="fnRefNo"/>
        </w:rPr>
        <w:footnoteReference w:id="16"/>
      </w:r>
      <w:r>
        <w:rPr>
          <w:rStyle w:val="fnRef"/>
          <w:lang w:val="bg-BG"/>
        </w:rPr>
        <w:t>)</w:t>
      </w:r>
      <w:r>
        <w:rPr>
          <w:lang w:val="bg-BG"/>
        </w:rPr>
        <w:t>. Независимо от това делът на разходите, свързани с климата по „Хоризонт</w:t>
      </w:r>
      <w:r>
        <w:t> </w:t>
      </w:r>
      <w:r>
        <w:rPr>
          <w:lang w:val="bg-BG"/>
        </w:rPr>
        <w:t>2020“, остава под очакваното ниво, в размер на 27</w:t>
      </w:r>
      <w:r>
        <w:t> </w:t>
      </w:r>
      <w:r>
        <w:rPr>
          <w:lang w:val="bg-BG"/>
        </w:rPr>
        <w:t>%, поради затруднения в предварителното оценяване на степента, до която определени изследователски проекти ще имат принос за целите, свързани с климата. Комисията взема мерки спрямо тази ситуация чрез отправяне на покана, посветена на Европейския зелен пакт през 2020</w:t>
      </w:r>
      <w:r>
        <w:t> </w:t>
      </w:r>
      <w:r>
        <w:rPr>
          <w:lang w:val="bg-BG"/>
        </w:rPr>
        <w:t>г., с бюджет от 1</w:t>
      </w:r>
      <w:r>
        <w:rPr>
          <w:rFonts w:ascii="Calibri" w:hAnsi="Calibri"/>
        </w:rPr>
        <w:t> </w:t>
      </w:r>
      <w:r>
        <w:rPr>
          <w:lang w:val="bg-BG"/>
        </w:rPr>
        <w:t>милиард евро. Това значително ще повиши нивото на разходите, свързани с климата.</w:t>
      </w:r>
    </w:p>
    <w:p>
      <w:pPr>
        <w:pStyle w:val="AMPRBOXC-bgPINK-BLACKtext"/>
        <w:rPr>
          <w:noProof/>
          <w:lang w:val="bg-BG"/>
        </w:rPr>
      </w:pPr>
      <w:r>
        <w:rPr>
          <w:noProof/>
          <w:lang w:val="bg-BG"/>
        </w:rPr>
        <w:t>По програма „Хоризонт</w:t>
      </w:r>
      <w:r>
        <w:rPr>
          <w:noProof/>
        </w:rPr>
        <w:t> </w:t>
      </w:r>
      <w:r>
        <w:rPr>
          <w:noProof/>
          <w:lang w:val="bg-BG"/>
        </w:rPr>
        <w:t xml:space="preserve">2020“ беше публикувана обща покана за представяне на предложения за </w:t>
      </w:r>
      <w:r>
        <w:rPr>
          <w:rStyle w:val="AMPRcharBoldOrange"/>
          <w:lang w:val="bg-BG"/>
        </w:rPr>
        <w:t>„Изграждане на нисковъглеродно и устойчиво на изменението на климата бъдеще: батерии от следващо поколение“</w:t>
      </w:r>
      <w:r>
        <w:rPr>
          <w:noProof/>
          <w:lang w:val="bg-BG"/>
        </w:rPr>
        <w:t>, с която за първи път бяха обединени всички теми, свързани с батериите в една покана „Алианс за акумулаторните батерии“, включително седем теми, засягащи транспортни и стационарни приложения, материали и производство. Финансирани бяха шестнадесет предложения с общ принос от ЕС в размер на 97</w:t>
      </w:r>
      <w:r>
        <w:rPr>
          <w:rFonts w:ascii="Calibri" w:hAnsi="Calibri"/>
          <w:noProof/>
        </w:rPr>
        <w:t> </w:t>
      </w:r>
      <w:r>
        <w:rPr>
          <w:noProof/>
          <w:lang w:val="bg-BG"/>
        </w:rPr>
        <w:t>милиона евро</w:t>
      </w:r>
      <w:r>
        <w:rPr>
          <w:rStyle w:val="fnRef"/>
          <w:rFonts w:ascii="Arial" w:hAnsi="Arial"/>
        </w:rPr>
        <w:t> </w:t>
      </w:r>
      <w:r>
        <w:rPr>
          <w:rStyle w:val="fnRef"/>
          <w:lang w:val="bg-BG"/>
        </w:rPr>
        <w:t>(</w:t>
      </w:r>
      <w:r>
        <w:rPr>
          <w:rStyle w:val="fnRefNo"/>
        </w:rPr>
        <w:footnoteReference w:id="17"/>
      </w:r>
      <w:r>
        <w:rPr>
          <w:rStyle w:val="fnRef"/>
          <w:lang w:val="bg-BG"/>
        </w:rPr>
        <w:t>)</w:t>
      </w:r>
      <w:r>
        <w:rPr>
          <w:noProof/>
          <w:lang w:val="bg-BG"/>
        </w:rPr>
        <w:t>.</w:t>
      </w:r>
    </w:p>
    <w:p>
      <w:pPr>
        <w:pStyle w:val="AMPRBodyText"/>
        <w:spacing w:before="120" w:after="120"/>
        <w:rPr>
          <w:lang w:val="bg-BG"/>
        </w:rPr>
      </w:pPr>
    </w:p>
    <w:p>
      <w:pPr>
        <w:pStyle w:val="AMPRBOXC-bgPINK-BLACKtext"/>
        <w:rPr>
          <w:noProof/>
          <w:lang w:val="bg-BG"/>
        </w:rPr>
      </w:pPr>
      <w:r>
        <w:rPr>
          <w:rStyle w:val="AMPRcharBoldOrange"/>
          <w:lang w:val="bg-BG"/>
        </w:rPr>
        <w:t>Проектът „Фазови преходи, индуцирани от потока“ подкрепя иновациите за заместване на пластмасата с устойчиво и здраво влакно</w:t>
      </w:r>
      <w:r>
        <w:rPr>
          <w:noProof/>
          <w:lang w:val="bg-BG"/>
        </w:rPr>
        <w:t>. По проекта се извършва изпитване и разработване на нова форма на обработване на полимери чрез контролирано втвърдяване, получени от естествени материали с намалена употреба на вода и енергия. Вдъхновение за създаването на високоефективни естествени влакна (устойчиви, разградими и еластични) по начин, който е над 1</w:t>
      </w:r>
      <w:r>
        <w:rPr>
          <w:rFonts w:ascii="Calibri" w:hAnsi="Calibri"/>
          <w:noProof/>
        </w:rPr>
        <w:t> </w:t>
      </w:r>
      <w:r>
        <w:rPr>
          <w:noProof/>
          <w:lang w:val="bg-BG"/>
        </w:rPr>
        <w:t xml:space="preserve">000 пъти по-енергоефективен от индустриално произведените влакна, е почерпено от паяците и копринените буби. Благодарение на генерираните много ниски емисии на </w:t>
      </w:r>
      <w:r>
        <w:rPr>
          <w:noProof/>
        </w:rPr>
        <w:t>CO</w:t>
      </w:r>
      <w:r>
        <w:rPr>
          <w:noProof/>
          <w:vertAlign w:val="subscript"/>
          <w:lang w:val="bg-BG"/>
        </w:rPr>
        <w:t>2</w:t>
      </w:r>
      <w:r>
        <w:rPr>
          <w:noProof/>
          <w:lang w:val="bg-BG"/>
        </w:rPr>
        <w:t xml:space="preserve"> и използването на природни ресурси, тази нова форма на обработване на полимери ще намали потреблението на енергия и производството на пластмаса. Проектът вече е част от мащабния пилотен проект на Европейски съвет по иновациите.</w:t>
      </w:r>
    </w:p>
    <w:p>
      <w:pPr>
        <w:pStyle w:val="AMPRBodyText"/>
        <w:spacing w:before="360"/>
        <w:rPr>
          <w:lang w:val="bg-BG"/>
        </w:rPr>
      </w:pPr>
      <w:r>
        <w:rPr>
          <w:lang w:val="bg-BG"/>
        </w:rPr>
        <w:t xml:space="preserve">Друг важен принос в тази област имат космическите програми на ЕС. Програмата </w:t>
      </w:r>
      <w:r>
        <w:rPr>
          <w:rStyle w:val="AMPRcharBoldBlue"/>
          <w:lang w:val="bg-BG"/>
        </w:rPr>
        <w:t>„Коперник“</w:t>
      </w:r>
      <w:r>
        <w:rPr>
          <w:lang w:val="bg-BG"/>
        </w:rPr>
        <w:t xml:space="preserve"> е световен лидер в </w:t>
      </w:r>
      <w:r>
        <w:rPr>
          <w:rStyle w:val="AMPRcharBoldBlue"/>
          <w:lang w:val="bg-BG"/>
        </w:rPr>
        <w:t>наблюдението на Земята, като в момента по програмата се управляват седем спътника, а подготовката на осмия ще бъде завършена през 2019</w:t>
      </w:r>
      <w:r>
        <w:rPr>
          <w:rStyle w:val="AMPRcharBoldBlue"/>
        </w:rPr>
        <w:t> </w:t>
      </w:r>
      <w:r>
        <w:rPr>
          <w:rStyle w:val="AMPRcharBoldBlue"/>
          <w:lang w:val="bg-BG"/>
        </w:rPr>
        <w:t>г.</w:t>
      </w:r>
      <w:r>
        <w:rPr>
          <w:lang w:val="bg-BG"/>
        </w:rPr>
        <w:t xml:space="preserve"> Тя е от съществено значение за разбирането на климатичните системи, като предлага широк спектър от безплатни услуги на всички заинтересовани страни от ЕС. През 2019</w:t>
      </w:r>
      <w:r>
        <w:t> </w:t>
      </w:r>
      <w:r>
        <w:rPr>
          <w:lang w:val="bg-BG"/>
        </w:rPr>
        <w:t>г. броят на активните потребители за първи път надмина 300</w:t>
      </w:r>
      <w:r>
        <w:rPr>
          <w:rFonts w:ascii="Calibri" w:hAnsi="Calibri"/>
        </w:rPr>
        <w:t> </w:t>
      </w:r>
      <w:r>
        <w:rPr>
          <w:lang w:val="bg-BG"/>
        </w:rPr>
        <w:t>000</w:t>
      </w:r>
      <w:r>
        <w:rPr>
          <w:rStyle w:val="fnRef"/>
          <w:rFonts w:ascii="Arial" w:hAnsi="Arial"/>
          <w:lang w:val="bg-BG"/>
        </w:rPr>
        <w:t xml:space="preserve"> </w:t>
      </w:r>
      <w:r>
        <w:rPr>
          <w:rStyle w:val="fnRef"/>
          <w:lang w:val="bg-BG"/>
        </w:rPr>
        <w:t>(</w:t>
      </w:r>
      <w:r>
        <w:rPr>
          <w:rStyle w:val="fnRefNo"/>
        </w:rPr>
        <w:footnoteReference w:id="18"/>
      </w:r>
      <w:r>
        <w:rPr>
          <w:rStyle w:val="fnRef"/>
          <w:lang w:val="bg-BG"/>
        </w:rPr>
        <w:t>)</w:t>
      </w:r>
      <w:r>
        <w:rPr>
          <w:lang w:val="bg-BG"/>
        </w:rPr>
        <w:t xml:space="preserve"> — много по-голям брой от първоначално очаквания. Услугите на „Коперник“ поддържат както точното прогнозиране на времето, така и наблюдението на изменението на климата и влиянието на замърсяването. Ключов компонент на „Коперник“ е </w:t>
      </w:r>
      <w:r>
        <w:rPr>
          <w:rStyle w:val="AMPRcharBoldBlue"/>
          <w:lang w:val="bg-BG"/>
        </w:rPr>
        <w:t>услугата за управление на извънредни ситуации</w:t>
      </w:r>
      <w:r>
        <w:rPr>
          <w:lang w:val="bg-BG"/>
        </w:rPr>
        <w:t>, която подпомага органите за гражданска защита при незабавното реагиране на бедствия, например при горските пожари в Гърция и Италия през 2019</w:t>
      </w:r>
      <w:r>
        <w:t> </w:t>
      </w:r>
      <w:r>
        <w:rPr>
          <w:lang w:val="bg-BG"/>
        </w:rPr>
        <w:t>г., както и при горските пожари в Австралия, наред с останалите.</w:t>
      </w:r>
    </w:p>
    <w:p>
      <w:pPr>
        <w:pStyle w:val="AMPRBodyText"/>
        <w:rPr>
          <w:lang w:val="bg-BG"/>
        </w:rPr>
      </w:pPr>
      <w:r>
        <w:rPr>
          <w:lang w:val="bg-BG"/>
        </w:rPr>
        <w:t xml:space="preserve">Преки инвестиции в инфраструктура са направени в рамките на </w:t>
      </w:r>
      <w:r>
        <w:rPr>
          <w:rStyle w:val="AMPRcharBoldBlue"/>
          <w:lang w:val="bg-BG"/>
        </w:rPr>
        <w:t>Механизма за свързване на Европа</w:t>
      </w:r>
      <w:r>
        <w:rPr>
          <w:lang w:val="bg-BG"/>
        </w:rPr>
        <w:t>, чрез който се финансира основна транспортна, енергийна и телекомуникационна инфраструктура, като се интегрират мрежи в целия ЕС. Механизмът за свързване на Европа (МСЕ) е фокусиран върху интелигентни решения, обединяващи цифровизацията и инфраструктурата с цел създаване на безопасни и ефективни интегрирани мрежи за подкрепа на декарбонизацията чрез устойчиви решения в транспортния, енергийния и цифровия сектор. По линия на МСЕ са съфинансирани проекти в транспортния сектор, които ще доведат до електрифициране на повече от 2 000</w:t>
      </w:r>
      <w:r>
        <w:t> km</w:t>
      </w:r>
      <w:r>
        <w:rPr>
          <w:lang w:val="bg-BG"/>
        </w:rPr>
        <w:t xml:space="preserve"> железопътни линии, модернизиране на близо 3 000</w:t>
      </w:r>
      <w:r>
        <w:t> km</w:t>
      </w:r>
      <w:r>
        <w:rPr>
          <w:lang w:val="bg-BG"/>
        </w:rPr>
        <w:t xml:space="preserve"> вътрешни водни пътища и разполагане на около 13</w:t>
      </w:r>
      <w:r>
        <w:t> </w:t>
      </w:r>
      <w:r>
        <w:rPr>
          <w:lang w:val="bg-BG"/>
        </w:rPr>
        <w:t>000 пунктове за доставка на алтернативни горива в цяла Европа, което ще насърчи екологизирането на транспортния сектор. Енергийният компонент на Механизма за свързване на Европа допринесе, наред с други неща, за прекратяване на енергийната изолация на балтийските държави, подобряване на взаимосвързаността на Иберийския полуостров с останалата част на Европа и свързване на Ирландия с континентална Европа. Всичко това помогна значително за включване на по-голям дял възобновяема енергия в електроенергийната система. Освен това, в съответствие с целта за неутралност по отношение на климата, Комисията прави оценка на съществуващите регламенти за трансевропейската мрежа, за да съгласува допълнително мащабните си инвестиции в инфраструктура.</w:t>
      </w:r>
    </w:p>
    <w:p>
      <w:pPr>
        <w:pStyle w:val="AMPRBodyText"/>
        <w:rPr>
          <w:lang w:val="bg-BG"/>
        </w:rPr>
      </w:pPr>
      <w:r>
        <w:rPr>
          <w:lang w:val="bg-BG"/>
        </w:rPr>
        <w:t>По отношение на транспортната инфраструктура е постигнат напредък в региона на Балтийско море и по железопътната инфраструктура, която пресича германско-полската граница, в резултат на което ще бъдат облагодетелствани близо 95</w:t>
      </w:r>
      <w:r>
        <w:rPr>
          <w:rFonts w:ascii="Calibri" w:hAnsi="Calibri"/>
        </w:rPr>
        <w:t> </w:t>
      </w:r>
      <w:r>
        <w:rPr>
          <w:lang w:val="bg-BG"/>
        </w:rPr>
        <w:t>милиона граждани.</w:t>
      </w:r>
    </w:p>
    <w:p>
      <w:pPr>
        <w:pStyle w:val="AMPRBOXC-bgPINK-ORANGEHeading"/>
        <w:rPr>
          <w:noProof/>
          <w:lang w:val="bg-BG"/>
        </w:rPr>
      </w:pPr>
      <w:r>
        <w:rPr>
          <w:noProof/>
          <w:lang w:val="bg-BG"/>
        </w:rPr>
        <w:t>Морска среда: фериботи с нулеви емисии — зелена връзка в целия регион Йоресунд</w:t>
      </w:r>
    </w:p>
    <w:p>
      <w:pPr>
        <w:pStyle w:val="AMPRBOXC-bgPINK-BLACKtext"/>
        <w:rPr>
          <w:noProof/>
          <w:lang w:val="bg-BG"/>
        </w:rPr>
      </w:pPr>
      <w:r>
        <w:rPr>
          <w:noProof/>
          <w:lang w:val="bg-BG"/>
        </w:rPr>
        <w:t>Действието обхвана въвеждането на нови и иновативни концепции и технологии посредством преобразуването на два съществуващи сложни пътнически кораба</w:t>
      </w:r>
      <w:r>
        <w:rPr>
          <w:rFonts w:ascii="Calibri" w:hAnsi="Calibri"/>
          <w:noProof/>
          <w:lang w:val="bg-BG"/>
        </w:rPr>
        <w:t xml:space="preserve"> </w:t>
      </w:r>
      <w:r>
        <w:rPr>
          <w:noProof/>
          <w:lang w:val="bg-BG"/>
        </w:rPr>
        <w:t>—</w:t>
      </w:r>
      <w:r>
        <w:rPr>
          <w:rFonts w:ascii="Calibri" w:hAnsi="Calibri"/>
          <w:noProof/>
          <w:lang w:val="bg-BG"/>
        </w:rPr>
        <w:t xml:space="preserve"> </w:t>
      </w:r>
      <w:r>
        <w:rPr>
          <w:noProof/>
          <w:lang w:val="bg-BG"/>
        </w:rPr>
        <w:t>първоначално задвижвани с мазут —</w:t>
      </w:r>
      <w:r>
        <w:rPr>
          <w:rFonts w:ascii="Calibri" w:hAnsi="Calibri"/>
          <w:noProof/>
          <w:lang w:val="bg-BG"/>
        </w:rPr>
        <w:t xml:space="preserve"> </w:t>
      </w:r>
      <w:r>
        <w:rPr>
          <w:noProof/>
          <w:lang w:val="bg-BG"/>
        </w:rPr>
        <w:t>за да преминат изцяло на задвижване с електроенергия с помощта изключително на батерии. С действието бе намерено по-екологосъобразно решение на силно натоварена морска връзка, свързваща пристанищата от общата трансевропейската транспортна мрежа Хелсингер (Дания) и Хелсингборг (Швеция). Освен това бяха изградени инсталации за осигуряване на захранване и зареждане, необходими в пристанищата/фериботните терминали. Проектът подкрепи развитието на чисти морски магистрали чрез изпитване и внедряване на нови технологични решения в реални експлоатационни условия.</w:t>
      </w:r>
    </w:p>
    <w:p>
      <w:pPr>
        <w:pStyle w:val="AMPRSec1TITLE3-notnumbered"/>
        <w:ind w:left="993" w:hanging="993"/>
        <w:rPr>
          <w:lang w:val="bg-BG"/>
        </w:rPr>
      </w:pPr>
      <w:bookmarkStart w:id="265" w:name="_Toc39135919"/>
      <w:bookmarkStart w:id="266" w:name="_Toc39136183"/>
      <w:bookmarkStart w:id="267" w:name="_Toc39136327"/>
      <w:bookmarkStart w:id="268" w:name="_Toc39136475"/>
      <w:bookmarkStart w:id="269" w:name="_Toc39137292"/>
      <w:bookmarkStart w:id="270" w:name="_Toc39138024"/>
      <w:bookmarkStart w:id="271" w:name="_Toc39140508"/>
      <w:bookmarkStart w:id="272" w:name="_Toc39141728"/>
      <w:bookmarkStart w:id="273" w:name="_Toc39141998"/>
      <w:bookmarkStart w:id="274" w:name="_Toc39142950"/>
      <w:bookmarkStart w:id="275" w:name="_Toc39143008"/>
      <w:bookmarkStart w:id="276" w:name="_Toc39143948"/>
      <w:bookmarkStart w:id="277" w:name="_Toc39144016"/>
      <w:bookmarkStart w:id="278" w:name="_Toc39144691"/>
      <w:bookmarkStart w:id="279" w:name="_Toc39146195"/>
      <w:bookmarkStart w:id="280" w:name="_Toc39146320"/>
      <w:bookmarkStart w:id="281" w:name="_Toc39146704"/>
      <w:bookmarkStart w:id="282" w:name="_Toc39144690"/>
      <w:bookmarkStart w:id="283" w:name="_Toc39146194"/>
      <w:bookmarkStart w:id="284" w:name="_Toc39146319"/>
      <w:bookmarkStart w:id="285" w:name="_Toc39146703"/>
      <w:r>
        <w:rPr>
          <w:lang w:val="bg-BG"/>
        </w:rPr>
        <w:t>1.3.2.</w:t>
      </w:r>
      <w:r>
        <w:rPr>
          <w:lang w:val="bg-BG"/>
        </w:rPr>
        <w:tab/>
        <w:t>Бюджетът на ЕС подкрепя цифровия преход чрез инвестиране в ключова цифрова инфраструктура, изследвания и услуги</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pPr>
        <w:pStyle w:val="AMPRBodyText"/>
        <w:rPr>
          <w:lang w:val="bg-BG"/>
        </w:rPr>
      </w:pPr>
      <w:r>
        <w:rPr>
          <w:lang w:val="bg-BG"/>
        </w:rPr>
        <w:t>Подкрепата за цифровия преход играе важна роля за инвестициите от бюджета на ЕС. Освен осигуряването на достъп до цифровото пространство, основно внимание се обръща на безопасността и благополучието на гражданите и предприятията, независимо дали с цел да бъдат защитени от проблеми като киберпрестъпност или пряко да бъде подобрена безопасността на гражданите и устойчивостта, както и на безопасността на основната инфраструктура. Идеята е да се създаде екосистема от оперативно съвместими цифрови услуги, достъпни за гражданите, бизнеса и администрациите в целия ЕС, така че те да могат да се възползват изцяло от единния цифров пазар.</w:t>
      </w:r>
    </w:p>
    <w:p>
      <w:pPr>
        <w:pStyle w:val="AMPRBodyText"/>
        <w:rPr>
          <w:lang w:val="bg-BG"/>
        </w:rPr>
      </w:pPr>
      <w:r>
        <w:rPr>
          <w:lang w:val="bg-BG"/>
        </w:rPr>
        <w:t>За да бъде подкрепен цифровият преход, ресурсите по</w:t>
      </w:r>
      <w:r>
        <w:rPr>
          <w:rStyle w:val="AMPRcharBoldBlue"/>
          <w:lang w:val="bg-BG"/>
        </w:rPr>
        <w:t xml:space="preserve"> „Хоризонт</w:t>
      </w:r>
      <w:r>
        <w:rPr>
          <w:lang w:val="bg-BG"/>
        </w:rPr>
        <w:t xml:space="preserve"> </w:t>
      </w:r>
      <w:r>
        <w:rPr>
          <w:rStyle w:val="AMPRcharBoldBlue"/>
          <w:lang w:val="bg-BG"/>
        </w:rPr>
        <w:t>2020“</w:t>
      </w:r>
      <w:r>
        <w:rPr>
          <w:lang w:val="bg-BG"/>
        </w:rPr>
        <w:t xml:space="preserve"> бяха насочени към проекти за изграждане на нов капацитет в областта на изкуствения интелект и за справяне с киберпрестъпността. Ключовите проекти през 2019</w:t>
      </w:r>
      <w:r>
        <w:t> </w:t>
      </w:r>
      <w:r>
        <w:rPr>
          <w:lang w:val="bg-BG"/>
        </w:rPr>
        <w:t xml:space="preserve">г. включват </w:t>
      </w:r>
      <w:r>
        <w:t>Formobile</w:t>
      </w:r>
      <w:r>
        <w:rPr>
          <w:lang w:val="bg-BG"/>
        </w:rPr>
        <w:t>, цялостна верига за съдебно разследване, насочена към мобилни устройства, използвани от престъпници</w:t>
      </w:r>
      <w:r>
        <w:rPr>
          <w:rStyle w:val="fnRef"/>
          <w:rFonts w:ascii="Arial" w:hAnsi="Arial"/>
        </w:rPr>
        <w:t> </w:t>
      </w:r>
      <w:r>
        <w:rPr>
          <w:rStyle w:val="fnRef"/>
          <w:lang w:val="bg-BG"/>
        </w:rPr>
        <w:t>(</w:t>
      </w:r>
      <w:r>
        <w:rPr>
          <w:rStyle w:val="fnRefNo"/>
        </w:rPr>
        <w:footnoteReference w:id="19"/>
      </w:r>
      <w:r>
        <w:rPr>
          <w:rStyle w:val="fnRef"/>
          <w:lang w:val="bg-BG"/>
        </w:rPr>
        <w:t>)</w:t>
      </w:r>
      <w:r>
        <w:rPr>
          <w:lang w:val="bg-BG"/>
        </w:rPr>
        <w:t xml:space="preserve">, и </w:t>
      </w:r>
      <w:r>
        <w:t>Spider</w:t>
      </w:r>
      <w:r>
        <w:rPr>
          <w:lang w:val="bg-BG"/>
        </w:rPr>
        <w:t>, изследователски проект за разследване на сигурността на 5</w:t>
      </w:r>
      <w:r>
        <w:t>G</w:t>
      </w:r>
      <w:r>
        <w:rPr>
          <w:lang w:val="bg-BG"/>
        </w:rPr>
        <w:t xml:space="preserve"> телекомуникационни мрежи.</w:t>
      </w:r>
    </w:p>
    <w:p>
      <w:pPr>
        <w:pStyle w:val="AMPRBodyText"/>
        <w:spacing w:after="360"/>
        <w:rPr>
          <w:lang w:val="bg-BG"/>
        </w:rPr>
      </w:pPr>
      <w:r>
        <w:rPr>
          <w:rStyle w:val="AMPRcharBoldBlue"/>
          <w:lang w:val="bg-BG"/>
        </w:rPr>
        <w:t>Механизмът за свързване на Европа</w:t>
      </w:r>
      <w:r>
        <w:rPr>
          <w:lang w:val="bg-BG"/>
        </w:rPr>
        <w:t xml:space="preserve"> подкрепя цифровия преход чрез осигуряване на необходимата основна широколентова инфраструктура и насърчаване на свързаността, а също и чрез включване на цифрови иновации в разработването на подкрепени проекти за транспортна и енергийна инфраструктура. В телекомуникационния сектор бюджетът на ЕС дава възможност за осигуряване на оперативна съвместимост на специфични услуги на ниво ЕС в области като здравеопазване, правосъдие, данни за социалната сигурност, електронно управление, дезинформация, цифрови умения и киберсигурност. До края на 2019</w:t>
      </w:r>
      <w:r>
        <w:t> </w:t>
      </w:r>
      <w:r>
        <w:rPr>
          <w:lang w:val="bg-BG"/>
        </w:rPr>
        <w:t xml:space="preserve">г. тези услуги бяха използвани в рамките на 500 проекта в държавите членки и държавите, участващи в Европейското икономическо пространство. Чрез инициативата </w:t>
      </w:r>
      <w:r>
        <w:t>WiFi</w:t>
      </w:r>
      <w:r>
        <w:rPr>
          <w:lang w:val="bg-BG"/>
        </w:rPr>
        <w:t>4</w:t>
      </w:r>
      <w:r>
        <w:t>EU</w:t>
      </w:r>
      <w:r>
        <w:rPr>
          <w:lang w:val="bg-BG"/>
        </w:rPr>
        <w:t xml:space="preserve">, по линия на МСЕ в областта на телекомуникациите беше подкрепено инсталирането на безплатна </w:t>
      </w:r>
      <w:r>
        <w:t>Wi</w:t>
      </w:r>
      <w:r>
        <w:rPr>
          <w:lang w:val="bg-BG"/>
        </w:rPr>
        <w:t>-</w:t>
      </w:r>
      <w:r>
        <w:t>Fi</w:t>
      </w:r>
      <w:r>
        <w:rPr>
          <w:lang w:val="bg-BG"/>
        </w:rPr>
        <w:t xml:space="preserve"> връзка в публичните пространства на 7980 европейски общини и бе създаден капиталов инструмент, Фонд за широколентова връзка в Европа, за разгръщане на мрежи с много голям капацитет.</w:t>
      </w:r>
    </w:p>
    <w:p>
      <w:pPr>
        <w:pStyle w:val="AMPRBOXC-bgPINK-BLACKtext"/>
        <w:rPr>
          <w:noProof/>
          <w:lang w:val="bg-BG"/>
        </w:rPr>
      </w:pPr>
      <w:r>
        <w:rPr>
          <w:noProof/>
          <w:lang w:val="bg-BG"/>
        </w:rPr>
        <w:t>Инфраструктурата за цифрови услуги в областта на електронното здравеопазване улеснява осигуряването на непрекъснатост на грижите и безопасност на пациентите за граждани, търсещи трансгранично здравно обслужване, като позволява обмен на здравни данни през националните граници. Чрез трансграничните електронни рецепти/електронни предписания (еР) пациентите в чужбина могат да получават еквивалентните лекарства, които биха получили в своята държава. Чрез услугите за обобщени данни за пациента здравните специалисти получават достъп до проверени ключови здравни данни за пациент, нуждаещ се от непланирано трансгранично здравно обслужване. Трансграничният обмен на обобщени данни за пациента и електронни рецепти се осъществява от януари 2019</w:t>
      </w:r>
      <w:r>
        <w:rPr>
          <w:noProof/>
        </w:rPr>
        <w:t> </w:t>
      </w:r>
      <w:r>
        <w:rPr>
          <w:noProof/>
          <w:lang w:val="bg-BG"/>
        </w:rPr>
        <w:t>г. насам, като между Финландия, Португалия, Естония и Хърватия вече са обменени близо 8000 електронни рецепти. През 2019</w:t>
      </w:r>
      <w:r>
        <w:rPr>
          <w:noProof/>
        </w:rPr>
        <w:t> </w:t>
      </w:r>
      <w:r>
        <w:rPr>
          <w:noProof/>
          <w:lang w:val="bg-BG"/>
        </w:rPr>
        <w:t>г. Чехия, Люксембург, Хърватия и Малта направиха възможен обмена на обобщени данни за пациента, а Португалия се присъедини към тях в началото на 2020</w:t>
      </w:r>
      <w:r>
        <w:rPr>
          <w:noProof/>
        </w:rPr>
        <w:t> </w:t>
      </w:r>
      <w:r>
        <w:rPr>
          <w:noProof/>
          <w:lang w:val="bg-BG"/>
        </w:rPr>
        <w:t>г.</w:t>
      </w:r>
    </w:p>
    <w:p>
      <w:pPr>
        <w:pStyle w:val="AMPRBodyText"/>
        <w:spacing w:before="360"/>
        <w:rPr>
          <w:lang w:val="bg-BG"/>
        </w:rPr>
      </w:pPr>
      <w:r>
        <w:rPr>
          <w:lang w:val="bg-BG"/>
        </w:rPr>
        <w:t>Друга област е географското позициониране. Програмата</w:t>
      </w:r>
      <w:r>
        <w:rPr>
          <w:rStyle w:val="AMPRcharBoldBlue"/>
          <w:lang w:val="bg-BG"/>
        </w:rPr>
        <w:t xml:space="preserve"> „Галилео“</w:t>
      </w:r>
      <w:r>
        <w:rPr>
          <w:lang w:val="bg-BG"/>
        </w:rPr>
        <w:t xml:space="preserve"> с изведени 26 сателита в орбита</w:t>
      </w:r>
      <w:r>
        <w:rPr>
          <w:rStyle w:val="fnRef"/>
          <w:rFonts w:ascii="Arial" w:hAnsi="Arial"/>
        </w:rPr>
        <w:t> </w:t>
      </w:r>
      <w:r>
        <w:rPr>
          <w:rStyle w:val="fnRef"/>
          <w:lang w:val="bg-BG"/>
        </w:rPr>
        <w:t>(</w:t>
      </w:r>
      <w:r>
        <w:rPr>
          <w:rStyle w:val="fnRefNo"/>
        </w:rPr>
        <w:footnoteReference w:id="20"/>
      </w:r>
      <w:r>
        <w:rPr>
          <w:rStyle w:val="fnRef"/>
          <w:lang w:val="bg-BG"/>
        </w:rPr>
        <w:t>)</w:t>
      </w:r>
      <w:r>
        <w:rPr>
          <w:lang w:val="bg-BG"/>
        </w:rPr>
        <w:t xml:space="preserve"> помага за подобряване на точността и надеждността на услугите за локализация в смартфоните на повече от 1</w:t>
      </w:r>
      <w:r>
        <w:rPr>
          <w:rFonts w:ascii="Calibri" w:hAnsi="Calibri"/>
        </w:rPr>
        <w:t> </w:t>
      </w:r>
      <w:r>
        <w:rPr>
          <w:lang w:val="bg-BG"/>
        </w:rPr>
        <w:t xml:space="preserve">милиард потребители по целия свят. Освен това </w:t>
      </w:r>
      <w:r>
        <w:rPr>
          <w:rStyle w:val="AMPRcharBoldBlue"/>
          <w:lang w:val="bg-BG"/>
        </w:rPr>
        <w:t xml:space="preserve">Европейската геостационарна служба за навигационно покритие играе ключова роля </w:t>
      </w:r>
      <w:r>
        <w:rPr>
          <w:lang w:val="bg-BG"/>
        </w:rPr>
        <w:t>за критични по отношение на безопасността услуги като авиационната безопасност. В края на 2019</w:t>
      </w:r>
      <w:r>
        <w:t> </w:t>
      </w:r>
      <w:r>
        <w:rPr>
          <w:lang w:val="bg-BG"/>
        </w:rPr>
        <w:t>г. 350 летища, в които е внедрена тази услуга функционираха в 23 държави в Европа, като броят им продължава да се увеличава за пета поредна година от 129 през 2014</w:t>
      </w:r>
      <w:r>
        <w:t> </w:t>
      </w:r>
      <w:r>
        <w:rPr>
          <w:lang w:val="bg-BG"/>
        </w:rPr>
        <w:t>г.</w:t>
      </w:r>
      <w:r>
        <w:rPr>
          <w:rStyle w:val="fnRef"/>
          <w:rFonts w:ascii="Arial" w:hAnsi="Arial"/>
        </w:rPr>
        <w:t> </w:t>
      </w:r>
      <w:r>
        <w:rPr>
          <w:rStyle w:val="fnRef"/>
          <w:lang w:val="bg-BG"/>
        </w:rPr>
        <w:t>(</w:t>
      </w:r>
      <w:r>
        <w:rPr>
          <w:rStyle w:val="fnRefNo"/>
        </w:rPr>
        <w:footnoteReference w:id="21"/>
      </w:r>
      <w:r>
        <w:rPr>
          <w:rStyle w:val="fnRef"/>
          <w:lang w:val="bg-BG"/>
        </w:rPr>
        <w:t>)</w:t>
      </w:r>
      <w:r>
        <w:rPr>
          <w:lang w:val="bg-BG"/>
        </w:rPr>
        <w:t>.</w:t>
      </w:r>
    </w:p>
    <w:p>
      <w:pPr>
        <w:pStyle w:val="AMPRBodyText"/>
        <w:rPr>
          <w:lang w:val="bg-BG"/>
        </w:rPr>
      </w:pPr>
      <w:r>
        <w:rPr>
          <w:lang w:val="bg-BG"/>
        </w:rPr>
        <w:t xml:space="preserve">Трите първоначални услуги на </w:t>
      </w:r>
      <w:r>
        <w:rPr>
          <w:rStyle w:val="AMPRcharBoldBlue"/>
          <w:lang w:val="bg-BG"/>
        </w:rPr>
        <w:t>„Галилео“</w:t>
      </w:r>
      <w:r>
        <w:rPr>
          <w:lang w:val="bg-BG"/>
        </w:rPr>
        <w:t xml:space="preserve"> (отворена услуга, публично регулирана услуга и услуга по търсене и спасяване) бяха предоставяни непрекъснато през 2019</w:t>
      </w:r>
      <w:r>
        <w:t> </w:t>
      </w:r>
      <w:r>
        <w:rPr>
          <w:lang w:val="bg-BG"/>
        </w:rPr>
        <w:t>г., с изключение на 6-дневно прекъсване през юли 2019</w:t>
      </w:r>
      <w:r>
        <w:t> </w:t>
      </w:r>
      <w:r>
        <w:rPr>
          <w:lang w:val="bg-BG"/>
        </w:rPr>
        <w:t>г. на първоначалните услуги на „Галилео“ за навигация и синхронизация поради технически инцидент. През този период услугата по търсене и спасяване „Галилео“ остана незасегната. Независимият съвет за разследване, създаден от Комисията анализира основните причини за инцидента и даде препоръки. Комисията въведе процес за прилагане на препоръките, за да се гарантира, че „Галилео“ е стабилна, здрава и устойчива система.</w:t>
      </w:r>
    </w:p>
    <w:p>
      <w:pPr>
        <w:pStyle w:val="AMPRBodyText"/>
        <w:rPr>
          <w:lang w:val="bg-BG"/>
        </w:rPr>
      </w:pPr>
      <w:r>
        <w:rPr>
          <w:lang w:val="bg-BG"/>
        </w:rPr>
        <w:t xml:space="preserve">Много от тези инвестиции и инфраструктури изискват време за създаване, а циклите на инвестиране са много дълги, което означава, че често е трудно да се отбележат постигнатият пряк напредък и конкретните резултати. В същото време подобно финансиране от бюджета на ЕС оказва реално влияние върху живота на гражданите. Например, една трета от всички общини в ЕС прилагат </w:t>
      </w:r>
      <w:r>
        <w:t>WiFi</w:t>
      </w:r>
      <w:r>
        <w:rPr>
          <w:lang w:val="bg-BG"/>
        </w:rPr>
        <w:t>4</w:t>
      </w:r>
      <w:r>
        <w:t>EU</w:t>
      </w:r>
      <w:r>
        <w:rPr>
          <w:lang w:val="bg-BG"/>
        </w:rPr>
        <w:t xml:space="preserve"> в рамките на Механизма за свързване на Европа, като осигуряват на гражданите безплатна безжична </w:t>
      </w:r>
      <w:r>
        <w:t>Wi</w:t>
      </w:r>
      <w:r>
        <w:rPr>
          <w:lang w:val="bg-BG"/>
        </w:rPr>
        <w:t>-</w:t>
      </w:r>
      <w:r>
        <w:t>Fi</w:t>
      </w:r>
      <w:r>
        <w:rPr>
          <w:lang w:val="bg-BG"/>
        </w:rPr>
        <w:t xml:space="preserve"> връзка, поддържана от ЕС. Подобрените благодарение на „Галилео“ услуги за локализация спасяват живот, като указват на службите за спешно реагиране местоположението при обаждане на номер 112 от мобилни телефони.</w:t>
      </w:r>
    </w:p>
    <w:p>
      <w:pPr>
        <w:pStyle w:val="AMPRSec1TITLE3-notnumbered"/>
        <w:ind w:left="993" w:hanging="993"/>
        <w:rPr>
          <w:lang w:val="bg-BG"/>
        </w:rPr>
      </w:pPr>
      <w:r>
        <w:rPr>
          <w:lang w:val="bg-BG"/>
        </w:rPr>
        <w:t>1.3.3.</w:t>
      </w:r>
      <w:r>
        <w:rPr>
          <w:lang w:val="bg-BG"/>
        </w:rPr>
        <w:tab/>
        <w:t>Бюджетът на ЕС осигурява съществена подкрепа за малките предприятия и предприемачите</w:t>
      </w:r>
      <w:bookmarkEnd w:id="282"/>
      <w:bookmarkEnd w:id="283"/>
      <w:bookmarkEnd w:id="284"/>
      <w:bookmarkEnd w:id="285"/>
    </w:p>
    <w:p>
      <w:pPr>
        <w:pStyle w:val="AMPRBodyText"/>
        <w:rPr>
          <w:lang w:val="bg-BG"/>
        </w:rPr>
      </w:pPr>
      <w:bookmarkStart w:id="286" w:name="_Toc39143947"/>
      <w:bookmarkStart w:id="287" w:name="_Toc39144015"/>
      <w:r>
        <w:rPr>
          <w:lang w:val="bg-BG"/>
        </w:rPr>
        <w:t>О</w:t>
      </w:r>
      <w:bookmarkEnd w:id="286"/>
      <w:bookmarkEnd w:id="287"/>
      <w:r>
        <w:rPr>
          <w:lang w:val="bg-BG"/>
        </w:rPr>
        <w:t>свен съсредоточаването специално върху прехода към зелена икономика, бюджетът на ЕС подкрепя във по-голяма степен инвестициите, необходими на ЕС за дългосрочна устойчива икономика с фокус върху хората. Въпреки че научните изследвания и развойната дейност и инфраструктурата остават важни в тази област, съществуват и други важни области, като подкрепа за малките и средните предприятия, както и предприемачеството и социалните иновации.</w:t>
      </w:r>
    </w:p>
    <w:p>
      <w:pPr>
        <w:pStyle w:val="AMPRBodyText"/>
        <w:rPr>
          <w:lang w:val="bg-BG"/>
        </w:rPr>
      </w:pPr>
      <w:r>
        <w:rPr>
          <w:lang w:val="bg-BG"/>
        </w:rPr>
        <w:t>Малките и средните предприятия представляват гръбнака на икономиката на ЕС, като съставляват 99</w:t>
      </w:r>
      <w:r>
        <w:t> </w:t>
      </w:r>
      <w:r>
        <w:rPr>
          <w:lang w:val="bg-BG"/>
        </w:rPr>
        <w:t>% от всички предприятия. Те произвеждат 56</w:t>
      </w:r>
      <w:r>
        <w:t> </w:t>
      </w:r>
      <w:r>
        <w:rPr>
          <w:lang w:val="bg-BG"/>
        </w:rPr>
        <w:t>% от икономическата продукция и осигуряват 67</w:t>
      </w:r>
      <w:r>
        <w:t> </w:t>
      </w:r>
      <w:r>
        <w:rPr>
          <w:lang w:val="bg-BG"/>
        </w:rPr>
        <w:t>% от общата заетост</w:t>
      </w:r>
      <w:r>
        <w:rPr>
          <w:rStyle w:val="fnRef"/>
          <w:rFonts w:ascii="Arial" w:hAnsi="Arial"/>
        </w:rPr>
        <w:t> </w:t>
      </w:r>
      <w:r>
        <w:rPr>
          <w:rStyle w:val="fnRef"/>
          <w:lang w:val="bg-BG"/>
        </w:rPr>
        <w:t>(</w:t>
      </w:r>
      <w:r>
        <w:rPr>
          <w:rStyle w:val="fnRefNo"/>
        </w:rPr>
        <w:footnoteReference w:id="22"/>
      </w:r>
      <w:r>
        <w:rPr>
          <w:rStyle w:val="fnRef"/>
          <w:lang w:val="bg-BG"/>
        </w:rPr>
        <w:t>)</w:t>
      </w:r>
      <w:r>
        <w:rPr>
          <w:lang w:val="bg-BG"/>
        </w:rPr>
        <w:t xml:space="preserve">. Въпреки значението им за икономиката, малките и средните предприятия продължават да срещат предизвикателства като намиране на финансиране в различни сегменти на вътрешния пазар. Бюджетът на ЕС осигурява подкрепа и възможности през целия им жизнен цикъл, от тяхното създаване, през пазарната реализация, до дългосрочните инвестиции и устойчивостта. Основната програма към бюджета за подпомагане на малките и средните предприятия е </w:t>
      </w:r>
      <w:r>
        <w:rPr>
          <w:rStyle w:val="AMPRcharBoldBlue"/>
          <w:lang w:val="bg-BG"/>
        </w:rPr>
        <w:t>програмата на ЕС за конкурентоспособност на предприятията и малките и средните предприятия</w:t>
      </w:r>
      <w:r>
        <w:rPr>
          <w:lang w:val="bg-BG"/>
        </w:rPr>
        <w:t>, която насърчава предприемачеството и по този начин помага на тези предприятия да получат достъп до финансиране и пазари и да подобрят своята конкурентоспособност.</w:t>
      </w:r>
    </w:p>
    <w:p>
      <w:pPr>
        <w:pStyle w:val="AMPRBodyText"/>
        <w:rPr>
          <w:lang w:val="bg-BG"/>
        </w:rPr>
      </w:pPr>
      <w:r>
        <w:rPr>
          <w:lang w:val="bg-BG"/>
        </w:rPr>
        <w:t>През април 2020</w:t>
      </w:r>
      <w:r>
        <w:t> </w:t>
      </w:r>
      <w:r>
        <w:rPr>
          <w:lang w:val="bg-BG"/>
        </w:rPr>
        <w:t>г. един от компонентите ѝ — Механизмът за гарантиране на заеми — беше подсилен с допълнителни средства от Европейския фонд за стратегически инвестиции, за да могат банките да предлагат мостово финансиране за малки и средни предприятия. Посредством този механизъм до края на 2019</w:t>
      </w:r>
      <w:r>
        <w:t> </w:t>
      </w:r>
      <w:r>
        <w:rPr>
          <w:lang w:val="bg-BG"/>
        </w:rPr>
        <w:t>г. по програмата беше предоставено финансиране на повече от 500</w:t>
      </w:r>
      <w:r>
        <w:rPr>
          <w:rFonts w:ascii="Calibri" w:hAnsi="Calibri"/>
        </w:rPr>
        <w:t> </w:t>
      </w:r>
      <w:r>
        <w:rPr>
          <w:lang w:val="bg-BG"/>
        </w:rPr>
        <w:t>000 малки и средни предприятия, осъществяващи дейност в 32</w:t>
      </w:r>
      <w:r>
        <w:rPr>
          <w:rFonts w:ascii="Calibri" w:hAnsi="Calibri"/>
        </w:rPr>
        <w:t> </w:t>
      </w:r>
      <w:r>
        <w:rPr>
          <w:lang w:val="bg-BG"/>
        </w:rPr>
        <w:t>държави</w:t>
      </w:r>
      <w:r>
        <w:rPr>
          <w:rStyle w:val="fnRef"/>
          <w:rFonts w:ascii="Arial" w:hAnsi="Arial"/>
        </w:rPr>
        <w:t> </w:t>
      </w:r>
      <w:r>
        <w:rPr>
          <w:rStyle w:val="fnRef"/>
          <w:lang w:val="bg-BG"/>
        </w:rPr>
        <w:t>(</w:t>
      </w:r>
      <w:r>
        <w:rPr>
          <w:rStyle w:val="fnRefNo"/>
        </w:rPr>
        <w:footnoteReference w:id="23"/>
      </w:r>
      <w:r>
        <w:rPr>
          <w:rStyle w:val="fnRef"/>
          <w:lang w:val="bg-BG"/>
        </w:rPr>
        <w:t xml:space="preserve">) </w:t>
      </w:r>
      <w:r>
        <w:rPr>
          <w:lang w:val="bg-BG"/>
        </w:rPr>
        <w:t xml:space="preserve">Помощ по линия на механизма получи и бизнесът, засегнат от икономическото въздействие на коронавирусната пандемия. Финансовата подкрепа е под формата на заеми за оборотен капитал (от 12 или повече месеца), заедно с кредитни ваканции, позволяващи забавяне на изплащането на съществуващите заеми. Мрежата </w:t>
      </w:r>
      <w:r>
        <w:t>Enterprise</w:t>
      </w:r>
      <w:r>
        <w:rPr>
          <w:lang w:val="bg-BG"/>
        </w:rPr>
        <w:t xml:space="preserve"> </w:t>
      </w:r>
      <w:r>
        <w:t>Europe</w:t>
      </w:r>
      <w:r>
        <w:rPr>
          <w:lang w:val="bg-BG"/>
        </w:rPr>
        <w:t xml:space="preserve"> също помага на малките и средните предприятия чрез иновационни партньорства в области, свързани с </w:t>
      </w:r>
      <w:r>
        <w:t>COVID</w:t>
      </w:r>
      <w:r>
        <w:rPr>
          <w:lang w:val="bg-BG"/>
        </w:rPr>
        <w:t>-19 (като защитно или медицинско оборудване) и съвети за достъп до специализирана европейска и национална финансова подкрепа.</w:t>
      </w:r>
    </w:p>
    <w:p>
      <w:pPr>
        <w:pStyle w:val="AMPRBodyText"/>
        <w:rPr>
          <w:lang w:val="bg-BG"/>
        </w:rPr>
      </w:pPr>
      <w:r>
        <w:rPr>
          <w:lang w:val="bg-BG"/>
        </w:rPr>
        <w:t xml:space="preserve">По-целенасочено финансиране за започване на дейност се предоставя на иновативни стартиращи фирми от </w:t>
      </w:r>
      <w:r>
        <w:rPr>
          <w:rStyle w:val="AMPRcharBoldBlue"/>
          <w:lang w:val="bg-BG"/>
        </w:rPr>
        <w:t>Европейския съвет за иновации</w:t>
      </w:r>
      <w:r>
        <w:rPr>
          <w:lang w:val="bg-BG"/>
        </w:rPr>
        <w:t xml:space="preserve"> по „Хоризонт 2020“ и на микро и социални предприятия от </w:t>
      </w:r>
      <w:r>
        <w:rPr>
          <w:rStyle w:val="AMPRcharBoldBlue"/>
          <w:lang w:val="bg-BG"/>
        </w:rPr>
        <w:t>Програмата за заетост и социални иновации</w:t>
      </w:r>
      <w:r>
        <w:rPr>
          <w:lang w:val="bg-BG"/>
        </w:rPr>
        <w:t>. Целта в този случай са конкретни сегменти от пазара — силно иновативни малки и средни предприятия, както и социални предприятия — които в исторически план са били изправени пред специфични трудности при достъпа до финансиране. Цифрите са обнадеждаващи и показват значителен ръст на водещите до пробив иновации и дружествата с висок растеж. Всяко инвестирано евро от Европейския съвет по иновациите задейства последващи инвестиции в размер на 2,4</w:t>
      </w:r>
      <w:r>
        <w:rPr>
          <w:rStyle w:val="fnRef"/>
          <w:rFonts w:ascii="Arial" w:hAnsi="Arial"/>
        </w:rPr>
        <w:t> </w:t>
      </w:r>
      <w:r>
        <w:rPr>
          <w:rStyle w:val="fnRef"/>
          <w:lang w:val="bg-BG"/>
        </w:rPr>
        <w:t>(</w:t>
      </w:r>
      <w:r>
        <w:rPr>
          <w:rStyle w:val="fnRefNo"/>
        </w:rPr>
        <w:footnoteReference w:id="24"/>
      </w:r>
      <w:r>
        <w:rPr>
          <w:rStyle w:val="fnRef"/>
          <w:lang w:val="bg-BG"/>
        </w:rPr>
        <w:t>)</w:t>
      </w:r>
      <w:r>
        <w:t>EUR</w:t>
      </w:r>
      <w:r>
        <w:rPr>
          <w:lang w:val="bg-BG"/>
        </w:rPr>
        <w:t>. Освен това по Програмата за заетост и социални иновации се очаква да бъдат отключени над 2,7</w:t>
      </w:r>
      <w:r>
        <w:rPr>
          <w:rFonts w:ascii="Calibri" w:hAnsi="Calibri"/>
        </w:rPr>
        <w:t> </w:t>
      </w:r>
      <w:r>
        <w:rPr>
          <w:lang w:val="bg-BG"/>
        </w:rPr>
        <w:t>милиарда евро финансиране в резултат на гаранционни споразумения на стойност 236</w:t>
      </w:r>
      <w:r>
        <w:t> </w:t>
      </w:r>
      <w:r>
        <w:rPr>
          <w:lang w:val="bg-BG"/>
        </w:rPr>
        <w:t>милиона евро, сключени от Комисията с финансови посредници.</w:t>
      </w:r>
    </w:p>
    <w:p>
      <w:pPr>
        <w:pStyle w:val="AMPRBodyText"/>
        <w:rPr>
          <w:lang w:val="bg-BG"/>
        </w:rPr>
      </w:pPr>
      <w:r>
        <w:rPr>
          <w:lang w:val="bg-BG"/>
        </w:rPr>
        <w:t xml:space="preserve">Подкрепа за предприемачество се предоставя и в нефинансова форма по програма </w:t>
      </w:r>
      <w:r>
        <w:rPr>
          <w:rStyle w:val="AMPRcharBoldBlue"/>
          <w:lang w:val="bg-BG"/>
        </w:rPr>
        <w:t>„Еразъм за млади предприемачи“</w:t>
      </w:r>
      <w:r>
        <w:rPr>
          <w:lang w:val="bg-BG"/>
        </w:rPr>
        <w:t>, с която се насърчава обменът между стартиращи и опитни предприемачи. През 2019</w:t>
      </w:r>
      <w:r>
        <w:rPr>
          <w:rFonts w:ascii="Calibri" w:hAnsi="Calibri"/>
        </w:rPr>
        <w:t> </w:t>
      </w:r>
      <w:r>
        <w:rPr>
          <w:lang w:val="bg-BG"/>
        </w:rPr>
        <w:t>г. бяха реализирани 2 100 обмена, а над 90</w:t>
      </w:r>
      <w:r>
        <w:t> </w:t>
      </w:r>
      <w:r>
        <w:rPr>
          <w:lang w:val="bg-BG"/>
        </w:rPr>
        <w:t xml:space="preserve">% от участващите предприемачи са посочили, че програмата има успех. </w:t>
      </w:r>
    </w:p>
    <w:p>
      <w:pPr>
        <w:pStyle w:val="AMPRBodyText"/>
        <w:rPr>
          <w:lang w:val="bg-BG"/>
        </w:rPr>
      </w:pPr>
      <w:r>
        <w:rPr>
          <w:lang w:val="bg-BG"/>
        </w:rPr>
        <w:t xml:space="preserve">Друг важен принос от бюджета на ЕС е финансирането за малки и средни предприятия в рамките на </w:t>
      </w:r>
      <w:r>
        <w:rPr>
          <w:rStyle w:val="AMPRcharBoldBlue"/>
          <w:lang w:val="bg-BG"/>
        </w:rPr>
        <w:t>Европейския фонд за стратегически инвестиции</w:t>
      </w:r>
      <w:r>
        <w:rPr>
          <w:lang w:val="bg-BG"/>
        </w:rPr>
        <w:t>. В областта на рисковото финансиране за иновативни микро, малки и средни и социални предприятия, както и за онези, които функционират в секторите на културата и творчеството, се очаква фондът да подкрепи повече от 1,1</w:t>
      </w:r>
      <w:r>
        <w:rPr>
          <w:rFonts w:ascii="Calibri" w:hAnsi="Calibri"/>
        </w:rPr>
        <w:t> </w:t>
      </w:r>
      <w:r>
        <w:rPr>
          <w:lang w:val="bg-BG"/>
        </w:rPr>
        <w:t>милиона такива предприятия.</w:t>
      </w:r>
    </w:p>
    <w:p>
      <w:pPr>
        <w:pStyle w:val="AMPRSec1TITLE3-notnumbered"/>
        <w:ind w:left="993" w:hanging="993"/>
        <w:rPr>
          <w:lang w:val="bg-BG"/>
        </w:rPr>
      </w:pPr>
      <w:bookmarkStart w:id="288" w:name="_Toc39135920"/>
      <w:bookmarkStart w:id="289" w:name="_Toc39136184"/>
      <w:bookmarkStart w:id="290" w:name="_Toc39136328"/>
      <w:bookmarkStart w:id="291" w:name="_Toc39136476"/>
      <w:bookmarkStart w:id="292" w:name="_Toc39137293"/>
      <w:bookmarkStart w:id="293" w:name="_Toc39138025"/>
      <w:bookmarkStart w:id="294" w:name="_Toc39140509"/>
      <w:bookmarkStart w:id="295" w:name="_Toc39141729"/>
      <w:bookmarkStart w:id="296" w:name="_Toc39141999"/>
      <w:bookmarkStart w:id="297" w:name="_Toc39142951"/>
      <w:bookmarkStart w:id="298" w:name="_Toc39143009"/>
      <w:bookmarkStart w:id="299" w:name="_Toc39143949"/>
      <w:bookmarkStart w:id="300" w:name="_Toc39144017"/>
      <w:bookmarkStart w:id="301" w:name="_Toc39144692"/>
      <w:bookmarkStart w:id="302" w:name="_Toc39146196"/>
      <w:bookmarkStart w:id="303" w:name="_Toc39146321"/>
      <w:bookmarkStart w:id="304" w:name="_Toc39146705"/>
      <w:r>
        <w:rPr>
          <w:lang w:val="bg-BG"/>
        </w:rPr>
        <w:t>1.3.4.</w:t>
      </w:r>
      <w:r>
        <w:rPr>
          <w:lang w:val="bg-BG"/>
        </w:rPr>
        <w:tab/>
      </w:r>
      <w:r>
        <w:rPr>
          <w:spacing w:val="-4"/>
          <w:lang w:val="bg-BG"/>
        </w:rPr>
        <w:t>Бюджетът на ЕС се инвестира в гражданството и ценностите на ЕС чрез насърчаване на трансграничната мобилност</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pPr>
        <w:pStyle w:val="AMPRBodyText"/>
        <w:rPr>
          <w:lang w:val="bg-BG"/>
        </w:rPr>
      </w:pPr>
      <w:r>
        <w:rPr>
          <w:lang w:val="bg-BG"/>
        </w:rPr>
        <w:t>Освен преките инвестиции в икономическа инфраструктура и предприятия, бюджетът на ЕС се инвестира също така в хора и институции, които насърчават споделените европейски ценности под мотото на ЕС „Обединени в многообразието“.</w:t>
      </w:r>
    </w:p>
    <w:p>
      <w:pPr>
        <w:pStyle w:val="AMPRBodyText"/>
        <w:rPr>
          <w:lang w:val="bg-BG"/>
        </w:rPr>
      </w:pPr>
      <w:r>
        <w:rPr>
          <w:lang w:val="bg-BG"/>
        </w:rPr>
        <w:t xml:space="preserve">По програма </w:t>
      </w:r>
      <w:r>
        <w:rPr>
          <w:rStyle w:val="AMPRcharBoldBlue"/>
          <w:lang w:val="bg-BG"/>
        </w:rPr>
        <w:t>Еразъм+</w:t>
      </w:r>
      <w:r>
        <w:rPr>
          <w:lang w:val="bg-BG"/>
        </w:rPr>
        <w:t xml:space="preserve"> се предлагат възможности на млади хора, учащи се и служители от всички възрасти да учат, да се обучават и да бъдат доброволци в Европа и извън нея. През 2019</w:t>
      </w:r>
      <w:r>
        <w:t> </w:t>
      </w:r>
      <w:r>
        <w:rPr>
          <w:lang w:val="bg-BG"/>
        </w:rPr>
        <w:t>г. повече от 900</w:t>
      </w:r>
      <w:r>
        <w:t> </w:t>
      </w:r>
      <w:r>
        <w:rPr>
          <w:lang w:val="bg-BG"/>
        </w:rPr>
        <w:t>000 лица имаха шанс да отидат в чужбина и да изживеят живота си по различен начин: да се обучават във висше образование, в професионално обучение и чрез различни други възможности за обмен</w:t>
      </w:r>
      <w:r>
        <w:rPr>
          <w:rStyle w:val="fnRef"/>
          <w:rFonts w:ascii="Arial" w:hAnsi="Arial"/>
        </w:rPr>
        <w:t> </w:t>
      </w:r>
      <w:r>
        <w:rPr>
          <w:rStyle w:val="fnRef"/>
          <w:lang w:val="bg-BG"/>
        </w:rPr>
        <w:t>(</w:t>
      </w:r>
      <w:r>
        <w:rPr>
          <w:rStyle w:val="fnRefNo"/>
        </w:rPr>
        <w:footnoteReference w:id="25"/>
      </w:r>
      <w:r>
        <w:rPr>
          <w:rStyle w:val="fnRef"/>
          <w:lang w:val="bg-BG"/>
        </w:rPr>
        <w:t>)</w:t>
      </w:r>
      <w:r>
        <w:rPr>
          <w:lang w:val="bg-BG"/>
        </w:rPr>
        <w:t>. Променящите живота последици от този опит понякога осигуряват важен принос за подобряване на перспективите за заетост и насърчаване на идеята за гражданство на ЕС.</w:t>
      </w:r>
    </w:p>
    <w:p>
      <w:pPr>
        <w:pStyle w:val="AMPRBodyText"/>
        <w:rPr>
          <w:lang w:val="bg-BG"/>
        </w:rPr>
      </w:pPr>
      <w:r>
        <w:rPr>
          <w:lang w:val="bg-BG"/>
        </w:rPr>
        <w:t xml:space="preserve">По </w:t>
      </w:r>
      <w:r>
        <w:rPr>
          <w:rStyle w:val="AMPRcharBoldBlue"/>
          <w:lang w:val="bg-BG"/>
        </w:rPr>
        <w:t>Програмата за заетост и социални иновации</w:t>
      </w:r>
      <w:r>
        <w:rPr>
          <w:lang w:val="bg-BG"/>
        </w:rPr>
        <w:t xml:space="preserve"> бе подкрепена мобилността на работниците чрез трансгранични партньорства и целеви схеми за мобилност. Подкрепата за мобилните работници бе допълнително разширена през 2019</w:t>
      </w:r>
      <w:r>
        <w:t> </w:t>
      </w:r>
      <w:r>
        <w:rPr>
          <w:lang w:val="bg-BG"/>
        </w:rPr>
        <w:t>г. със създаването на Европейски орган по труда</w:t>
      </w:r>
      <w:r>
        <w:rPr>
          <w:rStyle w:val="fnRef"/>
          <w:rFonts w:ascii="Arial" w:hAnsi="Arial"/>
        </w:rPr>
        <w:t> </w:t>
      </w:r>
      <w:r>
        <w:rPr>
          <w:rStyle w:val="fnRef"/>
          <w:lang w:val="bg-BG"/>
        </w:rPr>
        <w:t>(</w:t>
      </w:r>
      <w:r>
        <w:rPr>
          <w:rStyle w:val="fnRefNo"/>
        </w:rPr>
        <w:footnoteReference w:id="26"/>
      </w:r>
      <w:r>
        <w:rPr>
          <w:rStyle w:val="fnRef"/>
          <w:lang w:val="bg-BG"/>
        </w:rPr>
        <w:t>)</w:t>
      </w:r>
      <w:r>
        <w:rPr>
          <w:lang w:val="bg-BG"/>
        </w:rPr>
        <w:t>, който има за цел да гарантира, че правилата на ЕС относно мобилността на труда и координацията на социалната сигурност се прилагат по справедлив и ефективен начин, за да бъде по-лесно за гражданите и предприятията да се възползват от вътрешния пазар.</w:t>
      </w:r>
    </w:p>
    <w:p>
      <w:pPr>
        <w:pStyle w:val="AMPRBodyText"/>
        <w:rPr>
          <w:lang w:val="bg-BG"/>
        </w:rPr>
      </w:pPr>
      <w:r>
        <w:rPr>
          <w:lang w:val="bg-BG"/>
        </w:rPr>
        <w:t xml:space="preserve">В допълнение към насърчаването на създаването на връзки и извършването на обмен в ЕС, е установено, че трансграничното сътрудничество стимулира успешните и ефективни изследвания. </w:t>
      </w:r>
      <w:r>
        <w:rPr>
          <w:rStyle w:val="AMPRcharBoldBlue"/>
          <w:lang w:val="bg-BG"/>
        </w:rPr>
        <w:t>„Хоризонт</w:t>
      </w:r>
      <w:r>
        <w:rPr>
          <w:rStyle w:val="AMPRcharBoldBlue"/>
        </w:rPr>
        <w:t> </w:t>
      </w:r>
      <w:r>
        <w:rPr>
          <w:rStyle w:val="AMPRcharBoldBlue"/>
          <w:lang w:val="bg-BG"/>
        </w:rPr>
        <w:t>2020“</w:t>
      </w:r>
      <w:r>
        <w:rPr>
          <w:lang w:val="bg-BG"/>
        </w:rPr>
        <w:t xml:space="preserve"> продължи да подкрепя трансграничните мрежи от изследователи. Продължиха инвестициите във връзка с </w:t>
      </w:r>
      <w:r>
        <w:rPr>
          <w:rStyle w:val="AMPRcharBoldBlue"/>
          <w:lang w:val="bg-BG"/>
        </w:rPr>
        <w:t>действие „Мария Склодовска-Кюри“</w:t>
      </w:r>
      <w:r>
        <w:rPr>
          <w:lang w:val="bg-BG"/>
        </w:rPr>
        <w:t xml:space="preserve"> по програма „Хоризонт 2020“, за да се даде възможност на европейските изследователи да работят и да си сътрудничат в други държави, на всички етапи от кариерата си, като бяха подкрепени инициативи, които премахват бариерите между академичните среди, промишлеността и бизнеса.</w:t>
      </w:r>
    </w:p>
    <w:p>
      <w:pPr>
        <w:pStyle w:val="Hidelastparagraphafterthetable"/>
      </w:pPr>
      <w:r>
        <w:t xml:space="preserve">Finally, the </w:t>
      </w:r>
      <w:r>
        <w:rPr>
          <w:rStyle w:val="AMPRcharBoldBlue"/>
        </w:rPr>
        <w:t>European Solidarity Corps</w:t>
      </w:r>
      <w:r>
        <w:t xml:space="preserve"> is promoting solidarity activities, mainly through volunteering, traineeships and jobs, to enhance the engagement of young people and organisations in accessible and high-quality solidarity activities. Young people aged between 18 and 30 undertook volunteering activities or solidarity projects managed by organisations, institutions, bodies or groups. By the end of 2019 more than 12</w:t>
      </w:r>
      <w:r>
        <w:rPr>
          <w:rFonts w:ascii="Calibri" w:hAnsi="Calibri" w:cs="Calibri"/>
        </w:rPr>
        <w:t> </w:t>
      </w:r>
      <w:r>
        <w:t>000 participants had been involved in volunteering actions.</w:t>
      </w:r>
    </w:p>
    <w:sectPr>
      <w:headerReference w:type="even" r:id="rId102"/>
      <w:headerReference w:type="default" r:id="rId103"/>
      <w:footerReference w:type="even" r:id="rId104"/>
      <w:footerReference w:type="default" r:id="rId105"/>
      <w:headerReference w:type="first" r:id="rId106"/>
      <w:footerReference w:type="first" r:id="rId107"/>
      <w:pgSz w:w="11906" w:h="16838"/>
      <w:pgMar w:top="1417" w:right="1417" w:bottom="1134" w:left="1417" w:header="567"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EC Square Sans Pro">
    <w:altName w:val="Segoe UI Light"/>
    <w:panose1 w:val="020B0506040000020004"/>
    <w:charset w:val="00"/>
    <w:family w:val="swiss"/>
    <w:pitch w:val="variable"/>
    <w:sig w:usb0="A00002BF" w:usb1="5000E0F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EC Square Sans Cond Pro">
    <w:altName w:val="EC Square Sans Cond Pro"/>
    <w:panose1 w:val="020B0506040000020004"/>
    <w:charset w:val="00"/>
    <w:family w:val="swiss"/>
    <w:pitch w:val="variable"/>
    <w:sig w:usb0="A00002BF" w:usb1="500000DB" w:usb2="00000000" w:usb3="00000000" w:csb0="0000019F" w:csb1="00000000"/>
  </w:font>
  <w:font w:name="EC Square Sans Cond Pro Medium">
    <w:altName w:val="Arial"/>
    <w:panose1 w:val="020B0606000000020004"/>
    <w:charset w:val="00"/>
    <w:family w:val="swiss"/>
    <w:pitch w:val="variable"/>
    <w:sig w:usb0="A00002BF" w:usb1="500000DB" w:usb2="00000000" w:usb3="00000000" w:csb0="0000019F" w:csb1="00000000"/>
  </w:font>
  <w:font w:name="Arial">
    <w:panose1 w:val="020B0604020202020204"/>
    <w:charset w:val="00"/>
    <w:family w:val="swiss"/>
    <w:pitch w:val="variable"/>
    <w:sig w:usb0="E0002AFF" w:usb1="C0007843" w:usb2="00000009" w:usb3="00000000" w:csb0="000001FF" w:csb1="00000000"/>
  </w:font>
  <w:font w:name="EC Square Sans Pro Light">
    <w:altName w:val="Corbel"/>
    <w:panose1 w:val="020B0506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tabs>
        <w:tab w:val="left" w:pos="2830"/>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3</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tabs>
        <w:tab w:val="left" w:pos="2830"/>
      </w:tab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tabs>
        <w:tab w:val="left" w:pos="283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tabs>
        <w:tab w:val="left" w:pos="2830"/>
      </w:tabs>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26</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513"/>
        <w:tab w:val="clear" w:pos="9026"/>
        <w:tab w:val="left" w:pos="340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fldChar w:fldCharType="begin"/>
    </w:r>
    <w:r>
      <w:instrText xml:space="preserve"> PAGE   \* MERGEFORMAT </w:instrText>
    </w:r>
    <w:r>
      <w:fldChar w:fldCharType="separate"/>
    </w:r>
    <w:r>
      <w:t>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LR-Footer"/>
    </w:pPr>
    <w:r>
      <w:rPr>
        <w:lang w:val="fr-BE"/>
      </w:rPr>
      <w:t>BG</w:t>
    </w:r>
    <w:r>
      <w:tab/>
    </w:r>
    <w:r>
      <w:tab/>
    </w:r>
    <w:r>
      <w:tab/>
      <w:t>BG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nRef"/>
        </w:rPr>
        <w:t>(</w:t>
      </w:r>
      <w:r>
        <w:rPr>
          <w:rStyle w:val="fnRefNo"/>
        </w:rPr>
        <w:footnoteRef/>
      </w:r>
      <w:r>
        <w:rPr>
          <w:rStyle w:val="fnRef"/>
        </w:rPr>
        <w:t>)</w:t>
      </w:r>
      <w:r>
        <w:rPr>
          <w:rStyle w:val="fnRef"/>
        </w:rPr>
        <w:tab/>
      </w:r>
      <w:r>
        <w:t>Член 318 от Договора за функционирането на Европейския съюз.</w:t>
      </w:r>
    </w:p>
  </w:footnote>
  <w:footnote w:id="2">
    <w:p>
      <w:pPr>
        <w:pStyle w:val="FootnoteText"/>
      </w:pPr>
      <w:r>
        <w:rPr>
          <w:rStyle w:val="fnRef"/>
        </w:rPr>
        <w:t>(</w:t>
      </w:r>
      <w:r>
        <w:rPr>
          <w:rStyle w:val="fnRefNo"/>
        </w:rPr>
        <w:footnoteRef/>
      </w:r>
      <w:r>
        <w:rPr>
          <w:rStyle w:val="fnRef"/>
        </w:rPr>
        <w:t>)</w:t>
      </w:r>
      <w:r>
        <w:rPr>
          <w:rStyle w:val="fnRef"/>
        </w:rPr>
        <w:tab/>
      </w:r>
      <w:r>
        <w:t>Член 247 от Финансовия регламент.</w:t>
      </w:r>
    </w:p>
  </w:footnote>
  <w:footnote w:id="3">
    <w:p>
      <w:pPr>
        <w:pStyle w:val="FootnoteText"/>
      </w:pPr>
      <w:r>
        <w:rPr>
          <w:rStyle w:val="fnRef"/>
        </w:rPr>
        <w:t>(</w:t>
      </w:r>
      <w:r>
        <w:rPr>
          <w:rStyle w:val="fnRefNo"/>
        </w:rPr>
        <w:footnoteRef/>
      </w:r>
      <w:r>
        <w:rPr>
          <w:rStyle w:val="fnRef"/>
        </w:rPr>
        <w:t>)</w:t>
      </w:r>
      <w:r>
        <w:rPr>
          <w:rStyle w:val="fnRef"/>
        </w:rPr>
        <w:tab/>
      </w:r>
      <w:r>
        <w:t>Ежегодната процедура по освобождаване на отговорност е процедурата, чрез която Европейският парламент и Съветът дават окончателното си одобрение за изпълнението на бюджета за конкретна година и търсят политическа отговорност от Комисията за изпълнението на бюджета на ЕС. (</w:t>
      </w:r>
      <w:hyperlink r:id="rId1" w:history="1">
        <w:r>
          <w:rPr>
            <w:rStyle w:val="AMPRcharHyperlink"/>
          </w:rPr>
          <w:t>https://ec.europa.eu/info/strategy/eu-budget/how-it-works/annual-lifecycle/assessment/parliaments-approval_bg</w:t>
        </w:r>
      </w:hyperlink>
      <w:r>
        <w:rPr>
          <w:rStyle w:val="Hyperlink"/>
        </w:rPr>
        <w:t>).</w:t>
      </w:r>
    </w:p>
  </w:footnote>
  <w:footnote w:id="4">
    <w:p>
      <w:pPr>
        <w:pStyle w:val="FootnoteText"/>
      </w:pPr>
      <w:r>
        <w:rPr>
          <w:rStyle w:val="fnRef"/>
        </w:rPr>
        <w:t>(</w:t>
      </w:r>
      <w:r>
        <w:rPr>
          <w:rStyle w:val="fnRefNo"/>
        </w:rPr>
        <w:footnoteRef/>
      </w:r>
      <w:r>
        <w:rPr>
          <w:rStyle w:val="fnRef"/>
        </w:rPr>
        <w:t>)</w:t>
      </w:r>
      <w:r>
        <w:rPr>
          <w:rStyle w:val="fnRef"/>
        </w:rPr>
        <w:tab/>
      </w:r>
      <w:r>
        <w:t>Член 247 от Финансовия регламент.</w:t>
      </w:r>
    </w:p>
  </w:footnote>
  <w:footnote w:id="5">
    <w:p>
      <w:pPr>
        <w:pStyle w:val="FootnoteText"/>
      </w:pPr>
      <w:r>
        <w:rPr>
          <w:rStyle w:val="fnRef"/>
        </w:rPr>
        <w:t>(</w:t>
      </w:r>
      <w:r>
        <w:rPr>
          <w:rStyle w:val="fnRefNo"/>
        </w:rPr>
        <w:footnoteRef/>
      </w:r>
      <w:r>
        <w:rPr>
          <w:rStyle w:val="fnRef"/>
        </w:rPr>
        <w:t>)</w:t>
      </w:r>
      <w:r>
        <w:rPr>
          <w:rStyle w:val="fnRef"/>
        </w:rPr>
        <w:tab/>
      </w:r>
      <w:r>
        <w:t>Член 246 от Финансовия регламент.</w:t>
      </w:r>
    </w:p>
  </w:footnote>
  <w:footnote w:id="6">
    <w:p>
      <w:pPr>
        <w:pStyle w:val="FootnoteText"/>
      </w:pPr>
      <w:r>
        <w:rPr>
          <w:rStyle w:val="fnRef"/>
        </w:rPr>
        <w:t>(</w:t>
      </w:r>
      <w:r>
        <w:rPr>
          <w:rStyle w:val="fnRefNo"/>
        </w:rPr>
        <w:footnoteRef/>
      </w:r>
      <w:r>
        <w:rPr>
          <w:rStyle w:val="fnRef"/>
        </w:rPr>
        <w:t>)</w:t>
      </w:r>
      <w:r>
        <w:rPr>
          <w:rStyle w:val="fnRef"/>
        </w:rPr>
        <w:tab/>
      </w:r>
      <w:r>
        <w:t>Член 247, параграф 2 от Финансовия регламент.</w:t>
      </w:r>
    </w:p>
  </w:footnote>
  <w:footnote w:id="7">
    <w:p>
      <w:pPr>
        <w:pStyle w:val="FootnoteText"/>
      </w:pPr>
      <w:r>
        <w:rPr>
          <w:rStyle w:val="fnRef"/>
        </w:rPr>
        <w:t>(</w:t>
      </w:r>
      <w:r>
        <w:rPr>
          <w:rStyle w:val="fnRefNo"/>
        </w:rPr>
        <w:footnoteRef/>
      </w:r>
      <w:r>
        <w:rPr>
          <w:rStyle w:val="fnRef"/>
        </w:rPr>
        <w:t>)</w:t>
      </w:r>
      <w:r>
        <w:rPr>
          <w:rStyle w:val="fnRef"/>
        </w:rPr>
        <w:tab/>
      </w:r>
      <w:r>
        <w:t>Член 118, параграф 8 от Финансовия регламент.</w:t>
      </w:r>
    </w:p>
  </w:footnote>
  <w:footnote w:id="8">
    <w:p>
      <w:pPr>
        <w:pStyle w:val="FootnoteText"/>
      </w:pPr>
      <w:r>
        <w:rPr>
          <w:rStyle w:val="fnRef"/>
        </w:rPr>
        <w:t>(</w:t>
      </w:r>
      <w:r>
        <w:rPr>
          <w:rStyle w:val="fnRefNo"/>
        </w:rPr>
        <w:footnoteRef/>
      </w:r>
      <w:r>
        <w:rPr>
          <w:rStyle w:val="fnRef"/>
        </w:rPr>
        <w:t>)</w:t>
      </w:r>
      <w:r>
        <w:rPr>
          <w:rStyle w:val="fnRef"/>
        </w:rPr>
        <w:tab/>
      </w:r>
      <w:r>
        <w:t>Член 261, параграф 3 от Финансовия регламент.</w:t>
      </w:r>
    </w:p>
  </w:footnote>
  <w:footnote w:id="9">
    <w:p>
      <w:pPr>
        <w:pStyle w:val="FootnoteText"/>
      </w:pPr>
      <w:r>
        <w:rPr>
          <w:rStyle w:val="fnRef"/>
        </w:rPr>
        <w:t>(</w:t>
      </w:r>
      <w:r>
        <w:rPr>
          <w:rStyle w:val="fnRefNo"/>
        </w:rPr>
        <w:footnoteRef/>
      </w:r>
      <w:r>
        <w:rPr>
          <w:rStyle w:val="fnRef"/>
        </w:rPr>
        <w:t>)</w:t>
      </w:r>
      <w:r>
        <w:rPr>
          <w:rStyle w:val="fnRef"/>
        </w:rPr>
        <w:tab/>
      </w:r>
      <w:hyperlink r:id="rId2" w:history="1">
        <w:r>
          <w:rPr>
            <w:rStyle w:val="AMPRcharHyperlink"/>
          </w:rPr>
          <w:t>https://www.consilium.europa.eu/bg/press/press-releases/2019/06/20/a-new-strategic-agenda-2019-2024/</w:t>
        </w:r>
      </w:hyperlink>
    </w:p>
  </w:footnote>
  <w:footnote w:id="10">
    <w:p>
      <w:pPr>
        <w:pStyle w:val="FootnoteText"/>
      </w:pPr>
      <w:r>
        <w:rPr>
          <w:rStyle w:val="fnRef"/>
        </w:rPr>
        <w:t>(</w:t>
      </w:r>
      <w:r>
        <w:rPr>
          <w:rStyle w:val="fnRefNo"/>
        </w:rPr>
        <w:footnoteRef/>
      </w:r>
      <w:r>
        <w:rPr>
          <w:rStyle w:val="fnRef"/>
        </w:rPr>
        <w:t>)</w:t>
      </w:r>
      <w:r>
        <w:rPr>
          <w:rStyle w:val="fnRef"/>
        </w:rPr>
        <w:tab/>
      </w:r>
      <w:hyperlink r:id="rId3" w:history="1">
        <w:r>
          <w:rPr>
            <w:rStyle w:val="AMPRcharHyperlink"/>
          </w:rPr>
          <w:t>https://ec.europa.eu/commission/sites/beta-political/files/political-guidelines-next-commission_bg_1.pdf</w:t>
        </w:r>
      </w:hyperlink>
    </w:p>
  </w:footnote>
  <w:footnote w:id="11">
    <w:p>
      <w:pPr>
        <w:pStyle w:val="FootnoteText"/>
      </w:pPr>
      <w:r>
        <w:rPr>
          <w:rStyle w:val="fnRef"/>
        </w:rPr>
        <w:t>(</w:t>
      </w:r>
      <w:r>
        <w:rPr>
          <w:rStyle w:val="fnRefNo"/>
        </w:rPr>
        <w:footnoteRef/>
      </w:r>
      <w:r>
        <w:rPr>
          <w:rStyle w:val="fnRef"/>
        </w:rPr>
        <w:t>)</w:t>
      </w:r>
      <w:r>
        <w:rPr>
          <w:rStyle w:val="fnRef"/>
        </w:rPr>
        <w:tab/>
      </w:r>
      <w:r>
        <w:t>Бюджетни кредити за поети задължения от 2019 г., включително коригиращите бюджети, без пренесените суми и целевите приходи, както и без сумите за Европейския фонд за приспособяване към глобализацията и фонд „Солидарност” на ЕС. Изпълнените бюджетни кредити за поети задължения възлизат на 173</w:t>
      </w:r>
      <w:r>
        <w:rPr>
          <w:rFonts w:ascii="Calibri" w:hAnsi="Calibri"/>
        </w:rPr>
        <w:t> </w:t>
      </w:r>
      <w:r>
        <w:t>милиарда</w:t>
      </w:r>
      <w:r>
        <w:rPr>
          <w:rFonts w:ascii="Calibri" w:hAnsi="Calibri"/>
        </w:rPr>
        <w:t xml:space="preserve"> </w:t>
      </w:r>
      <w:r>
        <w:t>евро (вж. консолидираните годишни отчети).</w:t>
      </w:r>
    </w:p>
  </w:footnote>
  <w:footnote w:id="12">
    <w:p>
      <w:pPr>
        <w:pStyle w:val="FootnoteText"/>
      </w:pPr>
      <w:r>
        <w:rPr>
          <w:rStyle w:val="fnRef"/>
        </w:rPr>
        <w:t>(</w:t>
      </w:r>
      <w:r>
        <w:rPr>
          <w:rStyle w:val="fnRefNo"/>
        </w:rPr>
        <w:footnoteRef/>
      </w:r>
      <w:r>
        <w:rPr>
          <w:rStyle w:val="fnRef"/>
        </w:rPr>
        <w:t>)</w:t>
      </w:r>
      <w:r>
        <w:rPr>
          <w:rStyle w:val="fnRef"/>
        </w:rPr>
        <w:tab/>
      </w:r>
      <w:r>
        <w:t>Повече информация относно стъпките, които Комисията продължава да предприема за подобряване на ефективността при управлението на бюджета, е предоставена в раздел</w:t>
      </w:r>
      <w:r>
        <w:rPr>
          <w:rFonts w:ascii="Calibri" w:hAnsi="Calibri"/>
        </w:rPr>
        <w:t> </w:t>
      </w:r>
      <w:r>
        <w:t>2 от настоящия доклад.</w:t>
      </w:r>
    </w:p>
  </w:footnote>
  <w:footnote w:id="13">
    <w:p>
      <w:pPr>
        <w:pStyle w:val="FootnoteText"/>
      </w:pPr>
      <w:r>
        <w:rPr>
          <w:rStyle w:val="fnRef"/>
        </w:rPr>
        <w:t>(</w:t>
      </w:r>
      <w:r>
        <w:rPr>
          <w:rStyle w:val="fnRefNo"/>
        </w:rPr>
        <w:footnoteRef/>
      </w:r>
      <w:r>
        <w:rPr>
          <w:rStyle w:val="fnRef"/>
        </w:rPr>
        <w:t>)</w:t>
      </w:r>
      <w:r>
        <w:rPr>
          <w:rStyle w:val="fnRef"/>
        </w:rPr>
        <w:tab/>
      </w:r>
      <w:r>
        <w:t xml:space="preserve">Европейска сметна палата, </w:t>
      </w:r>
      <w:r>
        <w:rPr>
          <w:rStyle w:val="AMPRcharItalic"/>
          <w:iCs/>
        </w:rPr>
        <w:t>Специален доклад № 15/2019 „Изпълнение от Комисията на пакета от мерки от 2014 г. за реформи в условията, засягащи персонала — големи икономии, но не без последици за служителите“</w:t>
      </w:r>
      <w:r>
        <w:t>.</w:t>
      </w:r>
    </w:p>
  </w:footnote>
  <w:footnote w:id="14">
    <w:p>
      <w:pPr>
        <w:pStyle w:val="FootnoteText"/>
      </w:pPr>
      <w:r>
        <w:rPr>
          <w:rStyle w:val="fnRef"/>
        </w:rPr>
        <w:t>(</w:t>
      </w:r>
      <w:r>
        <w:rPr>
          <w:rStyle w:val="fnRefNo"/>
        </w:rPr>
        <w:footnoteRef/>
      </w:r>
      <w:r>
        <w:rPr>
          <w:rStyle w:val="fnRef"/>
        </w:rPr>
        <w:t>)</w:t>
      </w:r>
      <w:r>
        <w:rPr>
          <w:rStyle w:val="fnRef"/>
        </w:rPr>
        <w:tab/>
      </w:r>
      <w:r>
        <w:t>Съобщение на Комисията до Европейския парламент, Европейския съвет, Съвета, Европейския икономически и социален комитет и Комитета на регионите „Бюджетът на ЕС осигурява ресурс за плана за възстановяването на Европа“ (COM(2020) 442 final, 27.5.2020 г.).</w:t>
      </w:r>
    </w:p>
  </w:footnote>
  <w:footnote w:id="15">
    <w:p>
      <w:pPr>
        <w:pStyle w:val="FootnoteText"/>
      </w:pPr>
      <w:r>
        <w:rPr>
          <w:rStyle w:val="fnRef"/>
        </w:rPr>
        <w:t>(</w:t>
      </w:r>
      <w:r>
        <w:rPr>
          <w:rStyle w:val="fnRefNo"/>
        </w:rPr>
        <w:footnoteRef/>
      </w:r>
      <w:r>
        <w:rPr>
          <w:rStyle w:val="fnRef"/>
        </w:rPr>
        <w:t>)</w:t>
      </w:r>
      <w:r>
        <w:rPr>
          <w:rStyle w:val="fnRef"/>
        </w:rPr>
        <w:tab/>
        <w:t xml:space="preserve">Вж. </w:t>
      </w:r>
      <w:r>
        <w:t>приложение 1</w:t>
      </w:r>
      <w:r>
        <w:rPr>
          <w:rFonts w:ascii="Calibri" w:hAnsi="Calibri"/>
        </w:rPr>
        <w:t> </w:t>
      </w:r>
      <w:r>
        <w:t>— Общ преглед на изпълнението на програмите за Европейския фонд за структурни инвестиции.</w:t>
      </w:r>
    </w:p>
  </w:footnote>
  <w:footnote w:id="16">
    <w:p>
      <w:pPr>
        <w:pStyle w:val="FootnoteText"/>
      </w:pPr>
      <w:r>
        <w:rPr>
          <w:rStyle w:val="fnRef"/>
        </w:rPr>
        <w:t>(</w:t>
      </w:r>
      <w:r>
        <w:rPr>
          <w:rStyle w:val="fnRefNo"/>
        </w:rPr>
        <w:footnoteRef/>
      </w:r>
      <w:r>
        <w:rPr>
          <w:rStyle w:val="fnRef"/>
        </w:rPr>
        <w:t>)</w:t>
      </w:r>
      <w:r>
        <w:rPr>
          <w:rStyle w:val="fnRef"/>
        </w:rPr>
        <w:tab/>
        <w:t xml:space="preserve">Вж. </w:t>
      </w:r>
      <w:r>
        <w:t>приложение 1</w:t>
      </w:r>
      <w:r>
        <w:rPr>
          <w:rFonts w:ascii="Calibri" w:hAnsi="Calibri"/>
        </w:rPr>
        <w:t> </w:t>
      </w:r>
      <w:r>
        <w:t>— Общ преглед на изпълнението на програма „Хоризонт 2020“.</w:t>
      </w:r>
    </w:p>
  </w:footnote>
  <w:footnote w:id="17">
    <w:p>
      <w:pPr>
        <w:pStyle w:val="FootnoteText"/>
      </w:pPr>
      <w:r>
        <w:rPr>
          <w:rStyle w:val="fnRef"/>
        </w:rPr>
        <w:t>(</w:t>
      </w:r>
      <w:r>
        <w:rPr>
          <w:rStyle w:val="fnRefNo"/>
        </w:rPr>
        <w:footnoteRef/>
      </w:r>
      <w:r>
        <w:rPr>
          <w:rStyle w:val="fnRef"/>
        </w:rPr>
        <w:t>)</w:t>
      </w:r>
      <w:r>
        <w:rPr>
          <w:rStyle w:val="fnRef"/>
        </w:rPr>
        <w:tab/>
      </w:r>
      <w:r>
        <w:t xml:space="preserve">Генерална дирекция „Научни изследвания и иновации“, </w:t>
      </w:r>
      <w:r>
        <w:rPr>
          <w:rStyle w:val="AMPRcharItalic"/>
          <w:iCs/>
        </w:rPr>
        <w:t>Годишен отчет за дейността за 2019 г.</w:t>
      </w:r>
      <w:r>
        <w:t>, стр. 18—19.</w:t>
      </w:r>
    </w:p>
  </w:footnote>
  <w:footnote w:id="18">
    <w:p>
      <w:pPr>
        <w:pStyle w:val="FootnoteText"/>
      </w:pPr>
      <w:r>
        <w:rPr>
          <w:rStyle w:val="fnRef"/>
        </w:rPr>
        <w:t>(</w:t>
      </w:r>
      <w:r>
        <w:rPr>
          <w:rStyle w:val="fnRefNo"/>
        </w:rPr>
        <w:footnoteRef/>
      </w:r>
      <w:r>
        <w:rPr>
          <w:rStyle w:val="fnRef"/>
        </w:rPr>
        <w:t>)</w:t>
      </w:r>
      <w:r>
        <w:rPr>
          <w:rStyle w:val="fnRef"/>
        </w:rPr>
        <w:tab/>
        <w:t xml:space="preserve">Вж. </w:t>
      </w:r>
      <w:r>
        <w:t>приложение 1</w:t>
      </w:r>
      <w:r>
        <w:rPr>
          <w:rFonts w:ascii="Calibri" w:hAnsi="Calibri"/>
        </w:rPr>
        <w:t> </w:t>
      </w:r>
      <w:r>
        <w:t>— Общ преглед на изпълнението на програма „Коперник“.</w:t>
      </w:r>
    </w:p>
  </w:footnote>
  <w:footnote w:id="19">
    <w:p>
      <w:pPr>
        <w:pStyle w:val="FootnoteText"/>
      </w:pPr>
      <w:r>
        <w:rPr>
          <w:rStyle w:val="fnRef"/>
        </w:rPr>
        <w:t>(</w:t>
      </w:r>
      <w:r>
        <w:rPr>
          <w:rStyle w:val="fnRefNo"/>
        </w:rPr>
        <w:footnoteRef/>
      </w:r>
      <w:r>
        <w:rPr>
          <w:rStyle w:val="fnRef"/>
        </w:rPr>
        <w:t>)</w:t>
      </w:r>
      <w:r>
        <w:rPr>
          <w:rStyle w:val="fnRef"/>
        </w:rPr>
        <w:tab/>
      </w:r>
      <w:r>
        <w:t xml:space="preserve">Покана за набиране на предложения за Formobile — също </w:t>
      </w:r>
      <w:hyperlink r:id="rId4" w:history="1">
        <w:r>
          <w:rPr>
            <w:rStyle w:val="AMPRcharHyperlink"/>
          </w:rPr>
          <w:t>https://formobile-project.eu/</w:t>
        </w:r>
      </w:hyperlink>
    </w:p>
  </w:footnote>
  <w:footnote w:id="20">
    <w:p>
      <w:pPr>
        <w:pStyle w:val="FootnoteText"/>
      </w:pPr>
      <w:r>
        <w:rPr>
          <w:rStyle w:val="fnRef"/>
        </w:rPr>
        <w:t>(</w:t>
      </w:r>
      <w:r>
        <w:rPr>
          <w:rStyle w:val="fnRefNo"/>
        </w:rPr>
        <w:footnoteRef/>
      </w:r>
      <w:r>
        <w:rPr>
          <w:rStyle w:val="fnRef"/>
        </w:rPr>
        <w:t>)</w:t>
      </w:r>
      <w:r>
        <w:rPr>
          <w:rStyle w:val="fnRef"/>
        </w:rPr>
        <w:tab/>
      </w:r>
      <w:r>
        <w:t>През 2019 г. 22 спътника на системата „Галилео“ функционират в пълна степен за осигуряване на всички услуги.</w:t>
      </w:r>
    </w:p>
  </w:footnote>
  <w:footnote w:id="21">
    <w:p>
      <w:pPr>
        <w:pStyle w:val="FootnoteText"/>
      </w:pPr>
      <w:r>
        <w:rPr>
          <w:rStyle w:val="fnRef"/>
        </w:rPr>
        <w:t>(</w:t>
      </w:r>
      <w:r>
        <w:rPr>
          <w:rStyle w:val="fnRefNo"/>
        </w:rPr>
        <w:footnoteRef/>
      </w:r>
      <w:r>
        <w:rPr>
          <w:rStyle w:val="fnRef"/>
        </w:rPr>
        <w:t>)</w:t>
      </w:r>
      <w:r>
        <w:rPr>
          <w:rStyle w:val="fnRef"/>
        </w:rPr>
        <w:tab/>
      </w:r>
      <w:r>
        <w:t>Основна стъпка към разширяване на навлизането на пазара на Европейската геостационарна служба за навигационно покритие беше приемането през 2018 г. на изискванията за използване на въздушното пространство и процедурите за навигация, основана на летателните характеристики и оборудването на въздухоплавателното средство.</w:t>
      </w:r>
    </w:p>
  </w:footnote>
  <w:footnote w:id="22">
    <w:p>
      <w:pPr>
        <w:pStyle w:val="FootnoteText"/>
      </w:pPr>
      <w:r>
        <w:rPr>
          <w:rStyle w:val="fnRef"/>
        </w:rPr>
        <w:t>(</w:t>
      </w:r>
      <w:r>
        <w:rPr>
          <w:rStyle w:val="fnRefNo"/>
        </w:rPr>
        <w:footnoteRef/>
      </w:r>
      <w:r>
        <w:rPr>
          <w:rStyle w:val="fnRef"/>
        </w:rPr>
        <w:t>)</w:t>
      </w:r>
      <w:r>
        <w:rPr>
          <w:rStyle w:val="fnRef"/>
        </w:rPr>
        <w:tab/>
      </w:r>
      <w:r>
        <w:rPr>
          <w:rStyle w:val="AMPRcharItalic"/>
        </w:rPr>
        <w:t>Годишен доклад относно европейските МСП за периода 2018—2019 г.</w:t>
      </w:r>
      <w:r>
        <w:t>, проучване, проведено от името на Генерална дирекция „Вътрешен пазар, промишленост, предприемачество и МСП“ (</w:t>
      </w:r>
      <w:hyperlink r:id="rId5" w:anchor="annual-report" w:history="1">
        <w:r>
          <w:rPr>
            <w:rStyle w:val="AMPRcharHyperlink"/>
          </w:rPr>
          <w:t>https://ec.europa.eu/growth/smes/business-friendly-environment/performance-review_bg</w:t>
        </w:r>
      </w:hyperlink>
      <w:r>
        <w:t>).</w:t>
      </w:r>
    </w:p>
  </w:footnote>
  <w:footnote w:id="23">
    <w:p>
      <w:pPr>
        <w:pStyle w:val="FootnoteText"/>
      </w:pPr>
      <w:r>
        <w:rPr>
          <w:rStyle w:val="fnRef"/>
        </w:rPr>
        <w:t>(</w:t>
      </w:r>
      <w:r>
        <w:rPr>
          <w:rStyle w:val="fnRefNo"/>
        </w:rPr>
        <w:footnoteRef/>
      </w:r>
      <w:r>
        <w:rPr>
          <w:rStyle w:val="fnRef"/>
        </w:rPr>
        <w:t>)</w:t>
      </w:r>
      <w:r>
        <w:rPr>
          <w:rStyle w:val="fnRef"/>
        </w:rPr>
        <w:tab/>
        <w:t xml:space="preserve">Вж. </w:t>
      </w:r>
      <w:r>
        <w:t>приложение 1</w:t>
      </w:r>
      <w:r>
        <w:rPr>
          <w:rFonts w:ascii="Calibri" w:hAnsi="Calibri"/>
        </w:rPr>
        <w:t> </w:t>
      </w:r>
      <w:r>
        <w:t>— Общ преглед на изпълнението на програмата за конкурентоспособност на предприятията и малките и средните предприятия.</w:t>
      </w:r>
    </w:p>
  </w:footnote>
  <w:footnote w:id="24">
    <w:p>
      <w:pPr>
        <w:pStyle w:val="FootnoteText"/>
      </w:pPr>
      <w:r>
        <w:rPr>
          <w:rStyle w:val="fnRef"/>
        </w:rPr>
        <w:t>(</w:t>
      </w:r>
      <w:r>
        <w:rPr>
          <w:rStyle w:val="fnRefNo"/>
        </w:rPr>
        <w:footnoteRef/>
      </w:r>
      <w:r>
        <w:rPr>
          <w:rStyle w:val="fnRef"/>
        </w:rPr>
        <w:t>)</w:t>
      </w:r>
      <w:r>
        <w:rPr>
          <w:rStyle w:val="fnRef"/>
        </w:rPr>
        <w:tab/>
      </w:r>
      <w:r>
        <w:t xml:space="preserve">Генерална дирекция „Научни изследвания и иновации“, </w:t>
      </w:r>
      <w:r>
        <w:rPr>
          <w:rStyle w:val="AMPRcharItalic"/>
          <w:iCs/>
        </w:rPr>
        <w:t>Годишен отчет за дейността за 2019 г.</w:t>
      </w:r>
      <w:r>
        <w:t>, стр.</w:t>
      </w:r>
      <w:r>
        <w:rPr>
          <w:rFonts w:ascii="Calibri" w:hAnsi="Calibri"/>
        </w:rPr>
        <w:t> </w:t>
      </w:r>
      <w:r>
        <w:t>7.</w:t>
      </w:r>
    </w:p>
  </w:footnote>
  <w:footnote w:id="25">
    <w:p>
      <w:pPr>
        <w:pStyle w:val="FootnoteText"/>
      </w:pPr>
      <w:r>
        <w:rPr>
          <w:rStyle w:val="fnRef"/>
        </w:rPr>
        <w:t>(</w:t>
      </w:r>
      <w:r>
        <w:rPr>
          <w:rStyle w:val="fnRefNo"/>
        </w:rPr>
        <w:footnoteRef/>
      </w:r>
      <w:r>
        <w:rPr>
          <w:rStyle w:val="fnRef"/>
        </w:rPr>
        <w:t>)</w:t>
      </w:r>
      <w:r>
        <w:rPr>
          <w:rStyle w:val="fnRef"/>
        </w:rPr>
        <w:tab/>
        <w:t xml:space="preserve">Вж. </w:t>
      </w:r>
      <w:r>
        <w:t>приложение 1</w:t>
      </w:r>
      <w:r>
        <w:rPr>
          <w:rFonts w:ascii="Calibri" w:hAnsi="Calibri"/>
        </w:rPr>
        <w:t> </w:t>
      </w:r>
      <w:r>
        <w:t>— Общ преглед на изпълнението на програма „Еразъм“.</w:t>
      </w:r>
    </w:p>
  </w:footnote>
  <w:footnote w:id="26">
    <w:p>
      <w:pPr>
        <w:pStyle w:val="FootnoteText"/>
      </w:pPr>
      <w:r>
        <w:rPr>
          <w:rStyle w:val="fnRef"/>
        </w:rPr>
        <w:t>(</w:t>
      </w:r>
      <w:r>
        <w:rPr>
          <w:rStyle w:val="fnRefNo"/>
        </w:rPr>
        <w:footnoteRef/>
      </w:r>
      <w:r>
        <w:rPr>
          <w:rStyle w:val="fnRef"/>
        </w:rPr>
        <w:t>)</w:t>
      </w:r>
      <w:r>
        <w:rPr>
          <w:rStyle w:val="fnRef"/>
        </w:rPr>
        <w:tab/>
      </w:r>
      <w:r>
        <w:t>Регламент (ЕС) 2019/1149 на Европейския парламент и на Съвета от 20 юни 2019 г. за създаване на Европейски орган по труда.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eastAsia="en-GB"/>
      </w:rPr>
      <mc:AlternateContent>
        <mc:Choice Requires="wps">
          <w:drawing>
            <wp:anchor distT="0" distB="0" distL="114300" distR="114300" simplePos="0" relativeHeight="25164851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 name="Rectangle 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64C075" id="Rectangle 7" o:spid="_x0000_s1026" style="position:absolute;margin-left:-3.7pt;margin-top:-116.05pt;width:8.85pt;height:37.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hfL49pcCAACEBQAADgAAAAAAAAAAAAAAAAAuAgAAZHJzL2Uyb0Rv&#10;Yy54bWxQSwECLQAUAAYACAAAACEAmVzIut8AAAALAQAADwAAAAAAAAAAAAAAAADxBAAAZHJzL2Rv&#10;d25yZXYueG1sUEsFBgAAAAAEAAQA8wAAAP0FAAAAAA==&#10;" fillcolor="#3fb296" stroked="f" strokeweight="1pt"/>
          </w:pict>
        </mc:Fallback>
      </mc:AlternateContent>
    </w:r>
    <w:r>
      <w:rPr>
        <w:lang w:eastAsia="en-GB"/>
      </w:rPr>
      <w:t xml:space="preserve"> Годишен доклад за управлението и изпълнението на бюджета на ЕС — финансова 2019 година</w:t>
    </w:r>
    <w:r>
      <w:rPr>
        <w:lang w:eastAsia="en-GB"/>
      </w:rPr>
      <mc:AlternateContent>
        <mc:Choice Requires="wps">
          <w:drawing>
            <wp:anchor distT="0" distB="0" distL="114300" distR="114300" simplePos="0" relativeHeight="251653632" behindDoc="0" locked="0" layoutInCell="1" allowOverlap="1">
              <wp:simplePos x="0" y="0"/>
              <wp:positionH relativeFrom="page">
                <wp:align>left</wp:align>
              </wp:positionH>
              <wp:positionV relativeFrom="page">
                <wp:align>top</wp:align>
              </wp:positionV>
              <wp:extent cx="7621200" cy="212400"/>
              <wp:effectExtent l="0" t="0" r="0" b="0"/>
              <wp:wrapNone/>
              <wp:docPr id="79" name="Rectangle 79"/>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1E6B52" id="Rectangle 79" o:spid="_x0000_s1026" style="position:absolute;margin-left:0;margin-top:0;width:600.1pt;height:16.7pt;z-index:251653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I3+9Lm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5158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44" name="Rectangle 24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77F501" id="Rectangle 244" o:spid="_x0000_s1026" style="position:absolute;margin-left:-3.7pt;margin-top:-116.05pt;width:8.85pt;height:37.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Oi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JalOi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eastAsia="en-GB"/>
      </w:rPr>
      <mc:AlternateContent>
        <mc:Choice Requires="wps">
          <w:drawing>
            <wp:anchor distT="0" distB="0" distL="114300" distR="114300" simplePos="0" relativeHeight="25166592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 name="Rectangle 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69C26D" id="Rectangle 6" o:spid="_x0000_s1026" style="position:absolute;margin-left:-3.7pt;margin-top:-116.05pt;width:8.85pt;height:37.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" fillcolor="#3fb296" stroked="f" strokeweight="1pt"/>
          </w:pict>
        </mc:Fallback>
      </mc:AlternateContent>
    </w:r>
    <w:r>
      <w:t xml:space="preserve"> </w:t>
    </w:r>
    <w:r>
      <w:rPr>
        <w:lang w:eastAsia="en-GB"/>
      </w:rPr>
      <mc:AlternateContent>
        <mc:Choice Requires="wps">
          <w:drawing>
            <wp:anchor distT="0" distB="0" distL="114300" distR="114300" simplePos="0" relativeHeight="2516669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0" name="Rectangle 1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EC1FDC" id="Rectangle 10" o:spid="_x0000_s1026" style="position:absolute;margin-left:-3.7pt;margin-top:-116.05pt;width:8.85pt;height:37.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Nj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PA0g2O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513"/>
        <w:tab w:val="clear" w:pos="9026"/>
        <w:tab w:val="left" w:pos="1728"/>
      </w:tabs>
    </w:pPr>
    <w:r>
      <w:rPr>
        <w:noProof/>
        <w:lang w:eastAsia="en-GB"/>
      </w:rPr>
      <w:drawing>
        <wp:anchor distT="0" distB="0" distL="114300" distR="114300" simplePos="0" relativeHeight="251654656" behindDoc="1" locked="0" layoutInCell="1" allowOverlap="1">
          <wp:simplePos x="0" y="0"/>
          <wp:positionH relativeFrom="page">
            <wp:align>left</wp:align>
          </wp:positionH>
          <wp:positionV relativeFrom="page">
            <wp:align>top</wp:align>
          </wp:positionV>
          <wp:extent cx="7560000" cy="10695600"/>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tabs>
        <w:tab w:val="left" w:pos="2830"/>
      </w:tabs>
    </w:pPr>
  </w:p>
  <w:p>
    <w:pPr>
      <w:pStyle w:val="AMPRHeader-Right"/>
    </w:pPr>
    <w:r>
      <w:rPr>
        <w:lang w:eastAsia="en-GB"/>
      </w:rPr>
      <mc:AlternateContent>
        <mc:Choice Requires="wps">
          <w:drawing>
            <wp:anchor distT="0" distB="0" distL="114300" distR="114300" simplePos="0" relativeHeight="2516618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1" name="Rectangle 1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DABBAE" id="Rectangle 11" o:spid="_x0000_s1026" style="position:absolute;margin-left:-3.7pt;margin-top:-116.05pt;width:8.85pt;height:3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MFlw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j13jBZcCAACGBQAADgAAAAAAAAAAAAAAAAAuAgAAZHJzL2Uyb0Rv&#10;Yy54bWxQSwECLQAUAAYACAAAACEAmVzIut8AAAALAQAADwAAAAAAAAAAAAAAAADxBAAAZHJzL2Rv&#10;d25yZXYueG1sUEsFBgAAAAAEAAQA8wAAAP0FAAAAAA==&#10;" fillcolor="#3fb296" stroked="f" strokeweight="1pt"/>
          </w:pict>
        </mc:Fallback>
      </mc:AlternateContent>
    </w:r>
    <w:r>
      <w:t>Годишен доклад за управлението и изпълнението на бюджета на ЕС — финансова 2019 година</w:t>
    </w:r>
    <w:r>
      <w:rPr>
        <w:lang w:eastAsia="en-GB"/>
      </w:rPr>
      <mc:AlternateContent>
        <mc:Choice Requires="wps">
          <w:drawing>
            <wp:anchor distT="0" distB="0" distL="114300" distR="114300" simplePos="0" relativeHeight="251663872" behindDoc="0" locked="0" layoutInCell="1" allowOverlap="1">
              <wp:simplePos x="0" y="0"/>
              <wp:positionH relativeFrom="page">
                <wp:align>left</wp:align>
              </wp:positionH>
              <wp:positionV relativeFrom="page">
                <wp:align>top</wp:align>
              </wp:positionV>
              <wp:extent cx="7621200" cy="212400"/>
              <wp:effectExtent l="0" t="0" r="0" b="0"/>
              <wp:wrapNone/>
              <wp:docPr id="73" name="Rectangle 73"/>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66245B" id="Rectangle 73" o:spid="_x0000_s1026" style="position:absolute;margin-left:0;margin-top:0;width:600.1pt;height:16.7pt;z-index:2516638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6284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3" name="Rectangle 1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4053C7" id="Rectangle 13" o:spid="_x0000_s1026" style="position:absolute;margin-left:-3.7pt;margin-top:-116.05pt;width:8.85pt;height:3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PJ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HGPI8mYAgAAhgUAAA4AAAAAAAAAAAAAAAAALgIAAGRycy9lMm9E&#10;b2MueG1sUEsBAi0AFAAGAAgAAAAhAJlcyLrfAAAACwEAAA8AAAAAAAAAAAAAAAAA8gQAAGRycy9k&#10;b3ducmV2LnhtbFBLBQYAAAAABAAEAPMAAAD+BQAAAAA=&#10;" fillcolor="#3fb296" stroked="f" strokeweight="1pt"/>
          </w:pict>
        </mc:Fallback>
      </mc:AlternateContent>
    </w:r>
    <w:r>
      <w:rPr>
        <w:lang w:eastAsia="en-GB"/>
      </w:rPr>
      <mc:AlternateContent>
        <mc:Choice Requires="wps">
          <w:drawing>
            <wp:anchor distT="0" distB="0" distL="114300" distR="114300" simplePos="0" relativeHeight="2516567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39" name="Rectangle 33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1BA9EFB" id="Rectangle 339" o:spid="_x0000_s1026" style="position:absolute;margin-left:-3.7pt;margin-top:-116.05pt;width:8.85pt;height:3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D5o68gmQIAAIgFAAAOAAAAAAAAAAAAAAAAAC4CAABkcnMvZTJv&#10;RG9jLnhtbFBLAQItABQABgAIAAAAIQCZXMi63wAAAAsBAAAPAAAAAAAAAAAAAAAAAPMEAABkcnMv&#10;ZG93bnJldi54bWxQSwUGAAAAAAQABADzAAAA/wUAAAAA&#10;" fillcolor="#3fb296" stroked="f" strokeweight="1pt"/>
          </w:pict>
        </mc:Fallback>
      </mc:AlternateContent>
    </w:r>
    <w:r>
      <w:rPr>
        <w:lang w:eastAsia="en-GB"/>
      </w:rPr>
      <mc:AlternateContent>
        <mc:Choice Requires="wps">
          <w:drawing>
            <wp:anchor distT="0" distB="0" distL="114300" distR="114300" simplePos="0" relativeHeight="25165875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42" name="Rectangle 34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2BD1F5" id="Rectangle 342" o:spid="_x0000_s1026" style="position:absolute;margin-left:-3.7pt;margin-top:-116.05pt;width:8.85pt;height:3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ae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ha9ae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noProof/>
        <w:lang w:eastAsia="en-GB"/>
      </w:rPr>
      <w:drawing>
        <wp:anchor distT="0" distB="0" distL="114300" distR="114300" simplePos="0" relativeHeight="251650560" behindDoc="0" locked="0" layoutInCell="1" allowOverlap="1">
          <wp:simplePos x="0" y="0"/>
          <wp:positionH relativeFrom="page">
            <wp:posOffset>0</wp:posOffset>
          </wp:positionH>
          <wp:positionV relativeFrom="page">
            <wp:posOffset>0</wp:posOffset>
          </wp:positionV>
          <wp:extent cx="7560000" cy="10699200"/>
          <wp:effectExtent l="0" t="0" r="3175"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OP Separator 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eastAsia="en-GB"/>
      </w:rPr>
      <mc:AlternateContent>
        <mc:Choice Requires="wps">
          <w:drawing>
            <wp:anchor distT="0" distB="0" distL="114300" distR="114300" simplePos="0" relativeHeight="251659776" behindDoc="0" locked="0" layoutInCell="1" allowOverlap="1">
              <wp:simplePos x="0" y="0"/>
              <wp:positionH relativeFrom="page">
                <wp:align>left</wp:align>
              </wp:positionH>
              <wp:positionV relativeFrom="page">
                <wp:align>top</wp:align>
              </wp:positionV>
              <wp:extent cx="7621200" cy="212400"/>
              <wp:effectExtent l="0" t="0" r="0" b="0"/>
              <wp:wrapNone/>
              <wp:docPr id="18" name="Rectangle 1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C560F8" id="Rectangle 18" o:spid="_x0000_s1026" style="position:absolute;margin-left:0;margin-top:0;width:600.1pt;height:16.7pt;z-index:2516597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6080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0" name="Rectangle 2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78F14A" id="Rectangle 20" o:spid="_x0000_s1026" style="position:absolute;margin-left:-3.7pt;margin-top:-116.05pt;width:8.85pt;height:3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P0nlvmYAgAAhgUAAA4AAAAAAAAAAAAAAAAALgIAAGRycy9lMm9E&#10;b2MueG1sUEsBAi0AFAAGAAgAAAAhAJlcyLrfAAAACwEAAA8AAAAAAAAAAAAAAAAA8gQAAGRycy9k&#10;b3ducmV2LnhtbFBLBQYAAAAABAAEAPMAAAD+BQAAAAA=&#10;" fillcolor="#3fb296" stroked="f" strokeweight="1pt"/>
          </w:pict>
        </mc:Fallback>
      </mc:AlternateContent>
    </w:r>
    <w:r>
      <w:t>Раздел 1 — Изпълнение и резултати</w:t>
    </w:r>
    <w:r>
      <w:rPr>
        <w:lang w:eastAsia="en-GB"/>
      </w:rPr>
      <mc:AlternateContent>
        <mc:Choice Requires="wps">
          <w:drawing>
            <wp:anchor distT="0" distB="0" distL="114300" distR="114300" simplePos="0" relativeHeight="2516577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1" name="Rectangle 2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9A3F16" id="Rectangle 21" o:spid="_x0000_s1026" style="position:absolute;margin-left:-3.7pt;margin-top:-116.05pt;width:8.85pt;height:3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af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IJO9p+YAgAAhgUAAA4AAAAAAAAAAAAAAAAALgIAAGRycy9lMm9E&#10;b2MueG1sUEsBAi0AFAAGAAgAAAAhAJlcyLrfAAAACwEAAA8AAAAAAAAAAAAAAAAA8gQAAGRycy9k&#10;b3ducmV2LnhtbFBLBQYAAAAABAAEAPMAAAD+BQAAAAA=&#10;" fillcolor="#3fb296" stroked="f" strokeweight="1pt"/>
          </w:pict>
        </mc:Fallback>
      </mc:AlternateContent>
    </w:r>
    <w:r>
      <w:rPr>
        <w:lang w:eastAsia="en-GB"/>
      </w:rPr>
      <mc:AlternateContent>
        <mc:Choice Requires="wps">
          <w:drawing>
            <wp:anchor distT="0" distB="0" distL="114300" distR="114300" simplePos="0" relativeHeight="2516556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3" name="Rectangle 2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1CB4FF" id="Rectangle 23" o:spid="_x0000_s1026" style="position:absolute;margin-left:-3.7pt;margin-top:-116.05pt;width:8.85pt;height:3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ZT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HycNlOYAgAAhgUAAA4AAAAAAAAAAAAAAAAALgIAAGRycy9lMm9E&#10;b2MueG1sUEsBAi0AFAAGAAgAAAAhAJlcyLrfAAAACwEAAA8AAAAAAAAAAAAAAAAA8gQAAGRycy9k&#10;b3ducmV2LnhtbFBLBQYAAAAABAAEAPMAAAD+BQAAAAA=&#10;" fillcolor="#3fb296" stroked="f" strokeweight="1pt"/>
          </w:pict>
        </mc:Fallback>
      </mc:AlternateContent>
    </w:r>
    <w:r>
      <w:rPr>
        <w:lang w:eastAsia="en-GB"/>
      </w:rPr>
      <mc:AlternateContent>
        <mc:Choice Requires="wps">
          <w:drawing>
            <wp:anchor distT="0" distB="0" distL="114300" distR="114300" simplePos="0" relativeHeight="25165260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 name="Rectangle 2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1ABC52" id="Rectangle 25" o:spid="_x0000_s1026" style="position:absolute;margin-left:-3.7pt;margin-top:-116.05pt;width:8.85pt;height:3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7QbdmQIAAIYFAAAOAAAAAAAAAAAAAAAAAC4CAABkcnMvZTJv&#10;RG9jLnhtbFBLAQItABQABgAIAAAAIQCZXMi63wAAAAsBAAAPAAAAAAAAAAAAAAAAAPMEAABkcnMv&#10;ZG93bnJldi54bWxQSwUGAAAAAAQABADzAAAA/wUAAAAA&#10;" fillcolor="#3fb296" stroked="f" strokeweight="1pt"/>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lang w:eastAsia="en-GB"/>
      </w:rPr>
      <w:drawing>
        <wp:anchor distT="0" distB="0" distL="114300" distR="114300" simplePos="0" relativeHeight="251677696" behindDoc="0" locked="0" layoutInCell="1" allowOverlap="1">
          <wp:simplePos x="899491" y="402535"/>
          <wp:positionH relativeFrom="page">
            <wp:align>left</wp:align>
          </wp:positionH>
          <wp:positionV relativeFrom="page">
            <wp:align>top</wp:align>
          </wp:positionV>
          <wp:extent cx="7560000" cy="10692000"/>
          <wp:effectExtent l="0" t="0" r="317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over27050202_AMPR_web_Page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rPr>
        <w:noProof/>
        <w:lang w:eastAsia="en-GB"/>
      </w:rPr>
      <w:drawing>
        <wp:anchor distT="0" distB="0" distL="114300" distR="114300" simplePos="0" relativeHeight="251657216" behindDoc="0" locked="0" layoutInCell="1" allowOverlap="1">
          <wp:simplePos x="899491" y="402535"/>
          <wp:positionH relativeFrom="page">
            <wp:align>left</wp:align>
          </wp:positionH>
          <wp:positionV relativeFrom="page">
            <wp:align>top</wp:align>
          </wp:positionV>
          <wp:extent cx="7560000" cy="10692000"/>
          <wp:effectExtent l="0" t="0" r="317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ver27050202_AMPR_web_Page_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4612230"/>
    <w:multiLevelType w:val="multilevel"/>
    <w:tmpl w:val="5ECE5D4A"/>
    <w:styleLink w:val="AMPRLISTBlue"/>
    <w:lvl w:ilvl="0">
      <w:start w:val="1"/>
      <w:numFmt w:val="bullet"/>
      <w:pStyle w:val="AMPRListBlue-L1"/>
      <w:lvlText w:val=""/>
      <w:lvlJc w:val="left"/>
      <w:pPr>
        <w:ind w:left="717" w:hanging="360"/>
      </w:pPr>
      <w:rPr>
        <w:rFonts w:ascii="Symbol" w:hAnsi="Symbol" w:cs="Times New Roman" w:hint="default"/>
        <w:color w:val="4472C4" w:themeColor="accent5"/>
      </w:rPr>
    </w:lvl>
    <w:lvl w:ilvl="1">
      <w:start w:val="1"/>
      <w:numFmt w:val="bullet"/>
      <w:pStyle w:val="AMPRListBlue-L2"/>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3">
    <w:nsid w:val="08AE24A6"/>
    <w:multiLevelType w:val="multilevel"/>
    <w:tmpl w:val="9AA422D2"/>
    <w:styleLink w:val="PPO2SpecificObjectivesBulletsLIST"/>
    <w:lvl w:ilvl="0">
      <w:start w:val="1"/>
      <w:numFmt w:val="bullet"/>
      <w:pStyle w:val="PPO2SpecificobjectivesBOX-BulletSpringGreen"/>
      <w:lvlText w:val=""/>
      <w:lvlJc w:val="left"/>
      <w:pPr>
        <w:ind w:left="340" w:hanging="227"/>
      </w:pPr>
      <w:rPr>
        <w:rFonts w:ascii="Symbol" w:hAnsi="Symbol" w:cs="Times New Roman" w:hint="default"/>
        <w:color w:val="9ACA3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4">
    <w:nsid w:val="165C7CE9"/>
    <w:multiLevelType w:val="multilevel"/>
    <w:tmpl w:val="191E1D4E"/>
    <w:styleLink w:val="PPO4SpecificObjectivesBulletsLIST"/>
    <w:lvl w:ilvl="0">
      <w:start w:val="1"/>
      <w:numFmt w:val="bullet"/>
      <w:pStyle w:val="PPO4SpecificobjectivesBOX-BulletLightBrown"/>
      <w:lvlText w:val=""/>
      <w:lvlJc w:val="left"/>
      <w:pPr>
        <w:ind w:left="340" w:hanging="227"/>
      </w:pPr>
      <w:rPr>
        <w:rFonts w:ascii="Symbol" w:hAnsi="Symbol" w:cs="Times New Roman" w:hint="default"/>
        <w:color w:val="F68A42"/>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5">
    <w:nsid w:val="16602544"/>
    <w:multiLevelType w:val="multilevel"/>
    <w:tmpl w:val="3586C530"/>
    <w:styleLink w:val="PPO1BSpecificObjectivesBulletsLIST"/>
    <w:lvl w:ilvl="0">
      <w:start w:val="1"/>
      <w:numFmt w:val="bullet"/>
      <w:pStyle w:val="PPO1BSpecificobjectivesBOX-BulletTurquoise"/>
      <w:lvlText w:val=""/>
      <w:lvlJc w:val="left"/>
      <w:pPr>
        <w:ind w:left="340" w:hanging="227"/>
      </w:pPr>
      <w:rPr>
        <w:rFonts w:ascii="Symbol" w:hAnsi="Symbol" w:cs="Times New Roman" w:hint="default"/>
        <w:color w:val="18BAA8"/>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6">
    <w:nsid w:val="1FCA407E"/>
    <w:multiLevelType w:val="multilevel"/>
    <w:tmpl w:val="86D2A4D6"/>
    <w:styleLink w:val="AMPRLISTOrange"/>
    <w:lvl w:ilvl="0">
      <w:start w:val="1"/>
      <w:numFmt w:val="bullet"/>
      <w:pStyle w:val="AMPRListOrange-L1"/>
      <w:lvlText w:val=""/>
      <w:lvlJc w:val="left"/>
      <w:pPr>
        <w:ind w:left="714" w:hanging="357"/>
      </w:pPr>
      <w:rPr>
        <w:rFonts w:ascii="Symbol" w:hAnsi="Symbol" w:cs="Times New Roman" w:hint="default"/>
        <w:color w:val="F26A47"/>
      </w:rPr>
    </w:lvl>
    <w:lvl w:ilvl="1">
      <w:start w:val="1"/>
      <w:numFmt w:val="bullet"/>
      <w:pStyle w:val="AMPRListOrange-L2"/>
      <w:lvlText w:val="—"/>
      <w:lvlJc w:val="left"/>
      <w:pPr>
        <w:tabs>
          <w:tab w:val="num" w:pos="1077"/>
        </w:tabs>
        <w:ind w:left="1434" w:hanging="357"/>
      </w:pPr>
      <w:rPr>
        <w:rFonts w:ascii="EC Square Sans Pro" w:hAnsi="EC Square Sans Pro" w:cs="Courier New" w:hint="default"/>
        <w:color w:val="F26A47"/>
      </w:rPr>
    </w:lvl>
    <w:lvl w:ilvl="2">
      <w:start w:val="1"/>
      <w:numFmt w:val="bullet"/>
      <w:lvlText w:val=""/>
      <w:lvlJc w:val="left"/>
      <w:pPr>
        <w:ind w:left="2154" w:hanging="357"/>
      </w:pPr>
      <w:rPr>
        <w:rFonts w:ascii="Wingdings" w:hAnsi="Wingdings" w:cs="Times New Roman" w:hint="default"/>
        <w:color w:val="F26A47"/>
      </w:rPr>
    </w:lvl>
    <w:lvl w:ilvl="3">
      <w:start w:val="1"/>
      <w:numFmt w:val="bullet"/>
      <w:lvlText w:val=""/>
      <w:lvlJc w:val="left"/>
      <w:pPr>
        <w:ind w:left="2874" w:hanging="357"/>
      </w:pPr>
      <w:rPr>
        <w:rFonts w:ascii="Symbol" w:hAnsi="Symbol" w:cs="Times New Roman" w:hint="default"/>
        <w:color w:val="F26A47"/>
      </w:rPr>
    </w:lvl>
    <w:lvl w:ilvl="4">
      <w:start w:val="1"/>
      <w:numFmt w:val="bullet"/>
      <w:lvlText w:val="o"/>
      <w:lvlJc w:val="left"/>
      <w:pPr>
        <w:ind w:left="3594" w:hanging="357"/>
      </w:pPr>
      <w:rPr>
        <w:rFonts w:ascii="Courier New" w:hAnsi="Courier New" w:cs="Courier New" w:hint="default"/>
        <w:color w:val="F26A47"/>
      </w:rPr>
    </w:lvl>
    <w:lvl w:ilvl="5">
      <w:start w:val="1"/>
      <w:numFmt w:val="bullet"/>
      <w:lvlText w:val=""/>
      <w:lvlJc w:val="left"/>
      <w:pPr>
        <w:ind w:left="4314" w:hanging="357"/>
      </w:pPr>
      <w:rPr>
        <w:rFonts w:ascii="Wingdings" w:hAnsi="Wingdings" w:cs="Times New Roman" w:hint="default"/>
        <w:color w:val="F26A47"/>
      </w:rPr>
    </w:lvl>
    <w:lvl w:ilvl="6">
      <w:start w:val="1"/>
      <w:numFmt w:val="bullet"/>
      <w:lvlText w:val=""/>
      <w:lvlJc w:val="left"/>
      <w:pPr>
        <w:ind w:left="5034" w:hanging="357"/>
      </w:pPr>
      <w:rPr>
        <w:rFonts w:ascii="Symbol" w:hAnsi="Symbol" w:cs="Symbol" w:hint="default"/>
        <w:color w:val="F26A47"/>
      </w:rPr>
    </w:lvl>
    <w:lvl w:ilvl="7">
      <w:start w:val="1"/>
      <w:numFmt w:val="bullet"/>
      <w:lvlText w:val="o"/>
      <w:lvlJc w:val="left"/>
      <w:pPr>
        <w:ind w:left="5754" w:hanging="357"/>
      </w:pPr>
      <w:rPr>
        <w:rFonts w:ascii="Courier New" w:hAnsi="Courier New" w:cs="Courier New" w:hint="default"/>
        <w:color w:val="F26A47"/>
      </w:rPr>
    </w:lvl>
    <w:lvl w:ilvl="8">
      <w:start w:val="1"/>
      <w:numFmt w:val="bullet"/>
      <w:lvlText w:val=""/>
      <w:lvlJc w:val="left"/>
      <w:pPr>
        <w:ind w:left="6474" w:hanging="357"/>
      </w:pPr>
      <w:rPr>
        <w:rFonts w:ascii="Wingdings" w:hAnsi="Wingdings" w:cs="Wingdings" w:hint="default"/>
        <w:color w:val="F26A47"/>
      </w:rPr>
    </w:lvl>
  </w:abstractNum>
  <w:abstractNum w:abstractNumId="7">
    <w:nsid w:val="2397091A"/>
    <w:multiLevelType w:val="multilevel"/>
    <w:tmpl w:val="E8A246D2"/>
    <w:styleLink w:val="AMPRLIST-SEC2-Headings"/>
    <w:lvl w:ilvl="0">
      <w:start w:val="1"/>
      <w:numFmt w:val="decimal"/>
      <w:pStyle w:val="AMPRSec2TITLE2-numbered"/>
      <w:lvlText w:val="2.%1."/>
      <w:lvlJc w:val="left"/>
      <w:pPr>
        <w:ind w:left="1276" w:hanging="1276"/>
      </w:pPr>
      <w:rPr>
        <w:rFonts w:hint="default"/>
      </w:rPr>
    </w:lvl>
    <w:lvl w:ilvl="1">
      <w:start w:val="1"/>
      <w:numFmt w:val="decimal"/>
      <w:pStyle w:val="AMPRSec2TITLE3-numbered"/>
      <w:lvlText w:val="2.%1.%2."/>
      <w:lvlJc w:val="left"/>
      <w:pPr>
        <w:ind w:left="1276" w:hanging="1276"/>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nsid w:val="23E11927"/>
    <w:multiLevelType w:val="multilevel"/>
    <w:tmpl w:val="AEC40D6E"/>
    <w:styleLink w:val="PPO1ASpecificObjectivesBulletsLIST"/>
    <w:lvl w:ilvl="0">
      <w:start w:val="1"/>
      <w:numFmt w:val="bullet"/>
      <w:pStyle w:val="PPO1ASpecificobjectivesBOX-BulletLightBlue"/>
      <w:lvlText w:val=""/>
      <w:lvlJc w:val="left"/>
      <w:pPr>
        <w:ind w:left="340" w:hanging="227"/>
      </w:pPr>
      <w:rPr>
        <w:rFonts w:ascii="Symbol" w:hAnsi="Symbol" w:cs="Times New Roman" w:hint="default"/>
        <w:color w:val="00ADD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9">
    <w:nsid w:val="2580631B"/>
    <w:multiLevelType w:val="multilevel"/>
    <w:tmpl w:val="6F14F578"/>
    <w:styleLink w:val="PPOLISTBlackNumbersinbrackets"/>
    <w:lvl w:ilvl="0">
      <w:start w:val="1"/>
      <w:numFmt w:val="decimal"/>
      <w:pStyle w:val="PPOBlackNumberinBracketsLIST-L1"/>
      <w:lvlText w:val="(%1)"/>
      <w:lvlJc w:val="left"/>
      <w:pPr>
        <w:tabs>
          <w:tab w:val="num" w:pos="720"/>
        </w:tabs>
        <w:ind w:left="1077" w:hanging="357"/>
      </w:pPr>
      <w:rPr>
        <w:rFonts w:hint="default"/>
      </w:rPr>
    </w:lvl>
    <w:lvl w:ilvl="1">
      <w:start w:val="1"/>
      <w:numFmt w:val="lowerLetter"/>
      <w:lvlText w:val="%2)"/>
      <w:lvlJc w:val="left"/>
      <w:pPr>
        <w:tabs>
          <w:tab w:val="num" w:pos="1083"/>
        </w:tabs>
        <w:ind w:left="1440" w:hanging="357"/>
      </w:pPr>
      <w:rPr>
        <w:rFonts w:hint="default"/>
      </w:rPr>
    </w:lvl>
    <w:lvl w:ilvl="2">
      <w:start w:val="1"/>
      <w:numFmt w:val="lowerRoman"/>
      <w:lvlText w:val="%3)"/>
      <w:lvlJc w:val="left"/>
      <w:pPr>
        <w:tabs>
          <w:tab w:val="num" w:pos="1446"/>
        </w:tabs>
        <w:ind w:left="1803" w:hanging="357"/>
      </w:pPr>
      <w:rPr>
        <w:rFonts w:hint="default"/>
      </w:rPr>
    </w:lvl>
    <w:lvl w:ilvl="3">
      <w:start w:val="1"/>
      <w:numFmt w:val="decimal"/>
      <w:lvlText w:val="(%4)"/>
      <w:lvlJc w:val="left"/>
      <w:pPr>
        <w:tabs>
          <w:tab w:val="num" w:pos="1809"/>
        </w:tabs>
        <w:ind w:left="2166" w:hanging="357"/>
      </w:pPr>
      <w:rPr>
        <w:rFonts w:hint="default"/>
      </w:rPr>
    </w:lvl>
    <w:lvl w:ilvl="4">
      <w:start w:val="1"/>
      <w:numFmt w:val="lowerLetter"/>
      <w:lvlText w:val="(%5)"/>
      <w:lvlJc w:val="left"/>
      <w:pPr>
        <w:tabs>
          <w:tab w:val="num" w:pos="2172"/>
        </w:tabs>
        <w:ind w:left="2529" w:hanging="357"/>
      </w:pPr>
      <w:rPr>
        <w:rFonts w:hint="default"/>
      </w:rPr>
    </w:lvl>
    <w:lvl w:ilvl="5">
      <w:start w:val="1"/>
      <w:numFmt w:val="lowerRoman"/>
      <w:lvlText w:val="(%6)"/>
      <w:lvlJc w:val="left"/>
      <w:pPr>
        <w:tabs>
          <w:tab w:val="num" w:pos="2535"/>
        </w:tabs>
        <w:ind w:left="2892" w:hanging="357"/>
      </w:pPr>
      <w:rPr>
        <w:rFonts w:hint="default"/>
      </w:rPr>
    </w:lvl>
    <w:lvl w:ilvl="6">
      <w:start w:val="1"/>
      <w:numFmt w:val="decimal"/>
      <w:lvlText w:val="%7."/>
      <w:lvlJc w:val="left"/>
      <w:pPr>
        <w:tabs>
          <w:tab w:val="num" w:pos="2898"/>
        </w:tabs>
        <w:ind w:left="3255" w:hanging="357"/>
      </w:pPr>
      <w:rPr>
        <w:rFonts w:hint="default"/>
      </w:rPr>
    </w:lvl>
    <w:lvl w:ilvl="7">
      <w:start w:val="1"/>
      <w:numFmt w:val="lowerLetter"/>
      <w:lvlText w:val="%8."/>
      <w:lvlJc w:val="left"/>
      <w:pPr>
        <w:tabs>
          <w:tab w:val="num" w:pos="3261"/>
        </w:tabs>
        <w:ind w:left="3618" w:hanging="357"/>
      </w:pPr>
      <w:rPr>
        <w:rFonts w:hint="default"/>
      </w:rPr>
    </w:lvl>
    <w:lvl w:ilvl="8">
      <w:start w:val="1"/>
      <w:numFmt w:val="lowerRoman"/>
      <w:lvlText w:val="%9."/>
      <w:lvlJc w:val="left"/>
      <w:pPr>
        <w:tabs>
          <w:tab w:val="num" w:pos="3624"/>
        </w:tabs>
        <w:ind w:left="3981" w:hanging="357"/>
      </w:pPr>
      <w:rPr>
        <w:rFonts w:hint="default"/>
      </w:rPr>
    </w:lvl>
  </w:abstractNum>
  <w:abstractNum w:abstractNumId="10">
    <w:nsid w:val="2E855663"/>
    <w:multiLevelType w:val="hybridMultilevel"/>
    <w:tmpl w:val="86E0AE50"/>
    <w:lvl w:ilvl="0" w:tplc="080C0001">
      <w:start w:val="1"/>
      <w:numFmt w:val="bullet"/>
      <w:pStyle w:val="AMPRtableBOXA-bgWHITElnORANGE-BLUE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nsid w:val="304450D8"/>
    <w:multiLevelType w:val="multilevel"/>
    <w:tmpl w:val="346EE1F8"/>
    <w:styleLink w:val="PPO3SpecificObjectivesBulletsLIST"/>
    <w:lvl w:ilvl="0">
      <w:start w:val="1"/>
      <w:numFmt w:val="bullet"/>
      <w:pStyle w:val="PPO3SpecificobjectivesBOX-BulletPurple"/>
      <w:lvlText w:val=""/>
      <w:lvlJc w:val="left"/>
      <w:pPr>
        <w:ind w:left="340" w:hanging="227"/>
      </w:pPr>
      <w:rPr>
        <w:rFonts w:ascii="Symbol" w:hAnsi="Symbol" w:cs="Times New Roman" w:hint="default"/>
        <w:color w:val="585E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12">
    <w:nsid w:val="316C3229"/>
    <w:multiLevelType w:val="hybridMultilevel"/>
    <w:tmpl w:val="2F84470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339803C9"/>
    <w:multiLevelType w:val="multilevel"/>
    <w:tmpl w:val="B96E5C80"/>
    <w:styleLink w:val="PPOLISTBlackBULLETS"/>
    <w:lvl w:ilvl="0">
      <w:start w:val="1"/>
      <w:numFmt w:val="bullet"/>
      <w:lvlText w:val=""/>
      <w:lvlJc w:val="left"/>
      <w:pPr>
        <w:ind w:left="499" w:hanging="357"/>
      </w:pPr>
      <w:rPr>
        <w:rFonts w:ascii="Symbol" w:hAnsi="Symbol" w:cs="Times New Roman" w:hint="default"/>
      </w:rPr>
    </w:lvl>
    <w:lvl w:ilvl="1">
      <w:start w:val="1"/>
      <w:numFmt w:val="bullet"/>
      <w:lvlText w:val="o"/>
      <w:lvlJc w:val="left"/>
      <w:pPr>
        <w:ind w:left="1077" w:hanging="357"/>
      </w:pPr>
      <w:rPr>
        <w:rFonts w:ascii="Courier New" w:hAnsi="Courier New" w:cs="Courier New" w:hint="default"/>
      </w:rPr>
    </w:lvl>
    <w:lvl w:ilvl="2">
      <w:start w:val="1"/>
      <w:numFmt w:val="bullet"/>
      <w:lvlText w:val=""/>
      <w:lvlJc w:val="left"/>
      <w:pPr>
        <w:ind w:left="1656" w:hanging="358"/>
      </w:pPr>
      <w:rPr>
        <w:rFonts w:ascii="Wingdings" w:hAnsi="Wingdings" w:cs="Times New Roman" w:hint="default"/>
      </w:rPr>
    </w:lvl>
    <w:lvl w:ilvl="3">
      <w:start w:val="1"/>
      <w:numFmt w:val="bullet"/>
      <w:lvlText w:val=""/>
      <w:lvlJc w:val="left"/>
      <w:pPr>
        <w:ind w:left="2234" w:hanging="357"/>
      </w:pPr>
      <w:rPr>
        <w:rFonts w:ascii="Symbol" w:hAnsi="Symbol" w:cs="Times New Roman" w:hint="default"/>
      </w:rPr>
    </w:lvl>
    <w:lvl w:ilvl="4">
      <w:start w:val="1"/>
      <w:numFmt w:val="bullet"/>
      <w:lvlText w:val="o"/>
      <w:lvlJc w:val="left"/>
      <w:pPr>
        <w:ind w:left="2812" w:hanging="357"/>
      </w:pPr>
      <w:rPr>
        <w:rFonts w:ascii="Courier New" w:hAnsi="Courier New" w:cs="Courier New" w:hint="default"/>
      </w:rPr>
    </w:lvl>
    <w:lvl w:ilvl="5">
      <w:start w:val="1"/>
      <w:numFmt w:val="bullet"/>
      <w:lvlText w:val=""/>
      <w:lvlJc w:val="left"/>
      <w:pPr>
        <w:ind w:left="3391" w:hanging="358"/>
      </w:pPr>
      <w:rPr>
        <w:rFonts w:ascii="Wingdings" w:hAnsi="Wingdings" w:cs="Times New Roman" w:hint="default"/>
      </w:rPr>
    </w:lvl>
    <w:lvl w:ilvl="6">
      <w:start w:val="1"/>
      <w:numFmt w:val="bullet"/>
      <w:lvlText w:val=""/>
      <w:lvlJc w:val="left"/>
      <w:pPr>
        <w:ind w:left="5182" w:hanging="360"/>
      </w:pPr>
      <w:rPr>
        <w:rFonts w:ascii="Symbol" w:hAnsi="Symbol" w:cs="Times New Roman"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Times New Roman" w:hint="default"/>
      </w:rPr>
    </w:lvl>
  </w:abstractNum>
  <w:abstractNum w:abstractNumId="14">
    <w:nsid w:val="33B86435"/>
    <w:multiLevelType w:val="multilevel"/>
    <w:tmpl w:val="E714809C"/>
    <w:styleLink w:val="AMPRLISTa"/>
    <w:lvl w:ilvl="0">
      <w:start w:val="1"/>
      <w:numFmt w:val="lowerLetter"/>
      <w:pStyle w:val="AMPRLista-L1"/>
      <w:lvlText w:val="(%1)"/>
      <w:lvlJc w:val="left"/>
      <w:pPr>
        <w:ind w:left="714" w:hanging="357"/>
      </w:pPr>
      <w:rPr>
        <w:rFonts w:hint="default"/>
      </w:rPr>
    </w:lvl>
    <w:lvl w:ilvl="1">
      <w:start w:val="1"/>
      <w:numFmt w:val="bullet"/>
      <w:lvlText w:val=""/>
      <w:lvlJc w:val="left"/>
      <w:pPr>
        <w:ind w:left="1071" w:hanging="357"/>
      </w:pPr>
      <w:rPr>
        <w:rFonts w:ascii="Symbol" w:hAnsi="Symbol" w:cs="Symbol" w:hint="default"/>
        <w:color w:val="4472C4" w:themeColor="accent5"/>
      </w:rPr>
    </w:lvl>
    <w:lvl w:ilvl="2">
      <w:start w:val="1"/>
      <w:numFmt w:val="bullet"/>
      <w:lvlText w:val="o"/>
      <w:lvlJc w:val="left"/>
      <w:pPr>
        <w:ind w:left="1428" w:hanging="357"/>
      </w:pPr>
      <w:rPr>
        <w:rFonts w:ascii="Courier New" w:hAnsi="Courier New" w:cs="Courier New" w:hint="default"/>
        <w:color w:val="4472C4" w:themeColor="accent5"/>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righ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right"/>
      <w:pPr>
        <w:ind w:left="3570" w:hanging="357"/>
      </w:pPr>
      <w:rPr>
        <w:rFonts w:hint="default"/>
      </w:rPr>
    </w:lvl>
  </w:abstractNum>
  <w:abstractNum w:abstractNumId="15">
    <w:nsid w:val="33FD1B95"/>
    <w:multiLevelType w:val="multilevel"/>
    <w:tmpl w:val="CFC65F70"/>
    <w:styleLink w:val="AMPRlong"/>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0" w:hanging="1020"/>
      </w:pPr>
      <w:rPr>
        <w:rFonts w:hint="default"/>
      </w:rPr>
    </w:lvl>
    <w:lvl w:ilvl="3">
      <w:start w:val="1"/>
      <w:numFmt w:val="decimal"/>
      <w:lvlText w:val="%1.%2.%3.%4."/>
      <w:lvlJc w:val="left"/>
      <w:pPr>
        <w:ind w:left="1304" w:hanging="1304"/>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6">
    <w:nsid w:val="34A02483"/>
    <w:multiLevelType w:val="multilevel"/>
    <w:tmpl w:val="D572163A"/>
    <w:styleLink w:val="numbering"/>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7">
    <w:nsid w:val="3B752CBA"/>
    <w:multiLevelType w:val="multilevel"/>
    <w:tmpl w:val="6F14F578"/>
    <w:numStyleLink w:val="PPOLISTBlackNumbersinbrackets"/>
  </w:abstractNum>
  <w:abstractNum w:abstractNumId="18">
    <w:nsid w:val="3E410B6B"/>
    <w:multiLevelType w:val="multilevel"/>
    <w:tmpl w:val="6BF4115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3FCF1B8B"/>
    <w:multiLevelType w:val="hybridMultilevel"/>
    <w:tmpl w:val="178C9E62"/>
    <w:lvl w:ilvl="0" w:tplc="8ED63F36">
      <w:start w:val="1"/>
      <w:numFmt w:val="bullet"/>
      <w:lvlText w:val="—"/>
      <w:lvlJc w:val="left"/>
      <w:pPr>
        <w:ind w:left="1797" w:hanging="360"/>
      </w:pPr>
      <w:rPr>
        <w:rFonts w:ascii="EC Square Sans Pro" w:hAnsi="EC Square Sans Pro" w:cs="EC Square Sans Pro" w:hint="default"/>
        <w:color w:val="F26A47"/>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0">
    <w:nsid w:val="42852DE4"/>
    <w:multiLevelType w:val="multilevel"/>
    <w:tmpl w:val="0DDAE68A"/>
    <w:lvl w:ilvl="0">
      <w:start w:val="1"/>
      <w:numFmt w:val="bullet"/>
      <w:lvlText w:val=""/>
      <w:lvlJc w:val="left"/>
      <w:pPr>
        <w:ind w:left="717" w:hanging="360"/>
      </w:pPr>
      <w:rPr>
        <w:rFonts w:ascii="Symbol" w:hAnsi="Symbol" w:cs="Times New Roman" w:hint="default"/>
        <w:color w:val="4472C4" w:themeColor="accent5"/>
      </w:rPr>
    </w:lvl>
    <w:lvl w:ilvl="1">
      <w:start w:val="1"/>
      <w:numFmt w:val="bullet"/>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21">
    <w:nsid w:val="4C2A2EEC"/>
    <w:multiLevelType w:val="multilevel"/>
    <w:tmpl w:val="A92810AE"/>
    <w:styleLink w:val="PPOSISpecificObjectivesBulletsLIST"/>
    <w:lvl w:ilvl="0">
      <w:start w:val="1"/>
      <w:numFmt w:val="bullet"/>
      <w:pStyle w:val="PPOSISpecificobjectivesBOX-BulletElectricBlue"/>
      <w:lvlText w:val=""/>
      <w:lvlJc w:val="left"/>
      <w:pPr>
        <w:ind w:left="340" w:hanging="227"/>
      </w:pPr>
      <w:rPr>
        <w:rFonts w:ascii="Symbol" w:hAnsi="Symbol" w:cs="Times New Roman" w:hint="default"/>
        <w:color w:val="4BACC6"/>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22">
    <w:nsid w:val="549478C3"/>
    <w:multiLevelType w:val="hybridMultilevel"/>
    <w:tmpl w:val="24D2F6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562B6BA1"/>
    <w:multiLevelType w:val="multilevel"/>
    <w:tmpl w:val="3A927A28"/>
    <w:styleLink w:val="AMPRnumbering"/>
    <w:lvl w:ilvl="0">
      <w:start w:val="1"/>
      <w:numFmt w:val="decimal"/>
      <w:lvlText w:val="%1."/>
      <w:lvlJc w:val="left"/>
      <w:pPr>
        <w:ind w:left="340" w:hanging="340"/>
      </w:pPr>
      <w:rPr>
        <w:rFonts w:hint="default"/>
      </w:rPr>
    </w:lvl>
    <w:lvl w:ilvl="1">
      <w:start w:val="1"/>
      <w:numFmt w:val="decimal"/>
      <w:lvlText w:val="%1.%2."/>
      <w:lvlJc w:val="left"/>
      <w:pPr>
        <w:ind w:left="1021" w:hanging="681"/>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4">
    <w:nsid w:val="56362B23"/>
    <w:multiLevelType w:val="multilevel"/>
    <w:tmpl w:val="D584B65C"/>
    <w:lvl w:ilvl="0">
      <w:start w:val="1"/>
      <w:numFmt w:val="decimal"/>
      <w:lvlText w:val="%1."/>
      <w:lvlJc w:val="left"/>
      <w:pPr>
        <w:ind w:left="340" w:hanging="340"/>
      </w:pPr>
      <w:rPr>
        <w:rFonts w:hint="default"/>
      </w:rPr>
    </w:lvl>
    <w:lvl w:ilvl="1">
      <w:start w:val="1"/>
      <w:numFmt w:val="decimal"/>
      <w:pStyle w:val="Title1-NoTOClink"/>
      <w:lvlText w:val="%1.%2."/>
      <w:lvlJc w:val="left"/>
      <w:pPr>
        <w:ind w:left="680" w:hanging="680"/>
      </w:pPr>
      <w:rPr>
        <w:rFonts w:hint="default"/>
      </w:rPr>
    </w:lvl>
    <w:lvl w:ilvl="2">
      <w:start w:val="1"/>
      <w:numFmt w:val="decimal"/>
      <w:lvlText w:val="%1.%2.%3."/>
      <w:lvlJc w:val="left"/>
      <w:pPr>
        <w:ind w:left="1020" w:hanging="1020"/>
      </w:pPr>
      <w:rPr>
        <w:rFonts w:hint="default"/>
      </w:rPr>
    </w:lvl>
    <w:lvl w:ilvl="3">
      <w:start w:val="1"/>
      <w:numFmt w:val="decimal"/>
      <w:pStyle w:val="Subhead2"/>
      <w:lvlText w:val="%1.%2.%3.%4."/>
      <w:lvlJc w:val="left"/>
      <w:pPr>
        <w:ind w:left="1304" w:hanging="1304"/>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5">
    <w:nsid w:val="5AFE1DD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B406EE2"/>
    <w:multiLevelType w:val="multilevel"/>
    <w:tmpl w:val="86D2A4D6"/>
    <w:numStyleLink w:val="AMPRLISTOrange"/>
  </w:abstractNum>
  <w:abstractNum w:abstractNumId="27">
    <w:nsid w:val="5EEE1EF5"/>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3487A82"/>
    <w:multiLevelType w:val="hybridMultilevel"/>
    <w:tmpl w:val="597EC60A"/>
    <w:lvl w:ilvl="0" w:tplc="6CAC5CC4">
      <w:start w:val="1"/>
      <w:numFmt w:val="bullet"/>
      <w:pStyle w:val="BOX2BlueBullet"/>
      <w:lvlText w:val=""/>
      <w:lvlJc w:val="left"/>
      <w:pPr>
        <w:ind w:left="360" w:hanging="360"/>
      </w:pPr>
      <w:rPr>
        <w:rFonts w:ascii="Symbol" w:hAnsi="Symbol" w:hint="default"/>
        <w:color w:val="5B9BD5" w:themeColor="accent1"/>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nsid w:val="65997927"/>
    <w:multiLevelType w:val="multilevel"/>
    <w:tmpl w:val="54D288BE"/>
    <w:styleLink w:val="AMPRLIST-SEC1-Headings"/>
    <w:lvl w:ilvl="0">
      <w:start w:val="1"/>
      <w:numFmt w:val="decimal"/>
      <w:pStyle w:val="AMPRSec1TITLE2-numbered"/>
      <w:lvlText w:val="1.%1."/>
      <w:lvlJc w:val="left"/>
      <w:pPr>
        <w:ind w:left="1276" w:hanging="1276"/>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nsid w:val="69EB3825"/>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6DA92D6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74B228DE"/>
    <w:multiLevelType w:val="multilevel"/>
    <w:tmpl w:val="6BF41150"/>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76394AF3"/>
    <w:multiLevelType w:val="hybridMultilevel"/>
    <w:tmpl w:val="773CB2E2"/>
    <w:lvl w:ilvl="0" w:tplc="080C0001">
      <w:start w:val="1"/>
      <w:numFmt w:val="bullet"/>
      <w:pStyle w:val="BulletsOrange"/>
      <w:lvlText w:val=""/>
      <w:lvlJc w:val="left"/>
      <w:pPr>
        <w:ind w:left="720" w:hanging="360"/>
      </w:pPr>
      <w:rPr>
        <w:rFonts w:ascii="Symbol" w:hAnsi="Symbol" w:hint="default"/>
        <w:color w:val="ED7D31" w:themeColor="accent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3"/>
  </w:num>
  <w:num w:numId="4">
    <w:abstractNumId w:val="28"/>
  </w:num>
  <w:num w:numId="5">
    <w:abstractNumId w:val="10"/>
  </w:num>
  <w:num w:numId="6">
    <w:abstractNumId w:val="12"/>
  </w:num>
  <w:num w:numId="7">
    <w:abstractNumId w:val="13"/>
  </w:num>
  <w:num w:numId="8">
    <w:abstractNumId w:val="22"/>
  </w:num>
  <w:num w:numId="9">
    <w:abstractNumId w:val="16"/>
  </w:num>
  <w:num w:numId="10">
    <w:abstractNumId w:val="23"/>
  </w:num>
  <w:num w:numId="11">
    <w:abstractNumId w:val="31"/>
  </w:num>
  <w:num w:numId="12">
    <w:abstractNumId w:val="15"/>
  </w:num>
  <w:num w:numId="13">
    <w:abstractNumId w:val="24"/>
  </w:num>
  <w:num w:numId="14">
    <w:abstractNumId w:val="14"/>
  </w:num>
  <w:num w:numId="15">
    <w:abstractNumId w:val="6"/>
  </w:num>
  <w:num w:numId="16">
    <w:abstractNumId w:val="27"/>
  </w:num>
  <w:num w:numId="17">
    <w:abstractNumId w:val="25"/>
  </w:num>
  <w:num w:numId="18">
    <w:abstractNumId w:val="30"/>
  </w:num>
  <w:num w:numId="19">
    <w:abstractNumId w:val="29"/>
  </w:num>
  <w:num w:numId="20">
    <w:abstractNumId w:val="7"/>
  </w:num>
  <w:num w:numId="21">
    <w:abstractNumId w:val="20"/>
  </w:num>
  <w:num w:numId="22">
    <w:abstractNumId w:val="2"/>
  </w:num>
  <w:num w:numId="23">
    <w:abstractNumId w:val="19"/>
  </w:num>
  <w:num w:numId="24">
    <w:abstractNumId w:val="26"/>
  </w:num>
  <w:num w:numId="25">
    <w:abstractNumId w:val="18"/>
  </w:num>
  <w:num w:numId="26">
    <w:abstractNumId w:val="32"/>
  </w:num>
  <w:num w:numId="27">
    <w:abstractNumId w:val="9"/>
  </w:num>
  <w:num w:numId="28">
    <w:abstractNumId w:val="17"/>
  </w:num>
  <w:num w:numId="29">
    <w:abstractNumId w:val="8"/>
  </w:num>
  <w:num w:numId="30">
    <w:abstractNumId w:val="5"/>
  </w:num>
  <w:num w:numId="31">
    <w:abstractNumId w:val="3"/>
  </w:num>
  <w:num w:numId="32">
    <w:abstractNumId w:val="11"/>
  </w:num>
  <w:num w:numId="33">
    <w:abstractNumId w:val="4"/>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revisionView w:markup="0"/>
  <w:defaultTabStop w:val="720"/>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BC717AA4-1A02-46C7-9ACC-F8F83B9C814A"/>
    <w:docVar w:name="LW_COVERPAGE_TYPE" w:val="1"/>
    <w:docVar w:name="LW_CROSSREFERENCE" w:val="&lt;UNUSED&gt;"/>
    <w:docVar w:name="LW_DocType" w:val="NORMAL"/>
    <w:docVar w:name="LW_EMISSION" w:val="24.6.2020"/>
    <w:docVar w:name="LW_EMISSION_ISODATE" w:val="2020-06-24"/>
    <w:docVar w:name="LW_EMISSION_LOCATION" w:val="BRX"/>
    <w:docVar w:name="LW_EMISSION_PREFIX" w:val="Брюксел, "/>
    <w:docVar w:name="LW_EMISSION_SUFFIX" w:val=" \u1075?."/>
    <w:docVar w:name="LW_ID_DOCTYPE_NONLW" w:val="CP-003"/>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3"/>
    <w:docVar w:name="LW_REF.INST.NEW" w:val="COM"/>
    <w:docVar w:name="LW_REF.INST.NEW_ADOPTED" w:val="final"/>
    <w:docVar w:name="LW_REF.INST.NEW_TEXT" w:val="(2020) 2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Font=Calibri Cyr&gt;\u1044?\u1054? \u1045?\u1042?\u1056?\u1054?\u1055?\u1045?\u1049?\u1057?\u1050?\u1048?\u1071? \u1055?\u1040?\u1056?\u1051?\u1040?\u1052?\u1045?\u1053?\u1058?, \u1057?\u1066?\u1042?\u1045?\u1058?\u1040? \u1048? \u1057?\u1052?\u1045?\u1058?\u1053?\u1040?\u1058?\u1040? \u1055?\u1040?\u1051?\u1040?\u1058?\u1040?&lt;/FMT&gt;_x000d__x000d__x000d__x000d__x000d__x000d__x000b__x000d__x000d__x000d__x000d__x000d__x000d__x000b_&lt;FMT:Font=Calibri Cyr&gt;\u1043?\u1086?\u1076?\u1080?\u1096?\u1077?\u1085? \u1076?\u1086?\u1082?\u1083?\u1072?\u1076? \u1079?\u1072? \u1091?\u1087?\u1088?\u1072?\u1074?\u1083?\u1077?\u1085?\u1080?\u1077?\u1090?\u1086? \u1080? \u1080?\u1079?\u1087?\u1098?\u1083?\u1085?\u1077?\u1085?\u1080?\u1077?\u1090?\u1086? \u1085?\u1072? \u1073?\u1102?\u1076?\u1078?\u1077?\u1090?\u1072? \u1085?\u1072? \u1045?\u1057? \u1079?\u1072? 2019 \u1075?\u1086?\u1076?\u1080?\u1085?\u1072?&lt;/FMT&gt;"/>
    <w:docVar w:name="LW_TYPE.DOC.CP" w:val="\u1044?\u1054?\u1050?\u1051?\u1040?\u1044? \u1053?\u1040? \u1050?\u1054?\u1052?\u1048?\u1057?\u1048?\u1071?\u1058?\u1040?"/>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numPr>
        <w:numId w:val="11"/>
      </w:numPr>
      <w:spacing w:before="480" w:after="0" w:line="240" w:lineRule="auto"/>
      <w:outlineLvl w:val="0"/>
    </w:pPr>
    <w:rPr>
      <w:rFonts w:ascii="EC Square Sans Pro" w:eastAsiaTheme="majorEastAsia" w:hAnsi="EC Square Sans Pro" w:cstheme="majorBidi"/>
      <w:b/>
      <w:bCs/>
      <w:noProof/>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11"/>
      </w:numPr>
      <w:spacing w:before="120" w:after="120" w:line="240" w:lineRule="auto"/>
      <w:jc w:val="both"/>
      <w:outlineLvl w:val="1"/>
    </w:pPr>
    <w:rPr>
      <w:rFonts w:ascii="EC Square Sans Pro" w:eastAsiaTheme="majorEastAsia" w:hAnsi="EC Square Sans Pro" w:cs="Times New Roman"/>
      <w:b/>
      <w:bCs/>
      <w:noProof/>
      <w:sz w:val="24"/>
      <w:szCs w:val="26"/>
    </w:rPr>
  </w:style>
  <w:style w:type="paragraph" w:styleId="Heading3">
    <w:name w:val="heading 3"/>
    <w:basedOn w:val="Normal"/>
    <w:next w:val="Normal"/>
    <w:link w:val="Heading3Char"/>
    <w:uiPriority w:val="9"/>
    <w:semiHidden/>
    <w:unhideWhenUsed/>
    <w:qFormat/>
    <w:pPr>
      <w:keepNext/>
      <w:keepLines/>
      <w:numPr>
        <w:ilvl w:val="2"/>
        <w:numId w:val="11"/>
      </w:numPr>
      <w:spacing w:before="40" w:after="0" w:line="240" w:lineRule="auto"/>
      <w:outlineLvl w:val="2"/>
    </w:pPr>
    <w:rPr>
      <w:rFonts w:ascii="EC Square Sans Pro" w:eastAsiaTheme="majorEastAsia" w:hAnsi="EC Square Sans Pro" w:cstheme="majorBidi"/>
      <w:noProof/>
      <w:color w:val="1F4D78" w:themeColor="accent1" w:themeShade="7F"/>
      <w:sz w:val="24"/>
      <w:szCs w:val="24"/>
    </w:rPr>
  </w:style>
  <w:style w:type="paragraph" w:styleId="Heading4">
    <w:name w:val="heading 4"/>
    <w:basedOn w:val="Normal"/>
    <w:next w:val="Normal"/>
    <w:link w:val="Heading4Char"/>
    <w:uiPriority w:val="9"/>
    <w:semiHidden/>
    <w:unhideWhenUsed/>
    <w:qFormat/>
    <w:pPr>
      <w:keepNext/>
      <w:numPr>
        <w:ilvl w:val="3"/>
        <w:numId w:val="11"/>
      </w:numPr>
      <w:spacing w:before="120" w:after="120" w:line="240" w:lineRule="auto"/>
      <w:jc w:val="both"/>
      <w:outlineLvl w:val="3"/>
    </w:pPr>
    <w:rPr>
      <w:rFonts w:ascii="EC Square Sans Pro" w:eastAsiaTheme="majorEastAsia" w:hAnsi="EC Square Sans Pro" w:cs="Times New Roman"/>
      <w:bCs/>
      <w:iCs/>
      <w:noProof/>
      <w:sz w:val="24"/>
    </w:rPr>
  </w:style>
  <w:style w:type="paragraph" w:styleId="Heading5">
    <w:name w:val="heading 5"/>
    <w:basedOn w:val="Normal"/>
    <w:next w:val="Normal"/>
    <w:link w:val="Heading5Char"/>
    <w:uiPriority w:val="9"/>
    <w:semiHidden/>
    <w:unhideWhenUsed/>
    <w:qFormat/>
    <w:pPr>
      <w:keepNext/>
      <w:keepLines/>
      <w:numPr>
        <w:ilvl w:val="4"/>
        <w:numId w:val="11"/>
      </w:numPr>
      <w:spacing w:before="200" w:after="0" w:line="240" w:lineRule="auto"/>
      <w:outlineLvl w:val="4"/>
    </w:pPr>
    <w:rPr>
      <w:rFonts w:ascii="EC Square Sans Pro" w:eastAsiaTheme="majorEastAsia" w:hAnsi="EC Square Sans Pro" w:cstheme="majorBidi"/>
      <w:noProof/>
      <w:color w:val="1F4D78" w:themeColor="accent1" w:themeShade="7F"/>
      <w:sz w:val="20"/>
    </w:rPr>
  </w:style>
  <w:style w:type="paragraph" w:styleId="Heading6">
    <w:name w:val="heading 6"/>
    <w:basedOn w:val="Normal"/>
    <w:next w:val="Normal"/>
    <w:link w:val="Heading6Char"/>
    <w:uiPriority w:val="9"/>
    <w:semiHidden/>
    <w:unhideWhenUsed/>
    <w:qFormat/>
    <w:pPr>
      <w:keepNext/>
      <w:keepLines/>
      <w:numPr>
        <w:ilvl w:val="5"/>
        <w:numId w:val="11"/>
      </w:numPr>
      <w:spacing w:before="200" w:after="0" w:line="240" w:lineRule="auto"/>
      <w:outlineLvl w:val="5"/>
    </w:pPr>
    <w:rPr>
      <w:rFonts w:ascii="EC Square Sans Pro" w:eastAsiaTheme="majorEastAsia" w:hAnsi="EC Square Sans Pro" w:cstheme="majorBidi"/>
      <w:i/>
      <w:iCs/>
      <w:noProof/>
      <w:color w:val="1F4D78" w:themeColor="accent1" w:themeShade="7F"/>
      <w:sz w:val="20"/>
    </w:rPr>
  </w:style>
  <w:style w:type="paragraph" w:styleId="Heading7">
    <w:name w:val="heading 7"/>
    <w:basedOn w:val="Normal"/>
    <w:next w:val="Normal"/>
    <w:link w:val="Heading7Char"/>
    <w:uiPriority w:val="9"/>
    <w:semiHidden/>
    <w:unhideWhenUsed/>
    <w:qFormat/>
    <w:pPr>
      <w:keepNext/>
      <w:keepLines/>
      <w:numPr>
        <w:ilvl w:val="6"/>
        <w:numId w:val="11"/>
      </w:numPr>
      <w:spacing w:before="200" w:after="0" w:line="240" w:lineRule="auto"/>
      <w:outlineLvl w:val="6"/>
    </w:pPr>
    <w:rPr>
      <w:rFonts w:ascii="EC Square Sans Pro" w:eastAsiaTheme="majorEastAsia" w:hAnsi="EC Square Sans Pro" w:cstheme="majorBidi"/>
      <w:i/>
      <w:iCs/>
      <w:noProof/>
      <w:color w:val="404040" w:themeColor="text1" w:themeTint="BF"/>
      <w:sz w:val="20"/>
    </w:rPr>
  </w:style>
  <w:style w:type="paragraph" w:styleId="Heading8">
    <w:name w:val="heading 8"/>
    <w:basedOn w:val="Normal"/>
    <w:next w:val="Normal"/>
    <w:link w:val="Heading8Char"/>
    <w:uiPriority w:val="9"/>
    <w:semiHidden/>
    <w:unhideWhenUsed/>
    <w:qFormat/>
    <w:pPr>
      <w:keepNext/>
      <w:keepLines/>
      <w:numPr>
        <w:ilvl w:val="7"/>
        <w:numId w:val="11"/>
      </w:numPr>
      <w:spacing w:before="200" w:after="0" w:line="240" w:lineRule="auto"/>
      <w:outlineLvl w:val="7"/>
    </w:pPr>
    <w:rPr>
      <w:rFonts w:ascii="EC Square Sans Pro" w:eastAsiaTheme="majorEastAsia" w:hAnsi="EC Square Sans Pro" w:cstheme="majorBidi"/>
      <w:noProof/>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1"/>
      </w:numPr>
      <w:spacing w:before="200" w:after="0" w:line="240" w:lineRule="auto"/>
      <w:outlineLvl w:val="8"/>
    </w:pPr>
    <w:rPr>
      <w:rFonts w:ascii="EC Square Sans Pro" w:eastAsiaTheme="majorEastAsia" w:hAnsi="EC Square Sans Pro" w:cstheme="majorBidi"/>
      <w:i/>
      <w:iCs/>
      <w:noProof/>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EC Square Sans Pro" w:eastAsiaTheme="majorEastAsia" w:hAnsi="EC Square Sans Pro" w:cstheme="majorBidi"/>
      <w:b/>
      <w:bCs/>
      <w:noProof/>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heme="majorEastAsia" w:hAnsi="EC Square Sans Pro" w:cs="Times New Roman"/>
      <w:b/>
      <w:bCs/>
      <w:noProof/>
      <w:sz w:val="24"/>
      <w:szCs w:val="26"/>
    </w:rPr>
  </w:style>
  <w:style w:type="character" w:customStyle="1" w:styleId="Heading3Char">
    <w:name w:val="Heading 3 Char"/>
    <w:basedOn w:val="DefaultParagraphFont"/>
    <w:link w:val="Heading3"/>
    <w:uiPriority w:val="9"/>
    <w:semiHidden/>
    <w:rPr>
      <w:rFonts w:ascii="EC Square Sans Pro" w:eastAsiaTheme="majorEastAsia" w:hAnsi="EC Square Sans Pro" w:cstheme="majorBidi"/>
      <w:noProof/>
      <w:color w:val="1F4D78" w:themeColor="accent1" w:themeShade="7F"/>
      <w:sz w:val="24"/>
      <w:szCs w:val="24"/>
    </w:rPr>
  </w:style>
  <w:style w:type="character" w:customStyle="1" w:styleId="Heading4Char">
    <w:name w:val="Heading 4 Char"/>
    <w:basedOn w:val="DefaultParagraphFont"/>
    <w:link w:val="Heading4"/>
    <w:uiPriority w:val="9"/>
    <w:semiHidden/>
    <w:rPr>
      <w:rFonts w:ascii="EC Square Sans Pro" w:eastAsiaTheme="majorEastAsia" w:hAnsi="EC Square Sans Pro" w:cs="Times New Roman"/>
      <w:bCs/>
      <w:iCs/>
      <w:noProof/>
      <w:sz w:val="24"/>
    </w:rPr>
  </w:style>
  <w:style w:type="character" w:customStyle="1" w:styleId="Heading5Char">
    <w:name w:val="Heading 5 Char"/>
    <w:basedOn w:val="DefaultParagraphFont"/>
    <w:link w:val="Heading5"/>
    <w:uiPriority w:val="9"/>
    <w:semiHidden/>
    <w:rPr>
      <w:rFonts w:ascii="EC Square Sans Pro" w:eastAsiaTheme="majorEastAsia" w:hAnsi="EC Square Sans Pro" w:cstheme="majorBidi"/>
      <w:noProof/>
      <w:color w:val="1F4D78" w:themeColor="accent1" w:themeShade="7F"/>
      <w:sz w:val="20"/>
    </w:rPr>
  </w:style>
  <w:style w:type="character" w:customStyle="1" w:styleId="Heading6Char">
    <w:name w:val="Heading 6 Char"/>
    <w:basedOn w:val="DefaultParagraphFont"/>
    <w:link w:val="Heading6"/>
    <w:uiPriority w:val="9"/>
    <w:semiHidden/>
    <w:rPr>
      <w:rFonts w:ascii="EC Square Sans Pro" w:eastAsiaTheme="majorEastAsia" w:hAnsi="EC Square Sans Pro" w:cstheme="majorBidi"/>
      <w:i/>
      <w:iCs/>
      <w:noProof/>
      <w:color w:val="1F4D78" w:themeColor="accent1" w:themeShade="7F"/>
      <w:sz w:val="20"/>
    </w:rPr>
  </w:style>
  <w:style w:type="character" w:customStyle="1" w:styleId="Heading7Char">
    <w:name w:val="Heading 7 Char"/>
    <w:basedOn w:val="DefaultParagraphFont"/>
    <w:link w:val="Heading7"/>
    <w:uiPriority w:val="9"/>
    <w:semiHidden/>
    <w:rPr>
      <w:rFonts w:ascii="EC Square Sans Pro" w:eastAsiaTheme="majorEastAsia" w:hAnsi="EC Square Sans Pro" w:cstheme="majorBidi"/>
      <w:i/>
      <w:iCs/>
      <w:noProof/>
      <w:color w:val="404040" w:themeColor="text1" w:themeTint="BF"/>
      <w:sz w:val="20"/>
    </w:rPr>
  </w:style>
  <w:style w:type="character" w:customStyle="1" w:styleId="Heading8Char">
    <w:name w:val="Heading 8 Char"/>
    <w:basedOn w:val="DefaultParagraphFont"/>
    <w:link w:val="Heading8"/>
    <w:uiPriority w:val="9"/>
    <w:semiHidden/>
    <w:rPr>
      <w:rFonts w:ascii="EC Square Sans Pro" w:eastAsiaTheme="majorEastAsia" w:hAnsi="EC Square Sans Pro" w:cstheme="majorBidi"/>
      <w:noProof/>
      <w:color w:val="404040" w:themeColor="text1" w:themeTint="BF"/>
      <w:sz w:val="20"/>
      <w:szCs w:val="20"/>
    </w:rPr>
  </w:style>
  <w:style w:type="character" w:customStyle="1" w:styleId="Heading9Char">
    <w:name w:val="Heading 9 Char"/>
    <w:basedOn w:val="DefaultParagraphFont"/>
    <w:link w:val="Heading9"/>
    <w:uiPriority w:val="9"/>
    <w:semiHidden/>
    <w:rPr>
      <w:rFonts w:ascii="EC Square Sans Pro" w:eastAsiaTheme="majorEastAsia" w:hAnsi="EC Square Sans Pro" w:cstheme="majorBidi"/>
      <w:i/>
      <w:iCs/>
      <w:noProof/>
      <w:color w:val="404040" w:themeColor="text1" w:themeTint="BF"/>
      <w:sz w:val="20"/>
      <w:szCs w:val="20"/>
    </w:r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spacing w:after="0" w:line="240" w:lineRule="auto"/>
      <w:ind w:left="720"/>
      <w:contextualSpacing/>
    </w:pPr>
    <w:rPr>
      <w:rFonts w:ascii="EC Square Sans Pro" w:hAnsi="EC Square Sans Pro" w:cs="Times New Roman"/>
      <w:noProof/>
      <w:sz w:val="20"/>
    </w:rPr>
  </w:style>
  <w:style w:type="paragraph" w:customStyle="1" w:styleId="Subhead3">
    <w:name w:val="Subhead 3"/>
    <w:basedOn w:val="Subhead2"/>
    <w:semiHidden/>
    <w:pPr>
      <w:spacing w:before="240"/>
      <w:ind w:left="340"/>
    </w:pPr>
    <w:rPr>
      <w:color w:val="FFC000" w:themeColor="accent4"/>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noProof/>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noProof/>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noProof/>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noProof/>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noProof/>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noProof/>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b/>
      <w:bCs/>
      <w:noProof/>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b/>
      <w:bCs/>
      <w:noProof/>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pPr>
      <w:numPr>
        <w:numId w:val="3"/>
      </w:numPr>
    </w:pPr>
  </w:style>
  <w:style w:type="character" w:styleId="Hyperlink">
    <w:name w:val="Hyperlink"/>
    <w:basedOn w:val="DefaultParagraphFont"/>
    <w:uiPriority w:val="99"/>
    <w:rPr>
      <w:rFonts w:ascii="EC Square Sans Pro" w:hAnsi="EC Square Sans Pro"/>
      <w:strike w:val="0"/>
      <w:dstrike w:val="0"/>
      <w:noProof/>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noProof/>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noProof/>
      <w:sz w:val="20"/>
      <w:szCs w:val="20"/>
    </w:rPr>
  </w:style>
  <w:style w:type="character" w:styleId="EndnoteReference">
    <w:name w:val="endnote reference"/>
    <w:basedOn w:val="DefaultParagraphFont"/>
    <w:uiPriority w:val="99"/>
    <w:semiHidden/>
    <w:unhideWhenUsed/>
    <w:rPr>
      <w:rFonts w:ascii="EC Square Sans Pro" w:hAnsi="EC Square Sans Pro"/>
      <w:noProof/>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noProof/>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noProof/>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0" w:line="240" w:lineRule="auto"/>
      <w:jc w:val="both"/>
    </w:pPr>
    <w:rPr>
      <w:rFonts w:ascii="EC Square Sans Pro" w:hAnsi="EC Square Sans Pro" w:cs="Times New Roman"/>
      <w:noProof/>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noProof/>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noProof/>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noProof/>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after="0" w:line="240" w:lineRule="auto"/>
      <w:jc w:val="both"/>
    </w:pPr>
    <w:rPr>
      <w:rFonts w:ascii="EC Square Sans Pro" w:hAnsi="EC Square Sans Pro" w:cs="Times New Roman"/>
      <w:b/>
      <w:noProof/>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noProof/>
      <w:color w:val="ED7D31" w:themeColor="accent2"/>
      <w:sz w:val="20"/>
      <w:lang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noProof/>
      <w:color w:val="EE6A44"/>
      <w:sz w:val="52"/>
    </w:rPr>
  </w:style>
  <w:style w:type="paragraph" w:customStyle="1" w:styleId="Title2Report">
    <w:name w:val="Title 2 / Report"/>
    <w:basedOn w:val="Normal"/>
    <w:link w:val="Title2ReportChar"/>
    <w:semiHidden/>
    <w:qFormat/>
    <w:pPr>
      <w:keepNext/>
      <w:keepLines/>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noProof/>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noProof/>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noProof/>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noProof/>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noProof/>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noProof/>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noProof/>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noProof/>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noProof/>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heme="minorEastAsia" w:hAnsi="EC Square Sans Pro"/>
      <w:i/>
      <w:iCs/>
      <w:noProof/>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noProof/>
      <w:sz w:val="20"/>
    </w:rPr>
  </w:style>
  <w:style w:type="character" w:customStyle="1" w:styleId="BodyText2Char">
    <w:name w:val="Body Text 2 Char"/>
    <w:basedOn w:val="DefaultParagraphFont"/>
    <w:link w:val="BodyText2"/>
    <w:uiPriority w:val="99"/>
    <w:semiHidden/>
    <w:rPr>
      <w:rFonts w:ascii="EC Square Sans Pro" w:hAnsi="EC Square Sans Pro" w:cs="Times New Roman"/>
      <w:noProof/>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noProof/>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noProof/>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noProof/>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noProof/>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noProof/>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noProof/>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noProof/>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noProof/>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noProof/>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noProof/>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noProof/>
      <w:sz w:val="20"/>
    </w:rPr>
  </w:style>
  <w:style w:type="character" w:customStyle="1" w:styleId="ClosingChar">
    <w:name w:val="Closing Char"/>
    <w:basedOn w:val="DefaultParagraphFont"/>
    <w:link w:val="Closing"/>
    <w:uiPriority w:val="99"/>
    <w:semiHidden/>
    <w:rPr>
      <w:rFonts w:ascii="EC Square Sans Pro" w:hAnsi="EC Square Sans Pro" w:cs="Times New Roman"/>
      <w:noProof/>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noProof/>
      <w:sz w:val="20"/>
    </w:rPr>
  </w:style>
  <w:style w:type="character" w:customStyle="1" w:styleId="DateChar">
    <w:name w:val="Date Char"/>
    <w:basedOn w:val="DefaultParagraphFont"/>
    <w:link w:val="Date"/>
    <w:uiPriority w:val="99"/>
    <w:semiHidden/>
    <w:rPr>
      <w:rFonts w:ascii="EC Square Sans Pro" w:hAnsi="EC Square Sans Pro" w:cs="Times New Roman"/>
      <w:noProof/>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noProof/>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noProof/>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noProof/>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noProof/>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heme="majorEastAsia" w:hAnsi="EC Square Sans Pro" w:cstheme="majorBidi"/>
      <w:noProof/>
      <w:sz w:val="24"/>
      <w:szCs w:val="24"/>
    </w:rPr>
  </w:style>
  <w:style w:type="paragraph" w:styleId="EnvelopeReturn">
    <w:name w:val="envelope return"/>
    <w:basedOn w:val="Normal"/>
    <w:uiPriority w:val="99"/>
    <w:semiHidden/>
    <w:unhideWhenUsed/>
    <w:pPr>
      <w:spacing w:after="0" w:line="240" w:lineRule="auto"/>
    </w:pPr>
    <w:rPr>
      <w:rFonts w:ascii="EC Square Sans Pro" w:eastAsiaTheme="majorEastAsia" w:hAnsi="EC Square Sans Pro" w:cstheme="majorBidi"/>
      <w:noProof/>
      <w:sz w:val="20"/>
      <w:szCs w:val="20"/>
    </w:rPr>
  </w:style>
  <w:style w:type="character" w:styleId="HTMLAcronym">
    <w:name w:val="HTML Acronym"/>
    <w:basedOn w:val="DefaultParagraphFont"/>
    <w:uiPriority w:val="99"/>
    <w:semiHidden/>
    <w:unhideWhenUsed/>
    <w:rPr>
      <w:rFonts w:ascii="EC Square Sans Pro" w:hAnsi="EC Square Sans Pro"/>
      <w:noProof/>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noProof/>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noProof/>
      <w:sz w:val="20"/>
    </w:rPr>
  </w:style>
  <w:style w:type="character" w:styleId="HTMLCite">
    <w:name w:val="HTML Cite"/>
    <w:basedOn w:val="DefaultParagraphFont"/>
    <w:uiPriority w:val="99"/>
    <w:semiHidden/>
    <w:unhideWhenUsed/>
    <w:rPr>
      <w:rFonts w:ascii="EC Square Sans Pro" w:hAnsi="EC Square Sans Pro"/>
      <w:i/>
      <w:iCs/>
      <w:noProof/>
      <w:lang w:val="en-GB"/>
    </w:rPr>
  </w:style>
  <w:style w:type="character" w:styleId="HTMLCode">
    <w:name w:val="HTML Code"/>
    <w:basedOn w:val="DefaultParagraphFont"/>
    <w:uiPriority w:val="99"/>
    <w:semiHidden/>
    <w:unhideWhenUsed/>
    <w:rPr>
      <w:rFonts w:ascii="EC Square Sans Pro" w:hAnsi="EC Square Sans Pro" w:cs="Consolas"/>
      <w:noProof/>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lang w:val="en-GB"/>
    </w:rPr>
  </w:style>
  <w:style w:type="character" w:styleId="HTMLKeyboard">
    <w:name w:val="HTML Keyboard"/>
    <w:basedOn w:val="DefaultParagraphFont"/>
    <w:uiPriority w:val="99"/>
    <w:semiHidden/>
    <w:unhideWhenUsed/>
    <w:rPr>
      <w:rFonts w:ascii="EC Square Sans Pro" w:hAnsi="EC Square Sans Pro" w:cs="Consolas"/>
      <w:noProof/>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noProof/>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noProof/>
      <w:sz w:val="20"/>
      <w:szCs w:val="20"/>
    </w:rPr>
  </w:style>
  <w:style w:type="character" w:styleId="HTMLSample">
    <w:name w:val="HTML Sample"/>
    <w:basedOn w:val="DefaultParagraphFont"/>
    <w:uiPriority w:val="99"/>
    <w:semiHidden/>
    <w:unhideWhenUsed/>
    <w:rPr>
      <w:rFonts w:ascii="EC Square Sans Pro" w:hAnsi="EC Square Sans Pro" w:cs="Consolas"/>
      <w:noProof/>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noProof/>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noProof/>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noProof/>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noProof/>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noProof/>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noProof/>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noProof/>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noProof/>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noProof/>
      <w:sz w:val="20"/>
    </w:rPr>
  </w:style>
  <w:style w:type="paragraph" w:styleId="IndexHeading">
    <w:name w:val="index heading"/>
    <w:basedOn w:val="Normal"/>
    <w:next w:val="Index1"/>
    <w:uiPriority w:val="99"/>
    <w:semiHidden/>
    <w:unhideWhenUsed/>
    <w:pPr>
      <w:spacing w:after="0" w:line="240" w:lineRule="auto"/>
    </w:pPr>
    <w:rPr>
      <w:rFonts w:ascii="EC Square Sans Pro" w:eastAsiaTheme="majorEastAsia" w:hAnsi="EC Square Sans Pro" w:cstheme="majorBidi"/>
      <w:b/>
      <w:bCs/>
      <w:noProof/>
      <w:sz w:val="20"/>
    </w:rPr>
  </w:style>
  <w:style w:type="character" w:styleId="LineNumber">
    <w:name w:val="line number"/>
    <w:basedOn w:val="DefaultParagraphFont"/>
    <w:uiPriority w:val="99"/>
    <w:semiHidden/>
    <w:unhideWhenUsed/>
    <w:rPr>
      <w:rFonts w:ascii="EC Square Sans Pro" w:hAnsi="EC Square Sans Pro"/>
      <w:noProof/>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noProof/>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noProof/>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noProof/>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noProof/>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noProof/>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noProof/>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noProof/>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noProof/>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noProof/>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noProof/>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noProof/>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noProof/>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noProof/>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noProof/>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heme="majorEastAsia" w:hAnsi="EC Square Sans Pro" w:cstheme="majorBidi"/>
      <w:noProof/>
      <w:sz w:val="24"/>
      <w:szCs w:val="24"/>
    </w:rPr>
  </w:style>
  <w:style w:type="character" w:customStyle="1" w:styleId="MessageHeaderChar">
    <w:name w:val="Message Header Char"/>
    <w:basedOn w:val="DefaultParagraphFont"/>
    <w:link w:val="MessageHeader"/>
    <w:uiPriority w:val="99"/>
    <w:semiHidden/>
    <w:rPr>
      <w:rFonts w:ascii="EC Square Sans Pro" w:eastAsiaTheme="majorEastAsia" w:hAnsi="EC Square Sans Pro" w:cstheme="majorBidi"/>
      <w:noProof/>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noProof/>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noProof/>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noProof/>
      <w:sz w:val="20"/>
    </w:rPr>
  </w:style>
  <w:style w:type="character" w:styleId="PageNumber">
    <w:name w:val="page number"/>
    <w:basedOn w:val="DefaultParagraphFont"/>
    <w:uiPriority w:val="99"/>
    <w:semiHidden/>
    <w:unhideWhenUsed/>
    <w:rPr>
      <w:rFonts w:ascii="EC Square Sans Pro" w:hAnsi="EC Square Sans Pro"/>
      <w:noProof/>
      <w:lang w:val="en-GB"/>
    </w:rPr>
  </w:style>
  <w:style w:type="character" w:styleId="PlaceholderText">
    <w:name w:val="Placeholder Text"/>
    <w:basedOn w:val="DefaultParagraphFont"/>
    <w:uiPriority w:val="99"/>
    <w:semiHidden/>
    <w:rPr>
      <w:rFonts w:ascii="EC Square Sans Pro" w:hAnsi="EC Square Sans Pro"/>
      <w:noProof/>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noProof/>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noProof/>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noProof/>
      <w:sz w:val="20"/>
    </w:rPr>
  </w:style>
  <w:style w:type="character" w:customStyle="1" w:styleId="SalutationChar">
    <w:name w:val="Salutation Char"/>
    <w:basedOn w:val="DefaultParagraphFont"/>
    <w:link w:val="Salutation"/>
    <w:uiPriority w:val="99"/>
    <w:semiHidden/>
    <w:rPr>
      <w:rFonts w:ascii="EC Square Sans Pro" w:hAnsi="EC Square Sans Pro" w:cs="Times New Roman"/>
      <w:noProof/>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noProof/>
      <w:sz w:val="20"/>
    </w:rPr>
  </w:style>
  <w:style w:type="character" w:customStyle="1" w:styleId="SignatureChar">
    <w:name w:val="Signature Char"/>
    <w:basedOn w:val="DefaultParagraphFont"/>
    <w:link w:val="Signature"/>
    <w:uiPriority w:val="99"/>
    <w:semiHidden/>
    <w:rPr>
      <w:rFonts w:ascii="EC Square Sans Pro" w:hAnsi="EC Square Sans Pro" w:cs="Times New Roman"/>
      <w:noProof/>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noProof/>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heme="majorEastAsia" w:hAnsi="EC Square Sans Pro" w:cstheme="majorBidi"/>
      <w:b/>
      <w:bCs/>
      <w:noProof/>
      <w:sz w:val="24"/>
      <w:szCs w:val="24"/>
    </w:rPr>
  </w:style>
  <w:style w:type="character" w:customStyle="1" w:styleId="BOLDBLUE">
    <w:name w:val="BOLD BLUE"/>
    <w:basedOn w:val="BodyTextChar"/>
    <w:qFormat/>
    <w:rPr>
      <w:rFonts w:ascii="EC Square Sans Pro" w:hAnsi="EC Square Sans Pro" w:cs="Times New Roman"/>
      <w:b/>
      <w:noProof/>
      <w:color w:val="4472C4" w:themeColor="accent5"/>
      <w:sz w:val="20"/>
      <w:lang w:val="en-GB" w:eastAsia="fr-BE"/>
    </w:rPr>
  </w:style>
  <w:style w:type="paragraph" w:customStyle="1" w:styleId="Title1-NoTOClink">
    <w:name w:val="Title 1 - No TOC link"/>
    <w:basedOn w:val="Normal"/>
    <w:next w:val="Normal"/>
    <w:semiHidden/>
    <w:pPr>
      <w:keepNext/>
      <w:keepLines/>
      <w:pageBreakBefore/>
      <w:numPr>
        <w:ilvl w:val="1"/>
        <w:numId w:val="13"/>
      </w:numPr>
      <w:spacing w:after="120" w:line="240" w:lineRule="auto"/>
      <w:outlineLvl w:val="0"/>
    </w:pPr>
    <w:rPr>
      <w:rFonts w:ascii="EC Square Sans Pro" w:hAnsi="EC Square Sans Pro" w:cs="Times New Roman"/>
      <w:noProof/>
      <w:color w:val="4472C4" w:themeColor="accent5"/>
      <w:sz w:val="52"/>
    </w:rPr>
  </w:style>
  <w:style w:type="character" w:customStyle="1" w:styleId="fnRefNo">
    <w:name w:val="fnRefNo"/>
    <w:uiPriority w:val="1"/>
    <w:qFormat/>
    <w:rPr>
      <w:rFonts w:ascii="EC Square Sans Pro" w:hAnsi="EC Square Sans Pro"/>
      <w:b w:val="0"/>
      <w:i w:val="0"/>
      <w:noProof/>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noProof/>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semiHidden/>
    <w:qFormat/>
    <w:pPr>
      <w:keepNext/>
      <w:keepLines/>
      <w:numPr>
        <w:ilvl w:val="3"/>
        <w:numId w:val="13"/>
      </w:numPr>
      <w:spacing w:before="480" w:after="240" w:line="240" w:lineRule="auto"/>
    </w:pPr>
    <w:rPr>
      <w:rFonts w:ascii="EC Square Sans Pro" w:hAnsi="EC Square Sans Pro" w:cs="Times New Roman"/>
      <w:b/>
      <w:noProof/>
      <w:color w:val="4472C4" w:themeColor="accent5"/>
      <w:sz w:val="24"/>
      <w:lang w:eastAsia="zh-CN"/>
    </w:rPr>
  </w:style>
  <w:style w:type="character" w:customStyle="1" w:styleId="Subhead2Char">
    <w:name w:val="Subhead 2 Char"/>
    <w:basedOn w:val="DefaultParagraphFont"/>
    <w:link w:val="Subhead2"/>
    <w:semiHidden/>
    <w:rPr>
      <w:rFonts w:ascii="EC Square Sans Pro" w:hAnsi="EC Square Sans Pro" w:cs="Times New Roman"/>
      <w:b/>
      <w:noProof/>
      <w:color w:val="4472C4" w:themeColor="accent5"/>
      <w:sz w:val="24"/>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noProof/>
      <w:sz w:val="20"/>
      <w:lang w:eastAsia="fr-BE"/>
    </w:rPr>
  </w:style>
  <w:style w:type="table" w:customStyle="1" w:styleId="DocumentTable2">
    <w:name w:val="Document Table2"/>
    <w:basedOn w:val="TableNormal"/>
    <w:next w:val="TableGrid"/>
    <w:uiPriority w:val="59"/>
    <w:pPr>
      <w:spacing w:after="0" w:line="240" w:lineRule="auto"/>
    </w:pPr>
    <w:rPr>
      <w:rFonts w:ascii="Verdana" w:eastAsiaTheme="minorEastAsia"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noProof/>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noProof/>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name">
    <w:name w:val="ep_name"/>
    <w:basedOn w:val="DefaultParagraphFont"/>
    <w:semiHidden/>
    <w:rPr>
      <w:noProof/>
      <w:lang w:val="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styleId="Strong">
    <w:name w:val="Strong"/>
    <w:basedOn w:val="DefaultParagraphFont"/>
    <w:uiPriority w:val="22"/>
    <w:qFormat/>
    <w:rPr>
      <w:b/>
      <w:bCs/>
      <w:noProof/>
      <w:lang w:val="en-GB"/>
    </w:rPr>
  </w:style>
  <w:style w:type="paragraph" w:styleId="FootnoteText">
    <w:name w:val="footnote text"/>
    <w:basedOn w:val="footnote"/>
    <w:link w:val="FootnoteTextChar"/>
    <w:uiPriority w:val="99"/>
    <w:qFormat/>
    <w:rPr>
      <w:noProof w:val="0"/>
    </w:rPr>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paragraph" w:customStyle="1" w:styleId="BodyText1">
    <w:name w:val="Body Text 1"/>
    <w:basedOn w:val="Forewordbodytext"/>
    <w:next w:val="BodyText"/>
    <w:link w:val="BodyText1Char"/>
    <w:semiHidden/>
    <w:qFormat/>
    <w:rPr>
      <w:color w:val="000000" w:themeColor="text1"/>
      <w:sz w:val="20"/>
    </w:rPr>
  </w:style>
  <w:style w:type="character" w:customStyle="1" w:styleId="BodyText1Char">
    <w:name w:val="Body Text 1 Char"/>
    <w:basedOn w:val="ForewordbodytextChar"/>
    <w:link w:val="BodyText1"/>
    <w:semiHidden/>
    <w:rPr>
      <w:rFonts w:ascii="EC Square Sans Pro" w:hAnsi="EC Square Sans Pro" w:cs="Times New Roman"/>
      <w:noProof/>
      <w:color w:val="000000" w:themeColor="text1"/>
      <w:sz w:val="20"/>
      <w:lang w:eastAsia="fr-BE"/>
    </w:rPr>
  </w:style>
  <w:style w:type="character" w:customStyle="1" w:styleId="BOLDGREENExecutiveSummary">
    <w:name w:val="BOLD GREEN / Executive Summary"/>
    <w:semiHidden/>
    <w:rPr>
      <w:rFonts w:ascii="EC Square Sans Pro" w:hAnsi="EC Square Sans Pro"/>
      <w:b/>
      <w:noProof/>
      <w:color w:val="08AA74"/>
      <w:lang w:val="en-GB" w:eastAsia="fr-BE"/>
    </w:rPr>
  </w:style>
  <w:style w:type="paragraph" w:customStyle="1" w:styleId="BodyText1spaceafter">
    <w:name w:val="Body Text 1 (space after)"/>
    <w:basedOn w:val="BodyText1"/>
    <w:next w:val="BodyText1"/>
    <w:semiHidden/>
    <w:pPr>
      <w:spacing w:after="240"/>
    </w:pPr>
    <w:rPr>
      <w:rFonts w:eastAsia="Calibri"/>
    </w:rPr>
  </w:style>
  <w:style w:type="paragraph" w:customStyle="1" w:styleId="BodyText1spacebeforeandafter">
    <w:name w:val="Body Text 1 (space before and after)"/>
    <w:basedOn w:val="BodyText1"/>
    <w:semiHidden/>
    <w:pPr>
      <w:spacing w:before="240" w:after="240"/>
    </w:pPr>
    <w:rPr>
      <w:rFonts w:eastAsia="Calibri"/>
    </w:rPr>
  </w:style>
  <w:style w:type="paragraph" w:customStyle="1" w:styleId="SubtitleGreenExecutiveSummary">
    <w:name w:val="Subtitle Green / Executive Summary"/>
    <w:next w:val="BodyText1spaceafter"/>
    <w:semiHidden/>
    <w:pPr>
      <w:keepNext/>
      <w:keepLines/>
      <w:spacing w:before="720" w:after="240" w:line="240" w:lineRule="auto"/>
      <w:ind w:left="357"/>
    </w:pPr>
    <w:rPr>
      <w:rFonts w:ascii="EC Square Sans Pro" w:hAnsi="EC Square Sans Pro" w:cs="Times New Roman"/>
      <w:b/>
      <w:noProof/>
      <w:color w:val="08AA74"/>
      <w:sz w:val="24"/>
      <w:lang w:eastAsia="zh-CN"/>
    </w:rPr>
  </w:style>
  <w:style w:type="paragraph" w:customStyle="1" w:styleId="BOXE2GREENtabletext">
    <w:name w:val="BOXE 2 / GREEN table text"/>
    <w:semiHidden/>
    <w:pPr>
      <w:spacing w:after="0" w:line="288" w:lineRule="auto"/>
      <w:ind w:left="113" w:right="113"/>
    </w:pPr>
    <w:rPr>
      <w:rFonts w:ascii="EC Square Sans Pro" w:hAnsi="EC Square Sans Pro" w:cs="Times New Roman"/>
      <w:noProof/>
      <w:sz w:val="20"/>
      <w:lang w:eastAsia="fr-BE"/>
    </w:rPr>
  </w:style>
  <w:style w:type="character" w:customStyle="1" w:styleId="fnRef">
    <w:name w:val="fnRef"/>
    <w:uiPriority w:val="1"/>
    <w:rPr>
      <w:rFonts w:ascii="EC Square Sans Pro" w:hAnsi="EC Square Sans Pro"/>
      <w:b w:val="0"/>
      <w:i w:val="0"/>
      <w:noProof/>
      <w:bdr w:val="none" w:sz="0" w:space="0" w:color="auto"/>
      <w:shd w:val="clear" w:color="auto" w:fill="auto"/>
      <w:vertAlign w:val="baseline"/>
      <w:lang w:val="en-GB"/>
    </w:rPr>
  </w:style>
  <w:style w:type="paragraph" w:customStyle="1" w:styleId="BOX2Blue">
    <w:name w:val="BOX 2 /Blue"/>
    <w:basedOn w:val="Normal"/>
    <w:link w:val="BOX2BlueChar"/>
    <w:semiHidden/>
    <w:qFormat/>
    <w:pPr>
      <w:pBdr>
        <w:top w:val="single" w:sz="4" w:space="4" w:color="FBE4D5" w:themeColor="accent2" w:themeTint="33"/>
        <w:left w:val="single" w:sz="4" w:space="4" w:color="FBE4D5" w:themeColor="accent2" w:themeTint="33"/>
        <w:bottom w:val="single" w:sz="4" w:space="4" w:color="FBE4D5" w:themeColor="accent2" w:themeTint="33"/>
        <w:right w:val="single" w:sz="4" w:space="4" w:color="FBE4D5" w:themeColor="accent2" w:themeTint="33"/>
      </w:pBdr>
      <w:shd w:val="clear" w:color="auto" w:fill="FBE4D5" w:themeFill="accent2" w:themeFillTint="33"/>
      <w:spacing w:after="0" w:line="240" w:lineRule="auto"/>
      <w:jc w:val="both"/>
    </w:pPr>
    <w:rPr>
      <w:rFonts w:ascii="EC Square Sans Pro" w:hAnsi="EC Square Sans Pro" w:cs="Times New Roman"/>
      <w:noProof/>
      <w:color w:val="000000" w:themeColor="text1"/>
      <w:sz w:val="20"/>
      <w:lang w:eastAsia="fr-BE"/>
    </w:rPr>
  </w:style>
  <w:style w:type="character" w:customStyle="1" w:styleId="BOX2BlueChar">
    <w:name w:val="BOX 2 /Blue Char"/>
    <w:basedOn w:val="DefaultParagraphFont"/>
    <w:link w:val="BOX2Blue"/>
    <w:semiHidden/>
    <w:rPr>
      <w:rFonts w:ascii="EC Square Sans Pro" w:hAnsi="EC Square Sans Pro" w:cs="Times New Roman"/>
      <w:noProof/>
      <w:color w:val="000000" w:themeColor="text1"/>
      <w:sz w:val="20"/>
      <w:shd w:val="clear" w:color="auto" w:fill="FBE4D5" w:themeFill="accent2" w:themeFillTint="33"/>
      <w:lang w:eastAsia="fr-BE"/>
    </w:rPr>
  </w:style>
  <w:style w:type="paragraph" w:customStyle="1" w:styleId="BOX2BlueBullet">
    <w:name w:val="BOX 2 / Blue Bullet"/>
    <w:basedOn w:val="BOX2Blue"/>
    <w:semiHidden/>
    <w:pPr>
      <w:framePr w:hSpace="170" w:wrap="around" w:vAnchor="text" w:hAnchor="text" w:y="1"/>
      <w:numPr>
        <w:numId w:val="4"/>
      </w:numPr>
      <w:pBdr>
        <w:top w:val="single" w:sz="8" w:space="1" w:color="FBE4D5" w:themeColor="accent2" w:themeTint="33"/>
        <w:left w:val="single" w:sz="8" w:space="4" w:color="FBE4D5" w:themeColor="accent2" w:themeTint="33"/>
        <w:bottom w:val="single" w:sz="8" w:space="1" w:color="FBE4D5" w:themeColor="accent2" w:themeTint="33"/>
        <w:right w:val="single" w:sz="8" w:space="4" w:color="FBE4D5" w:themeColor="accent2" w:themeTint="33"/>
      </w:pBdr>
      <w:spacing w:after="120"/>
      <w:contextualSpacing/>
    </w:pPr>
    <w:rPr>
      <w:rFonts w:eastAsia="EC Square Sans Pro"/>
      <w:szCs w:val="20"/>
    </w:rPr>
  </w:style>
  <w:style w:type="character" w:customStyle="1" w:styleId="BOLDLIGHTBLUEReport">
    <w:name w:val="BOLD LIGHT BLUE / Report"/>
    <w:basedOn w:val="DefaultParagraphFont"/>
    <w:semiHidden/>
    <w:rPr>
      <w:rFonts w:ascii="EC Square Sans Pro" w:eastAsia="Times New Roman" w:hAnsi="EC Square Sans Pro"/>
      <w:b/>
      <w:noProof/>
      <w:color w:val="65BBC8"/>
      <w:szCs w:val="20"/>
      <w:lang w:val="en-GB" w:eastAsia="en-GB"/>
    </w:rPr>
  </w:style>
  <w:style w:type="paragraph" w:customStyle="1" w:styleId="AARHeadingalike">
    <w:name w:val="AAR Heading alike"/>
    <w:basedOn w:val="Normal"/>
    <w:next w:val="Normal"/>
    <w:semiHidden/>
    <w:qFormat/>
    <w:pPr>
      <w:keepNext/>
      <w:widowControl w:val="0"/>
      <w:autoSpaceDE w:val="0"/>
      <w:autoSpaceDN w:val="0"/>
      <w:adjustRightInd w:val="0"/>
      <w:spacing w:after="240" w:line="240" w:lineRule="auto"/>
      <w:jc w:val="both"/>
    </w:pPr>
    <w:rPr>
      <w:rFonts w:ascii="Verdana" w:eastAsia="Calibri" w:hAnsi="Verdana" w:cs="Times New Roman"/>
      <w:b/>
      <w:bCs/>
      <w:iCs/>
      <w:noProof/>
      <w:color w:val="2681B4"/>
      <w:sz w:val="24"/>
      <w:szCs w:val="24"/>
    </w:rPr>
  </w:style>
  <w:style w:type="character" w:styleId="CommentReference">
    <w:name w:val="annotation reference"/>
    <w:basedOn w:val="DefaultParagraphFont"/>
    <w:uiPriority w:val="99"/>
    <w:semiHidden/>
    <w:unhideWhenUsed/>
    <w:rPr>
      <w:noProof/>
      <w:sz w:val="16"/>
      <w:szCs w:val="16"/>
      <w:lang w:val="en-GB"/>
    </w:rPr>
  </w:style>
  <w:style w:type="paragraph" w:customStyle="1" w:styleId="AARText">
    <w:name w:val="AAR Text"/>
    <w:basedOn w:val="Normal"/>
    <w:link w:val="AARTextChar"/>
    <w:semiHidden/>
    <w:qFormat/>
    <w:pPr>
      <w:widowControl w:val="0"/>
      <w:autoSpaceDE w:val="0"/>
      <w:autoSpaceDN w:val="0"/>
      <w:adjustRightInd w:val="0"/>
      <w:spacing w:after="240" w:line="240" w:lineRule="auto"/>
      <w:jc w:val="both"/>
    </w:pPr>
    <w:rPr>
      <w:rFonts w:ascii="Verdana" w:eastAsia="Times New Roman" w:hAnsi="Verdana" w:cs="Times New Roman"/>
      <w:noProof/>
      <w:sz w:val="20"/>
      <w:szCs w:val="24"/>
      <w:lang w:eastAsia="en-GB"/>
    </w:rPr>
  </w:style>
  <w:style w:type="character" w:customStyle="1" w:styleId="AARTextChar">
    <w:name w:val="AAR Text Char"/>
    <w:link w:val="AARText"/>
    <w:semiHidden/>
    <w:rPr>
      <w:rFonts w:ascii="Verdana" w:eastAsia="Times New Roman" w:hAnsi="Verdana" w:cs="Times New Roman"/>
      <w:noProof/>
      <w:sz w:val="20"/>
      <w:szCs w:val="24"/>
      <w:lang w:eastAsia="en-GB"/>
    </w:rPr>
  </w:style>
  <w:style w:type="table" w:customStyle="1" w:styleId="TableGrid11">
    <w:name w:val="Table Grid11"/>
    <w:basedOn w:val="TableNormal"/>
    <w:uiPriority w:val="59"/>
    <w:pPr>
      <w:widowControl w:val="0"/>
      <w:autoSpaceDE w:val="0"/>
      <w:autoSpaceDN w:val="0"/>
      <w:adjustRightInd w:val="0"/>
      <w:spacing w:after="0" w:line="240" w:lineRule="auto"/>
    </w:pPr>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semiHidden/>
    <w:pPr>
      <w:autoSpaceDE w:val="0"/>
      <w:autoSpaceDN w:val="0"/>
      <w:adjustRightInd w:val="0"/>
      <w:spacing w:after="0" w:line="240" w:lineRule="auto"/>
    </w:pPr>
    <w:rPr>
      <w:rFonts w:ascii="EC Square Sans Pro" w:hAnsi="EC Square Sans Pro" w:cs="EC Square Sans Pro"/>
      <w:noProof/>
      <w:color w:val="000000"/>
      <w:sz w:val="24"/>
      <w:szCs w:val="24"/>
    </w:rPr>
  </w:style>
  <w:style w:type="paragraph" w:customStyle="1" w:styleId="Pa0">
    <w:name w:val="Pa0"/>
    <w:basedOn w:val="Default"/>
    <w:next w:val="Default"/>
    <w:uiPriority w:val="99"/>
    <w:semiHidden/>
    <w:pPr>
      <w:spacing w:line="241" w:lineRule="atLeast"/>
    </w:pPr>
    <w:rPr>
      <w:rFonts w:cstheme="minorBidi"/>
      <w:color w:val="auto"/>
    </w:rPr>
  </w:style>
  <w:style w:type="paragraph" w:customStyle="1" w:styleId="Pa2">
    <w:name w:val="Pa2"/>
    <w:basedOn w:val="Default"/>
    <w:next w:val="Default"/>
    <w:uiPriority w:val="99"/>
    <w:semiHidden/>
    <w:pPr>
      <w:spacing w:line="241" w:lineRule="atLeast"/>
    </w:pPr>
    <w:rPr>
      <w:rFonts w:cstheme="minorBidi"/>
      <w:color w:val="auto"/>
    </w:rPr>
  </w:style>
  <w:style w:type="character" w:customStyle="1" w:styleId="A2">
    <w:name w:val="A2"/>
    <w:uiPriority w:val="99"/>
    <w:semiHidden/>
    <w:rPr>
      <w:rFonts w:cs="EC Square Sans Pro"/>
      <w:noProof/>
      <w:color w:val="000000"/>
      <w:sz w:val="22"/>
      <w:szCs w:val="22"/>
      <w:lang w:val="en-GB"/>
    </w:rPr>
  </w:style>
  <w:style w:type="character" w:styleId="Emphasis">
    <w:name w:val="Emphasis"/>
    <w:aliases w:val="AMPR Emphasis"/>
    <w:basedOn w:val="DefaultParagraphFont"/>
    <w:uiPriority w:val="20"/>
    <w:qFormat/>
    <w:rPr>
      <w:rFonts w:ascii="EC Square Sans Pro" w:hAnsi="EC Square Sans Pro"/>
      <w:i/>
      <w:iCs/>
      <w:noProof/>
      <w:lang w:val="en-GB"/>
    </w:rPr>
  </w:style>
  <w:style w:type="paragraph" w:customStyle="1" w:styleId="Text2">
    <w:name w:val="Text 2"/>
    <w:basedOn w:val="Normal"/>
    <w:semiHidden/>
    <w:pPr>
      <w:spacing w:before="120" w:after="120" w:line="240" w:lineRule="auto"/>
      <w:ind w:left="1417"/>
      <w:jc w:val="both"/>
    </w:pPr>
    <w:rPr>
      <w:rFonts w:ascii="EC Square Sans Pro" w:hAnsi="EC Square Sans Pro" w:cs="Times New Roman"/>
      <w:noProof/>
      <w:sz w:val="24"/>
    </w:r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ascii="EC Square Sans Pro" w:eastAsia="Times New Roman" w:hAnsi="EC Square Sans Pro" w:cs="Times New Roman"/>
      <w:noProof/>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noProof/>
      <w:color w:val="7F7F7F" w:themeColor="text1" w:themeTint="80"/>
      <w:sz w:val="19"/>
      <w:szCs w:val="24"/>
      <w:lang w:eastAsia="en-GB"/>
    </w:rPr>
  </w:style>
  <w:style w:type="character" w:customStyle="1" w:styleId="italics">
    <w:name w:val="italics"/>
    <w:uiPriority w:val="1"/>
    <w:semiHidden/>
    <w:rPr>
      <w:i/>
      <w:noProof/>
      <w:lang w:val="en-GB"/>
    </w:rPr>
  </w:style>
  <w:style w:type="paragraph" w:customStyle="1" w:styleId="BVIfnrCarCarCarCarCharCharCharChar">
    <w:name w:val="BVI fnr Car Car Car Car Char Char Char Char"/>
    <w:basedOn w:val="Normal"/>
    <w:autoRedefine/>
    <w:uiPriority w:val="99"/>
    <w:semiHidden/>
    <w:qFormat/>
    <w:pPr>
      <w:spacing w:after="0" w:line="240" w:lineRule="auto"/>
      <w:ind w:left="720" w:hanging="720"/>
    </w:pPr>
    <w:rPr>
      <w:rFonts w:ascii="Times New Roman" w:eastAsia="Times New Roman" w:hAnsi="Times New Roman" w:cs="Times New Roman"/>
      <w:noProof/>
      <w:sz w:val="20"/>
      <w:szCs w:val="20"/>
      <w:vertAlign w:val="superscript"/>
      <w:lang w:eastAsia="en-GB"/>
    </w:rPr>
  </w:style>
  <w:style w:type="paragraph" w:styleId="TOCHeading">
    <w:name w:val="TOC Heading"/>
    <w:basedOn w:val="Heading1"/>
    <w:next w:val="Normal"/>
    <w:uiPriority w:val="39"/>
    <w:unhideWhenUsed/>
    <w:qFormat/>
    <w:pPr>
      <w:widowControl/>
      <w:spacing w:before="240" w:line="259" w:lineRule="auto"/>
      <w:outlineLvl w:val="9"/>
    </w:pPr>
    <w:rPr>
      <w:rFonts w:asciiTheme="majorHAnsi" w:hAnsiTheme="majorHAnsi"/>
      <w:b w:val="0"/>
      <w:bCs w:val="0"/>
      <w:sz w:val="32"/>
      <w:szCs w:val="32"/>
      <w:lang w:eastAsia="en-US"/>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noProof/>
      <w:sz w:val="20"/>
    </w:rPr>
  </w:style>
  <w:style w:type="paragraph" w:styleId="TOC3">
    <w:name w:val="toc 3"/>
    <w:basedOn w:val="Normal"/>
    <w:next w:val="Normal"/>
    <w:autoRedefine/>
    <w:uiPriority w:val="39"/>
    <w:unhideWhenUsed/>
    <w:pPr>
      <w:spacing w:after="100" w:line="240" w:lineRule="auto"/>
      <w:ind w:left="400"/>
    </w:pPr>
    <w:rPr>
      <w:rFonts w:ascii="EC Square Sans Pro" w:hAnsi="EC Square Sans Pro" w:cs="Times New Roman"/>
      <w:noProof/>
      <w:sz w:val="20"/>
    </w:rPr>
  </w:style>
  <w:style w:type="paragraph" w:customStyle="1" w:styleId="Title3NumberedReport">
    <w:name w:val="Title 3 Numbered / Report"/>
    <w:basedOn w:val="Normal"/>
    <w:link w:val="Title3NumberedReportChar"/>
    <w:semiHidden/>
    <w:qFormat/>
    <w:pPr>
      <w:keepNext/>
      <w:keepLines/>
      <w:spacing w:before="360" w:after="240" w:line="240" w:lineRule="auto"/>
      <w:ind w:left="357"/>
      <w:outlineLvl w:val="2"/>
    </w:pPr>
    <w:rPr>
      <w:rFonts w:ascii="EC Square Sans Pro" w:hAnsi="EC Square Sans Pro" w:cs="Times New Roman"/>
      <w:b/>
      <w:noProof/>
      <w:color w:val="65BBC8"/>
      <w:sz w:val="24"/>
      <w:lang w:eastAsia="zh-CN"/>
    </w:rPr>
  </w:style>
  <w:style w:type="character" w:customStyle="1" w:styleId="Title3NumberedReportChar">
    <w:name w:val="Title 3 Numbered / Report Char"/>
    <w:basedOn w:val="DefaultParagraphFont"/>
    <w:link w:val="Title3NumberedReport"/>
    <w:semiHidden/>
    <w:rPr>
      <w:rFonts w:ascii="EC Square Sans Pro" w:hAnsi="EC Square Sans Pro" w:cs="Times New Roman"/>
      <w:b/>
      <w:noProof/>
      <w:color w:val="65BBC8"/>
      <w:sz w:val="24"/>
      <w:lang w:eastAsia="zh-CN"/>
    </w:rPr>
  </w:style>
  <w:style w:type="character" w:customStyle="1" w:styleId="hyperlinktext">
    <w:name w:val="hyperlink_text"/>
    <w:basedOn w:val="DefaultParagraphFont"/>
    <w:semiHidden/>
    <w:rPr>
      <w:noProof/>
      <w:lang w:val="en-GB"/>
    </w:rPr>
  </w:style>
  <w:style w:type="numbering" w:customStyle="1" w:styleId="PPOLISTBlackBULLETS">
    <w:name w:val="(PPO LIST) Black BULLETS"/>
    <w:uiPriority w:val="99"/>
    <w:pPr>
      <w:numPr>
        <w:numId w:val="7"/>
      </w:numPr>
    </w:pPr>
  </w:style>
  <w:style w:type="paragraph" w:customStyle="1" w:styleId="PPOBlackBULLETS-L1">
    <w:name w:val="(PPO) Black BULLETS - L1"/>
    <w:basedOn w:val="Normal"/>
    <w:qFormat/>
    <w:pPr>
      <w:widowControl w:val="0"/>
      <w:spacing w:after="60" w:line="200" w:lineRule="exact"/>
      <w:ind w:left="499"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PPOBlackBULLETS-L2">
    <w:name w:val="(PPO) Black BULLETS - L2"/>
    <w:basedOn w:val="Normal"/>
    <w:qFormat/>
    <w:pPr>
      <w:widowControl w:val="0"/>
      <w:spacing w:after="60" w:line="200" w:lineRule="exact"/>
      <w:ind w:left="1077"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Style1">
    <w:name w:val="Style1"/>
    <w:basedOn w:val="Normal"/>
    <w:link w:val="Style1Char"/>
    <w:semiHidden/>
    <w:qFormat/>
    <w:pPr>
      <w:pBdr>
        <w:top w:val="dashSmallGap" w:sz="12" w:space="8" w:color="F68A42"/>
        <w:left w:val="dashSmallGap" w:sz="12" w:space="8" w:color="F68A42"/>
        <w:bottom w:val="dashSmallGap" w:sz="12" w:space="8" w:color="F68A42"/>
        <w:right w:val="dashSmallGap" w:sz="12" w:space="8" w:color="F68A42"/>
      </w:pBdr>
      <w:spacing w:after="120" w:line="240" w:lineRule="auto"/>
      <w:jc w:val="both"/>
    </w:pPr>
    <w:rPr>
      <w:rFonts w:ascii="EC Square Sans Pro" w:eastAsia="EC Square Sans Pro" w:hAnsi="EC Square Sans Pro" w:cs="Times New Roman"/>
      <w:noProof/>
      <w:color w:val="005D95"/>
      <w:sz w:val="20"/>
      <w:lang w:eastAsia="fr-BE"/>
    </w:rPr>
  </w:style>
  <w:style w:type="character" w:customStyle="1" w:styleId="Style1Char">
    <w:name w:val="Style1 Char"/>
    <w:basedOn w:val="DefaultParagraphFont"/>
    <w:link w:val="Style1"/>
    <w:semiHidden/>
    <w:rPr>
      <w:rFonts w:ascii="EC Square Sans Pro" w:eastAsia="EC Square Sans Pro" w:hAnsi="EC Square Sans Pro" w:cs="Times New Roman"/>
      <w:noProof/>
      <w:color w:val="005D95"/>
      <w:sz w:val="20"/>
      <w:lang w:eastAsia="fr-BE"/>
    </w:rPr>
  </w:style>
  <w:style w:type="character" w:customStyle="1" w:styleId="InternetLink">
    <w:name w:val="Internet Link"/>
    <w:basedOn w:val="DefaultParagraphFont"/>
    <w:uiPriority w:val="99"/>
    <w:semiHidden/>
    <w:rPr>
      <w:rFonts w:ascii="Calibri" w:hAnsi="Calibri" w:cs="Calibri" w:hint="default"/>
      <w:noProof/>
      <w:color w:val="0000FF"/>
      <w:u w:val="single"/>
      <w:lang w:val="en-GB"/>
    </w:rPr>
  </w:style>
  <w:style w:type="paragraph" w:customStyle="1" w:styleId="PSParagraphText">
    <w:name w:val="PS_Paragraph_Text"/>
    <w:basedOn w:val="Normal"/>
    <w:link w:val="PSParagraphTextChar"/>
    <w:semiHidden/>
    <w:qFormat/>
    <w:pPr>
      <w:spacing w:after="120" w:line="240" w:lineRule="auto"/>
      <w:jc w:val="both"/>
    </w:pPr>
    <w:rPr>
      <w:rFonts w:ascii="Times New Roman" w:eastAsia="Times New Roman" w:hAnsi="Times New Roman" w:cs="Times New Roman"/>
      <w:noProof/>
      <w:sz w:val="20"/>
      <w:szCs w:val="20"/>
      <w:lang w:eastAsia="en-GB"/>
    </w:rPr>
  </w:style>
  <w:style w:type="character" w:customStyle="1" w:styleId="PSParagraphTextChar">
    <w:name w:val="PS_Paragraph_Text Char"/>
    <w:basedOn w:val="DefaultParagraphFont"/>
    <w:link w:val="PSParagraphText"/>
    <w:semiHidden/>
    <w:rPr>
      <w:rFonts w:ascii="Times New Roman" w:eastAsia="Times New Roman" w:hAnsi="Times New Roman" w:cs="Times New Roman"/>
      <w:noProof/>
      <w:sz w:val="20"/>
      <w:szCs w:val="20"/>
      <w:lang w:eastAsia="en-GB"/>
    </w:rPr>
  </w:style>
  <w:style w:type="paragraph" w:customStyle="1" w:styleId="PPOExamplesTABLEText">
    <w:name w:val="(PPO) Examples TABLE Text"/>
    <w:basedOn w:val="Normal"/>
    <w:qFormat/>
    <w:pPr>
      <w:spacing w:after="0" w:line="160" w:lineRule="exact"/>
    </w:pPr>
    <w:rPr>
      <w:rFonts w:eastAsiaTheme="minorEastAsia"/>
      <w:noProof/>
      <w:sz w:val="17"/>
      <w:szCs w:val="17"/>
      <w:lang w:eastAsia="en-GB"/>
    </w:rPr>
  </w:style>
  <w:style w:type="character" w:customStyle="1" w:styleId="bumpedfont15">
    <w:name w:val="bumpedfont15"/>
    <w:basedOn w:val="DefaultParagraphFont"/>
    <w:semiHidden/>
    <w:rPr>
      <w:noProof/>
      <w:lang w:val="en-GB"/>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rPr>
      <w:rFonts w:ascii="EC Square Sans Pro" w:hAnsi="EC Square Sans Pro" w:cs="Times New Roman"/>
      <w:noProof/>
      <w:sz w:val="20"/>
    </w:rPr>
  </w:style>
  <w:style w:type="numbering" w:customStyle="1" w:styleId="numbering">
    <w:name w:val="numbering"/>
    <w:uiPriority w:val="99"/>
    <w:pPr>
      <w:numPr>
        <w:numId w:val="9"/>
      </w:numPr>
    </w:pPr>
  </w:style>
  <w:style w:type="numbering" w:customStyle="1" w:styleId="AMPRnumbering">
    <w:name w:val="AMPR numbering"/>
    <w:uiPriority w:val="99"/>
    <w:pPr>
      <w:numPr>
        <w:numId w:val="10"/>
      </w:numPr>
    </w:pPr>
  </w:style>
  <w:style w:type="numbering" w:customStyle="1" w:styleId="AMPRlong">
    <w:name w:val="AMPR long"/>
    <w:uiPriority w:val="99"/>
    <w:pPr>
      <w:numPr>
        <w:numId w:val="12"/>
      </w:numPr>
    </w:pPr>
  </w:style>
  <w:style w:type="character" w:styleId="BookTitle">
    <w:name w:val="Book Title"/>
    <w:basedOn w:val="DefaultParagraphFont"/>
    <w:uiPriority w:val="33"/>
    <w:rPr>
      <w:b/>
      <w:bCs/>
      <w:i/>
      <w:iCs/>
      <w:noProof/>
      <w:spacing w:val="5"/>
      <w:lang w:val="en-GB"/>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noProof/>
      <w:color w:val="44546A" w:themeColor="text2"/>
      <w:sz w:val="18"/>
      <w:szCs w:val="18"/>
    </w:rPr>
  </w:style>
  <w:style w:type="character" w:styleId="IntenseEmphasis">
    <w:name w:val="Intense Emphasis"/>
    <w:basedOn w:val="DefaultParagraphFont"/>
    <w:uiPriority w:val="21"/>
    <w:rPr>
      <w:i/>
      <w:iCs/>
      <w:noProof/>
      <w:color w:val="5B9BD5" w:themeColor="accent1"/>
      <w:lang w:val="en-GB"/>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noProof/>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noProof/>
      <w:color w:val="5B9BD5" w:themeColor="accent1"/>
      <w:sz w:val="20"/>
    </w:rPr>
  </w:style>
  <w:style w:type="character" w:styleId="IntenseReference">
    <w:name w:val="Intense Reference"/>
    <w:basedOn w:val="DefaultParagraphFont"/>
    <w:uiPriority w:val="32"/>
    <w:rPr>
      <w:b/>
      <w:bCs/>
      <w:smallCaps/>
      <w:noProof/>
      <w:color w:val="5B9BD5" w:themeColor="accent1"/>
      <w:spacing w:val="5"/>
      <w:lang w:val="en-GB"/>
    </w:rPr>
  </w:style>
  <w:style w:type="paragraph" w:styleId="NoSpacing">
    <w:name w:val="No Spacing"/>
    <w:uiPriority w:val="1"/>
    <w:pPr>
      <w:spacing w:after="0" w:line="240" w:lineRule="auto"/>
    </w:pPr>
    <w:rPr>
      <w:rFonts w:ascii="EC Square Sans Pro" w:hAnsi="EC Square Sans Pro" w:cs="Times New Roman"/>
      <w:noProof/>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noProof/>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noProof/>
      <w:color w:val="404040" w:themeColor="text1" w:themeTint="BF"/>
      <w:sz w:val="20"/>
    </w:rPr>
  </w:style>
  <w:style w:type="paragraph" w:styleId="Subtitle">
    <w:name w:val="Subtitle"/>
    <w:basedOn w:val="Normal"/>
    <w:next w:val="Normal"/>
    <w:link w:val="SubtitleChar"/>
    <w:uiPriority w:val="11"/>
    <w:pPr>
      <w:numPr>
        <w:ilvl w:val="1"/>
      </w:numPr>
      <w:spacing w:line="240" w:lineRule="auto"/>
    </w:pPr>
    <w:rPr>
      <w:rFonts w:eastAsiaTheme="minorEastAsia"/>
      <w:noProof/>
      <w:color w:val="5A5A5A" w:themeColor="text1" w:themeTint="A5"/>
      <w:spacing w:val="15"/>
    </w:rPr>
  </w:style>
  <w:style w:type="character" w:customStyle="1" w:styleId="SubtitleChar">
    <w:name w:val="Subtitle Char"/>
    <w:basedOn w:val="DefaultParagraphFont"/>
    <w:link w:val="Subtitle"/>
    <w:uiPriority w:val="11"/>
    <w:rPr>
      <w:rFonts w:eastAsiaTheme="minorEastAsia"/>
      <w:noProof/>
      <w:color w:val="5A5A5A" w:themeColor="text1" w:themeTint="A5"/>
      <w:spacing w:val="15"/>
    </w:rPr>
  </w:style>
  <w:style w:type="character" w:styleId="SubtleEmphasis">
    <w:name w:val="Subtle Emphasis"/>
    <w:basedOn w:val="DefaultParagraphFont"/>
    <w:uiPriority w:val="19"/>
    <w:rPr>
      <w:i/>
      <w:iCs/>
      <w:noProof/>
      <w:color w:val="404040" w:themeColor="text1" w:themeTint="BF"/>
      <w:lang w:val="en-GB"/>
    </w:rPr>
  </w:style>
  <w:style w:type="character" w:styleId="SubtleReference">
    <w:name w:val="Subtle Reference"/>
    <w:basedOn w:val="DefaultParagraphFont"/>
    <w:uiPriority w:val="31"/>
    <w:qFormat/>
    <w:rPr>
      <w:smallCaps/>
      <w:noProof/>
      <w:color w:val="5A5A5A" w:themeColor="text1" w:themeTint="A5"/>
      <w:lang w:val="en-GB"/>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noProof/>
      <w:spacing w:val="-10"/>
      <w:kern w:val="28"/>
      <w:sz w:val="56"/>
      <w:szCs w:val="56"/>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noProof/>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noProof/>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noProof/>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noProof/>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noProof/>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noProof/>
      <w:sz w:val="20"/>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noProof/>
      <w:color w:val="auto"/>
      <w:sz w:val="20"/>
      <w:szCs w:val="20"/>
      <w:lang w:eastAsia="en-US" w:bidi="en-US"/>
    </w:rPr>
  </w:style>
  <w:style w:type="paragraph" w:customStyle="1" w:styleId="LR-Footer">
    <w:name w:val="LR-Footer"/>
    <w:semiHidden/>
    <w:qFormat/>
    <w:pPr>
      <w:tabs>
        <w:tab w:val="center" w:pos="4535"/>
        <w:tab w:val="right" w:pos="9071"/>
        <w:tab w:val="right" w:pos="9921"/>
      </w:tabs>
      <w:spacing w:before="360" w:after="0" w:line="240" w:lineRule="auto"/>
      <w:ind w:left="-850" w:right="-850"/>
    </w:pPr>
    <w:rPr>
      <w:rFonts w:ascii="Arial" w:hAnsi="Arial" w:cs="Times New Roman"/>
      <w:b/>
      <w:noProof/>
      <w:sz w:val="48"/>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BASE-STYLE-HEADINGS">
    <w:name w:val="_BASE-STYLE-HEADINGS"/>
    <w:basedOn w:val="BASE-STYLE-TEXT"/>
    <w:next w:val="Normal"/>
    <w:semiHidden/>
    <w:rPr>
      <w:noProof/>
    </w:rPr>
  </w:style>
  <w:style w:type="character" w:customStyle="1" w:styleId="AMPRcharBoldBlue">
    <w:name w:val="(AMPR char) Bold Blue"/>
    <w:uiPriority w:val="1"/>
    <w:rPr>
      <w:b/>
      <w:noProof/>
      <w:color w:val="005D95"/>
      <w:bdr w:val="none" w:sz="0" w:space="0" w:color="auto"/>
      <w:shd w:val="clear" w:color="auto" w:fill="auto"/>
      <w:lang w:val="en-GB"/>
    </w:rPr>
  </w:style>
  <w:style w:type="paragraph" w:customStyle="1" w:styleId="AMPRBodyText">
    <w:name w:val="(AMPR) Body Text"/>
    <w:basedOn w:val="BASE-STYLE-TEXT"/>
    <w:qFormat/>
    <w:pPr>
      <w:spacing w:before="240" w:after="240" w:line="240" w:lineRule="auto"/>
    </w:pPr>
    <w:rPr>
      <w:rFonts w:eastAsiaTheme="minorHAnsi" w:cstheme="minorBidi"/>
      <w:noProof/>
      <w:color w:val="000000"/>
      <w:sz w:val="20"/>
      <w:szCs w:val="20"/>
      <w:lang w:eastAsia="en-US"/>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paragraph" w:customStyle="1" w:styleId="AMPRLista-L1">
    <w:name w:val="(AMPR) List (a) - L1"/>
    <w:basedOn w:val="BASE-STYLE-TEXT"/>
    <w:qFormat/>
    <w:pPr>
      <w:numPr>
        <w:numId w:val="14"/>
      </w:numPr>
      <w:spacing w:before="80" w:after="80" w:line="240" w:lineRule="auto"/>
      <w:jc w:val="left"/>
    </w:pPr>
    <w:rPr>
      <w:rFonts w:eastAsiaTheme="minorHAnsi"/>
      <w:noProof/>
      <w:color w:val="auto"/>
      <w:sz w:val="20"/>
      <w:szCs w:val="22"/>
      <w:lang w:eastAsia="en-US"/>
    </w:rPr>
  </w:style>
  <w:style w:type="paragraph" w:customStyle="1" w:styleId="AMPRListOrange-L1">
    <w:name w:val="(AMPR) List * [Orange] - L1"/>
    <w:basedOn w:val="BASE-STYLE-TEXT"/>
    <w:qFormat/>
    <w:pPr>
      <w:numPr>
        <w:numId w:val="15"/>
      </w:numPr>
      <w:spacing w:before="80" w:after="80" w:line="240" w:lineRule="auto"/>
    </w:pPr>
    <w:rPr>
      <w:rFonts w:eastAsiaTheme="minorHAnsi"/>
      <w:noProof/>
      <w:sz w:val="20"/>
      <w:szCs w:val="22"/>
      <w:lang w:eastAsia="en-US"/>
    </w:rPr>
  </w:style>
  <w:style w:type="paragraph" w:customStyle="1" w:styleId="AMPRListOrange-L2">
    <w:name w:val="(AMPR) List * [Orange] - L2"/>
    <w:basedOn w:val="BASE-STYLE-TEXT"/>
    <w:qFormat/>
    <w:pPr>
      <w:numPr>
        <w:ilvl w:val="1"/>
        <w:numId w:val="15"/>
      </w:numPr>
      <w:spacing w:before="80" w:after="80" w:line="240" w:lineRule="auto"/>
    </w:pPr>
    <w:rPr>
      <w:rFonts w:eastAsiaTheme="minorHAnsi"/>
      <w:noProof/>
      <w:sz w:val="20"/>
      <w:szCs w:val="22"/>
      <w:lang w:eastAsia="fr-BE"/>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numbering" w:customStyle="1" w:styleId="AMPRLISTa">
    <w:name w:val="(AMPR_LIST) (a)"/>
    <w:uiPriority w:val="99"/>
    <w:pPr>
      <w:numPr>
        <w:numId w:val="14"/>
      </w:numPr>
    </w:pPr>
  </w:style>
  <w:style w:type="numbering" w:customStyle="1" w:styleId="AMPRLISTOrange">
    <w:name w:val="(AMPR_LIST) * Orange"/>
    <w:uiPriority w:val="99"/>
    <w:pPr>
      <w:numPr>
        <w:numId w:val="15"/>
      </w:numPr>
    </w:pPr>
  </w:style>
  <w:style w:type="numbering" w:styleId="111111">
    <w:name w:val="Outline List 2"/>
    <w:basedOn w:val="NoList"/>
    <w:uiPriority w:val="99"/>
    <w:semiHidden/>
    <w:unhideWhenUsed/>
    <w:pPr>
      <w:numPr>
        <w:numId w:val="16"/>
      </w:numPr>
    </w:pPr>
  </w:style>
  <w:style w:type="numbering" w:styleId="1ai">
    <w:name w:val="Outline List 1"/>
    <w:basedOn w:val="NoList"/>
    <w:uiPriority w:val="99"/>
    <w:semiHidden/>
    <w:unhideWhenUsed/>
    <w:pPr>
      <w:numPr>
        <w:numId w:val="17"/>
      </w:numPr>
    </w:pPr>
  </w:style>
  <w:style w:type="numbering" w:styleId="ArticleSection">
    <w:name w:val="Outline List 3"/>
    <w:basedOn w:val="NoList"/>
    <w:uiPriority w:val="99"/>
    <w:semiHidden/>
    <w:unhideWhenUsed/>
    <w:pPr>
      <w:numPr>
        <w:numId w:val="18"/>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Hidelastparagraphafterthetable">
    <w:name w:val="_Hide last paragraph after the table"/>
    <w:next w:val="Normal"/>
    <w:pPr>
      <w:widowControl w:val="0"/>
      <w:spacing w:after="0" w:line="20" w:lineRule="exact"/>
    </w:pPr>
    <w:rPr>
      <w:rFonts w:eastAsiaTheme="minorEastAsia"/>
      <w:noProof/>
      <w:vanish/>
      <w:sz w:val="2"/>
      <w:szCs w:val="2"/>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numbering" w:customStyle="1" w:styleId="AMPRLIST-SEC1-Headings">
    <w:name w:val="(AMPR) LIST - SEC 1 - Headings"/>
    <w:uiPriority w:val="99"/>
    <w:pPr>
      <w:numPr>
        <w:numId w:val="19"/>
      </w:numPr>
    </w:pPr>
  </w:style>
  <w:style w:type="numbering" w:customStyle="1" w:styleId="AMPRLIST-SEC2-Headings">
    <w:name w:val="(AMPR) LIST - SEC 2 - Headings"/>
    <w:uiPriority w:val="99"/>
    <w:pPr>
      <w:numPr>
        <w:numId w:val="20"/>
      </w:numPr>
    </w:p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2-numbered">
    <w:name w:val="(AMPR_Sec1) TITLE 2 - numbered"/>
    <w:basedOn w:val="BASE-STYLE-HEADINGS"/>
    <w:next w:val="AMPRBodyText"/>
    <w:qFormat/>
    <w:pPr>
      <w:keepNext/>
      <w:keepLines/>
      <w:pageBreakBefore/>
      <w:numPr>
        <w:numId w:val="19"/>
      </w:numPr>
      <w:spacing w:after="120" w:line="240" w:lineRule="auto"/>
      <w:jc w:val="left"/>
      <w:outlineLvl w:val="1"/>
    </w:pPr>
    <w:rPr>
      <w:rFonts w:eastAsiaTheme="minorHAnsi"/>
      <w:color w:val="4472C4" w:themeColor="accent5"/>
      <w:sz w:val="48"/>
      <w:szCs w:val="2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2-numbered">
    <w:name w:val="(AMPR_Sec2) TITLE 2 - numbered"/>
    <w:basedOn w:val="Normal"/>
    <w:next w:val="Normal"/>
    <w:qFormat/>
    <w:pPr>
      <w:keepNext/>
      <w:keepLines/>
      <w:numPr>
        <w:numId w:val="20"/>
      </w:numPr>
      <w:spacing w:after="120" w:line="240" w:lineRule="auto"/>
      <w:outlineLvl w:val="1"/>
    </w:pPr>
    <w:rPr>
      <w:rFonts w:ascii="EC Square Sans Pro" w:hAnsi="EC Square Sans Pro" w:cs="Times New Roman"/>
      <w:noProof/>
      <w:color w:val="4472C4" w:themeColor="accent5"/>
      <w:sz w:val="48"/>
    </w:rPr>
  </w:style>
  <w:style w:type="paragraph" w:customStyle="1" w:styleId="AMPRSec2TITLE3-numbered">
    <w:name w:val="(AMPR_Sec2) TITLE 3 - numbered"/>
    <w:basedOn w:val="Normal"/>
    <w:next w:val="Normal"/>
    <w:qFormat/>
    <w:pPr>
      <w:keepNext/>
      <w:keepLines/>
      <w:numPr>
        <w:ilvl w:val="1"/>
        <w:numId w:val="20"/>
      </w:numPr>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005D95"/>
      <w:sz w:val="28"/>
      <w:szCs w:val="21"/>
      <w:lang w:eastAsia="zh-CN"/>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character" w:customStyle="1" w:styleId="AMPRcharHyperlink">
    <w:name w:val="(AMPR char) Hyperlink"/>
    <w:uiPriority w:val="1"/>
    <w:rPr>
      <w:noProof/>
      <w:color w:val="4E9DD6"/>
      <w:bdr w:val="none" w:sz="0" w:space="0" w:color="auto"/>
      <w:shd w:val="clear" w:color="auto" w:fill="auto"/>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noProof/>
      <w:color w:val="auto"/>
      <w:sz w:val="16"/>
      <w:szCs w:val="16"/>
      <w:lang w:eastAsia="fr-BE"/>
    </w:rPr>
  </w:style>
  <w:style w:type="character" w:customStyle="1" w:styleId="AMPRcharBoldOrange">
    <w:name w:val="(AMPR char) Bold Orange"/>
    <w:basedOn w:val="DefaultParagraphFont"/>
    <w:uiPriority w:val="1"/>
    <w:rPr>
      <w:b/>
      <w:bCs/>
      <w:noProof/>
      <w:color w:val="ED7D31" w:themeColor="accent2"/>
      <w:bdr w:val="none" w:sz="0" w:space="0" w:color="auto"/>
      <w:shd w:val="clear" w:color="auto" w:fill="auto"/>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0" w:line="240" w:lineRule="auto"/>
    </w:pPr>
    <w:rPr>
      <w:rFonts w:eastAsiaTheme="minorHAnsi"/>
      <w:sz w:val="20"/>
      <w:szCs w:val="22"/>
      <w:lang w:eastAsia="fr-BE"/>
    </w:rPr>
  </w:style>
  <w:style w:type="paragraph" w:customStyle="1" w:styleId="AMPRListBlue-L1">
    <w:name w:val="(AMPR) List * [Blue] - L1"/>
    <w:basedOn w:val="BASE-STYLE-TEXT"/>
    <w:qFormat/>
    <w:pPr>
      <w:numPr>
        <w:numId w:val="22"/>
      </w:numPr>
      <w:spacing w:before="80" w:after="80" w:line="240" w:lineRule="auto"/>
    </w:pPr>
    <w:rPr>
      <w:rFonts w:eastAsiaTheme="minorHAnsi"/>
      <w:noProof/>
      <w:sz w:val="20"/>
      <w:szCs w:val="22"/>
      <w:lang w:eastAsia="en-US"/>
    </w:rPr>
  </w:style>
  <w:style w:type="paragraph" w:customStyle="1" w:styleId="AMPRListBlue-L2">
    <w:name w:val="(AMPR) List * [Blue] - L2"/>
    <w:basedOn w:val="BASE-STYLE-TEXT"/>
    <w:qFormat/>
    <w:pPr>
      <w:numPr>
        <w:ilvl w:val="1"/>
        <w:numId w:val="22"/>
      </w:numPr>
      <w:spacing w:before="80" w:after="80" w:line="240" w:lineRule="auto"/>
    </w:pPr>
    <w:rPr>
      <w:rFonts w:eastAsiaTheme="minorHAnsi"/>
      <w:noProof/>
      <w:sz w:val="20"/>
      <w:szCs w:val="22"/>
      <w:lang w:eastAsia="fr-BE"/>
    </w:rPr>
  </w:style>
  <w:style w:type="paragraph" w:customStyle="1" w:styleId="AMPRtableBOXA-bgWHITElnORANGE-BLUEBullet">
    <w:name w:val="(AMPR) tableBOX A - bgWHITE_lnORANGE - BLUE Bullet"/>
    <w:basedOn w:val="BASE-STYLE-TEXT"/>
    <w:qFormat/>
    <w:pPr>
      <w:widowControl w:val="0"/>
      <w:numPr>
        <w:numId w:val="5"/>
      </w:numPr>
      <w:autoSpaceDE w:val="0"/>
      <w:autoSpaceDN w:val="0"/>
      <w:adjustRightInd w:val="0"/>
      <w:spacing w:after="100" w:line="241" w:lineRule="exact"/>
      <w:jc w:val="left"/>
    </w:pPr>
    <w:rPr>
      <w:rFonts w:eastAsia="Times New Roman"/>
      <w:noProof/>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noProof/>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noProof/>
      <w:color w:val="005D95"/>
      <w:sz w:val="20"/>
      <w:szCs w:val="20"/>
      <w:lang w:eastAsia="en-US"/>
    </w:rPr>
  </w:style>
  <w:style w:type="numbering" w:customStyle="1" w:styleId="AMPRLISTBlue">
    <w:name w:val="(AMPR_LIST) * Blue"/>
    <w:uiPriority w:val="99"/>
    <w:pPr>
      <w:numPr>
        <w:numId w:val="22"/>
      </w:numPr>
    </w:p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noProof/>
      <w:color w:val="203F79"/>
      <w:szCs w:val="18"/>
    </w:rPr>
  </w:style>
  <w:style w:type="character" w:customStyle="1" w:styleId="AMPRcharBold">
    <w:name w:val="(AMPR char) Bold"/>
    <w:uiPriority w:val="1"/>
    <w:rPr>
      <w:b/>
      <w:bCs/>
      <w:noProof/>
      <w:bdr w:val="none" w:sz="0" w:space="0" w:color="auto"/>
      <w:shd w:val="clear" w:color="auto" w:fill="auto"/>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noProof/>
      <w:color w:val="auto"/>
      <w:sz w:val="20"/>
      <w:szCs w:val="22"/>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noProof/>
      <w:color w:val="auto"/>
      <w:sz w:val="20"/>
      <w:szCs w:val="20"/>
      <w:lang w:eastAsia="en-US" w:bidi="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color w:val="FFFFFF" w:themeColor="background1"/>
      <w:sz w:val="72"/>
      <w:szCs w:val="72"/>
      <w:lang w:eastAsia="en-US"/>
    </w:rPr>
  </w:style>
  <w:style w:type="character" w:customStyle="1" w:styleId="AMPRcharBlue">
    <w:name w:val="(AMPR char) Blue"/>
    <w:uiPriority w:val="1"/>
    <w:rPr>
      <w:noProof/>
      <w:color w:val="005D95"/>
      <w:bdr w:val="none" w:sz="0" w:space="0" w:color="auto"/>
      <w:shd w:val="clear" w:color="auto" w:fill="auto"/>
    </w:rPr>
  </w:style>
  <w:style w:type="character" w:customStyle="1" w:styleId="AMPRcharItalic">
    <w:name w:val="(AMPR char) Italic"/>
    <w:uiPriority w:val="1"/>
    <w:rPr>
      <w:i/>
      <w:noProof/>
      <w:bdr w:val="none" w:sz="0" w:space="0" w:color="auto"/>
      <w:shd w:val="clear" w:color="auto" w:fill="auto"/>
    </w:rPr>
  </w:style>
  <w:style w:type="character" w:customStyle="1" w:styleId="AMPRcharOrange">
    <w:name w:val="(AMPR char) Orange"/>
    <w:basedOn w:val="DefaultParagraphFont"/>
    <w:uiPriority w:val="1"/>
    <w:rPr>
      <w:noProof/>
      <w:color w:val="DE5F0A"/>
      <w:bdr w:val="none" w:sz="0" w:space="0" w:color="auto"/>
      <w:shd w:val="clear" w:color="auto" w:fill="auto"/>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2"/>
      <w:szCs w:val="24"/>
      <w:lang w:eastAsia="fr-BE"/>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noProof/>
      <w:color w:val="FFFFFF" w:themeColor="background1"/>
      <w:sz w:val="24"/>
      <w:szCs w:val="24"/>
      <w:lang w:eastAsia="fr-BE"/>
    </w:r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paragraph" w:customStyle="1" w:styleId="AMPRListOrange-L1-consecutive">
    <w:name w:val="(AMPR) List * [Orange] - L1 - consecutive"/>
    <w:basedOn w:val="AMPRListOrange-L1"/>
    <w:qFormat/>
    <w:pPr>
      <w:numPr>
        <w:numId w:val="0"/>
      </w:numPr>
      <w:ind w:left="697"/>
    </w:p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numbering" w:customStyle="1" w:styleId="PPOLISTBlackNumbersinbrackets">
    <w:name w:val="(PPO LIST) Black Numbers in brackets"/>
    <w:uiPriority w:val="99"/>
    <w:pPr>
      <w:numPr>
        <w:numId w:val="27"/>
      </w:numPr>
    </w:pPr>
  </w:style>
  <w:style w:type="paragraph" w:customStyle="1" w:styleId="PPOBlackBULLETS-L1nobullettext">
    <w:name w:val="(PPO) Black BULLETS - L1 (no bullet text)"/>
    <w:basedOn w:val="PPOBlackBULLETS-L1"/>
    <w:qFormat/>
    <w:pPr>
      <w:ind w:firstLine="0"/>
    </w:pPr>
  </w:style>
  <w:style w:type="paragraph" w:customStyle="1" w:styleId="PPOBlackNumberinBracketsLIST-L1">
    <w:name w:val="(PPO) Black Number in Brackets LIST - L1"/>
    <w:basedOn w:val="BASE-STYLE-TEXT"/>
    <w:qFormat/>
    <w:pPr>
      <w:numPr>
        <w:numId w:val="28"/>
      </w:numPr>
      <w:spacing w:after="60" w:line="200" w:lineRule="exact"/>
    </w:pPr>
    <w:rPr>
      <w:rFonts w:ascii="EC Square Sans Cond Pro" w:hAnsi="EC Square Sans Cond Pro"/>
      <w:bCs/>
      <w:noProof/>
      <w:szCs w:val="18"/>
    </w:rPr>
  </w:style>
  <w:style w:type="paragraph" w:customStyle="1" w:styleId="PPObodyText">
    <w:name w:val="(PPO) bodyText"/>
    <w:basedOn w:val="Normal"/>
    <w:qFormat/>
    <w:pPr>
      <w:jc w:val="both"/>
    </w:pPr>
    <w:rPr>
      <w:rFonts w:ascii="EC Square Sans Cond Pro" w:eastAsia="Times New Roman" w:hAnsi="EC Square Sans Cond Pro" w:cs="EC Square Sans Cond Pro"/>
      <w:noProof/>
      <w:color w:val="000000"/>
      <w:sz w:val="18"/>
      <w:szCs w:val="18"/>
    </w:rPr>
  </w:style>
  <w:style w:type="character" w:customStyle="1" w:styleId="PPOChar-Hyperlink">
    <w:name w:val="(PPO) Char - Hyperlink"/>
    <w:uiPriority w:val="1"/>
    <w:qFormat/>
    <w:rPr>
      <w:noProof/>
      <w:color w:val="0000FF"/>
    </w:rPr>
  </w:style>
  <w:style w:type="paragraph" w:customStyle="1" w:styleId="PPOExamplesTABLEHeader">
    <w:name w:val="(PPO) Examples TABLE Header"/>
    <w:basedOn w:val="BASE-STYLE-TEXT"/>
    <w:qFormat/>
    <w:pPr>
      <w:spacing w:before="60" w:after="0" w:line="200" w:lineRule="exact"/>
      <w:jc w:val="center"/>
    </w:pPr>
    <w:rPr>
      <w:rFonts w:asciiTheme="minorHAnsi" w:hAnsiTheme="minorHAnsi" w:cstheme="minorBidi"/>
      <w:b/>
      <w:bCs/>
      <w:noProof/>
      <w:color w:val="FFFFFF" w:themeColor="background1"/>
      <w:sz w:val="22"/>
      <w:szCs w:val="17"/>
      <w:lang w:eastAsia="en-GB"/>
    </w:rPr>
  </w:style>
  <w:style w:type="paragraph" w:customStyle="1" w:styleId="PPORunningheader-rightside">
    <w:name w:val="(PPO) Running header - right side"/>
    <w:basedOn w:val="BASE-STYLE-TEXT"/>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qFormat/>
    <w:pPr>
      <w:ind w:right="0" w:firstLine="284"/>
      <w:jc w:val="left"/>
    </w:pPr>
  </w:style>
  <w:style w:type="paragraph" w:customStyle="1" w:styleId="PPOsidebarchartLegends">
    <w:name w:val="(PPO) sidebar chart Legends"/>
    <w:basedOn w:val="BASE-STYLE-TEXT"/>
    <w:qFormat/>
    <w:pPr>
      <w:spacing w:after="100"/>
      <w:ind w:left="397" w:firstLine="720"/>
      <w:jc w:val="left"/>
    </w:pPr>
    <w:rPr>
      <w:rFonts w:asciiTheme="minorHAnsi" w:hAnsiTheme="minorHAnsi" w:cstheme="minorBidi"/>
      <w:bCs/>
      <w:noProof/>
      <w:color w:val="auto"/>
      <w:sz w:val="16"/>
      <w:szCs w:val="14"/>
    </w:rPr>
  </w:style>
  <w:style w:type="paragraph" w:customStyle="1" w:styleId="PPOsidebartext">
    <w:name w:val="(PPO) sidebar text"/>
    <w:basedOn w:val="BASE-STYLE-TEXT"/>
    <w:qFormat/>
    <w:pPr>
      <w:spacing w:after="0"/>
      <w:jc w:val="right"/>
    </w:pPr>
    <w:rPr>
      <w:rFonts w:ascii="EC Square Sans Cond Pro" w:hAnsi="EC Square Sans Cond Pro"/>
      <w:bCs/>
      <w:noProof/>
      <w:szCs w:val="18"/>
    </w:rPr>
  </w:style>
  <w:style w:type="paragraph" w:customStyle="1" w:styleId="PPOsidebarchartPlaceholder">
    <w:name w:val="(PPO) sidebar chart Placeholder"/>
    <w:basedOn w:val="PPOsidebartext"/>
    <w:qFormat/>
    <w:pPr>
      <w:spacing w:before="160" w:after="160"/>
      <w:ind w:left="284"/>
    </w:pPr>
    <w:rPr>
      <w:lang w:eastAsia="en-GB"/>
    </w:rPr>
  </w:style>
  <w:style w:type="paragraph" w:customStyle="1" w:styleId="PPOsidebarLegalBasisBOXHeading">
    <w:name w:val="(PPO) sidebar Legal Basis BOX Heading"/>
    <w:basedOn w:val="BASE-STYLE-TEXT"/>
    <w:qFormat/>
    <w:pPr>
      <w:spacing w:after="160"/>
      <w:jc w:val="right"/>
    </w:pPr>
    <w:rPr>
      <w:rFonts w:cstheme="minorBidi"/>
      <w:b/>
      <w:bCs/>
      <w:noProof/>
      <w:color w:val="FFFFFF" w:themeColor="background1"/>
      <w:sz w:val="16"/>
    </w:rPr>
  </w:style>
  <w:style w:type="paragraph" w:customStyle="1" w:styleId="PPOsidebarLegalBasisBOXtext">
    <w:name w:val="(PPO) sidebar Legal Basis BOX text"/>
    <w:basedOn w:val="BASE-STYLE-TEXT"/>
    <w:qFormat/>
    <w:pPr>
      <w:spacing w:after="0"/>
      <w:jc w:val="right"/>
    </w:pPr>
    <w:rPr>
      <w:rFonts w:cstheme="minorBidi"/>
      <w:bCs/>
      <w:noProof/>
      <w:color w:val="FFFFFF" w:themeColor="background1"/>
      <w:sz w:val="14"/>
      <w:szCs w:val="14"/>
    </w:rPr>
  </w:style>
  <w:style w:type="paragraph" w:customStyle="1" w:styleId="PPOsidebarTableplaceholder">
    <w:name w:val="(PPO) sidebar Table placeholder"/>
    <w:basedOn w:val="BASE-STYLE-TEXT"/>
    <w:qFormat/>
    <w:pPr>
      <w:spacing w:line="276" w:lineRule="auto"/>
      <w:jc w:val="left"/>
    </w:pPr>
    <w:rPr>
      <w:rFonts w:asciiTheme="minorHAnsi" w:hAnsiTheme="minorHAnsi" w:cstheme="minorBidi"/>
      <w:bCs/>
      <w:noProof/>
      <w:color w:val="auto"/>
      <w:szCs w:val="22"/>
    </w:rPr>
  </w:style>
  <w:style w:type="paragraph" w:customStyle="1" w:styleId="PPOsidebarTabletext">
    <w:name w:val="(PPO) sidebar Table text"/>
    <w:basedOn w:val="BASE-STYLE-TEXT"/>
    <w:qFormat/>
    <w:pPr>
      <w:widowControl w:val="0"/>
      <w:spacing w:after="100" w:afterAutospacing="1" w:line="160" w:lineRule="exact"/>
      <w:jc w:val="center"/>
    </w:pPr>
    <w:rPr>
      <w:rFonts w:eastAsia="EC Square Sans Cond Pro Medium" w:cs="EC Square Sans Cond Pro Medium"/>
      <w:noProof/>
      <w:szCs w:val="15"/>
    </w:rPr>
  </w:style>
  <w:style w:type="paragraph" w:customStyle="1" w:styleId="PPOsidebarTabletext-rightaligned">
    <w:name w:val="(PPO) sidebar Table text - right aligned"/>
    <w:basedOn w:val="PPOsidebarTabletext"/>
    <w:qFormat/>
    <w:pPr>
      <w:jc w:val="right"/>
    </w:pPr>
  </w:style>
  <w:style w:type="paragraph" w:customStyle="1" w:styleId="PPOSpecificobjectivesBOX-Subheading">
    <w:name w:val="(PPO) Specific objectives BOX - Subheading"/>
    <w:basedOn w:val="BASE-STYLE-TEXT"/>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Title3">
    <w:name w:val="(PPO) Title 3"/>
    <w:basedOn w:val="BASE-STYLE-TEXT"/>
    <w:qFormat/>
    <w:pPr>
      <w:autoSpaceDE w:val="0"/>
      <w:autoSpaceDN w:val="0"/>
      <w:adjustRightInd w:val="0"/>
      <w:spacing w:before="160" w:after="120" w:line="181" w:lineRule="atLeast"/>
    </w:pPr>
    <w:rPr>
      <w:b/>
      <w:noProof/>
      <w:color w:val="28296E"/>
      <w:sz w:val="21"/>
    </w:rPr>
  </w:style>
  <w:style w:type="paragraph" w:customStyle="1" w:styleId="PPOTitle3-nospacebefore">
    <w:name w:val="(PPO) Title 3 - no space before"/>
    <w:basedOn w:val="PPOTitle3"/>
    <w:qFormat/>
    <w:pPr>
      <w:spacing w:before="0"/>
    </w:pPr>
  </w:style>
  <w:style w:type="paragraph" w:customStyle="1" w:styleId="PPOTitle3-pagebreakbefore">
    <w:name w:val="(PPO) Title 3 - page break before"/>
    <w:basedOn w:val="PPOTitle3"/>
    <w:qFormat/>
    <w:pPr>
      <w:pageBreakBefore/>
    </w:pPr>
  </w:style>
  <w:style w:type="paragraph" w:customStyle="1" w:styleId="PPOTitle4-BlackBold9pt">
    <w:name w:val="(PPO) Title 4 - Black Bold 9pt"/>
    <w:basedOn w:val="BASE-STYLE-TEXT"/>
    <w:qFormat/>
    <w:pPr>
      <w:spacing w:before="160" w:after="60"/>
    </w:pPr>
    <w:rPr>
      <w:rFonts w:ascii="EC Square Sans Cond Pro" w:hAnsi="EC Square Sans Cond Pro"/>
      <w:b/>
      <w:noProof/>
      <w:szCs w:val="18"/>
    </w:rPr>
  </w:style>
  <w:style w:type="paragraph" w:customStyle="1" w:styleId="PPOVotedbudgetTABLEHeaderLeftcol">
    <w:name w:val="(PPO) Voted budget TABLE Header Left col"/>
    <w:basedOn w:val="BASE-STYLE-TEXT"/>
    <w:qFormat/>
    <w:pPr>
      <w:framePr w:hSpace="181" w:wrap="around" w:vAnchor="page" w:hAnchor="page" w:x="3448" w:y="13530"/>
      <w:spacing w:after="100" w:afterAutospacing="1"/>
      <w:ind w:left="190" w:right="227"/>
      <w:suppressOverlap/>
      <w:jc w:val="right"/>
    </w:pPr>
    <w:rPr>
      <w:rFonts w:cstheme="minorBidi"/>
      <w:bCs/>
      <w:noProof/>
      <w:color w:val="FFFFFF" w:themeColor="background1"/>
      <w:szCs w:val="22"/>
    </w:rPr>
  </w:style>
  <w:style w:type="paragraph" w:customStyle="1" w:styleId="PPOVotedbudgetTABLEHeaderRightcol">
    <w:name w:val="(PPO) Voted budget TABLE Header Right col"/>
    <w:basedOn w:val="PPOVotedbudgetTABLEHeaderLeftcol"/>
    <w:qFormat/>
    <w:pPr>
      <w:framePr w:wrap="around"/>
      <w:ind w:left="227" w:right="0"/>
      <w:jc w:val="left"/>
    </w:pPr>
  </w:style>
  <w:style w:type="paragraph" w:customStyle="1" w:styleId="PPO1AsidebarchartCenterText">
    <w:name w:val="(PPO_1A) sidebar chart Center Text"/>
    <w:basedOn w:val="BASE-STYLE-TEXT"/>
    <w:qFormat/>
    <w:pPr>
      <w:spacing w:after="120" w:line="240" w:lineRule="auto"/>
      <w:jc w:val="center"/>
    </w:pPr>
    <w:rPr>
      <w:rFonts w:cstheme="minorBidi"/>
      <w:bCs/>
      <w:noProof/>
      <w:color w:val="00ADDC"/>
      <w:sz w:val="22"/>
      <w:szCs w:val="22"/>
    </w:rPr>
  </w:style>
  <w:style w:type="paragraph" w:customStyle="1" w:styleId="PPO1AsidebarTablecaption">
    <w:name w:val="(PPO_1A)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00ADDC"/>
      <w:sz w:val="16"/>
      <w:shd w:val="clear" w:color="auto" w:fill="FFFFFF"/>
    </w:rPr>
  </w:style>
  <w:style w:type="paragraph" w:customStyle="1" w:styleId="PPO1AsidebarTitleBlue">
    <w:name w:val="(PPO_1A) sidebar Title Blue"/>
    <w:basedOn w:val="BASE-STYLE-TEXT"/>
    <w:qFormat/>
    <w:pPr>
      <w:autoSpaceDE w:val="0"/>
      <w:autoSpaceDN w:val="0"/>
      <w:adjustRightInd w:val="0"/>
      <w:spacing w:before="340" w:after="40" w:line="240" w:lineRule="auto"/>
      <w:jc w:val="right"/>
    </w:pPr>
    <w:rPr>
      <w:rFonts w:ascii="EC Square Sans Cond Pro" w:hAnsi="EC Square Sans Cond Pro"/>
      <w:b/>
      <w:noProof/>
      <w:color w:val="28296E"/>
      <w:sz w:val="16"/>
    </w:rPr>
  </w:style>
  <w:style w:type="paragraph" w:customStyle="1" w:styleId="PPO1AsidebarTitleLightBlue">
    <w:name w:val="(PPO_1A) sidebar Title Light Blue"/>
    <w:basedOn w:val="BASE-STYLE-TEXT"/>
    <w:qFormat/>
    <w:pPr>
      <w:autoSpaceDE w:val="0"/>
      <w:autoSpaceDN w:val="0"/>
      <w:adjustRightInd w:val="0"/>
      <w:spacing w:before="440" w:after="60" w:line="241" w:lineRule="atLeast"/>
      <w:jc w:val="right"/>
    </w:pPr>
    <w:rPr>
      <w:rFonts w:ascii="EC Square Sans Cond Pro" w:hAnsi="EC Square Sans Cond Pro"/>
      <w:b/>
      <w:noProof/>
      <w:color w:val="00ADDC"/>
      <w:sz w:val="21"/>
    </w:rPr>
  </w:style>
  <w:style w:type="paragraph" w:customStyle="1" w:styleId="PPO1ASpecificobjectivesBOX-BulletLightBlue">
    <w:name w:val="(PPO_1A) Specific objectives BOX - Bullet Light Blue"/>
    <w:basedOn w:val="BASE-STYLE-TEXT"/>
    <w:qFormat/>
    <w:pPr>
      <w:numPr>
        <w:numId w:val="29"/>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qFormat/>
    <w:pPr>
      <w:spacing w:before="140" w:after="120"/>
      <w:ind w:left="-119" w:right="-16" w:firstLine="9"/>
      <w:jc w:val="left"/>
    </w:pPr>
    <w:rPr>
      <w:rFonts w:ascii="EC Square Sans Cond Pro" w:hAnsi="EC Square Sans Cond Pro"/>
      <w:b/>
      <w:noProof/>
      <w:color w:val="00ADDC"/>
      <w:sz w:val="21"/>
    </w:rPr>
  </w:style>
  <w:style w:type="numbering" w:customStyle="1" w:styleId="PPO1ASpecificObjectivesBulletsLIST">
    <w:name w:val="(PPO_1A) Specific Objectives Bullets (LIST)"/>
    <w:uiPriority w:val="99"/>
    <w:pPr>
      <w:numPr>
        <w:numId w:val="29"/>
      </w:numPr>
    </w:pPr>
  </w:style>
  <w:style w:type="paragraph" w:customStyle="1" w:styleId="PPO1ATitle1">
    <w:name w:val="(PPO_1A) Title 1"/>
    <w:basedOn w:val="BASE-STYLE-HEADINGS"/>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qFormat/>
    <w:pPr>
      <w:spacing w:before="60" w:after="60" w:line="240" w:lineRule="auto"/>
      <w:jc w:val="left"/>
    </w:pPr>
    <w:rPr>
      <w:rFonts w:cstheme="minorBidi"/>
      <w:bCs/>
      <w:noProof/>
      <w:color w:val="00ADDC"/>
      <w:sz w:val="22"/>
      <w:szCs w:val="22"/>
    </w:rPr>
  </w:style>
  <w:style w:type="paragraph" w:customStyle="1" w:styleId="PPO1AVotedbudgetTABLEtextBlue">
    <w:name w:val="(PPO_1A)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1BsidebarchartCenterText">
    <w:name w:val="(PPO_1B) sidebar chart Center Text"/>
    <w:basedOn w:val="BASE-STYLE-TEXT"/>
    <w:qFormat/>
    <w:pPr>
      <w:spacing w:after="120" w:line="240" w:lineRule="auto"/>
      <w:jc w:val="center"/>
    </w:pPr>
    <w:rPr>
      <w:rFonts w:cstheme="minorBidi"/>
      <w:bCs/>
      <w:noProof/>
      <w:color w:val="18BAA8"/>
      <w:sz w:val="22"/>
      <w:szCs w:val="22"/>
    </w:rPr>
  </w:style>
  <w:style w:type="paragraph" w:customStyle="1" w:styleId="PPO1BsidebarTablecaption">
    <w:name w:val="(PPO_1B)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18BAA8"/>
      <w:sz w:val="16"/>
      <w:shd w:val="clear" w:color="auto" w:fill="FFFFFF"/>
    </w:rPr>
  </w:style>
  <w:style w:type="paragraph" w:customStyle="1" w:styleId="PPO1BsidebarTitleDarkGreen">
    <w:name w:val="(PPO_1B) sidebar Title DarkGreen"/>
    <w:basedOn w:val="BASE-STYLE-TEXT"/>
    <w:qFormat/>
    <w:pPr>
      <w:autoSpaceDE w:val="0"/>
      <w:autoSpaceDN w:val="0"/>
      <w:adjustRightInd w:val="0"/>
      <w:spacing w:before="340" w:after="40" w:line="240" w:lineRule="auto"/>
      <w:jc w:val="right"/>
    </w:pPr>
    <w:rPr>
      <w:rFonts w:ascii="EC Square Sans Cond Pro" w:hAnsi="EC Square Sans Cond Pro"/>
      <w:b/>
      <w:noProof/>
      <w:color w:val="128C7D"/>
      <w:sz w:val="16"/>
    </w:rPr>
  </w:style>
  <w:style w:type="paragraph" w:customStyle="1" w:styleId="PPO1BsidebarTitleTurquoise">
    <w:name w:val="(PPO_1B) sidebar Title Turquoise"/>
    <w:basedOn w:val="BASE-STYLE-TEXT"/>
    <w:qFormat/>
    <w:pPr>
      <w:autoSpaceDE w:val="0"/>
      <w:autoSpaceDN w:val="0"/>
      <w:adjustRightInd w:val="0"/>
      <w:spacing w:before="440" w:after="60" w:line="241" w:lineRule="atLeast"/>
      <w:jc w:val="right"/>
    </w:pPr>
    <w:rPr>
      <w:rFonts w:ascii="EC Square Sans Cond Pro" w:hAnsi="EC Square Sans Cond Pro"/>
      <w:b/>
      <w:noProof/>
      <w:color w:val="18BAA8"/>
      <w:sz w:val="21"/>
    </w:rPr>
  </w:style>
  <w:style w:type="paragraph" w:customStyle="1" w:styleId="PPO1BSpecificobjectivesBOX-BulletTurquoise">
    <w:name w:val="(PPO_1B) Specific objectives BOX - Bullet Turquoise"/>
    <w:basedOn w:val="BASE-STYLE-TEXT"/>
    <w:qFormat/>
    <w:pPr>
      <w:numPr>
        <w:numId w:val="30"/>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qFormat/>
    <w:pPr>
      <w:spacing w:before="140" w:after="120"/>
      <w:ind w:left="-119" w:right="-16" w:firstLine="9"/>
      <w:jc w:val="left"/>
    </w:pPr>
    <w:rPr>
      <w:rFonts w:ascii="EC Square Sans Cond Pro" w:hAnsi="EC Square Sans Cond Pro"/>
      <w:b/>
      <w:noProof/>
      <w:color w:val="18BAA8"/>
      <w:sz w:val="21"/>
    </w:rPr>
  </w:style>
  <w:style w:type="numbering" w:customStyle="1" w:styleId="PPO1BSpecificObjectivesBulletsLIST">
    <w:name w:val="(PPO_1B) Specific Objectives Bullets (LIST)"/>
    <w:uiPriority w:val="99"/>
    <w:pPr>
      <w:numPr>
        <w:numId w:val="30"/>
      </w:numPr>
    </w:pPr>
  </w:style>
  <w:style w:type="paragraph" w:customStyle="1" w:styleId="PPO1BTitle1">
    <w:name w:val="(PPO_1B) Title 1"/>
    <w:basedOn w:val="BASE-STYLE-HEADINGS"/>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qFormat/>
    <w:pPr>
      <w:spacing w:before="60" w:after="60" w:line="240" w:lineRule="auto"/>
      <w:jc w:val="left"/>
    </w:pPr>
    <w:rPr>
      <w:rFonts w:cstheme="minorBidi"/>
      <w:bCs/>
      <w:noProof/>
      <w:color w:val="18BAA8"/>
      <w:sz w:val="22"/>
      <w:szCs w:val="22"/>
    </w:rPr>
  </w:style>
  <w:style w:type="paragraph" w:customStyle="1" w:styleId="PPO1BVotedbudgetTABLEtextTurquoise">
    <w:name w:val="(PPO_1B) Voted budget TABLE text Turquois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18BAA8"/>
      <w:sz w:val="22"/>
      <w:szCs w:val="22"/>
    </w:rPr>
  </w:style>
  <w:style w:type="paragraph" w:customStyle="1" w:styleId="PPO2sidebarchartCenterText">
    <w:name w:val="(PPO_2) sidebar chart Center Text"/>
    <w:basedOn w:val="BASE-STYLE-TEXT"/>
    <w:qFormat/>
    <w:pPr>
      <w:spacing w:after="120" w:line="240" w:lineRule="auto"/>
      <w:jc w:val="center"/>
    </w:pPr>
    <w:rPr>
      <w:rFonts w:cstheme="minorBidi"/>
      <w:bCs/>
      <w:noProof/>
      <w:color w:val="9ACA3C"/>
      <w:sz w:val="22"/>
      <w:szCs w:val="22"/>
    </w:rPr>
  </w:style>
  <w:style w:type="paragraph" w:customStyle="1" w:styleId="PPO2sidebarTablecaption">
    <w:name w:val="(PPO_2)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9ACA3C"/>
      <w:sz w:val="16"/>
      <w:shd w:val="clear" w:color="auto" w:fill="FFFFFF"/>
    </w:rPr>
  </w:style>
  <w:style w:type="paragraph" w:customStyle="1" w:styleId="PPO2sidebarTitleOlive">
    <w:name w:val="(PPO_2) sidebar Title Olive"/>
    <w:basedOn w:val="BASE-STYLE-TEXT"/>
    <w:qFormat/>
    <w:pPr>
      <w:autoSpaceDE w:val="0"/>
      <w:autoSpaceDN w:val="0"/>
      <w:adjustRightInd w:val="0"/>
      <w:spacing w:before="340" w:after="40" w:line="240" w:lineRule="auto"/>
      <w:jc w:val="right"/>
    </w:pPr>
    <w:rPr>
      <w:rFonts w:ascii="EC Square Sans Cond Pro" w:hAnsi="EC Square Sans Cond Pro"/>
      <w:b/>
      <w:noProof/>
      <w:color w:val="668725"/>
      <w:sz w:val="16"/>
    </w:rPr>
  </w:style>
  <w:style w:type="paragraph" w:customStyle="1" w:styleId="PPO2sidebarTitleSpringGreen">
    <w:name w:val="(PPO_2) sidebar Title SpringGreen"/>
    <w:basedOn w:val="BASE-STYLE-TEXT"/>
    <w:qFormat/>
    <w:pPr>
      <w:autoSpaceDE w:val="0"/>
      <w:autoSpaceDN w:val="0"/>
      <w:adjustRightInd w:val="0"/>
      <w:spacing w:before="440" w:after="60" w:line="241" w:lineRule="atLeast"/>
      <w:jc w:val="right"/>
    </w:pPr>
    <w:rPr>
      <w:rFonts w:ascii="EC Square Sans Cond Pro" w:hAnsi="EC Square Sans Cond Pro"/>
      <w:b/>
      <w:noProof/>
      <w:color w:val="9ACA3C"/>
      <w:sz w:val="21"/>
    </w:rPr>
  </w:style>
  <w:style w:type="paragraph" w:customStyle="1" w:styleId="PPO2SpecificobjectivesBOX-BulletSpringGreen">
    <w:name w:val="(PPO_2) Specific objectives BOX - Bullet SpringGreen"/>
    <w:basedOn w:val="BASE-STYLE-TEXT"/>
    <w:qFormat/>
    <w:pPr>
      <w:numPr>
        <w:numId w:val="31"/>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qFormat/>
    <w:pPr>
      <w:spacing w:before="140" w:after="120"/>
      <w:ind w:left="-119" w:right="-16" w:firstLine="9"/>
      <w:jc w:val="left"/>
    </w:pPr>
    <w:rPr>
      <w:rFonts w:ascii="EC Square Sans Cond Pro" w:hAnsi="EC Square Sans Cond Pro"/>
      <w:b/>
      <w:noProof/>
      <w:color w:val="9ACA3C"/>
      <w:sz w:val="21"/>
    </w:rPr>
  </w:style>
  <w:style w:type="numbering" w:customStyle="1" w:styleId="PPO2SpecificObjectivesBulletsLIST">
    <w:name w:val="(PPO_2) Specific Objectives Bullets (LIST)"/>
    <w:uiPriority w:val="99"/>
    <w:pPr>
      <w:numPr>
        <w:numId w:val="31"/>
      </w:numPr>
    </w:pPr>
  </w:style>
  <w:style w:type="paragraph" w:customStyle="1" w:styleId="PPO2Title1">
    <w:name w:val="(PPO_2) Title 1"/>
    <w:basedOn w:val="BASE-STYLE-HEADINGS"/>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qFormat/>
    <w:pPr>
      <w:spacing w:before="60" w:after="60" w:line="240" w:lineRule="auto"/>
      <w:jc w:val="left"/>
    </w:pPr>
    <w:rPr>
      <w:rFonts w:cstheme="minorBidi"/>
      <w:bCs/>
      <w:noProof/>
      <w:color w:val="9ACA3C"/>
      <w:sz w:val="22"/>
      <w:szCs w:val="22"/>
    </w:rPr>
  </w:style>
  <w:style w:type="paragraph" w:customStyle="1" w:styleId="PPO2VotedbudgetTABLEtextSpringGreen">
    <w:name w:val="(PPO_2) Voted budget TABLE text SpringGree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9ACA3C"/>
      <w:sz w:val="22"/>
      <w:szCs w:val="22"/>
    </w:rPr>
  </w:style>
  <w:style w:type="paragraph" w:customStyle="1" w:styleId="PPO3sidebarchartCenterText">
    <w:name w:val="(PPO_3) sidebar chart Center Text"/>
    <w:basedOn w:val="BASE-STYLE-TEXT"/>
    <w:qFormat/>
    <w:pPr>
      <w:spacing w:after="120" w:line="240" w:lineRule="auto"/>
      <w:jc w:val="center"/>
    </w:pPr>
    <w:rPr>
      <w:rFonts w:cstheme="minorBidi"/>
      <w:bCs/>
      <w:noProof/>
      <w:color w:val="585EAA"/>
      <w:sz w:val="22"/>
      <w:szCs w:val="22"/>
    </w:rPr>
  </w:style>
  <w:style w:type="paragraph" w:customStyle="1" w:styleId="PPO3sidebarTablecaption">
    <w:name w:val="(PPO_3)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585EAA"/>
      <w:sz w:val="16"/>
      <w:shd w:val="clear" w:color="auto" w:fill="FFFFFF"/>
    </w:rPr>
  </w:style>
  <w:style w:type="paragraph" w:customStyle="1" w:styleId="PPO3sidebarTitleDarkBlue">
    <w:name w:val="(PPO_3) sidebar Title DarkBlue"/>
    <w:basedOn w:val="BASE-STYLE-TEXT"/>
    <w:qFormat/>
    <w:pPr>
      <w:autoSpaceDE w:val="0"/>
      <w:autoSpaceDN w:val="0"/>
      <w:adjustRightInd w:val="0"/>
      <w:spacing w:before="340" w:after="40" w:line="240" w:lineRule="auto"/>
      <w:jc w:val="right"/>
    </w:pPr>
    <w:rPr>
      <w:rFonts w:ascii="EC Square Sans Cond Pro" w:hAnsi="EC Square Sans Cond Pro"/>
      <w:b/>
      <w:noProof/>
      <w:color w:val="333663"/>
      <w:sz w:val="16"/>
    </w:rPr>
  </w:style>
  <w:style w:type="paragraph" w:customStyle="1" w:styleId="PPO3sidebarTitlePurple">
    <w:name w:val="(PPO_3) sidebar Title Purple"/>
    <w:basedOn w:val="BASE-STYLE-TEXT"/>
    <w:qFormat/>
    <w:pPr>
      <w:autoSpaceDE w:val="0"/>
      <w:autoSpaceDN w:val="0"/>
      <w:adjustRightInd w:val="0"/>
      <w:spacing w:before="440" w:after="60" w:line="241" w:lineRule="atLeast"/>
      <w:jc w:val="right"/>
    </w:pPr>
    <w:rPr>
      <w:rFonts w:ascii="EC Square Sans Cond Pro" w:hAnsi="EC Square Sans Cond Pro"/>
      <w:b/>
      <w:noProof/>
      <w:color w:val="585EAA"/>
      <w:sz w:val="21"/>
    </w:rPr>
  </w:style>
  <w:style w:type="paragraph" w:customStyle="1" w:styleId="PPO3SpecificobjectivesBOX-BulletPurple">
    <w:name w:val="(PPO_3) Specific objectives BOX - Bullet Purple"/>
    <w:basedOn w:val="BASE-STYLE-TEXT"/>
    <w:qFormat/>
    <w:pPr>
      <w:numPr>
        <w:numId w:val="32"/>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qFormat/>
    <w:pPr>
      <w:spacing w:before="140" w:after="120"/>
      <w:ind w:left="-119" w:right="-16" w:firstLine="9"/>
      <w:jc w:val="left"/>
    </w:pPr>
    <w:rPr>
      <w:rFonts w:ascii="EC Square Sans Cond Pro" w:hAnsi="EC Square Sans Cond Pro"/>
      <w:b/>
      <w:noProof/>
      <w:color w:val="585EAA"/>
      <w:sz w:val="21"/>
    </w:rPr>
  </w:style>
  <w:style w:type="numbering" w:customStyle="1" w:styleId="PPO3SpecificObjectivesBulletsLIST">
    <w:name w:val="(PPO_3) Specific Objectives Bullets (LIST)"/>
    <w:uiPriority w:val="99"/>
    <w:pPr>
      <w:numPr>
        <w:numId w:val="32"/>
      </w:numPr>
    </w:pPr>
  </w:style>
  <w:style w:type="paragraph" w:customStyle="1" w:styleId="PPO3Title1">
    <w:name w:val="(PPO_3) Title 1"/>
    <w:basedOn w:val="BASE-STYLE-HEADINGS"/>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qFormat/>
    <w:pPr>
      <w:spacing w:before="60" w:after="60" w:line="240" w:lineRule="auto"/>
      <w:jc w:val="left"/>
    </w:pPr>
    <w:rPr>
      <w:rFonts w:cstheme="minorBidi"/>
      <w:bCs/>
      <w:noProof/>
      <w:color w:val="585EAA"/>
      <w:sz w:val="22"/>
      <w:szCs w:val="22"/>
    </w:rPr>
  </w:style>
  <w:style w:type="paragraph" w:customStyle="1" w:styleId="PPO3VotedbudgetTABLEtextBlue">
    <w:name w:val="(PPO_3)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4sidebarchartCenterText">
    <w:name w:val="(PPO_4) sidebar chart Center Text"/>
    <w:basedOn w:val="BASE-STYLE-TEXT"/>
    <w:qFormat/>
    <w:pPr>
      <w:spacing w:after="120" w:line="240" w:lineRule="auto"/>
      <w:jc w:val="center"/>
    </w:pPr>
    <w:rPr>
      <w:rFonts w:cstheme="minorBidi"/>
      <w:bCs/>
      <w:noProof/>
      <w:color w:val="F68A42"/>
      <w:sz w:val="22"/>
      <w:szCs w:val="22"/>
    </w:rPr>
  </w:style>
  <w:style w:type="paragraph" w:customStyle="1" w:styleId="PPO4sidebarTablecaption">
    <w:name w:val="(PPO_4)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F68A42"/>
      <w:sz w:val="16"/>
      <w:shd w:val="clear" w:color="auto" w:fill="FFFFFF"/>
    </w:rPr>
  </w:style>
  <w:style w:type="paragraph" w:customStyle="1" w:styleId="PPO4sidebarTitleBrown">
    <w:name w:val="(PPO_4) sidebar Title Brown"/>
    <w:basedOn w:val="BASE-STYLE-TEXT"/>
    <w:qFormat/>
    <w:pPr>
      <w:autoSpaceDE w:val="0"/>
      <w:autoSpaceDN w:val="0"/>
      <w:adjustRightInd w:val="0"/>
      <w:spacing w:before="340" w:after="40" w:line="240" w:lineRule="auto"/>
      <w:jc w:val="right"/>
    </w:pPr>
    <w:rPr>
      <w:rFonts w:ascii="EC Square Sans Cond Pro" w:hAnsi="EC Square Sans Cond Pro"/>
      <w:b/>
      <w:noProof/>
      <w:color w:val="B74F09"/>
      <w:sz w:val="16"/>
    </w:rPr>
  </w:style>
  <w:style w:type="paragraph" w:customStyle="1" w:styleId="PPO4sidebarTitleLightBrown">
    <w:name w:val="(PPO_4) sidebar Title Light Brown"/>
    <w:basedOn w:val="BASE-STYLE-TEXT"/>
    <w:qFormat/>
    <w:pPr>
      <w:autoSpaceDE w:val="0"/>
      <w:autoSpaceDN w:val="0"/>
      <w:adjustRightInd w:val="0"/>
      <w:spacing w:before="440" w:after="60" w:line="241" w:lineRule="atLeast"/>
      <w:jc w:val="right"/>
    </w:pPr>
    <w:rPr>
      <w:rFonts w:ascii="EC Square Sans Cond Pro" w:hAnsi="EC Square Sans Cond Pro"/>
      <w:b/>
      <w:noProof/>
      <w:color w:val="F68A42"/>
      <w:sz w:val="21"/>
    </w:rPr>
  </w:style>
  <w:style w:type="paragraph" w:customStyle="1" w:styleId="PPO4SpecificobjectivesBOX-BulletLightBrown">
    <w:name w:val="(PPO_4) Specific objectives BOX - Bullet LightBrown"/>
    <w:basedOn w:val="BASE-STYLE-TEXT"/>
    <w:qFormat/>
    <w:pPr>
      <w:numPr>
        <w:numId w:val="33"/>
      </w:numPr>
      <w:spacing w:after="60" w:line="240" w:lineRule="auto"/>
    </w:pPr>
    <w:rPr>
      <w:rFonts w:eastAsia="Calibri"/>
      <w:bCs/>
      <w:noProof/>
      <w:color w:val="auto"/>
      <w:szCs w:val="22"/>
      <w:lang w:eastAsia="fr-BE"/>
    </w:rPr>
  </w:style>
  <w:style w:type="paragraph" w:customStyle="1" w:styleId="PPO4SpecificobjectivesBOX-HeadingLightBrown">
    <w:name w:val="(PPO_4) Specific objectives BOX - Heading Light Brown"/>
    <w:basedOn w:val="BASE-STYLE-TEXT"/>
    <w:qFormat/>
    <w:pPr>
      <w:spacing w:before="140" w:after="120"/>
      <w:ind w:left="-119" w:right="-16" w:firstLine="9"/>
      <w:jc w:val="left"/>
    </w:pPr>
    <w:rPr>
      <w:rFonts w:ascii="EC Square Sans Cond Pro" w:hAnsi="EC Square Sans Cond Pro"/>
      <w:b/>
      <w:noProof/>
      <w:color w:val="F68A42"/>
      <w:sz w:val="21"/>
    </w:rPr>
  </w:style>
  <w:style w:type="numbering" w:customStyle="1" w:styleId="PPO4SpecificObjectivesBulletsLIST">
    <w:name w:val="(PPO_4) Specific Objectives Bullets (LIST)"/>
    <w:uiPriority w:val="99"/>
    <w:pPr>
      <w:numPr>
        <w:numId w:val="33"/>
      </w:numPr>
    </w:pPr>
  </w:style>
  <w:style w:type="paragraph" w:customStyle="1" w:styleId="PPO4Title1">
    <w:name w:val="(PPO_4) Title 1"/>
    <w:basedOn w:val="BASE-STYLE-HEADINGS"/>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qFormat/>
    <w:pPr>
      <w:spacing w:before="60" w:after="60" w:line="240" w:lineRule="auto"/>
      <w:jc w:val="left"/>
    </w:pPr>
    <w:rPr>
      <w:rFonts w:cstheme="minorBidi"/>
      <w:bCs/>
      <w:noProof/>
      <w:color w:val="F68A42"/>
      <w:sz w:val="22"/>
      <w:szCs w:val="22"/>
    </w:rPr>
  </w:style>
  <w:style w:type="paragraph" w:customStyle="1" w:styleId="PPO4VotedbudgetTABLEtextLightBrown">
    <w:name w:val="(PPO_4) Voted budget TABLE text Light Brow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F68A42"/>
      <w:sz w:val="22"/>
      <w:szCs w:val="22"/>
    </w:rPr>
  </w:style>
  <w:style w:type="paragraph" w:customStyle="1" w:styleId="PPOSIsidebarchartCenterText">
    <w:name w:val="(PPO_SI) sidebar chart Center Text"/>
    <w:basedOn w:val="BASE-STYLE-TEXT"/>
    <w:qFormat/>
    <w:pPr>
      <w:spacing w:after="120" w:line="240" w:lineRule="auto"/>
      <w:jc w:val="center"/>
    </w:pPr>
    <w:rPr>
      <w:rFonts w:cstheme="minorBidi"/>
      <w:bCs/>
      <w:noProof/>
      <w:color w:val="4BACC6"/>
      <w:sz w:val="22"/>
      <w:szCs w:val="22"/>
    </w:rPr>
  </w:style>
  <w:style w:type="paragraph" w:customStyle="1" w:styleId="PPOSIsidebarTablecaption">
    <w:name w:val="(PPO_SI)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4BACC6"/>
      <w:sz w:val="16"/>
      <w:shd w:val="clear" w:color="auto" w:fill="FFFFFF"/>
    </w:rPr>
  </w:style>
  <w:style w:type="paragraph" w:customStyle="1" w:styleId="PPOSIsidebarTitleElectricBlue">
    <w:name w:val="(PPO_SI) sidebar Title ElectricBlue"/>
    <w:basedOn w:val="BASE-STYLE-TEXT"/>
    <w:qFormat/>
    <w:pPr>
      <w:autoSpaceDE w:val="0"/>
      <w:autoSpaceDN w:val="0"/>
      <w:adjustRightInd w:val="0"/>
      <w:spacing w:before="440" w:after="60" w:line="241" w:lineRule="atLeast"/>
      <w:jc w:val="right"/>
    </w:pPr>
    <w:rPr>
      <w:rFonts w:ascii="EC Square Sans Cond Pro" w:hAnsi="EC Square Sans Cond Pro"/>
      <w:b/>
      <w:noProof/>
      <w:color w:val="4BACC6"/>
      <w:sz w:val="21"/>
    </w:rPr>
  </w:style>
  <w:style w:type="paragraph" w:customStyle="1" w:styleId="PPOSIsidebarTitlePeacockBlue">
    <w:name w:val="(PPO_SI) sidebar Title PeacockBlue"/>
    <w:basedOn w:val="BASE-STYLE-TEXT"/>
    <w:qFormat/>
    <w:pPr>
      <w:autoSpaceDE w:val="0"/>
      <w:autoSpaceDN w:val="0"/>
      <w:adjustRightInd w:val="0"/>
      <w:spacing w:before="340" w:after="40" w:line="240" w:lineRule="auto"/>
      <w:jc w:val="right"/>
    </w:pPr>
    <w:rPr>
      <w:rFonts w:ascii="EC Square Sans Cond Pro" w:hAnsi="EC Square Sans Cond Pro"/>
      <w:b/>
      <w:noProof/>
      <w:color w:val="215968"/>
      <w:sz w:val="16"/>
    </w:rPr>
  </w:style>
  <w:style w:type="paragraph" w:customStyle="1" w:styleId="PPOSISpecificobjectivesBOX-BulletElectricBlue">
    <w:name w:val="(PPO_SI) Specific objectives BOX - Bullet ElectricBlue"/>
    <w:basedOn w:val="BASE-STYLE-TEXT"/>
    <w:qFormat/>
    <w:pPr>
      <w:numPr>
        <w:numId w:val="34"/>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qFormat/>
    <w:pPr>
      <w:spacing w:before="140" w:after="120"/>
      <w:ind w:left="-119" w:right="-16" w:firstLine="9"/>
      <w:jc w:val="left"/>
    </w:pPr>
    <w:rPr>
      <w:rFonts w:ascii="EC Square Sans Cond Pro" w:hAnsi="EC Square Sans Cond Pro"/>
      <w:b/>
      <w:noProof/>
      <w:color w:val="4BACC6"/>
      <w:sz w:val="21"/>
    </w:rPr>
  </w:style>
  <w:style w:type="numbering" w:customStyle="1" w:styleId="PPOSISpecificObjectivesBulletsLIST">
    <w:name w:val="(PPO_SI) Specific Objectives Bullets (LIST)"/>
    <w:uiPriority w:val="99"/>
    <w:pPr>
      <w:numPr>
        <w:numId w:val="34"/>
      </w:numPr>
    </w:pPr>
  </w:style>
  <w:style w:type="paragraph" w:customStyle="1" w:styleId="PPOSITitle1">
    <w:name w:val="(PPO_SI) Title 1"/>
    <w:basedOn w:val="BASE-STYLE-HEADINGS"/>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qFormat/>
    <w:pPr>
      <w:spacing w:before="60" w:after="60" w:line="240" w:lineRule="auto"/>
      <w:jc w:val="left"/>
    </w:pPr>
    <w:rPr>
      <w:rFonts w:cstheme="minorBidi"/>
      <w:bCs/>
      <w:noProof/>
      <w:color w:val="4BACC6"/>
      <w:sz w:val="22"/>
      <w:szCs w:val="22"/>
    </w:rPr>
  </w:style>
  <w:style w:type="paragraph" w:customStyle="1" w:styleId="PPOSIVotedbudgetTABLEElectricBlue">
    <w:name w:val="(PPO_SI) Voted budget TABLE Electric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4BACC6"/>
      <w:sz w:val="22"/>
      <w:szCs w:val="2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noProof/>
      <w:color w:val="000000"/>
      <w:sz w:val="24"/>
      <w:szCs w:val="24"/>
    </w:rPr>
  </w:style>
  <w:style w:type="paragraph" w:customStyle="1" w:styleId="AMPRBOXB-bgWHITElnBLUE-BLUEHeading">
    <w:name w:val="(AMPR) BOX B - bgWHITE_lnBLUE - BLUE Heading"/>
    <w:basedOn w:val="BASE-STYLE-TEXT"/>
    <w:next w:val="AMPRBOXB-bgWHITElnBLUE-BLACKtext"/>
    <w:qFormat/>
    <w:pPr>
      <w:pBdr>
        <w:top w:val="dashSmallGap" w:sz="12" w:space="8" w:color="4E9DD6"/>
        <w:left w:val="dashSmallGap" w:sz="12" w:space="8" w:color="4E9DD6"/>
        <w:bottom w:val="dashSmallGap" w:sz="12" w:space="8" w:color="4E9DD6"/>
        <w:right w:val="dashSmallGap" w:sz="12" w:space="8" w:color="4E9DD6"/>
      </w:pBdr>
      <w:spacing w:before="240" w:after="120" w:line="240" w:lineRule="auto"/>
    </w:pPr>
    <w:rPr>
      <w:b/>
      <w:bCs/>
      <w:color w:val="005D95"/>
      <w:sz w:val="22"/>
      <w:szCs w:val="24"/>
      <w:lang w:eastAsia="fr-BE"/>
    </w:rPr>
  </w:style>
  <w:style w:type="paragraph" w:customStyle="1" w:styleId="AMPRBOXC-bgPINK-ORANGEHeading">
    <w:name w:val="(AMPR) BOX C - bgPINK - ORANGE Heading"/>
    <w:basedOn w:val="BASE-STYLE-TEXT"/>
    <w:next w:val="AMPRBOXC-bgPINK-BLACKtext"/>
    <w:qFormat/>
    <w:pPr>
      <w:keepNext/>
      <w:keepLines/>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before="240" w:after="120" w:line="240" w:lineRule="auto"/>
    </w:pPr>
    <w:rPr>
      <w:rFonts w:eastAsiaTheme="minorHAnsi"/>
      <w:b/>
      <w:bCs/>
      <w:color w:val="ED7D31" w:themeColor="accent2"/>
      <w:sz w:val="22"/>
      <w:szCs w:val="24"/>
      <w:lang w:eastAsia="fr-BE"/>
    </w:rPr>
  </w:style>
  <w:style w:type="character" w:customStyle="1" w:styleId="prdnormal">
    <w:name w:val="prdnormal"/>
    <w:basedOn w:val="DefaultParagraphFont"/>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numPr>
        <w:numId w:val="11"/>
      </w:numPr>
      <w:spacing w:before="480" w:after="0" w:line="240" w:lineRule="auto"/>
      <w:outlineLvl w:val="0"/>
    </w:pPr>
    <w:rPr>
      <w:rFonts w:ascii="EC Square Sans Pro" w:eastAsiaTheme="majorEastAsia" w:hAnsi="EC Square Sans Pro" w:cstheme="majorBidi"/>
      <w:b/>
      <w:bCs/>
      <w:noProof/>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11"/>
      </w:numPr>
      <w:spacing w:before="120" w:after="120" w:line="240" w:lineRule="auto"/>
      <w:jc w:val="both"/>
      <w:outlineLvl w:val="1"/>
    </w:pPr>
    <w:rPr>
      <w:rFonts w:ascii="EC Square Sans Pro" w:eastAsiaTheme="majorEastAsia" w:hAnsi="EC Square Sans Pro" w:cs="Times New Roman"/>
      <w:b/>
      <w:bCs/>
      <w:noProof/>
      <w:sz w:val="24"/>
      <w:szCs w:val="26"/>
    </w:rPr>
  </w:style>
  <w:style w:type="paragraph" w:styleId="Heading3">
    <w:name w:val="heading 3"/>
    <w:basedOn w:val="Normal"/>
    <w:next w:val="Normal"/>
    <w:link w:val="Heading3Char"/>
    <w:uiPriority w:val="9"/>
    <w:semiHidden/>
    <w:unhideWhenUsed/>
    <w:qFormat/>
    <w:pPr>
      <w:keepNext/>
      <w:keepLines/>
      <w:numPr>
        <w:ilvl w:val="2"/>
        <w:numId w:val="11"/>
      </w:numPr>
      <w:spacing w:before="40" w:after="0" w:line="240" w:lineRule="auto"/>
      <w:outlineLvl w:val="2"/>
    </w:pPr>
    <w:rPr>
      <w:rFonts w:ascii="EC Square Sans Pro" w:eastAsiaTheme="majorEastAsia" w:hAnsi="EC Square Sans Pro" w:cstheme="majorBidi"/>
      <w:noProof/>
      <w:color w:val="1F4D78" w:themeColor="accent1" w:themeShade="7F"/>
      <w:sz w:val="24"/>
      <w:szCs w:val="24"/>
    </w:rPr>
  </w:style>
  <w:style w:type="paragraph" w:styleId="Heading4">
    <w:name w:val="heading 4"/>
    <w:basedOn w:val="Normal"/>
    <w:next w:val="Normal"/>
    <w:link w:val="Heading4Char"/>
    <w:uiPriority w:val="9"/>
    <w:semiHidden/>
    <w:unhideWhenUsed/>
    <w:qFormat/>
    <w:pPr>
      <w:keepNext/>
      <w:numPr>
        <w:ilvl w:val="3"/>
        <w:numId w:val="11"/>
      </w:numPr>
      <w:spacing w:before="120" w:after="120" w:line="240" w:lineRule="auto"/>
      <w:jc w:val="both"/>
      <w:outlineLvl w:val="3"/>
    </w:pPr>
    <w:rPr>
      <w:rFonts w:ascii="EC Square Sans Pro" w:eastAsiaTheme="majorEastAsia" w:hAnsi="EC Square Sans Pro" w:cs="Times New Roman"/>
      <w:bCs/>
      <w:iCs/>
      <w:noProof/>
      <w:sz w:val="24"/>
    </w:rPr>
  </w:style>
  <w:style w:type="paragraph" w:styleId="Heading5">
    <w:name w:val="heading 5"/>
    <w:basedOn w:val="Normal"/>
    <w:next w:val="Normal"/>
    <w:link w:val="Heading5Char"/>
    <w:uiPriority w:val="9"/>
    <w:semiHidden/>
    <w:unhideWhenUsed/>
    <w:qFormat/>
    <w:pPr>
      <w:keepNext/>
      <w:keepLines/>
      <w:numPr>
        <w:ilvl w:val="4"/>
        <w:numId w:val="11"/>
      </w:numPr>
      <w:spacing w:before="200" w:after="0" w:line="240" w:lineRule="auto"/>
      <w:outlineLvl w:val="4"/>
    </w:pPr>
    <w:rPr>
      <w:rFonts w:ascii="EC Square Sans Pro" w:eastAsiaTheme="majorEastAsia" w:hAnsi="EC Square Sans Pro" w:cstheme="majorBidi"/>
      <w:noProof/>
      <w:color w:val="1F4D78" w:themeColor="accent1" w:themeShade="7F"/>
      <w:sz w:val="20"/>
    </w:rPr>
  </w:style>
  <w:style w:type="paragraph" w:styleId="Heading6">
    <w:name w:val="heading 6"/>
    <w:basedOn w:val="Normal"/>
    <w:next w:val="Normal"/>
    <w:link w:val="Heading6Char"/>
    <w:uiPriority w:val="9"/>
    <w:semiHidden/>
    <w:unhideWhenUsed/>
    <w:qFormat/>
    <w:pPr>
      <w:keepNext/>
      <w:keepLines/>
      <w:numPr>
        <w:ilvl w:val="5"/>
        <w:numId w:val="11"/>
      </w:numPr>
      <w:spacing w:before="200" w:after="0" w:line="240" w:lineRule="auto"/>
      <w:outlineLvl w:val="5"/>
    </w:pPr>
    <w:rPr>
      <w:rFonts w:ascii="EC Square Sans Pro" w:eastAsiaTheme="majorEastAsia" w:hAnsi="EC Square Sans Pro" w:cstheme="majorBidi"/>
      <w:i/>
      <w:iCs/>
      <w:noProof/>
      <w:color w:val="1F4D78" w:themeColor="accent1" w:themeShade="7F"/>
      <w:sz w:val="20"/>
    </w:rPr>
  </w:style>
  <w:style w:type="paragraph" w:styleId="Heading7">
    <w:name w:val="heading 7"/>
    <w:basedOn w:val="Normal"/>
    <w:next w:val="Normal"/>
    <w:link w:val="Heading7Char"/>
    <w:uiPriority w:val="9"/>
    <w:semiHidden/>
    <w:unhideWhenUsed/>
    <w:qFormat/>
    <w:pPr>
      <w:keepNext/>
      <w:keepLines/>
      <w:numPr>
        <w:ilvl w:val="6"/>
        <w:numId w:val="11"/>
      </w:numPr>
      <w:spacing w:before="200" w:after="0" w:line="240" w:lineRule="auto"/>
      <w:outlineLvl w:val="6"/>
    </w:pPr>
    <w:rPr>
      <w:rFonts w:ascii="EC Square Sans Pro" w:eastAsiaTheme="majorEastAsia" w:hAnsi="EC Square Sans Pro" w:cstheme="majorBidi"/>
      <w:i/>
      <w:iCs/>
      <w:noProof/>
      <w:color w:val="404040" w:themeColor="text1" w:themeTint="BF"/>
      <w:sz w:val="20"/>
    </w:rPr>
  </w:style>
  <w:style w:type="paragraph" w:styleId="Heading8">
    <w:name w:val="heading 8"/>
    <w:basedOn w:val="Normal"/>
    <w:next w:val="Normal"/>
    <w:link w:val="Heading8Char"/>
    <w:uiPriority w:val="9"/>
    <w:semiHidden/>
    <w:unhideWhenUsed/>
    <w:qFormat/>
    <w:pPr>
      <w:keepNext/>
      <w:keepLines/>
      <w:numPr>
        <w:ilvl w:val="7"/>
        <w:numId w:val="11"/>
      </w:numPr>
      <w:spacing w:before="200" w:after="0" w:line="240" w:lineRule="auto"/>
      <w:outlineLvl w:val="7"/>
    </w:pPr>
    <w:rPr>
      <w:rFonts w:ascii="EC Square Sans Pro" w:eastAsiaTheme="majorEastAsia" w:hAnsi="EC Square Sans Pro" w:cstheme="majorBidi"/>
      <w:noProof/>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1"/>
      </w:numPr>
      <w:spacing w:before="200" w:after="0" w:line="240" w:lineRule="auto"/>
      <w:outlineLvl w:val="8"/>
    </w:pPr>
    <w:rPr>
      <w:rFonts w:ascii="EC Square Sans Pro" w:eastAsiaTheme="majorEastAsia" w:hAnsi="EC Square Sans Pro" w:cstheme="majorBidi"/>
      <w:i/>
      <w:iCs/>
      <w:noProof/>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EC Square Sans Pro" w:eastAsiaTheme="majorEastAsia" w:hAnsi="EC Square Sans Pro" w:cstheme="majorBidi"/>
      <w:b/>
      <w:bCs/>
      <w:noProof/>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heme="majorEastAsia" w:hAnsi="EC Square Sans Pro" w:cs="Times New Roman"/>
      <w:b/>
      <w:bCs/>
      <w:noProof/>
      <w:sz w:val="24"/>
      <w:szCs w:val="26"/>
    </w:rPr>
  </w:style>
  <w:style w:type="character" w:customStyle="1" w:styleId="Heading3Char">
    <w:name w:val="Heading 3 Char"/>
    <w:basedOn w:val="DefaultParagraphFont"/>
    <w:link w:val="Heading3"/>
    <w:uiPriority w:val="9"/>
    <w:semiHidden/>
    <w:rPr>
      <w:rFonts w:ascii="EC Square Sans Pro" w:eastAsiaTheme="majorEastAsia" w:hAnsi="EC Square Sans Pro" w:cstheme="majorBidi"/>
      <w:noProof/>
      <w:color w:val="1F4D78" w:themeColor="accent1" w:themeShade="7F"/>
      <w:sz w:val="24"/>
      <w:szCs w:val="24"/>
    </w:rPr>
  </w:style>
  <w:style w:type="character" w:customStyle="1" w:styleId="Heading4Char">
    <w:name w:val="Heading 4 Char"/>
    <w:basedOn w:val="DefaultParagraphFont"/>
    <w:link w:val="Heading4"/>
    <w:uiPriority w:val="9"/>
    <w:semiHidden/>
    <w:rPr>
      <w:rFonts w:ascii="EC Square Sans Pro" w:eastAsiaTheme="majorEastAsia" w:hAnsi="EC Square Sans Pro" w:cs="Times New Roman"/>
      <w:bCs/>
      <w:iCs/>
      <w:noProof/>
      <w:sz w:val="24"/>
    </w:rPr>
  </w:style>
  <w:style w:type="character" w:customStyle="1" w:styleId="Heading5Char">
    <w:name w:val="Heading 5 Char"/>
    <w:basedOn w:val="DefaultParagraphFont"/>
    <w:link w:val="Heading5"/>
    <w:uiPriority w:val="9"/>
    <w:semiHidden/>
    <w:rPr>
      <w:rFonts w:ascii="EC Square Sans Pro" w:eastAsiaTheme="majorEastAsia" w:hAnsi="EC Square Sans Pro" w:cstheme="majorBidi"/>
      <w:noProof/>
      <w:color w:val="1F4D78" w:themeColor="accent1" w:themeShade="7F"/>
      <w:sz w:val="20"/>
    </w:rPr>
  </w:style>
  <w:style w:type="character" w:customStyle="1" w:styleId="Heading6Char">
    <w:name w:val="Heading 6 Char"/>
    <w:basedOn w:val="DefaultParagraphFont"/>
    <w:link w:val="Heading6"/>
    <w:uiPriority w:val="9"/>
    <w:semiHidden/>
    <w:rPr>
      <w:rFonts w:ascii="EC Square Sans Pro" w:eastAsiaTheme="majorEastAsia" w:hAnsi="EC Square Sans Pro" w:cstheme="majorBidi"/>
      <w:i/>
      <w:iCs/>
      <w:noProof/>
      <w:color w:val="1F4D78" w:themeColor="accent1" w:themeShade="7F"/>
      <w:sz w:val="20"/>
    </w:rPr>
  </w:style>
  <w:style w:type="character" w:customStyle="1" w:styleId="Heading7Char">
    <w:name w:val="Heading 7 Char"/>
    <w:basedOn w:val="DefaultParagraphFont"/>
    <w:link w:val="Heading7"/>
    <w:uiPriority w:val="9"/>
    <w:semiHidden/>
    <w:rPr>
      <w:rFonts w:ascii="EC Square Sans Pro" w:eastAsiaTheme="majorEastAsia" w:hAnsi="EC Square Sans Pro" w:cstheme="majorBidi"/>
      <w:i/>
      <w:iCs/>
      <w:noProof/>
      <w:color w:val="404040" w:themeColor="text1" w:themeTint="BF"/>
      <w:sz w:val="20"/>
    </w:rPr>
  </w:style>
  <w:style w:type="character" w:customStyle="1" w:styleId="Heading8Char">
    <w:name w:val="Heading 8 Char"/>
    <w:basedOn w:val="DefaultParagraphFont"/>
    <w:link w:val="Heading8"/>
    <w:uiPriority w:val="9"/>
    <w:semiHidden/>
    <w:rPr>
      <w:rFonts w:ascii="EC Square Sans Pro" w:eastAsiaTheme="majorEastAsia" w:hAnsi="EC Square Sans Pro" w:cstheme="majorBidi"/>
      <w:noProof/>
      <w:color w:val="404040" w:themeColor="text1" w:themeTint="BF"/>
      <w:sz w:val="20"/>
      <w:szCs w:val="20"/>
    </w:rPr>
  </w:style>
  <w:style w:type="character" w:customStyle="1" w:styleId="Heading9Char">
    <w:name w:val="Heading 9 Char"/>
    <w:basedOn w:val="DefaultParagraphFont"/>
    <w:link w:val="Heading9"/>
    <w:uiPriority w:val="9"/>
    <w:semiHidden/>
    <w:rPr>
      <w:rFonts w:ascii="EC Square Sans Pro" w:eastAsiaTheme="majorEastAsia" w:hAnsi="EC Square Sans Pro" w:cstheme="majorBidi"/>
      <w:i/>
      <w:iCs/>
      <w:noProof/>
      <w:color w:val="404040" w:themeColor="text1" w:themeTint="BF"/>
      <w:sz w:val="20"/>
      <w:szCs w:val="20"/>
    </w:r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spacing w:after="0" w:line="240" w:lineRule="auto"/>
      <w:ind w:left="720"/>
      <w:contextualSpacing/>
    </w:pPr>
    <w:rPr>
      <w:rFonts w:ascii="EC Square Sans Pro" w:hAnsi="EC Square Sans Pro" w:cs="Times New Roman"/>
      <w:noProof/>
      <w:sz w:val="20"/>
    </w:rPr>
  </w:style>
  <w:style w:type="paragraph" w:customStyle="1" w:styleId="Subhead3">
    <w:name w:val="Subhead 3"/>
    <w:basedOn w:val="Subhead2"/>
    <w:semiHidden/>
    <w:pPr>
      <w:spacing w:before="240"/>
      <w:ind w:left="340"/>
    </w:pPr>
    <w:rPr>
      <w:color w:val="FFC000" w:themeColor="accent4"/>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noProof/>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noProof/>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noProof/>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noProof/>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noProof/>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noProof/>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b/>
      <w:bCs/>
      <w:noProof/>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b/>
      <w:bCs/>
      <w:noProof/>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pPr>
      <w:numPr>
        <w:numId w:val="3"/>
      </w:numPr>
    </w:pPr>
  </w:style>
  <w:style w:type="character" w:styleId="Hyperlink">
    <w:name w:val="Hyperlink"/>
    <w:basedOn w:val="DefaultParagraphFont"/>
    <w:uiPriority w:val="99"/>
    <w:rPr>
      <w:rFonts w:ascii="EC Square Sans Pro" w:hAnsi="EC Square Sans Pro"/>
      <w:strike w:val="0"/>
      <w:dstrike w:val="0"/>
      <w:noProof/>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noProof/>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noProof/>
      <w:sz w:val="20"/>
      <w:szCs w:val="20"/>
    </w:rPr>
  </w:style>
  <w:style w:type="character" w:styleId="EndnoteReference">
    <w:name w:val="endnote reference"/>
    <w:basedOn w:val="DefaultParagraphFont"/>
    <w:uiPriority w:val="99"/>
    <w:semiHidden/>
    <w:unhideWhenUsed/>
    <w:rPr>
      <w:rFonts w:ascii="EC Square Sans Pro" w:hAnsi="EC Square Sans Pro"/>
      <w:noProof/>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noProof/>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noProof/>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0" w:line="240" w:lineRule="auto"/>
      <w:jc w:val="both"/>
    </w:pPr>
    <w:rPr>
      <w:rFonts w:ascii="EC Square Sans Pro" w:hAnsi="EC Square Sans Pro" w:cs="Times New Roman"/>
      <w:noProof/>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noProof/>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noProof/>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noProof/>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after="0" w:line="240" w:lineRule="auto"/>
      <w:jc w:val="both"/>
    </w:pPr>
    <w:rPr>
      <w:rFonts w:ascii="EC Square Sans Pro" w:hAnsi="EC Square Sans Pro" w:cs="Times New Roman"/>
      <w:b/>
      <w:noProof/>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noProof/>
      <w:color w:val="ED7D31" w:themeColor="accent2"/>
      <w:sz w:val="20"/>
      <w:lang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noProof/>
      <w:color w:val="EE6A44"/>
      <w:sz w:val="52"/>
    </w:rPr>
  </w:style>
  <w:style w:type="paragraph" w:customStyle="1" w:styleId="Title2Report">
    <w:name w:val="Title 2 / Report"/>
    <w:basedOn w:val="Normal"/>
    <w:link w:val="Title2ReportChar"/>
    <w:semiHidden/>
    <w:qFormat/>
    <w:pPr>
      <w:keepNext/>
      <w:keepLines/>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noProof/>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noProof/>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noProof/>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noProof/>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noProof/>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noProof/>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noProof/>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noProof/>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noProof/>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heme="minorEastAsia" w:hAnsi="EC Square Sans Pro"/>
      <w:i/>
      <w:iCs/>
      <w:noProof/>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noProof/>
      <w:sz w:val="20"/>
    </w:rPr>
  </w:style>
  <w:style w:type="character" w:customStyle="1" w:styleId="BodyText2Char">
    <w:name w:val="Body Text 2 Char"/>
    <w:basedOn w:val="DefaultParagraphFont"/>
    <w:link w:val="BodyText2"/>
    <w:uiPriority w:val="99"/>
    <w:semiHidden/>
    <w:rPr>
      <w:rFonts w:ascii="EC Square Sans Pro" w:hAnsi="EC Square Sans Pro" w:cs="Times New Roman"/>
      <w:noProof/>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noProof/>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noProof/>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noProof/>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noProof/>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noProof/>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noProof/>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noProof/>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noProof/>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noProof/>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noProof/>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noProof/>
      <w:sz w:val="20"/>
    </w:rPr>
  </w:style>
  <w:style w:type="character" w:customStyle="1" w:styleId="ClosingChar">
    <w:name w:val="Closing Char"/>
    <w:basedOn w:val="DefaultParagraphFont"/>
    <w:link w:val="Closing"/>
    <w:uiPriority w:val="99"/>
    <w:semiHidden/>
    <w:rPr>
      <w:rFonts w:ascii="EC Square Sans Pro" w:hAnsi="EC Square Sans Pro" w:cs="Times New Roman"/>
      <w:noProof/>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noProof/>
      <w:sz w:val="20"/>
    </w:rPr>
  </w:style>
  <w:style w:type="character" w:customStyle="1" w:styleId="DateChar">
    <w:name w:val="Date Char"/>
    <w:basedOn w:val="DefaultParagraphFont"/>
    <w:link w:val="Date"/>
    <w:uiPriority w:val="99"/>
    <w:semiHidden/>
    <w:rPr>
      <w:rFonts w:ascii="EC Square Sans Pro" w:hAnsi="EC Square Sans Pro" w:cs="Times New Roman"/>
      <w:noProof/>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noProof/>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noProof/>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noProof/>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noProof/>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heme="majorEastAsia" w:hAnsi="EC Square Sans Pro" w:cstheme="majorBidi"/>
      <w:noProof/>
      <w:sz w:val="24"/>
      <w:szCs w:val="24"/>
    </w:rPr>
  </w:style>
  <w:style w:type="paragraph" w:styleId="EnvelopeReturn">
    <w:name w:val="envelope return"/>
    <w:basedOn w:val="Normal"/>
    <w:uiPriority w:val="99"/>
    <w:semiHidden/>
    <w:unhideWhenUsed/>
    <w:pPr>
      <w:spacing w:after="0" w:line="240" w:lineRule="auto"/>
    </w:pPr>
    <w:rPr>
      <w:rFonts w:ascii="EC Square Sans Pro" w:eastAsiaTheme="majorEastAsia" w:hAnsi="EC Square Sans Pro" w:cstheme="majorBidi"/>
      <w:noProof/>
      <w:sz w:val="20"/>
      <w:szCs w:val="20"/>
    </w:rPr>
  </w:style>
  <w:style w:type="character" w:styleId="HTMLAcronym">
    <w:name w:val="HTML Acronym"/>
    <w:basedOn w:val="DefaultParagraphFont"/>
    <w:uiPriority w:val="99"/>
    <w:semiHidden/>
    <w:unhideWhenUsed/>
    <w:rPr>
      <w:rFonts w:ascii="EC Square Sans Pro" w:hAnsi="EC Square Sans Pro"/>
      <w:noProof/>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noProof/>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noProof/>
      <w:sz w:val="20"/>
    </w:rPr>
  </w:style>
  <w:style w:type="character" w:styleId="HTMLCite">
    <w:name w:val="HTML Cite"/>
    <w:basedOn w:val="DefaultParagraphFont"/>
    <w:uiPriority w:val="99"/>
    <w:semiHidden/>
    <w:unhideWhenUsed/>
    <w:rPr>
      <w:rFonts w:ascii="EC Square Sans Pro" w:hAnsi="EC Square Sans Pro"/>
      <w:i/>
      <w:iCs/>
      <w:noProof/>
      <w:lang w:val="en-GB"/>
    </w:rPr>
  </w:style>
  <w:style w:type="character" w:styleId="HTMLCode">
    <w:name w:val="HTML Code"/>
    <w:basedOn w:val="DefaultParagraphFont"/>
    <w:uiPriority w:val="99"/>
    <w:semiHidden/>
    <w:unhideWhenUsed/>
    <w:rPr>
      <w:rFonts w:ascii="EC Square Sans Pro" w:hAnsi="EC Square Sans Pro" w:cs="Consolas"/>
      <w:noProof/>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lang w:val="en-GB"/>
    </w:rPr>
  </w:style>
  <w:style w:type="character" w:styleId="HTMLKeyboard">
    <w:name w:val="HTML Keyboard"/>
    <w:basedOn w:val="DefaultParagraphFont"/>
    <w:uiPriority w:val="99"/>
    <w:semiHidden/>
    <w:unhideWhenUsed/>
    <w:rPr>
      <w:rFonts w:ascii="EC Square Sans Pro" w:hAnsi="EC Square Sans Pro" w:cs="Consolas"/>
      <w:noProof/>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noProof/>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noProof/>
      <w:sz w:val="20"/>
      <w:szCs w:val="20"/>
    </w:rPr>
  </w:style>
  <w:style w:type="character" w:styleId="HTMLSample">
    <w:name w:val="HTML Sample"/>
    <w:basedOn w:val="DefaultParagraphFont"/>
    <w:uiPriority w:val="99"/>
    <w:semiHidden/>
    <w:unhideWhenUsed/>
    <w:rPr>
      <w:rFonts w:ascii="EC Square Sans Pro" w:hAnsi="EC Square Sans Pro" w:cs="Consolas"/>
      <w:noProof/>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noProof/>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noProof/>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noProof/>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noProof/>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noProof/>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noProof/>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noProof/>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noProof/>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noProof/>
      <w:sz w:val="20"/>
    </w:rPr>
  </w:style>
  <w:style w:type="paragraph" w:styleId="IndexHeading">
    <w:name w:val="index heading"/>
    <w:basedOn w:val="Normal"/>
    <w:next w:val="Index1"/>
    <w:uiPriority w:val="99"/>
    <w:semiHidden/>
    <w:unhideWhenUsed/>
    <w:pPr>
      <w:spacing w:after="0" w:line="240" w:lineRule="auto"/>
    </w:pPr>
    <w:rPr>
      <w:rFonts w:ascii="EC Square Sans Pro" w:eastAsiaTheme="majorEastAsia" w:hAnsi="EC Square Sans Pro" w:cstheme="majorBidi"/>
      <w:b/>
      <w:bCs/>
      <w:noProof/>
      <w:sz w:val="20"/>
    </w:rPr>
  </w:style>
  <w:style w:type="character" w:styleId="LineNumber">
    <w:name w:val="line number"/>
    <w:basedOn w:val="DefaultParagraphFont"/>
    <w:uiPriority w:val="99"/>
    <w:semiHidden/>
    <w:unhideWhenUsed/>
    <w:rPr>
      <w:rFonts w:ascii="EC Square Sans Pro" w:hAnsi="EC Square Sans Pro"/>
      <w:noProof/>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noProof/>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noProof/>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noProof/>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noProof/>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noProof/>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noProof/>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noProof/>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noProof/>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noProof/>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noProof/>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noProof/>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noProof/>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noProof/>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noProof/>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heme="majorEastAsia" w:hAnsi="EC Square Sans Pro" w:cstheme="majorBidi"/>
      <w:noProof/>
      <w:sz w:val="24"/>
      <w:szCs w:val="24"/>
    </w:rPr>
  </w:style>
  <w:style w:type="character" w:customStyle="1" w:styleId="MessageHeaderChar">
    <w:name w:val="Message Header Char"/>
    <w:basedOn w:val="DefaultParagraphFont"/>
    <w:link w:val="MessageHeader"/>
    <w:uiPriority w:val="99"/>
    <w:semiHidden/>
    <w:rPr>
      <w:rFonts w:ascii="EC Square Sans Pro" w:eastAsiaTheme="majorEastAsia" w:hAnsi="EC Square Sans Pro" w:cstheme="majorBidi"/>
      <w:noProof/>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noProof/>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noProof/>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noProof/>
      <w:sz w:val="20"/>
    </w:rPr>
  </w:style>
  <w:style w:type="character" w:styleId="PageNumber">
    <w:name w:val="page number"/>
    <w:basedOn w:val="DefaultParagraphFont"/>
    <w:uiPriority w:val="99"/>
    <w:semiHidden/>
    <w:unhideWhenUsed/>
    <w:rPr>
      <w:rFonts w:ascii="EC Square Sans Pro" w:hAnsi="EC Square Sans Pro"/>
      <w:noProof/>
      <w:lang w:val="en-GB"/>
    </w:rPr>
  </w:style>
  <w:style w:type="character" w:styleId="PlaceholderText">
    <w:name w:val="Placeholder Text"/>
    <w:basedOn w:val="DefaultParagraphFont"/>
    <w:uiPriority w:val="99"/>
    <w:semiHidden/>
    <w:rPr>
      <w:rFonts w:ascii="EC Square Sans Pro" w:hAnsi="EC Square Sans Pro"/>
      <w:noProof/>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noProof/>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noProof/>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noProof/>
      <w:sz w:val="20"/>
    </w:rPr>
  </w:style>
  <w:style w:type="character" w:customStyle="1" w:styleId="SalutationChar">
    <w:name w:val="Salutation Char"/>
    <w:basedOn w:val="DefaultParagraphFont"/>
    <w:link w:val="Salutation"/>
    <w:uiPriority w:val="99"/>
    <w:semiHidden/>
    <w:rPr>
      <w:rFonts w:ascii="EC Square Sans Pro" w:hAnsi="EC Square Sans Pro" w:cs="Times New Roman"/>
      <w:noProof/>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noProof/>
      <w:sz w:val="20"/>
    </w:rPr>
  </w:style>
  <w:style w:type="character" w:customStyle="1" w:styleId="SignatureChar">
    <w:name w:val="Signature Char"/>
    <w:basedOn w:val="DefaultParagraphFont"/>
    <w:link w:val="Signature"/>
    <w:uiPriority w:val="99"/>
    <w:semiHidden/>
    <w:rPr>
      <w:rFonts w:ascii="EC Square Sans Pro" w:hAnsi="EC Square Sans Pro" w:cs="Times New Roman"/>
      <w:noProof/>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noProof/>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heme="majorEastAsia" w:hAnsi="EC Square Sans Pro" w:cstheme="majorBidi"/>
      <w:b/>
      <w:bCs/>
      <w:noProof/>
      <w:sz w:val="24"/>
      <w:szCs w:val="24"/>
    </w:rPr>
  </w:style>
  <w:style w:type="character" w:customStyle="1" w:styleId="BOLDBLUE">
    <w:name w:val="BOLD BLUE"/>
    <w:basedOn w:val="BodyTextChar"/>
    <w:qFormat/>
    <w:rPr>
      <w:rFonts w:ascii="EC Square Sans Pro" w:hAnsi="EC Square Sans Pro" w:cs="Times New Roman"/>
      <w:b/>
      <w:noProof/>
      <w:color w:val="4472C4" w:themeColor="accent5"/>
      <w:sz w:val="20"/>
      <w:lang w:val="en-GB" w:eastAsia="fr-BE"/>
    </w:rPr>
  </w:style>
  <w:style w:type="paragraph" w:customStyle="1" w:styleId="Title1-NoTOClink">
    <w:name w:val="Title 1 - No TOC link"/>
    <w:basedOn w:val="Normal"/>
    <w:next w:val="Normal"/>
    <w:semiHidden/>
    <w:pPr>
      <w:keepNext/>
      <w:keepLines/>
      <w:pageBreakBefore/>
      <w:numPr>
        <w:ilvl w:val="1"/>
        <w:numId w:val="13"/>
      </w:numPr>
      <w:spacing w:after="120" w:line="240" w:lineRule="auto"/>
      <w:outlineLvl w:val="0"/>
    </w:pPr>
    <w:rPr>
      <w:rFonts w:ascii="EC Square Sans Pro" w:hAnsi="EC Square Sans Pro" w:cs="Times New Roman"/>
      <w:noProof/>
      <w:color w:val="4472C4" w:themeColor="accent5"/>
      <w:sz w:val="52"/>
    </w:rPr>
  </w:style>
  <w:style w:type="character" w:customStyle="1" w:styleId="fnRefNo">
    <w:name w:val="fnRefNo"/>
    <w:uiPriority w:val="1"/>
    <w:qFormat/>
    <w:rPr>
      <w:rFonts w:ascii="EC Square Sans Pro" w:hAnsi="EC Square Sans Pro"/>
      <w:b w:val="0"/>
      <w:i w:val="0"/>
      <w:noProof/>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noProof/>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semiHidden/>
    <w:qFormat/>
    <w:pPr>
      <w:keepNext/>
      <w:keepLines/>
      <w:numPr>
        <w:ilvl w:val="3"/>
        <w:numId w:val="13"/>
      </w:numPr>
      <w:spacing w:before="480" w:after="240" w:line="240" w:lineRule="auto"/>
    </w:pPr>
    <w:rPr>
      <w:rFonts w:ascii="EC Square Sans Pro" w:hAnsi="EC Square Sans Pro" w:cs="Times New Roman"/>
      <w:b/>
      <w:noProof/>
      <w:color w:val="4472C4" w:themeColor="accent5"/>
      <w:sz w:val="24"/>
      <w:lang w:eastAsia="zh-CN"/>
    </w:rPr>
  </w:style>
  <w:style w:type="character" w:customStyle="1" w:styleId="Subhead2Char">
    <w:name w:val="Subhead 2 Char"/>
    <w:basedOn w:val="DefaultParagraphFont"/>
    <w:link w:val="Subhead2"/>
    <w:semiHidden/>
    <w:rPr>
      <w:rFonts w:ascii="EC Square Sans Pro" w:hAnsi="EC Square Sans Pro" w:cs="Times New Roman"/>
      <w:b/>
      <w:noProof/>
      <w:color w:val="4472C4" w:themeColor="accent5"/>
      <w:sz w:val="24"/>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noProof/>
      <w:sz w:val="20"/>
      <w:lang w:eastAsia="fr-BE"/>
    </w:rPr>
  </w:style>
  <w:style w:type="table" w:customStyle="1" w:styleId="DocumentTable2">
    <w:name w:val="Document Table2"/>
    <w:basedOn w:val="TableNormal"/>
    <w:next w:val="TableGrid"/>
    <w:uiPriority w:val="59"/>
    <w:pPr>
      <w:spacing w:after="0" w:line="240" w:lineRule="auto"/>
    </w:pPr>
    <w:rPr>
      <w:rFonts w:ascii="Verdana" w:eastAsiaTheme="minorEastAsia"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noProof/>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noProof/>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name">
    <w:name w:val="ep_name"/>
    <w:basedOn w:val="DefaultParagraphFont"/>
    <w:semiHidden/>
    <w:rPr>
      <w:noProof/>
      <w:lang w:val="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styleId="Strong">
    <w:name w:val="Strong"/>
    <w:basedOn w:val="DefaultParagraphFont"/>
    <w:uiPriority w:val="22"/>
    <w:qFormat/>
    <w:rPr>
      <w:b/>
      <w:bCs/>
      <w:noProof/>
      <w:lang w:val="en-GB"/>
    </w:rPr>
  </w:style>
  <w:style w:type="paragraph" w:styleId="FootnoteText">
    <w:name w:val="footnote text"/>
    <w:basedOn w:val="footnote"/>
    <w:link w:val="FootnoteTextChar"/>
    <w:uiPriority w:val="99"/>
    <w:qFormat/>
    <w:rPr>
      <w:noProof w:val="0"/>
    </w:rPr>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paragraph" w:customStyle="1" w:styleId="BodyText1">
    <w:name w:val="Body Text 1"/>
    <w:basedOn w:val="Forewordbodytext"/>
    <w:next w:val="BodyText"/>
    <w:link w:val="BodyText1Char"/>
    <w:semiHidden/>
    <w:qFormat/>
    <w:rPr>
      <w:color w:val="000000" w:themeColor="text1"/>
      <w:sz w:val="20"/>
    </w:rPr>
  </w:style>
  <w:style w:type="character" w:customStyle="1" w:styleId="BodyText1Char">
    <w:name w:val="Body Text 1 Char"/>
    <w:basedOn w:val="ForewordbodytextChar"/>
    <w:link w:val="BodyText1"/>
    <w:semiHidden/>
    <w:rPr>
      <w:rFonts w:ascii="EC Square Sans Pro" w:hAnsi="EC Square Sans Pro" w:cs="Times New Roman"/>
      <w:noProof/>
      <w:color w:val="000000" w:themeColor="text1"/>
      <w:sz w:val="20"/>
      <w:lang w:eastAsia="fr-BE"/>
    </w:rPr>
  </w:style>
  <w:style w:type="character" w:customStyle="1" w:styleId="BOLDGREENExecutiveSummary">
    <w:name w:val="BOLD GREEN / Executive Summary"/>
    <w:semiHidden/>
    <w:rPr>
      <w:rFonts w:ascii="EC Square Sans Pro" w:hAnsi="EC Square Sans Pro"/>
      <w:b/>
      <w:noProof/>
      <w:color w:val="08AA74"/>
      <w:lang w:val="en-GB" w:eastAsia="fr-BE"/>
    </w:rPr>
  </w:style>
  <w:style w:type="paragraph" w:customStyle="1" w:styleId="BodyText1spaceafter">
    <w:name w:val="Body Text 1 (space after)"/>
    <w:basedOn w:val="BodyText1"/>
    <w:next w:val="BodyText1"/>
    <w:semiHidden/>
    <w:pPr>
      <w:spacing w:after="240"/>
    </w:pPr>
    <w:rPr>
      <w:rFonts w:eastAsia="Calibri"/>
    </w:rPr>
  </w:style>
  <w:style w:type="paragraph" w:customStyle="1" w:styleId="BodyText1spacebeforeandafter">
    <w:name w:val="Body Text 1 (space before and after)"/>
    <w:basedOn w:val="BodyText1"/>
    <w:semiHidden/>
    <w:pPr>
      <w:spacing w:before="240" w:after="240"/>
    </w:pPr>
    <w:rPr>
      <w:rFonts w:eastAsia="Calibri"/>
    </w:rPr>
  </w:style>
  <w:style w:type="paragraph" w:customStyle="1" w:styleId="SubtitleGreenExecutiveSummary">
    <w:name w:val="Subtitle Green / Executive Summary"/>
    <w:next w:val="BodyText1spaceafter"/>
    <w:semiHidden/>
    <w:pPr>
      <w:keepNext/>
      <w:keepLines/>
      <w:spacing w:before="720" w:after="240" w:line="240" w:lineRule="auto"/>
      <w:ind w:left="357"/>
    </w:pPr>
    <w:rPr>
      <w:rFonts w:ascii="EC Square Sans Pro" w:hAnsi="EC Square Sans Pro" w:cs="Times New Roman"/>
      <w:b/>
      <w:noProof/>
      <w:color w:val="08AA74"/>
      <w:sz w:val="24"/>
      <w:lang w:eastAsia="zh-CN"/>
    </w:rPr>
  </w:style>
  <w:style w:type="paragraph" w:customStyle="1" w:styleId="BOXE2GREENtabletext">
    <w:name w:val="BOXE 2 / GREEN table text"/>
    <w:semiHidden/>
    <w:pPr>
      <w:spacing w:after="0" w:line="288" w:lineRule="auto"/>
      <w:ind w:left="113" w:right="113"/>
    </w:pPr>
    <w:rPr>
      <w:rFonts w:ascii="EC Square Sans Pro" w:hAnsi="EC Square Sans Pro" w:cs="Times New Roman"/>
      <w:noProof/>
      <w:sz w:val="20"/>
      <w:lang w:eastAsia="fr-BE"/>
    </w:rPr>
  </w:style>
  <w:style w:type="character" w:customStyle="1" w:styleId="fnRef">
    <w:name w:val="fnRef"/>
    <w:uiPriority w:val="1"/>
    <w:rPr>
      <w:rFonts w:ascii="EC Square Sans Pro" w:hAnsi="EC Square Sans Pro"/>
      <w:b w:val="0"/>
      <w:i w:val="0"/>
      <w:noProof/>
      <w:bdr w:val="none" w:sz="0" w:space="0" w:color="auto"/>
      <w:shd w:val="clear" w:color="auto" w:fill="auto"/>
      <w:vertAlign w:val="baseline"/>
      <w:lang w:val="en-GB"/>
    </w:rPr>
  </w:style>
  <w:style w:type="paragraph" w:customStyle="1" w:styleId="BOX2Blue">
    <w:name w:val="BOX 2 /Blue"/>
    <w:basedOn w:val="Normal"/>
    <w:link w:val="BOX2BlueChar"/>
    <w:semiHidden/>
    <w:qFormat/>
    <w:pPr>
      <w:pBdr>
        <w:top w:val="single" w:sz="4" w:space="4" w:color="FBE4D5" w:themeColor="accent2" w:themeTint="33"/>
        <w:left w:val="single" w:sz="4" w:space="4" w:color="FBE4D5" w:themeColor="accent2" w:themeTint="33"/>
        <w:bottom w:val="single" w:sz="4" w:space="4" w:color="FBE4D5" w:themeColor="accent2" w:themeTint="33"/>
        <w:right w:val="single" w:sz="4" w:space="4" w:color="FBE4D5" w:themeColor="accent2" w:themeTint="33"/>
      </w:pBdr>
      <w:shd w:val="clear" w:color="auto" w:fill="FBE4D5" w:themeFill="accent2" w:themeFillTint="33"/>
      <w:spacing w:after="0" w:line="240" w:lineRule="auto"/>
      <w:jc w:val="both"/>
    </w:pPr>
    <w:rPr>
      <w:rFonts w:ascii="EC Square Sans Pro" w:hAnsi="EC Square Sans Pro" w:cs="Times New Roman"/>
      <w:noProof/>
      <w:color w:val="000000" w:themeColor="text1"/>
      <w:sz w:val="20"/>
      <w:lang w:eastAsia="fr-BE"/>
    </w:rPr>
  </w:style>
  <w:style w:type="character" w:customStyle="1" w:styleId="BOX2BlueChar">
    <w:name w:val="BOX 2 /Blue Char"/>
    <w:basedOn w:val="DefaultParagraphFont"/>
    <w:link w:val="BOX2Blue"/>
    <w:semiHidden/>
    <w:rPr>
      <w:rFonts w:ascii="EC Square Sans Pro" w:hAnsi="EC Square Sans Pro" w:cs="Times New Roman"/>
      <w:noProof/>
      <w:color w:val="000000" w:themeColor="text1"/>
      <w:sz w:val="20"/>
      <w:shd w:val="clear" w:color="auto" w:fill="FBE4D5" w:themeFill="accent2" w:themeFillTint="33"/>
      <w:lang w:eastAsia="fr-BE"/>
    </w:rPr>
  </w:style>
  <w:style w:type="paragraph" w:customStyle="1" w:styleId="BOX2BlueBullet">
    <w:name w:val="BOX 2 / Blue Bullet"/>
    <w:basedOn w:val="BOX2Blue"/>
    <w:semiHidden/>
    <w:pPr>
      <w:framePr w:hSpace="170" w:wrap="around" w:vAnchor="text" w:hAnchor="text" w:y="1"/>
      <w:numPr>
        <w:numId w:val="4"/>
      </w:numPr>
      <w:pBdr>
        <w:top w:val="single" w:sz="8" w:space="1" w:color="FBE4D5" w:themeColor="accent2" w:themeTint="33"/>
        <w:left w:val="single" w:sz="8" w:space="4" w:color="FBE4D5" w:themeColor="accent2" w:themeTint="33"/>
        <w:bottom w:val="single" w:sz="8" w:space="1" w:color="FBE4D5" w:themeColor="accent2" w:themeTint="33"/>
        <w:right w:val="single" w:sz="8" w:space="4" w:color="FBE4D5" w:themeColor="accent2" w:themeTint="33"/>
      </w:pBdr>
      <w:spacing w:after="120"/>
      <w:contextualSpacing/>
    </w:pPr>
    <w:rPr>
      <w:rFonts w:eastAsia="EC Square Sans Pro"/>
      <w:szCs w:val="20"/>
    </w:rPr>
  </w:style>
  <w:style w:type="character" w:customStyle="1" w:styleId="BOLDLIGHTBLUEReport">
    <w:name w:val="BOLD LIGHT BLUE / Report"/>
    <w:basedOn w:val="DefaultParagraphFont"/>
    <w:semiHidden/>
    <w:rPr>
      <w:rFonts w:ascii="EC Square Sans Pro" w:eastAsia="Times New Roman" w:hAnsi="EC Square Sans Pro"/>
      <w:b/>
      <w:noProof/>
      <w:color w:val="65BBC8"/>
      <w:szCs w:val="20"/>
      <w:lang w:val="en-GB" w:eastAsia="en-GB"/>
    </w:rPr>
  </w:style>
  <w:style w:type="paragraph" w:customStyle="1" w:styleId="AARHeadingalike">
    <w:name w:val="AAR Heading alike"/>
    <w:basedOn w:val="Normal"/>
    <w:next w:val="Normal"/>
    <w:semiHidden/>
    <w:qFormat/>
    <w:pPr>
      <w:keepNext/>
      <w:widowControl w:val="0"/>
      <w:autoSpaceDE w:val="0"/>
      <w:autoSpaceDN w:val="0"/>
      <w:adjustRightInd w:val="0"/>
      <w:spacing w:after="240" w:line="240" w:lineRule="auto"/>
      <w:jc w:val="both"/>
    </w:pPr>
    <w:rPr>
      <w:rFonts w:ascii="Verdana" w:eastAsia="Calibri" w:hAnsi="Verdana" w:cs="Times New Roman"/>
      <w:b/>
      <w:bCs/>
      <w:iCs/>
      <w:noProof/>
      <w:color w:val="2681B4"/>
      <w:sz w:val="24"/>
      <w:szCs w:val="24"/>
    </w:rPr>
  </w:style>
  <w:style w:type="character" w:styleId="CommentReference">
    <w:name w:val="annotation reference"/>
    <w:basedOn w:val="DefaultParagraphFont"/>
    <w:uiPriority w:val="99"/>
    <w:semiHidden/>
    <w:unhideWhenUsed/>
    <w:rPr>
      <w:noProof/>
      <w:sz w:val="16"/>
      <w:szCs w:val="16"/>
      <w:lang w:val="en-GB"/>
    </w:rPr>
  </w:style>
  <w:style w:type="paragraph" w:customStyle="1" w:styleId="AARText">
    <w:name w:val="AAR Text"/>
    <w:basedOn w:val="Normal"/>
    <w:link w:val="AARTextChar"/>
    <w:semiHidden/>
    <w:qFormat/>
    <w:pPr>
      <w:widowControl w:val="0"/>
      <w:autoSpaceDE w:val="0"/>
      <w:autoSpaceDN w:val="0"/>
      <w:adjustRightInd w:val="0"/>
      <w:spacing w:after="240" w:line="240" w:lineRule="auto"/>
      <w:jc w:val="both"/>
    </w:pPr>
    <w:rPr>
      <w:rFonts w:ascii="Verdana" w:eastAsia="Times New Roman" w:hAnsi="Verdana" w:cs="Times New Roman"/>
      <w:noProof/>
      <w:sz w:val="20"/>
      <w:szCs w:val="24"/>
      <w:lang w:eastAsia="en-GB"/>
    </w:rPr>
  </w:style>
  <w:style w:type="character" w:customStyle="1" w:styleId="AARTextChar">
    <w:name w:val="AAR Text Char"/>
    <w:link w:val="AARText"/>
    <w:semiHidden/>
    <w:rPr>
      <w:rFonts w:ascii="Verdana" w:eastAsia="Times New Roman" w:hAnsi="Verdana" w:cs="Times New Roman"/>
      <w:noProof/>
      <w:sz w:val="20"/>
      <w:szCs w:val="24"/>
      <w:lang w:eastAsia="en-GB"/>
    </w:rPr>
  </w:style>
  <w:style w:type="table" w:customStyle="1" w:styleId="TableGrid11">
    <w:name w:val="Table Grid11"/>
    <w:basedOn w:val="TableNormal"/>
    <w:uiPriority w:val="59"/>
    <w:pPr>
      <w:widowControl w:val="0"/>
      <w:autoSpaceDE w:val="0"/>
      <w:autoSpaceDN w:val="0"/>
      <w:adjustRightInd w:val="0"/>
      <w:spacing w:after="0" w:line="240" w:lineRule="auto"/>
    </w:pPr>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semiHidden/>
    <w:pPr>
      <w:autoSpaceDE w:val="0"/>
      <w:autoSpaceDN w:val="0"/>
      <w:adjustRightInd w:val="0"/>
      <w:spacing w:after="0" w:line="240" w:lineRule="auto"/>
    </w:pPr>
    <w:rPr>
      <w:rFonts w:ascii="EC Square Sans Pro" w:hAnsi="EC Square Sans Pro" w:cs="EC Square Sans Pro"/>
      <w:noProof/>
      <w:color w:val="000000"/>
      <w:sz w:val="24"/>
      <w:szCs w:val="24"/>
    </w:rPr>
  </w:style>
  <w:style w:type="paragraph" w:customStyle="1" w:styleId="Pa0">
    <w:name w:val="Pa0"/>
    <w:basedOn w:val="Default"/>
    <w:next w:val="Default"/>
    <w:uiPriority w:val="99"/>
    <w:semiHidden/>
    <w:pPr>
      <w:spacing w:line="241" w:lineRule="atLeast"/>
    </w:pPr>
    <w:rPr>
      <w:rFonts w:cstheme="minorBidi"/>
      <w:color w:val="auto"/>
    </w:rPr>
  </w:style>
  <w:style w:type="paragraph" w:customStyle="1" w:styleId="Pa2">
    <w:name w:val="Pa2"/>
    <w:basedOn w:val="Default"/>
    <w:next w:val="Default"/>
    <w:uiPriority w:val="99"/>
    <w:semiHidden/>
    <w:pPr>
      <w:spacing w:line="241" w:lineRule="atLeast"/>
    </w:pPr>
    <w:rPr>
      <w:rFonts w:cstheme="minorBidi"/>
      <w:color w:val="auto"/>
    </w:rPr>
  </w:style>
  <w:style w:type="character" w:customStyle="1" w:styleId="A2">
    <w:name w:val="A2"/>
    <w:uiPriority w:val="99"/>
    <w:semiHidden/>
    <w:rPr>
      <w:rFonts w:cs="EC Square Sans Pro"/>
      <w:noProof/>
      <w:color w:val="000000"/>
      <w:sz w:val="22"/>
      <w:szCs w:val="22"/>
      <w:lang w:val="en-GB"/>
    </w:rPr>
  </w:style>
  <w:style w:type="character" w:styleId="Emphasis">
    <w:name w:val="Emphasis"/>
    <w:aliases w:val="AMPR Emphasis"/>
    <w:basedOn w:val="DefaultParagraphFont"/>
    <w:uiPriority w:val="20"/>
    <w:qFormat/>
    <w:rPr>
      <w:rFonts w:ascii="EC Square Sans Pro" w:hAnsi="EC Square Sans Pro"/>
      <w:i/>
      <w:iCs/>
      <w:noProof/>
      <w:lang w:val="en-GB"/>
    </w:rPr>
  </w:style>
  <w:style w:type="paragraph" w:customStyle="1" w:styleId="Text2">
    <w:name w:val="Text 2"/>
    <w:basedOn w:val="Normal"/>
    <w:semiHidden/>
    <w:pPr>
      <w:spacing w:before="120" w:after="120" w:line="240" w:lineRule="auto"/>
      <w:ind w:left="1417"/>
      <w:jc w:val="both"/>
    </w:pPr>
    <w:rPr>
      <w:rFonts w:ascii="EC Square Sans Pro" w:hAnsi="EC Square Sans Pro" w:cs="Times New Roman"/>
      <w:noProof/>
      <w:sz w:val="24"/>
    </w:r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ascii="EC Square Sans Pro" w:eastAsia="Times New Roman" w:hAnsi="EC Square Sans Pro" w:cs="Times New Roman"/>
      <w:noProof/>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noProof/>
      <w:color w:val="7F7F7F" w:themeColor="text1" w:themeTint="80"/>
      <w:sz w:val="19"/>
      <w:szCs w:val="24"/>
      <w:lang w:eastAsia="en-GB"/>
    </w:rPr>
  </w:style>
  <w:style w:type="character" w:customStyle="1" w:styleId="italics">
    <w:name w:val="italics"/>
    <w:uiPriority w:val="1"/>
    <w:semiHidden/>
    <w:rPr>
      <w:i/>
      <w:noProof/>
      <w:lang w:val="en-GB"/>
    </w:rPr>
  </w:style>
  <w:style w:type="paragraph" w:customStyle="1" w:styleId="BVIfnrCarCarCarCarCharCharCharChar">
    <w:name w:val="BVI fnr Car Car Car Car Char Char Char Char"/>
    <w:basedOn w:val="Normal"/>
    <w:autoRedefine/>
    <w:uiPriority w:val="99"/>
    <w:semiHidden/>
    <w:qFormat/>
    <w:pPr>
      <w:spacing w:after="0" w:line="240" w:lineRule="auto"/>
      <w:ind w:left="720" w:hanging="720"/>
    </w:pPr>
    <w:rPr>
      <w:rFonts w:ascii="Times New Roman" w:eastAsia="Times New Roman" w:hAnsi="Times New Roman" w:cs="Times New Roman"/>
      <w:noProof/>
      <w:sz w:val="20"/>
      <w:szCs w:val="20"/>
      <w:vertAlign w:val="superscript"/>
      <w:lang w:eastAsia="en-GB"/>
    </w:rPr>
  </w:style>
  <w:style w:type="paragraph" w:styleId="TOCHeading">
    <w:name w:val="TOC Heading"/>
    <w:basedOn w:val="Heading1"/>
    <w:next w:val="Normal"/>
    <w:uiPriority w:val="39"/>
    <w:unhideWhenUsed/>
    <w:qFormat/>
    <w:pPr>
      <w:widowControl/>
      <w:spacing w:before="240" w:line="259" w:lineRule="auto"/>
      <w:outlineLvl w:val="9"/>
    </w:pPr>
    <w:rPr>
      <w:rFonts w:asciiTheme="majorHAnsi" w:hAnsiTheme="majorHAnsi"/>
      <w:b w:val="0"/>
      <w:bCs w:val="0"/>
      <w:sz w:val="32"/>
      <w:szCs w:val="32"/>
      <w:lang w:eastAsia="en-US"/>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noProof/>
      <w:sz w:val="20"/>
    </w:rPr>
  </w:style>
  <w:style w:type="paragraph" w:styleId="TOC3">
    <w:name w:val="toc 3"/>
    <w:basedOn w:val="Normal"/>
    <w:next w:val="Normal"/>
    <w:autoRedefine/>
    <w:uiPriority w:val="39"/>
    <w:unhideWhenUsed/>
    <w:pPr>
      <w:spacing w:after="100" w:line="240" w:lineRule="auto"/>
      <w:ind w:left="400"/>
    </w:pPr>
    <w:rPr>
      <w:rFonts w:ascii="EC Square Sans Pro" w:hAnsi="EC Square Sans Pro" w:cs="Times New Roman"/>
      <w:noProof/>
      <w:sz w:val="20"/>
    </w:rPr>
  </w:style>
  <w:style w:type="paragraph" w:customStyle="1" w:styleId="Title3NumberedReport">
    <w:name w:val="Title 3 Numbered / Report"/>
    <w:basedOn w:val="Normal"/>
    <w:link w:val="Title3NumberedReportChar"/>
    <w:semiHidden/>
    <w:qFormat/>
    <w:pPr>
      <w:keepNext/>
      <w:keepLines/>
      <w:spacing w:before="360" w:after="240" w:line="240" w:lineRule="auto"/>
      <w:ind w:left="357"/>
      <w:outlineLvl w:val="2"/>
    </w:pPr>
    <w:rPr>
      <w:rFonts w:ascii="EC Square Sans Pro" w:hAnsi="EC Square Sans Pro" w:cs="Times New Roman"/>
      <w:b/>
      <w:noProof/>
      <w:color w:val="65BBC8"/>
      <w:sz w:val="24"/>
      <w:lang w:eastAsia="zh-CN"/>
    </w:rPr>
  </w:style>
  <w:style w:type="character" w:customStyle="1" w:styleId="Title3NumberedReportChar">
    <w:name w:val="Title 3 Numbered / Report Char"/>
    <w:basedOn w:val="DefaultParagraphFont"/>
    <w:link w:val="Title3NumberedReport"/>
    <w:semiHidden/>
    <w:rPr>
      <w:rFonts w:ascii="EC Square Sans Pro" w:hAnsi="EC Square Sans Pro" w:cs="Times New Roman"/>
      <w:b/>
      <w:noProof/>
      <w:color w:val="65BBC8"/>
      <w:sz w:val="24"/>
      <w:lang w:eastAsia="zh-CN"/>
    </w:rPr>
  </w:style>
  <w:style w:type="character" w:customStyle="1" w:styleId="hyperlinktext">
    <w:name w:val="hyperlink_text"/>
    <w:basedOn w:val="DefaultParagraphFont"/>
    <w:semiHidden/>
    <w:rPr>
      <w:noProof/>
      <w:lang w:val="en-GB"/>
    </w:rPr>
  </w:style>
  <w:style w:type="numbering" w:customStyle="1" w:styleId="PPOLISTBlackBULLETS">
    <w:name w:val="(PPO LIST) Black BULLETS"/>
    <w:uiPriority w:val="99"/>
    <w:pPr>
      <w:numPr>
        <w:numId w:val="7"/>
      </w:numPr>
    </w:pPr>
  </w:style>
  <w:style w:type="paragraph" w:customStyle="1" w:styleId="PPOBlackBULLETS-L1">
    <w:name w:val="(PPO) Black BULLETS - L1"/>
    <w:basedOn w:val="Normal"/>
    <w:qFormat/>
    <w:pPr>
      <w:widowControl w:val="0"/>
      <w:spacing w:after="60" w:line="200" w:lineRule="exact"/>
      <w:ind w:left="499"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PPOBlackBULLETS-L2">
    <w:name w:val="(PPO) Black BULLETS - L2"/>
    <w:basedOn w:val="Normal"/>
    <w:qFormat/>
    <w:pPr>
      <w:widowControl w:val="0"/>
      <w:spacing w:after="60" w:line="200" w:lineRule="exact"/>
      <w:ind w:left="1077"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Style1">
    <w:name w:val="Style1"/>
    <w:basedOn w:val="Normal"/>
    <w:link w:val="Style1Char"/>
    <w:semiHidden/>
    <w:qFormat/>
    <w:pPr>
      <w:pBdr>
        <w:top w:val="dashSmallGap" w:sz="12" w:space="8" w:color="F68A42"/>
        <w:left w:val="dashSmallGap" w:sz="12" w:space="8" w:color="F68A42"/>
        <w:bottom w:val="dashSmallGap" w:sz="12" w:space="8" w:color="F68A42"/>
        <w:right w:val="dashSmallGap" w:sz="12" w:space="8" w:color="F68A42"/>
      </w:pBdr>
      <w:spacing w:after="120" w:line="240" w:lineRule="auto"/>
      <w:jc w:val="both"/>
    </w:pPr>
    <w:rPr>
      <w:rFonts w:ascii="EC Square Sans Pro" w:eastAsia="EC Square Sans Pro" w:hAnsi="EC Square Sans Pro" w:cs="Times New Roman"/>
      <w:noProof/>
      <w:color w:val="005D95"/>
      <w:sz w:val="20"/>
      <w:lang w:eastAsia="fr-BE"/>
    </w:rPr>
  </w:style>
  <w:style w:type="character" w:customStyle="1" w:styleId="Style1Char">
    <w:name w:val="Style1 Char"/>
    <w:basedOn w:val="DefaultParagraphFont"/>
    <w:link w:val="Style1"/>
    <w:semiHidden/>
    <w:rPr>
      <w:rFonts w:ascii="EC Square Sans Pro" w:eastAsia="EC Square Sans Pro" w:hAnsi="EC Square Sans Pro" w:cs="Times New Roman"/>
      <w:noProof/>
      <w:color w:val="005D95"/>
      <w:sz w:val="20"/>
      <w:lang w:eastAsia="fr-BE"/>
    </w:rPr>
  </w:style>
  <w:style w:type="character" w:customStyle="1" w:styleId="InternetLink">
    <w:name w:val="Internet Link"/>
    <w:basedOn w:val="DefaultParagraphFont"/>
    <w:uiPriority w:val="99"/>
    <w:semiHidden/>
    <w:rPr>
      <w:rFonts w:ascii="Calibri" w:hAnsi="Calibri" w:cs="Calibri" w:hint="default"/>
      <w:noProof/>
      <w:color w:val="0000FF"/>
      <w:u w:val="single"/>
      <w:lang w:val="en-GB"/>
    </w:rPr>
  </w:style>
  <w:style w:type="paragraph" w:customStyle="1" w:styleId="PSParagraphText">
    <w:name w:val="PS_Paragraph_Text"/>
    <w:basedOn w:val="Normal"/>
    <w:link w:val="PSParagraphTextChar"/>
    <w:semiHidden/>
    <w:qFormat/>
    <w:pPr>
      <w:spacing w:after="120" w:line="240" w:lineRule="auto"/>
      <w:jc w:val="both"/>
    </w:pPr>
    <w:rPr>
      <w:rFonts w:ascii="Times New Roman" w:eastAsia="Times New Roman" w:hAnsi="Times New Roman" w:cs="Times New Roman"/>
      <w:noProof/>
      <w:sz w:val="20"/>
      <w:szCs w:val="20"/>
      <w:lang w:eastAsia="en-GB"/>
    </w:rPr>
  </w:style>
  <w:style w:type="character" w:customStyle="1" w:styleId="PSParagraphTextChar">
    <w:name w:val="PS_Paragraph_Text Char"/>
    <w:basedOn w:val="DefaultParagraphFont"/>
    <w:link w:val="PSParagraphText"/>
    <w:semiHidden/>
    <w:rPr>
      <w:rFonts w:ascii="Times New Roman" w:eastAsia="Times New Roman" w:hAnsi="Times New Roman" w:cs="Times New Roman"/>
      <w:noProof/>
      <w:sz w:val="20"/>
      <w:szCs w:val="20"/>
      <w:lang w:eastAsia="en-GB"/>
    </w:rPr>
  </w:style>
  <w:style w:type="paragraph" w:customStyle="1" w:styleId="PPOExamplesTABLEText">
    <w:name w:val="(PPO) Examples TABLE Text"/>
    <w:basedOn w:val="Normal"/>
    <w:qFormat/>
    <w:pPr>
      <w:spacing w:after="0" w:line="160" w:lineRule="exact"/>
    </w:pPr>
    <w:rPr>
      <w:rFonts w:eastAsiaTheme="minorEastAsia"/>
      <w:noProof/>
      <w:sz w:val="17"/>
      <w:szCs w:val="17"/>
      <w:lang w:eastAsia="en-GB"/>
    </w:rPr>
  </w:style>
  <w:style w:type="character" w:customStyle="1" w:styleId="bumpedfont15">
    <w:name w:val="bumpedfont15"/>
    <w:basedOn w:val="DefaultParagraphFont"/>
    <w:semiHidden/>
    <w:rPr>
      <w:noProof/>
      <w:lang w:val="en-GB"/>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rPr>
      <w:rFonts w:ascii="EC Square Sans Pro" w:hAnsi="EC Square Sans Pro" w:cs="Times New Roman"/>
      <w:noProof/>
      <w:sz w:val="20"/>
    </w:rPr>
  </w:style>
  <w:style w:type="numbering" w:customStyle="1" w:styleId="numbering">
    <w:name w:val="numbering"/>
    <w:uiPriority w:val="99"/>
    <w:pPr>
      <w:numPr>
        <w:numId w:val="9"/>
      </w:numPr>
    </w:pPr>
  </w:style>
  <w:style w:type="numbering" w:customStyle="1" w:styleId="AMPRnumbering">
    <w:name w:val="AMPR numbering"/>
    <w:uiPriority w:val="99"/>
    <w:pPr>
      <w:numPr>
        <w:numId w:val="10"/>
      </w:numPr>
    </w:pPr>
  </w:style>
  <w:style w:type="numbering" w:customStyle="1" w:styleId="AMPRlong">
    <w:name w:val="AMPR long"/>
    <w:uiPriority w:val="99"/>
    <w:pPr>
      <w:numPr>
        <w:numId w:val="12"/>
      </w:numPr>
    </w:pPr>
  </w:style>
  <w:style w:type="character" w:styleId="BookTitle">
    <w:name w:val="Book Title"/>
    <w:basedOn w:val="DefaultParagraphFont"/>
    <w:uiPriority w:val="33"/>
    <w:rPr>
      <w:b/>
      <w:bCs/>
      <w:i/>
      <w:iCs/>
      <w:noProof/>
      <w:spacing w:val="5"/>
      <w:lang w:val="en-GB"/>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noProof/>
      <w:color w:val="44546A" w:themeColor="text2"/>
      <w:sz w:val="18"/>
      <w:szCs w:val="18"/>
    </w:rPr>
  </w:style>
  <w:style w:type="character" w:styleId="IntenseEmphasis">
    <w:name w:val="Intense Emphasis"/>
    <w:basedOn w:val="DefaultParagraphFont"/>
    <w:uiPriority w:val="21"/>
    <w:rPr>
      <w:i/>
      <w:iCs/>
      <w:noProof/>
      <w:color w:val="5B9BD5" w:themeColor="accent1"/>
      <w:lang w:val="en-GB"/>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noProof/>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noProof/>
      <w:color w:val="5B9BD5" w:themeColor="accent1"/>
      <w:sz w:val="20"/>
    </w:rPr>
  </w:style>
  <w:style w:type="character" w:styleId="IntenseReference">
    <w:name w:val="Intense Reference"/>
    <w:basedOn w:val="DefaultParagraphFont"/>
    <w:uiPriority w:val="32"/>
    <w:rPr>
      <w:b/>
      <w:bCs/>
      <w:smallCaps/>
      <w:noProof/>
      <w:color w:val="5B9BD5" w:themeColor="accent1"/>
      <w:spacing w:val="5"/>
      <w:lang w:val="en-GB"/>
    </w:rPr>
  </w:style>
  <w:style w:type="paragraph" w:styleId="NoSpacing">
    <w:name w:val="No Spacing"/>
    <w:uiPriority w:val="1"/>
    <w:pPr>
      <w:spacing w:after="0" w:line="240" w:lineRule="auto"/>
    </w:pPr>
    <w:rPr>
      <w:rFonts w:ascii="EC Square Sans Pro" w:hAnsi="EC Square Sans Pro" w:cs="Times New Roman"/>
      <w:noProof/>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noProof/>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noProof/>
      <w:color w:val="404040" w:themeColor="text1" w:themeTint="BF"/>
      <w:sz w:val="20"/>
    </w:rPr>
  </w:style>
  <w:style w:type="paragraph" w:styleId="Subtitle">
    <w:name w:val="Subtitle"/>
    <w:basedOn w:val="Normal"/>
    <w:next w:val="Normal"/>
    <w:link w:val="SubtitleChar"/>
    <w:uiPriority w:val="11"/>
    <w:pPr>
      <w:numPr>
        <w:ilvl w:val="1"/>
      </w:numPr>
      <w:spacing w:line="240" w:lineRule="auto"/>
    </w:pPr>
    <w:rPr>
      <w:rFonts w:eastAsiaTheme="minorEastAsia"/>
      <w:noProof/>
      <w:color w:val="5A5A5A" w:themeColor="text1" w:themeTint="A5"/>
      <w:spacing w:val="15"/>
    </w:rPr>
  </w:style>
  <w:style w:type="character" w:customStyle="1" w:styleId="SubtitleChar">
    <w:name w:val="Subtitle Char"/>
    <w:basedOn w:val="DefaultParagraphFont"/>
    <w:link w:val="Subtitle"/>
    <w:uiPriority w:val="11"/>
    <w:rPr>
      <w:rFonts w:eastAsiaTheme="minorEastAsia"/>
      <w:noProof/>
      <w:color w:val="5A5A5A" w:themeColor="text1" w:themeTint="A5"/>
      <w:spacing w:val="15"/>
    </w:rPr>
  </w:style>
  <w:style w:type="character" w:styleId="SubtleEmphasis">
    <w:name w:val="Subtle Emphasis"/>
    <w:basedOn w:val="DefaultParagraphFont"/>
    <w:uiPriority w:val="19"/>
    <w:rPr>
      <w:i/>
      <w:iCs/>
      <w:noProof/>
      <w:color w:val="404040" w:themeColor="text1" w:themeTint="BF"/>
      <w:lang w:val="en-GB"/>
    </w:rPr>
  </w:style>
  <w:style w:type="character" w:styleId="SubtleReference">
    <w:name w:val="Subtle Reference"/>
    <w:basedOn w:val="DefaultParagraphFont"/>
    <w:uiPriority w:val="31"/>
    <w:qFormat/>
    <w:rPr>
      <w:smallCaps/>
      <w:noProof/>
      <w:color w:val="5A5A5A" w:themeColor="text1" w:themeTint="A5"/>
      <w:lang w:val="en-GB"/>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noProof/>
      <w:spacing w:val="-10"/>
      <w:kern w:val="28"/>
      <w:sz w:val="56"/>
      <w:szCs w:val="56"/>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noProof/>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noProof/>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noProof/>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noProof/>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noProof/>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noProof/>
      <w:sz w:val="20"/>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noProof/>
      <w:color w:val="auto"/>
      <w:sz w:val="20"/>
      <w:szCs w:val="20"/>
      <w:lang w:eastAsia="en-US" w:bidi="en-US"/>
    </w:rPr>
  </w:style>
  <w:style w:type="paragraph" w:customStyle="1" w:styleId="LR-Footer">
    <w:name w:val="LR-Footer"/>
    <w:semiHidden/>
    <w:qFormat/>
    <w:pPr>
      <w:tabs>
        <w:tab w:val="center" w:pos="4535"/>
        <w:tab w:val="right" w:pos="9071"/>
        <w:tab w:val="right" w:pos="9921"/>
      </w:tabs>
      <w:spacing w:before="360" w:after="0" w:line="240" w:lineRule="auto"/>
      <w:ind w:left="-850" w:right="-850"/>
    </w:pPr>
    <w:rPr>
      <w:rFonts w:ascii="Arial" w:hAnsi="Arial" w:cs="Times New Roman"/>
      <w:b/>
      <w:noProof/>
      <w:sz w:val="48"/>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BASE-STYLE-HEADINGS">
    <w:name w:val="_BASE-STYLE-HEADINGS"/>
    <w:basedOn w:val="BASE-STYLE-TEXT"/>
    <w:next w:val="Normal"/>
    <w:semiHidden/>
    <w:rPr>
      <w:noProof/>
    </w:rPr>
  </w:style>
  <w:style w:type="character" w:customStyle="1" w:styleId="AMPRcharBoldBlue">
    <w:name w:val="(AMPR char) Bold Blue"/>
    <w:uiPriority w:val="1"/>
    <w:rPr>
      <w:b/>
      <w:noProof/>
      <w:color w:val="005D95"/>
      <w:bdr w:val="none" w:sz="0" w:space="0" w:color="auto"/>
      <w:shd w:val="clear" w:color="auto" w:fill="auto"/>
      <w:lang w:val="en-GB"/>
    </w:rPr>
  </w:style>
  <w:style w:type="paragraph" w:customStyle="1" w:styleId="AMPRBodyText">
    <w:name w:val="(AMPR) Body Text"/>
    <w:basedOn w:val="BASE-STYLE-TEXT"/>
    <w:qFormat/>
    <w:pPr>
      <w:spacing w:before="240" w:after="240" w:line="240" w:lineRule="auto"/>
    </w:pPr>
    <w:rPr>
      <w:rFonts w:eastAsiaTheme="minorHAnsi" w:cstheme="minorBidi"/>
      <w:noProof/>
      <w:color w:val="000000"/>
      <w:sz w:val="20"/>
      <w:szCs w:val="20"/>
      <w:lang w:eastAsia="en-US"/>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paragraph" w:customStyle="1" w:styleId="AMPRLista-L1">
    <w:name w:val="(AMPR) List (a) - L1"/>
    <w:basedOn w:val="BASE-STYLE-TEXT"/>
    <w:qFormat/>
    <w:pPr>
      <w:numPr>
        <w:numId w:val="14"/>
      </w:numPr>
      <w:spacing w:before="80" w:after="80" w:line="240" w:lineRule="auto"/>
      <w:jc w:val="left"/>
    </w:pPr>
    <w:rPr>
      <w:rFonts w:eastAsiaTheme="minorHAnsi"/>
      <w:noProof/>
      <w:color w:val="auto"/>
      <w:sz w:val="20"/>
      <w:szCs w:val="22"/>
      <w:lang w:eastAsia="en-US"/>
    </w:rPr>
  </w:style>
  <w:style w:type="paragraph" w:customStyle="1" w:styleId="AMPRListOrange-L1">
    <w:name w:val="(AMPR) List * [Orange] - L1"/>
    <w:basedOn w:val="BASE-STYLE-TEXT"/>
    <w:qFormat/>
    <w:pPr>
      <w:numPr>
        <w:numId w:val="15"/>
      </w:numPr>
      <w:spacing w:before="80" w:after="80" w:line="240" w:lineRule="auto"/>
    </w:pPr>
    <w:rPr>
      <w:rFonts w:eastAsiaTheme="minorHAnsi"/>
      <w:noProof/>
      <w:sz w:val="20"/>
      <w:szCs w:val="22"/>
      <w:lang w:eastAsia="en-US"/>
    </w:rPr>
  </w:style>
  <w:style w:type="paragraph" w:customStyle="1" w:styleId="AMPRListOrange-L2">
    <w:name w:val="(AMPR) List * [Orange] - L2"/>
    <w:basedOn w:val="BASE-STYLE-TEXT"/>
    <w:qFormat/>
    <w:pPr>
      <w:numPr>
        <w:ilvl w:val="1"/>
        <w:numId w:val="15"/>
      </w:numPr>
      <w:spacing w:before="80" w:after="80" w:line="240" w:lineRule="auto"/>
    </w:pPr>
    <w:rPr>
      <w:rFonts w:eastAsiaTheme="minorHAnsi"/>
      <w:noProof/>
      <w:sz w:val="20"/>
      <w:szCs w:val="22"/>
      <w:lang w:eastAsia="fr-BE"/>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numbering" w:customStyle="1" w:styleId="AMPRLISTa">
    <w:name w:val="(AMPR_LIST) (a)"/>
    <w:uiPriority w:val="99"/>
    <w:pPr>
      <w:numPr>
        <w:numId w:val="14"/>
      </w:numPr>
    </w:pPr>
  </w:style>
  <w:style w:type="numbering" w:customStyle="1" w:styleId="AMPRLISTOrange">
    <w:name w:val="(AMPR_LIST) * Orange"/>
    <w:uiPriority w:val="99"/>
    <w:pPr>
      <w:numPr>
        <w:numId w:val="15"/>
      </w:numPr>
    </w:pPr>
  </w:style>
  <w:style w:type="numbering" w:styleId="111111">
    <w:name w:val="Outline List 2"/>
    <w:basedOn w:val="NoList"/>
    <w:uiPriority w:val="99"/>
    <w:semiHidden/>
    <w:unhideWhenUsed/>
    <w:pPr>
      <w:numPr>
        <w:numId w:val="16"/>
      </w:numPr>
    </w:pPr>
  </w:style>
  <w:style w:type="numbering" w:styleId="1ai">
    <w:name w:val="Outline List 1"/>
    <w:basedOn w:val="NoList"/>
    <w:uiPriority w:val="99"/>
    <w:semiHidden/>
    <w:unhideWhenUsed/>
    <w:pPr>
      <w:numPr>
        <w:numId w:val="17"/>
      </w:numPr>
    </w:pPr>
  </w:style>
  <w:style w:type="numbering" w:styleId="ArticleSection">
    <w:name w:val="Outline List 3"/>
    <w:basedOn w:val="NoList"/>
    <w:uiPriority w:val="99"/>
    <w:semiHidden/>
    <w:unhideWhenUsed/>
    <w:pPr>
      <w:numPr>
        <w:numId w:val="18"/>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Hidelastparagraphafterthetable">
    <w:name w:val="_Hide last paragraph after the table"/>
    <w:next w:val="Normal"/>
    <w:pPr>
      <w:widowControl w:val="0"/>
      <w:spacing w:after="0" w:line="20" w:lineRule="exact"/>
    </w:pPr>
    <w:rPr>
      <w:rFonts w:eastAsiaTheme="minorEastAsia"/>
      <w:noProof/>
      <w:vanish/>
      <w:sz w:val="2"/>
      <w:szCs w:val="2"/>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numbering" w:customStyle="1" w:styleId="AMPRLIST-SEC1-Headings">
    <w:name w:val="(AMPR) LIST - SEC 1 - Headings"/>
    <w:uiPriority w:val="99"/>
    <w:pPr>
      <w:numPr>
        <w:numId w:val="19"/>
      </w:numPr>
    </w:pPr>
  </w:style>
  <w:style w:type="numbering" w:customStyle="1" w:styleId="AMPRLIST-SEC2-Headings">
    <w:name w:val="(AMPR) LIST - SEC 2 - Headings"/>
    <w:uiPriority w:val="99"/>
    <w:pPr>
      <w:numPr>
        <w:numId w:val="20"/>
      </w:numPr>
    </w:p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2-numbered">
    <w:name w:val="(AMPR_Sec1) TITLE 2 - numbered"/>
    <w:basedOn w:val="BASE-STYLE-HEADINGS"/>
    <w:next w:val="AMPRBodyText"/>
    <w:qFormat/>
    <w:pPr>
      <w:keepNext/>
      <w:keepLines/>
      <w:pageBreakBefore/>
      <w:numPr>
        <w:numId w:val="19"/>
      </w:numPr>
      <w:spacing w:after="120" w:line="240" w:lineRule="auto"/>
      <w:jc w:val="left"/>
      <w:outlineLvl w:val="1"/>
    </w:pPr>
    <w:rPr>
      <w:rFonts w:eastAsiaTheme="minorHAnsi"/>
      <w:color w:val="4472C4" w:themeColor="accent5"/>
      <w:sz w:val="48"/>
      <w:szCs w:val="2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2-numbered">
    <w:name w:val="(AMPR_Sec2) TITLE 2 - numbered"/>
    <w:basedOn w:val="Normal"/>
    <w:next w:val="Normal"/>
    <w:qFormat/>
    <w:pPr>
      <w:keepNext/>
      <w:keepLines/>
      <w:numPr>
        <w:numId w:val="20"/>
      </w:numPr>
      <w:spacing w:after="120" w:line="240" w:lineRule="auto"/>
      <w:outlineLvl w:val="1"/>
    </w:pPr>
    <w:rPr>
      <w:rFonts w:ascii="EC Square Sans Pro" w:hAnsi="EC Square Sans Pro" w:cs="Times New Roman"/>
      <w:noProof/>
      <w:color w:val="4472C4" w:themeColor="accent5"/>
      <w:sz w:val="48"/>
    </w:rPr>
  </w:style>
  <w:style w:type="paragraph" w:customStyle="1" w:styleId="AMPRSec2TITLE3-numbered">
    <w:name w:val="(AMPR_Sec2) TITLE 3 - numbered"/>
    <w:basedOn w:val="Normal"/>
    <w:next w:val="Normal"/>
    <w:qFormat/>
    <w:pPr>
      <w:keepNext/>
      <w:keepLines/>
      <w:numPr>
        <w:ilvl w:val="1"/>
        <w:numId w:val="20"/>
      </w:numPr>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005D95"/>
      <w:sz w:val="28"/>
      <w:szCs w:val="21"/>
      <w:lang w:eastAsia="zh-CN"/>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character" w:customStyle="1" w:styleId="AMPRcharHyperlink">
    <w:name w:val="(AMPR char) Hyperlink"/>
    <w:uiPriority w:val="1"/>
    <w:rPr>
      <w:noProof/>
      <w:color w:val="4E9DD6"/>
      <w:bdr w:val="none" w:sz="0" w:space="0" w:color="auto"/>
      <w:shd w:val="clear" w:color="auto" w:fill="auto"/>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noProof/>
      <w:color w:val="auto"/>
      <w:sz w:val="16"/>
      <w:szCs w:val="16"/>
      <w:lang w:eastAsia="fr-BE"/>
    </w:rPr>
  </w:style>
  <w:style w:type="character" w:customStyle="1" w:styleId="AMPRcharBoldOrange">
    <w:name w:val="(AMPR char) Bold Orange"/>
    <w:basedOn w:val="DefaultParagraphFont"/>
    <w:uiPriority w:val="1"/>
    <w:rPr>
      <w:b/>
      <w:bCs/>
      <w:noProof/>
      <w:color w:val="ED7D31" w:themeColor="accent2"/>
      <w:bdr w:val="none" w:sz="0" w:space="0" w:color="auto"/>
      <w:shd w:val="clear" w:color="auto" w:fill="auto"/>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0" w:line="240" w:lineRule="auto"/>
    </w:pPr>
    <w:rPr>
      <w:rFonts w:eastAsiaTheme="minorHAnsi"/>
      <w:sz w:val="20"/>
      <w:szCs w:val="22"/>
      <w:lang w:eastAsia="fr-BE"/>
    </w:rPr>
  </w:style>
  <w:style w:type="paragraph" w:customStyle="1" w:styleId="AMPRListBlue-L1">
    <w:name w:val="(AMPR) List * [Blue] - L1"/>
    <w:basedOn w:val="BASE-STYLE-TEXT"/>
    <w:qFormat/>
    <w:pPr>
      <w:numPr>
        <w:numId w:val="22"/>
      </w:numPr>
      <w:spacing w:before="80" w:after="80" w:line="240" w:lineRule="auto"/>
    </w:pPr>
    <w:rPr>
      <w:rFonts w:eastAsiaTheme="minorHAnsi"/>
      <w:noProof/>
      <w:sz w:val="20"/>
      <w:szCs w:val="22"/>
      <w:lang w:eastAsia="en-US"/>
    </w:rPr>
  </w:style>
  <w:style w:type="paragraph" w:customStyle="1" w:styleId="AMPRListBlue-L2">
    <w:name w:val="(AMPR) List * [Blue] - L2"/>
    <w:basedOn w:val="BASE-STYLE-TEXT"/>
    <w:qFormat/>
    <w:pPr>
      <w:numPr>
        <w:ilvl w:val="1"/>
        <w:numId w:val="22"/>
      </w:numPr>
      <w:spacing w:before="80" w:after="80" w:line="240" w:lineRule="auto"/>
    </w:pPr>
    <w:rPr>
      <w:rFonts w:eastAsiaTheme="minorHAnsi"/>
      <w:noProof/>
      <w:sz w:val="20"/>
      <w:szCs w:val="22"/>
      <w:lang w:eastAsia="fr-BE"/>
    </w:rPr>
  </w:style>
  <w:style w:type="paragraph" w:customStyle="1" w:styleId="AMPRtableBOXA-bgWHITElnORANGE-BLUEBullet">
    <w:name w:val="(AMPR) tableBOX A - bgWHITE_lnORANGE - BLUE Bullet"/>
    <w:basedOn w:val="BASE-STYLE-TEXT"/>
    <w:qFormat/>
    <w:pPr>
      <w:widowControl w:val="0"/>
      <w:numPr>
        <w:numId w:val="5"/>
      </w:numPr>
      <w:autoSpaceDE w:val="0"/>
      <w:autoSpaceDN w:val="0"/>
      <w:adjustRightInd w:val="0"/>
      <w:spacing w:after="100" w:line="241" w:lineRule="exact"/>
      <w:jc w:val="left"/>
    </w:pPr>
    <w:rPr>
      <w:rFonts w:eastAsia="Times New Roman"/>
      <w:noProof/>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noProof/>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noProof/>
      <w:color w:val="005D95"/>
      <w:sz w:val="20"/>
      <w:szCs w:val="20"/>
      <w:lang w:eastAsia="en-US"/>
    </w:rPr>
  </w:style>
  <w:style w:type="numbering" w:customStyle="1" w:styleId="AMPRLISTBlue">
    <w:name w:val="(AMPR_LIST) * Blue"/>
    <w:uiPriority w:val="99"/>
    <w:pPr>
      <w:numPr>
        <w:numId w:val="22"/>
      </w:numPr>
    </w:p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noProof/>
      <w:color w:val="203F79"/>
      <w:szCs w:val="18"/>
    </w:rPr>
  </w:style>
  <w:style w:type="character" w:customStyle="1" w:styleId="AMPRcharBold">
    <w:name w:val="(AMPR char) Bold"/>
    <w:uiPriority w:val="1"/>
    <w:rPr>
      <w:b/>
      <w:bCs/>
      <w:noProof/>
      <w:bdr w:val="none" w:sz="0" w:space="0" w:color="auto"/>
      <w:shd w:val="clear" w:color="auto" w:fill="auto"/>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noProof/>
      <w:color w:val="auto"/>
      <w:sz w:val="20"/>
      <w:szCs w:val="22"/>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noProof/>
      <w:color w:val="auto"/>
      <w:sz w:val="20"/>
      <w:szCs w:val="20"/>
      <w:lang w:eastAsia="en-US" w:bidi="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color w:val="FFFFFF" w:themeColor="background1"/>
      <w:sz w:val="72"/>
      <w:szCs w:val="72"/>
      <w:lang w:eastAsia="en-US"/>
    </w:rPr>
  </w:style>
  <w:style w:type="character" w:customStyle="1" w:styleId="AMPRcharBlue">
    <w:name w:val="(AMPR char) Blue"/>
    <w:uiPriority w:val="1"/>
    <w:rPr>
      <w:noProof/>
      <w:color w:val="005D95"/>
      <w:bdr w:val="none" w:sz="0" w:space="0" w:color="auto"/>
      <w:shd w:val="clear" w:color="auto" w:fill="auto"/>
    </w:rPr>
  </w:style>
  <w:style w:type="character" w:customStyle="1" w:styleId="AMPRcharItalic">
    <w:name w:val="(AMPR char) Italic"/>
    <w:uiPriority w:val="1"/>
    <w:rPr>
      <w:i/>
      <w:noProof/>
      <w:bdr w:val="none" w:sz="0" w:space="0" w:color="auto"/>
      <w:shd w:val="clear" w:color="auto" w:fill="auto"/>
    </w:rPr>
  </w:style>
  <w:style w:type="character" w:customStyle="1" w:styleId="AMPRcharOrange">
    <w:name w:val="(AMPR char) Orange"/>
    <w:basedOn w:val="DefaultParagraphFont"/>
    <w:uiPriority w:val="1"/>
    <w:rPr>
      <w:noProof/>
      <w:color w:val="DE5F0A"/>
      <w:bdr w:val="none" w:sz="0" w:space="0" w:color="auto"/>
      <w:shd w:val="clear" w:color="auto" w:fill="auto"/>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2"/>
      <w:szCs w:val="24"/>
      <w:lang w:eastAsia="fr-BE"/>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noProof/>
      <w:color w:val="FFFFFF" w:themeColor="background1"/>
      <w:sz w:val="24"/>
      <w:szCs w:val="24"/>
      <w:lang w:eastAsia="fr-BE"/>
    </w:r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paragraph" w:customStyle="1" w:styleId="AMPRListOrange-L1-consecutive">
    <w:name w:val="(AMPR) List * [Orange] - L1 - consecutive"/>
    <w:basedOn w:val="AMPRListOrange-L1"/>
    <w:qFormat/>
    <w:pPr>
      <w:numPr>
        <w:numId w:val="0"/>
      </w:numPr>
      <w:ind w:left="697"/>
    </w:p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numbering" w:customStyle="1" w:styleId="PPOLISTBlackNumbersinbrackets">
    <w:name w:val="(PPO LIST) Black Numbers in brackets"/>
    <w:uiPriority w:val="99"/>
    <w:pPr>
      <w:numPr>
        <w:numId w:val="27"/>
      </w:numPr>
    </w:pPr>
  </w:style>
  <w:style w:type="paragraph" w:customStyle="1" w:styleId="PPOBlackBULLETS-L1nobullettext">
    <w:name w:val="(PPO) Black BULLETS - L1 (no bullet text)"/>
    <w:basedOn w:val="PPOBlackBULLETS-L1"/>
    <w:qFormat/>
    <w:pPr>
      <w:ind w:firstLine="0"/>
    </w:pPr>
  </w:style>
  <w:style w:type="paragraph" w:customStyle="1" w:styleId="PPOBlackNumberinBracketsLIST-L1">
    <w:name w:val="(PPO) Black Number in Brackets LIST - L1"/>
    <w:basedOn w:val="BASE-STYLE-TEXT"/>
    <w:qFormat/>
    <w:pPr>
      <w:numPr>
        <w:numId w:val="28"/>
      </w:numPr>
      <w:spacing w:after="60" w:line="200" w:lineRule="exact"/>
    </w:pPr>
    <w:rPr>
      <w:rFonts w:ascii="EC Square Sans Cond Pro" w:hAnsi="EC Square Sans Cond Pro"/>
      <w:bCs/>
      <w:noProof/>
      <w:szCs w:val="18"/>
    </w:rPr>
  </w:style>
  <w:style w:type="paragraph" w:customStyle="1" w:styleId="PPObodyText">
    <w:name w:val="(PPO) bodyText"/>
    <w:basedOn w:val="Normal"/>
    <w:qFormat/>
    <w:pPr>
      <w:jc w:val="both"/>
    </w:pPr>
    <w:rPr>
      <w:rFonts w:ascii="EC Square Sans Cond Pro" w:eastAsia="Times New Roman" w:hAnsi="EC Square Sans Cond Pro" w:cs="EC Square Sans Cond Pro"/>
      <w:noProof/>
      <w:color w:val="000000"/>
      <w:sz w:val="18"/>
      <w:szCs w:val="18"/>
    </w:rPr>
  </w:style>
  <w:style w:type="character" w:customStyle="1" w:styleId="PPOChar-Hyperlink">
    <w:name w:val="(PPO) Char - Hyperlink"/>
    <w:uiPriority w:val="1"/>
    <w:qFormat/>
    <w:rPr>
      <w:noProof/>
      <w:color w:val="0000FF"/>
    </w:rPr>
  </w:style>
  <w:style w:type="paragraph" w:customStyle="1" w:styleId="PPOExamplesTABLEHeader">
    <w:name w:val="(PPO) Examples TABLE Header"/>
    <w:basedOn w:val="BASE-STYLE-TEXT"/>
    <w:qFormat/>
    <w:pPr>
      <w:spacing w:before="60" w:after="0" w:line="200" w:lineRule="exact"/>
      <w:jc w:val="center"/>
    </w:pPr>
    <w:rPr>
      <w:rFonts w:asciiTheme="minorHAnsi" w:hAnsiTheme="minorHAnsi" w:cstheme="minorBidi"/>
      <w:b/>
      <w:bCs/>
      <w:noProof/>
      <w:color w:val="FFFFFF" w:themeColor="background1"/>
      <w:sz w:val="22"/>
      <w:szCs w:val="17"/>
      <w:lang w:eastAsia="en-GB"/>
    </w:rPr>
  </w:style>
  <w:style w:type="paragraph" w:customStyle="1" w:styleId="PPORunningheader-rightside">
    <w:name w:val="(PPO) Running header - right side"/>
    <w:basedOn w:val="BASE-STYLE-TEXT"/>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qFormat/>
    <w:pPr>
      <w:ind w:right="0" w:firstLine="284"/>
      <w:jc w:val="left"/>
    </w:pPr>
  </w:style>
  <w:style w:type="paragraph" w:customStyle="1" w:styleId="PPOsidebarchartLegends">
    <w:name w:val="(PPO) sidebar chart Legends"/>
    <w:basedOn w:val="BASE-STYLE-TEXT"/>
    <w:qFormat/>
    <w:pPr>
      <w:spacing w:after="100"/>
      <w:ind w:left="397" w:firstLine="720"/>
      <w:jc w:val="left"/>
    </w:pPr>
    <w:rPr>
      <w:rFonts w:asciiTheme="minorHAnsi" w:hAnsiTheme="minorHAnsi" w:cstheme="minorBidi"/>
      <w:bCs/>
      <w:noProof/>
      <w:color w:val="auto"/>
      <w:sz w:val="16"/>
      <w:szCs w:val="14"/>
    </w:rPr>
  </w:style>
  <w:style w:type="paragraph" w:customStyle="1" w:styleId="PPOsidebartext">
    <w:name w:val="(PPO) sidebar text"/>
    <w:basedOn w:val="BASE-STYLE-TEXT"/>
    <w:qFormat/>
    <w:pPr>
      <w:spacing w:after="0"/>
      <w:jc w:val="right"/>
    </w:pPr>
    <w:rPr>
      <w:rFonts w:ascii="EC Square Sans Cond Pro" w:hAnsi="EC Square Sans Cond Pro"/>
      <w:bCs/>
      <w:noProof/>
      <w:szCs w:val="18"/>
    </w:rPr>
  </w:style>
  <w:style w:type="paragraph" w:customStyle="1" w:styleId="PPOsidebarchartPlaceholder">
    <w:name w:val="(PPO) sidebar chart Placeholder"/>
    <w:basedOn w:val="PPOsidebartext"/>
    <w:qFormat/>
    <w:pPr>
      <w:spacing w:before="160" w:after="160"/>
      <w:ind w:left="284"/>
    </w:pPr>
    <w:rPr>
      <w:lang w:eastAsia="en-GB"/>
    </w:rPr>
  </w:style>
  <w:style w:type="paragraph" w:customStyle="1" w:styleId="PPOsidebarLegalBasisBOXHeading">
    <w:name w:val="(PPO) sidebar Legal Basis BOX Heading"/>
    <w:basedOn w:val="BASE-STYLE-TEXT"/>
    <w:qFormat/>
    <w:pPr>
      <w:spacing w:after="160"/>
      <w:jc w:val="right"/>
    </w:pPr>
    <w:rPr>
      <w:rFonts w:cstheme="minorBidi"/>
      <w:b/>
      <w:bCs/>
      <w:noProof/>
      <w:color w:val="FFFFFF" w:themeColor="background1"/>
      <w:sz w:val="16"/>
    </w:rPr>
  </w:style>
  <w:style w:type="paragraph" w:customStyle="1" w:styleId="PPOsidebarLegalBasisBOXtext">
    <w:name w:val="(PPO) sidebar Legal Basis BOX text"/>
    <w:basedOn w:val="BASE-STYLE-TEXT"/>
    <w:qFormat/>
    <w:pPr>
      <w:spacing w:after="0"/>
      <w:jc w:val="right"/>
    </w:pPr>
    <w:rPr>
      <w:rFonts w:cstheme="minorBidi"/>
      <w:bCs/>
      <w:noProof/>
      <w:color w:val="FFFFFF" w:themeColor="background1"/>
      <w:sz w:val="14"/>
      <w:szCs w:val="14"/>
    </w:rPr>
  </w:style>
  <w:style w:type="paragraph" w:customStyle="1" w:styleId="PPOsidebarTableplaceholder">
    <w:name w:val="(PPO) sidebar Table placeholder"/>
    <w:basedOn w:val="BASE-STYLE-TEXT"/>
    <w:qFormat/>
    <w:pPr>
      <w:spacing w:line="276" w:lineRule="auto"/>
      <w:jc w:val="left"/>
    </w:pPr>
    <w:rPr>
      <w:rFonts w:asciiTheme="minorHAnsi" w:hAnsiTheme="minorHAnsi" w:cstheme="minorBidi"/>
      <w:bCs/>
      <w:noProof/>
      <w:color w:val="auto"/>
      <w:szCs w:val="22"/>
    </w:rPr>
  </w:style>
  <w:style w:type="paragraph" w:customStyle="1" w:styleId="PPOsidebarTabletext">
    <w:name w:val="(PPO) sidebar Table text"/>
    <w:basedOn w:val="BASE-STYLE-TEXT"/>
    <w:qFormat/>
    <w:pPr>
      <w:widowControl w:val="0"/>
      <w:spacing w:after="100" w:afterAutospacing="1" w:line="160" w:lineRule="exact"/>
      <w:jc w:val="center"/>
    </w:pPr>
    <w:rPr>
      <w:rFonts w:eastAsia="EC Square Sans Cond Pro Medium" w:cs="EC Square Sans Cond Pro Medium"/>
      <w:noProof/>
      <w:szCs w:val="15"/>
    </w:rPr>
  </w:style>
  <w:style w:type="paragraph" w:customStyle="1" w:styleId="PPOsidebarTabletext-rightaligned">
    <w:name w:val="(PPO) sidebar Table text - right aligned"/>
    <w:basedOn w:val="PPOsidebarTabletext"/>
    <w:qFormat/>
    <w:pPr>
      <w:jc w:val="right"/>
    </w:pPr>
  </w:style>
  <w:style w:type="paragraph" w:customStyle="1" w:styleId="PPOSpecificobjectivesBOX-Subheading">
    <w:name w:val="(PPO) Specific objectives BOX - Subheading"/>
    <w:basedOn w:val="BASE-STYLE-TEXT"/>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Title3">
    <w:name w:val="(PPO) Title 3"/>
    <w:basedOn w:val="BASE-STYLE-TEXT"/>
    <w:qFormat/>
    <w:pPr>
      <w:autoSpaceDE w:val="0"/>
      <w:autoSpaceDN w:val="0"/>
      <w:adjustRightInd w:val="0"/>
      <w:spacing w:before="160" w:after="120" w:line="181" w:lineRule="atLeast"/>
    </w:pPr>
    <w:rPr>
      <w:b/>
      <w:noProof/>
      <w:color w:val="28296E"/>
      <w:sz w:val="21"/>
    </w:rPr>
  </w:style>
  <w:style w:type="paragraph" w:customStyle="1" w:styleId="PPOTitle3-nospacebefore">
    <w:name w:val="(PPO) Title 3 - no space before"/>
    <w:basedOn w:val="PPOTitle3"/>
    <w:qFormat/>
    <w:pPr>
      <w:spacing w:before="0"/>
    </w:pPr>
  </w:style>
  <w:style w:type="paragraph" w:customStyle="1" w:styleId="PPOTitle3-pagebreakbefore">
    <w:name w:val="(PPO) Title 3 - page break before"/>
    <w:basedOn w:val="PPOTitle3"/>
    <w:qFormat/>
    <w:pPr>
      <w:pageBreakBefore/>
    </w:pPr>
  </w:style>
  <w:style w:type="paragraph" w:customStyle="1" w:styleId="PPOTitle4-BlackBold9pt">
    <w:name w:val="(PPO) Title 4 - Black Bold 9pt"/>
    <w:basedOn w:val="BASE-STYLE-TEXT"/>
    <w:qFormat/>
    <w:pPr>
      <w:spacing w:before="160" w:after="60"/>
    </w:pPr>
    <w:rPr>
      <w:rFonts w:ascii="EC Square Sans Cond Pro" w:hAnsi="EC Square Sans Cond Pro"/>
      <w:b/>
      <w:noProof/>
      <w:szCs w:val="18"/>
    </w:rPr>
  </w:style>
  <w:style w:type="paragraph" w:customStyle="1" w:styleId="PPOVotedbudgetTABLEHeaderLeftcol">
    <w:name w:val="(PPO) Voted budget TABLE Header Left col"/>
    <w:basedOn w:val="BASE-STYLE-TEXT"/>
    <w:qFormat/>
    <w:pPr>
      <w:framePr w:hSpace="181" w:wrap="around" w:vAnchor="page" w:hAnchor="page" w:x="3448" w:y="13530"/>
      <w:spacing w:after="100" w:afterAutospacing="1"/>
      <w:ind w:left="190" w:right="227"/>
      <w:suppressOverlap/>
      <w:jc w:val="right"/>
    </w:pPr>
    <w:rPr>
      <w:rFonts w:cstheme="minorBidi"/>
      <w:bCs/>
      <w:noProof/>
      <w:color w:val="FFFFFF" w:themeColor="background1"/>
      <w:szCs w:val="22"/>
    </w:rPr>
  </w:style>
  <w:style w:type="paragraph" w:customStyle="1" w:styleId="PPOVotedbudgetTABLEHeaderRightcol">
    <w:name w:val="(PPO) Voted budget TABLE Header Right col"/>
    <w:basedOn w:val="PPOVotedbudgetTABLEHeaderLeftcol"/>
    <w:qFormat/>
    <w:pPr>
      <w:framePr w:wrap="around"/>
      <w:ind w:left="227" w:right="0"/>
      <w:jc w:val="left"/>
    </w:pPr>
  </w:style>
  <w:style w:type="paragraph" w:customStyle="1" w:styleId="PPO1AsidebarchartCenterText">
    <w:name w:val="(PPO_1A) sidebar chart Center Text"/>
    <w:basedOn w:val="BASE-STYLE-TEXT"/>
    <w:qFormat/>
    <w:pPr>
      <w:spacing w:after="120" w:line="240" w:lineRule="auto"/>
      <w:jc w:val="center"/>
    </w:pPr>
    <w:rPr>
      <w:rFonts w:cstheme="minorBidi"/>
      <w:bCs/>
      <w:noProof/>
      <w:color w:val="00ADDC"/>
      <w:sz w:val="22"/>
      <w:szCs w:val="22"/>
    </w:rPr>
  </w:style>
  <w:style w:type="paragraph" w:customStyle="1" w:styleId="PPO1AsidebarTablecaption">
    <w:name w:val="(PPO_1A)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00ADDC"/>
      <w:sz w:val="16"/>
      <w:shd w:val="clear" w:color="auto" w:fill="FFFFFF"/>
    </w:rPr>
  </w:style>
  <w:style w:type="paragraph" w:customStyle="1" w:styleId="PPO1AsidebarTitleBlue">
    <w:name w:val="(PPO_1A) sidebar Title Blue"/>
    <w:basedOn w:val="BASE-STYLE-TEXT"/>
    <w:qFormat/>
    <w:pPr>
      <w:autoSpaceDE w:val="0"/>
      <w:autoSpaceDN w:val="0"/>
      <w:adjustRightInd w:val="0"/>
      <w:spacing w:before="340" w:after="40" w:line="240" w:lineRule="auto"/>
      <w:jc w:val="right"/>
    </w:pPr>
    <w:rPr>
      <w:rFonts w:ascii="EC Square Sans Cond Pro" w:hAnsi="EC Square Sans Cond Pro"/>
      <w:b/>
      <w:noProof/>
      <w:color w:val="28296E"/>
      <w:sz w:val="16"/>
    </w:rPr>
  </w:style>
  <w:style w:type="paragraph" w:customStyle="1" w:styleId="PPO1AsidebarTitleLightBlue">
    <w:name w:val="(PPO_1A) sidebar Title Light Blue"/>
    <w:basedOn w:val="BASE-STYLE-TEXT"/>
    <w:qFormat/>
    <w:pPr>
      <w:autoSpaceDE w:val="0"/>
      <w:autoSpaceDN w:val="0"/>
      <w:adjustRightInd w:val="0"/>
      <w:spacing w:before="440" w:after="60" w:line="241" w:lineRule="atLeast"/>
      <w:jc w:val="right"/>
    </w:pPr>
    <w:rPr>
      <w:rFonts w:ascii="EC Square Sans Cond Pro" w:hAnsi="EC Square Sans Cond Pro"/>
      <w:b/>
      <w:noProof/>
      <w:color w:val="00ADDC"/>
      <w:sz w:val="21"/>
    </w:rPr>
  </w:style>
  <w:style w:type="paragraph" w:customStyle="1" w:styleId="PPO1ASpecificobjectivesBOX-BulletLightBlue">
    <w:name w:val="(PPO_1A) Specific objectives BOX - Bullet Light Blue"/>
    <w:basedOn w:val="BASE-STYLE-TEXT"/>
    <w:qFormat/>
    <w:pPr>
      <w:numPr>
        <w:numId w:val="29"/>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qFormat/>
    <w:pPr>
      <w:spacing w:before="140" w:after="120"/>
      <w:ind w:left="-119" w:right="-16" w:firstLine="9"/>
      <w:jc w:val="left"/>
    </w:pPr>
    <w:rPr>
      <w:rFonts w:ascii="EC Square Sans Cond Pro" w:hAnsi="EC Square Sans Cond Pro"/>
      <w:b/>
      <w:noProof/>
      <w:color w:val="00ADDC"/>
      <w:sz w:val="21"/>
    </w:rPr>
  </w:style>
  <w:style w:type="numbering" w:customStyle="1" w:styleId="PPO1ASpecificObjectivesBulletsLIST">
    <w:name w:val="(PPO_1A) Specific Objectives Bullets (LIST)"/>
    <w:uiPriority w:val="99"/>
    <w:pPr>
      <w:numPr>
        <w:numId w:val="29"/>
      </w:numPr>
    </w:pPr>
  </w:style>
  <w:style w:type="paragraph" w:customStyle="1" w:styleId="PPO1ATitle1">
    <w:name w:val="(PPO_1A) Title 1"/>
    <w:basedOn w:val="BASE-STYLE-HEADINGS"/>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qFormat/>
    <w:pPr>
      <w:spacing w:before="60" w:after="60" w:line="240" w:lineRule="auto"/>
      <w:jc w:val="left"/>
    </w:pPr>
    <w:rPr>
      <w:rFonts w:cstheme="minorBidi"/>
      <w:bCs/>
      <w:noProof/>
      <w:color w:val="00ADDC"/>
      <w:sz w:val="22"/>
      <w:szCs w:val="22"/>
    </w:rPr>
  </w:style>
  <w:style w:type="paragraph" w:customStyle="1" w:styleId="PPO1AVotedbudgetTABLEtextBlue">
    <w:name w:val="(PPO_1A)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1BsidebarchartCenterText">
    <w:name w:val="(PPO_1B) sidebar chart Center Text"/>
    <w:basedOn w:val="BASE-STYLE-TEXT"/>
    <w:qFormat/>
    <w:pPr>
      <w:spacing w:after="120" w:line="240" w:lineRule="auto"/>
      <w:jc w:val="center"/>
    </w:pPr>
    <w:rPr>
      <w:rFonts w:cstheme="minorBidi"/>
      <w:bCs/>
      <w:noProof/>
      <w:color w:val="18BAA8"/>
      <w:sz w:val="22"/>
      <w:szCs w:val="22"/>
    </w:rPr>
  </w:style>
  <w:style w:type="paragraph" w:customStyle="1" w:styleId="PPO1BsidebarTablecaption">
    <w:name w:val="(PPO_1B)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18BAA8"/>
      <w:sz w:val="16"/>
      <w:shd w:val="clear" w:color="auto" w:fill="FFFFFF"/>
    </w:rPr>
  </w:style>
  <w:style w:type="paragraph" w:customStyle="1" w:styleId="PPO1BsidebarTitleDarkGreen">
    <w:name w:val="(PPO_1B) sidebar Title DarkGreen"/>
    <w:basedOn w:val="BASE-STYLE-TEXT"/>
    <w:qFormat/>
    <w:pPr>
      <w:autoSpaceDE w:val="0"/>
      <w:autoSpaceDN w:val="0"/>
      <w:adjustRightInd w:val="0"/>
      <w:spacing w:before="340" w:after="40" w:line="240" w:lineRule="auto"/>
      <w:jc w:val="right"/>
    </w:pPr>
    <w:rPr>
      <w:rFonts w:ascii="EC Square Sans Cond Pro" w:hAnsi="EC Square Sans Cond Pro"/>
      <w:b/>
      <w:noProof/>
      <w:color w:val="128C7D"/>
      <w:sz w:val="16"/>
    </w:rPr>
  </w:style>
  <w:style w:type="paragraph" w:customStyle="1" w:styleId="PPO1BsidebarTitleTurquoise">
    <w:name w:val="(PPO_1B) sidebar Title Turquoise"/>
    <w:basedOn w:val="BASE-STYLE-TEXT"/>
    <w:qFormat/>
    <w:pPr>
      <w:autoSpaceDE w:val="0"/>
      <w:autoSpaceDN w:val="0"/>
      <w:adjustRightInd w:val="0"/>
      <w:spacing w:before="440" w:after="60" w:line="241" w:lineRule="atLeast"/>
      <w:jc w:val="right"/>
    </w:pPr>
    <w:rPr>
      <w:rFonts w:ascii="EC Square Sans Cond Pro" w:hAnsi="EC Square Sans Cond Pro"/>
      <w:b/>
      <w:noProof/>
      <w:color w:val="18BAA8"/>
      <w:sz w:val="21"/>
    </w:rPr>
  </w:style>
  <w:style w:type="paragraph" w:customStyle="1" w:styleId="PPO1BSpecificobjectivesBOX-BulletTurquoise">
    <w:name w:val="(PPO_1B) Specific objectives BOX - Bullet Turquoise"/>
    <w:basedOn w:val="BASE-STYLE-TEXT"/>
    <w:qFormat/>
    <w:pPr>
      <w:numPr>
        <w:numId w:val="30"/>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qFormat/>
    <w:pPr>
      <w:spacing w:before="140" w:after="120"/>
      <w:ind w:left="-119" w:right="-16" w:firstLine="9"/>
      <w:jc w:val="left"/>
    </w:pPr>
    <w:rPr>
      <w:rFonts w:ascii="EC Square Sans Cond Pro" w:hAnsi="EC Square Sans Cond Pro"/>
      <w:b/>
      <w:noProof/>
      <w:color w:val="18BAA8"/>
      <w:sz w:val="21"/>
    </w:rPr>
  </w:style>
  <w:style w:type="numbering" w:customStyle="1" w:styleId="PPO1BSpecificObjectivesBulletsLIST">
    <w:name w:val="(PPO_1B) Specific Objectives Bullets (LIST)"/>
    <w:uiPriority w:val="99"/>
    <w:pPr>
      <w:numPr>
        <w:numId w:val="30"/>
      </w:numPr>
    </w:pPr>
  </w:style>
  <w:style w:type="paragraph" w:customStyle="1" w:styleId="PPO1BTitle1">
    <w:name w:val="(PPO_1B) Title 1"/>
    <w:basedOn w:val="BASE-STYLE-HEADINGS"/>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qFormat/>
    <w:pPr>
      <w:spacing w:before="60" w:after="60" w:line="240" w:lineRule="auto"/>
      <w:jc w:val="left"/>
    </w:pPr>
    <w:rPr>
      <w:rFonts w:cstheme="minorBidi"/>
      <w:bCs/>
      <w:noProof/>
      <w:color w:val="18BAA8"/>
      <w:sz w:val="22"/>
      <w:szCs w:val="22"/>
    </w:rPr>
  </w:style>
  <w:style w:type="paragraph" w:customStyle="1" w:styleId="PPO1BVotedbudgetTABLEtextTurquoise">
    <w:name w:val="(PPO_1B) Voted budget TABLE text Turquois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18BAA8"/>
      <w:sz w:val="22"/>
      <w:szCs w:val="22"/>
    </w:rPr>
  </w:style>
  <w:style w:type="paragraph" w:customStyle="1" w:styleId="PPO2sidebarchartCenterText">
    <w:name w:val="(PPO_2) sidebar chart Center Text"/>
    <w:basedOn w:val="BASE-STYLE-TEXT"/>
    <w:qFormat/>
    <w:pPr>
      <w:spacing w:after="120" w:line="240" w:lineRule="auto"/>
      <w:jc w:val="center"/>
    </w:pPr>
    <w:rPr>
      <w:rFonts w:cstheme="minorBidi"/>
      <w:bCs/>
      <w:noProof/>
      <w:color w:val="9ACA3C"/>
      <w:sz w:val="22"/>
      <w:szCs w:val="22"/>
    </w:rPr>
  </w:style>
  <w:style w:type="paragraph" w:customStyle="1" w:styleId="PPO2sidebarTablecaption">
    <w:name w:val="(PPO_2)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9ACA3C"/>
      <w:sz w:val="16"/>
      <w:shd w:val="clear" w:color="auto" w:fill="FFFFFF"/>
    </w:rPr>
  </w:style>
  <w:style w:type="paragraph" w:customStyle="1" w:styleId="PPO2sidebarTitleOlive">
    <w:name w:val="(PPO_2) sidebar Title Olive"/>
    <w:basedOn w:val="BASE-STYLE-TEXT"/>
    <w:qFormat/>
    <w:pPr>
      <w:autoSpaceDE w:val="0"/>
      <w:autoSpaceDN w:val="0"/>
      <w:adjustRightInd w:val="0"/>
      <w:spacing w:before="340" w:after="40" w:line="240" w:lineRule="auto"/>
      <w:jc w:val="right"/>
    </w:pPr>
    <w:rPr>
      <w:rFonts w:ascii="EC Square Sans Cond Pro" w:hAnsi="EC Square Sans Cond Pro"/>
      <w:b/>
      <w:noProof/>
      <w:color w:val="668725"/>
      <w:sz w:val="16"/>
    </w:rPr>
  </w:style>
  <w:style w:type="paragraph" w:customStyle="1" w:styleId="PPO2sidebarTitleSpringGreen">
    <w:name w:val="(PPO_2) sidebar Title SpringGreen"/>
    <w:basedOn w:val="BASE-STYLE-TEXT"/>
    <w:qFormat/>
    <w:pPr>
      <w:autoSpaceDE w:val="0"/>
      <w:autoSpaceDN w:val="0"/>
      <w:adjustRightInd w:val="0"/>
      <w:spacing w:before="440" w:after="60" w:line="241" w:lineRule="atLeast"/>
      <w:jc w:val="right"/>
    </w:pPr>
    <w:rPr>
      <w:rFonts w:ascii="EC Square Sans Cond Pro" w:hAnsi="EC Square Sans Cond Pro"/>
      <w:b/>
      <w:noProof/>
      <w:color w:val="9ACA3C"/>
      <w:sz w:val="21"/>
    </w:rPr>
  </w:style>
  <w:style w:type="paragraph" w:customStyle="1" w:styleId="PPO2SpecificobjectivesBOX-BulletSpringGreen">
    <w:name w:val="(PPO_2) Specific objectives BOX - Bullet SpringGreen"/>
    <w:basedOn w:val="BASE-STYLE-TEXT"/>
    <w:qFormat/>
    <w:pPr>
      <w:numPr>
        <w:numId w:val="31"/>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qFormat/>
    <w:pPr>
      <w:spacing w:before="140" w:after="120"/>
      <w:ind w:left="-119" w:right="-16" w:firstLine="9"/>
      <w:jc w:val="left"/>
    </w:pPr>
    <w:rPr>
      <w:rFonts w:ascii="EC Square Sans Cond Pro" w:hAnsi="EC Square Sans Cond Pro"/>
      <w:b/>
      <w:noProof/>
      <w:color w:val="9ACA3C"/>
      <w:sz w:val="21"/>
    </w:rPr>
  </w:style>
  <w:style w:type="numbering" w:customStyle="1" w:styleId="PPO2SpecificObjectivesBulletsLIST">
    <w:name w:val="(PPO_2) Specific Objectives Bullets (LIST)"/>
    <w:uiPriority w:val="99"/>
    <w:pPr>
      <w:numPr>
        <w:numId w:val="31"/>
      </w:numPr>
    </w:pPr>
  </w:style>
  <w:style w:type="paragraph" w:customStyle="1" w:styleId="PPO2Title1">
    <w:name w:val="(PPO_2) Title 1"/>
    <w:basedOn w:val="BASE-STYLE-HEADINGS"/>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qFormat/>
    <w:pPr>
      <w:spacing w:before="60" w:after="60" w:line="240" w:lineRule="auto"/>
      <w:jc w:val="left"/>
    </w:pPr>
    <w:rPr>
      <w:rFonts w:cstheme="minorBidi"/>
      <w:bCs/>
      <w:noProof/>
      <w:color w:val="9ACA3C"/>
      <w:sz w:val="22"/>
      <w:szCs w:val="22"/>
    </w:rPr>
  </w:style>
  <w:style w:type="paragraph" w:customStyle="1" w:styleId="PPO2VotedbudgetTABLEtextSpringGreen">
    <w:name w:val="(PPO_2) Voted budget TABLE text SpringGree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9ACA3C"/>
      <w:sz w:val="22"/>
      <w:szCs w:val="22"/>
    </w:rPr>
  </w:style>
  <w:style w:type="paragraph" w:customStyle="1" w:styleId="PPO3sidebarchartCenterText">
    <w:name w:val="(PPO_3) sidebar chart Center Text"/>
    <w:basedOn w:val="BASE-STYLE-TEXT"/>
    <w:qFormat/>
    <w:pPr>
      <w:spacing w:after="120" w:line="240" w:lineRule="auto"/>
      <w:jc w:val="center"/>
    </w:pPr>
    <w:rPr>
      <w:rFonts w:cstheme="minorBidi"/>
      <w:bCs/>
      <w:noProof/>
      <w:color w:val="585EAA"/>
      <w:sz w:val="22"/>
      <w:szCs w:val="22"/>
    </w:rPr>
  </w:style>
  <w:style w:type="paragraph" w:customStyle="1" w:styleId="PPO3sidebarTablecaption">
    <w:name w:val="(PPO_3)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585EAA"/>
      <w:sz w:val="16"/>
      <w:shd w:val="clear" w:color="auto" w:fill="FFFFFF"/>
    </w:rPr>
  </w:style>
  <w:style w:type="paragraph" w:customStyle="1" w:styleId="PPO3sidebarTitleDarkBlue">
    <w:name w:val="(PPO_3) sidebar Title DarkBlue"/>
    <w:basedOn w:val="BASE-STYLE-TEXT"/>
    <w:qFormat/>
    <w:pPr>
      <w:autoSpaceDE w:val="0"/>
      <w:autoSpaceDN w:val="0"/>
      <w:adjustRightInd w:val="0"/>
      <w:spacing w:before="340" w:after="40" w:line="240" w:lineRule="auto"/>
      <w:jc w:val="right"/>
    </w:pPr>
    <w:rPr>
      <w:rFonts w:ascii="EC Square Sans Cond Pro" w:hAnsi="EC Square Sans Cond Pro"/>
      <w:b/>
      <w:noProof/>
      <w:color w:val="333663"/>
      <w:sz w:val="16"/>
    </w:rPr>
  </w:style>
  <w:style w:type="paragraph" w:customStyle="1" w:styleId="PPO3sidebarTitlePurple">
    <w:name w:val="(PPO_3) sidebar Title Purple"/>
    <w:basedOn w:val="BASE-STYLE-TEXT"/>
    <w:qFormat/>
    <w:pPr>
      <w:autoSpaceDE w:val="0"/>
      <w:autoSpaceDN w:val="0"/>
      <w:adjustRightInd w:val="0"/>
      <w:spacing w:before="440" w:after="60" w:line="241" w:lineRule="atLeast"/>
      <w:jc w:val="right"/>
    </w:pPr>
    <w:rPr>
      <w:rFonts w:ascii="EC Square Sans Cond Pro" w:hAnsi="EC Square Sans Cond Pro"/>
      <w:b/>
      <w:noProof/>
      <w:color w:val="585EAA"/>
      <w:sz w:val="21"/>
    </w:rPr>
  </w:style>
  <w:style w:type="paragraph" w:customStyle="1" w:styleId="PPO3SpecificobjectivesBOX-BulletPurple">
    <w:name w:val="(PPO_3) Specific objectives BOX - Bullet Purple"/>
    <w:basedOn w:val="BASE-STYLE-TEXT"/>
    <w:qFormat/>
    <w:pPr>
      <w:numPr>
        <w:numId w:val="32"/>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qFormat/>
    <w:pPr>
      <w:spacing w:before="140" w:after="120"/>
      <w:ind w:left="-119" w:right="-16" w:firstLine="9"/>
      <w:jc w:val="left"/>
    </w:pPr>
    <w:rPr>
      <w:rFonts w:ascii="EC Square Sans Cond Pro" w:hAnsi="EC Square Sans Cond Pro"/>
      <w:b/>
      <w:noProof/>
      <w:color w:val="585EAA"/>
      <w:sz w:val="21"/>
    </w:rPr>
  </w:style>
  <w:style w:type="numbering" w:customStyle="1" w:styleId="PPO3SpecificObjectivesBulletsLIST">
    <w:name w:val="(PPO_3) Specific Objectives Bullets (LIST)"/>
    <w:uiPriority w:val="99"/>
    <w:pPr>
      <w:numPr>
        <w:numId w:val="32"/>
      </w:numPr>
    </w:pPr>
  </w:style>
  <w:style w:type="paragraph" w:customStyle="1" w:styleId="PPO3Title1">
    <w:name w:val="(PPO_3) Title 1"/>
    <w:basedOn w:val="BASE-STYLE-HEADINGS"/>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qFormat/>
    <w:pPr>
      <w:spacing w:before="60" w:after="60" w:line="240" w:lineRule="auto"/>
      <w:jc w:val="left"/>
    </w:pPr>
    <w:rPr>
      <w:rFonts w:cstheme="minorBidi"/>
      <w:bCs/>
      <w:noProof/>
      <w:color w:val="585EAA"/>
      <w:sz w:val="22"/>
      <w:szCs w:val="22"/>
    </w:rPr>
  </w:style>
  <w:style w:type="paragraph" w:customStyle="1" w:styleId="PPO3VotedbudgetTABLEtextBlue">
    <w:name w:val="(PPO_3)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4sidebarchartCenterText">
    <w:name w:val="(PPO_4) sidebar chart Center Text"/>
    <w:basedOn w:val="BASE-STYLE-TEXT"/>
    <w:qFormat/>
    <w:pPr>
      <w:spacing w:after="120" w:line="240" w:lineRule="auto"/>
      <w:jc w:val="center"/>
    </w:pPr>
    <w:rPr>
      <w:rFonts w:cstheme="minorBidi"/>
      <w:bCs/>
      <w:noProof/>
      <w:color w:val="F68A42"/>
      <w:sz w:val="22"/>
      <w:szCs w:val="22"/>
    </w:rPr>
  </w:style>
  <w:style w:type="paragraph" w:customStyle="1" w:styleId="PPO4sidebarTablecaption">
    <w:name w:val="(PPO_4)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F68A42"/>
      <w:sz w:val="16"/>
      <w:shd w:val="clear" w:color="auto" w:fill="FFFFFF"/>
    </w:rPr>
  </w:style>
  <w:style w:type="paragraph" w:customStyle="1" w:styleId="PPO4sidebarTitleBrown">
    <w:name w:val="(PPO_4) sidebar Title Brown"/>
    <w:basedOn w:val="BASE-STYLE-TEXT"/>
    <w:qFormat/>
    <w:pPr>
      <w:autoSpaceDE w:val="0"/>
      <w:autoSpaceDN w:val="0"/>
      <w:adjustRightInd w:val="0"/>
      <w:spacing w:before="340" w:after="40" w:line="240" w:lineRule="auto"/>
      <w:jc w:val="right"/>
    </w:pPr>
    <w:rPr>
      <w:rFonts w:ascii="EC Square Sans Cond Pro" w:hAnsi="EC Square Sans Cond Pro"/>
      <w:b/>
      <w:noProof/>
      <w:color w:val="B74F09"/>
      <w:sz w:val="16"/>
    </w:rPr>
  </w:style>
  <w:style w:type="paragraph" w:customStyle="1" w:styleId="PPO4sidebarTitleLightBrown">
    <w:name w:val="(PPO_4) sidebar Title Light Brown"/>
    <w:basedOn w:val="BASE-STYLE-TEXT"/>
    <w:qFormat/>
    <w:pPr>
      <w:autoSpaceDE w:val="0"/>
      <w:autoSpaceDN w:val="0"/>
      <w:adjustRightInd w:val="0"/>
      <w:spacing w:before="440" w:after="60" w:line="241" w:lineRule="atLeast"/>
      <w:jc w:val="right"/>
    </w:pPr>
    <w:rPr>
      <w:rFonts w:ascii="EC Square Sans Cond Pro" w:hAnsi="EC Square Sans Cond Pro"/>
      <w:b/>
      <w:noProof/>
      <w:color w:val="F68A42"/>
      <w:sz w:val="21"/>
    </w:rPr>
  </w:style>
  <w:style w:type="paragraph" w:customStyle="1" w:styleId="PPO4SpecificobjectivesBOX-BulletLightBrown">
    <w:name w:val="(PPO_4) Specific objectives BOX - Bullet LightBrown"/>
    <w:basedOn w:val="BASE-STYLE-TEXT"/>
    <w:qFormat/>
    <w:pPr>
      <w:numPr>
        <w:numId w:val="33"/>
      </w:numPr>
      <w:spacing w:after="60" w:line="240" w:lineRule="auto"/>
    </w:pPr>
    <w:rPr>
      <w:rFonts w:eastAsia="Calibri"/>
      <w:bCs/>
      <w:noProof/>
      <w:color w:val="auto"/>
      <w:szCs w:val="22"/>
      <w:lang w:eastAsia="fr-BE"/>
    </w:rPr>
  </w:style>
  <w:style w:type="paragraph" w:customStyle="1" w:styleId="PPO4SpecificobjectivesBOX-HeadingLightBrown">
    <w:name w:val="(PPO_4) Specific objectives BOX - Heading Light Brown"/>
    <w:basedOn w:val="BASE-STYLE-TEXT"/>
    <w:qFormat/>
    <w:pPr>
      <w:spacing w:before="140" w:after="120"/>
      <w:ind w:left="-119" w:right="-16" w:firstLine="9"/>
      <w:jc w:val="left"/>
    </w:pPr>
    <w:rPr>
      <w:rFonts w:ascii="EC Square Sans Cond Pro" w:hAnsi="EC Square Sans Cond Pro"/>
      <w:b/>
      <w:noProof/>
      <w:color w:val="F68A42"/>
      <w:sz w:val="21"/>
    </w:rPr>
  </w:style>
  <w:style w:type="numbering" w:customStyle="1" w:styleId="PPO4SpecificObjectivesBulletsLIST">
    <w:name w:val="(PPO_4) Specific Objectives Bullets (LIST)"/>
    <w:uiPriority w:val="99"/>
    <w:pPr>
      <w:numPr>
        <w:numId w:val="33"/>
      </w:numPr>
    </w:pPr>
  </w:style>
  <w:style w:type="paragraph" w:customStyle="1" w:styleId="PPO4Title1">
    <w:name w:val="(PPO_4) Title 1"/>
    <w:basedOn w:val="BASE-STYLE-HEADINGS"/>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qFormat/>
    <w:pPr>
      <w:spacing w:before="60" w:after="60" w:line="240" w:lineRule="auto"/>
      <w:jc w:val="left"/>
    </w:pPr>
    <w:rPr>
      <w:rFonts w:cstheme="minorBidi"/>
      <w:bCs/>
      <w:noProof/>
      <w:color w:val="F68A42"/>
      <w:sz w:val="22"/>
      <w:szCs w:val="22"/>
    </w:rPr>
  </w:style>
  <w:style w:type="paragraph" w:customStyle="1" w:styleId="PPO4VotedbudgetTABLEtextLightBrown">
    <w:name w:val="(PPO_4) Voted budget TABLE text Light Brow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F68A42"/>
      <w:sz w:val="22"/>
      <w:szCs w:val="22"/>
    </w:rPr>
  </w:style>
  <w:style w:type="paragraph" w:customStyle="1" w:styleId="PPOSIsidebarchartCenterText">
    <w:name w:val="(PPO_SI) sidebar chart Center Text"/>
    <w:basedOn w:val="BASE-STYLE-TEXT"/>
    <w:qFormat/>
    <w:pPr>
      <w:spacing w:after="120" w:line="240" w:lineRule="auto"/>
      <w:jc w:val="center"/>
    </w:pPr>
    <w:rPr>
      <w:rFonts w:cstheme="minorBidi"/>
      <w:bCs/>
      <w:noProof/>
      <w:color w:val="4BACC6"/>
      <w:sz w:val="22"/>
      <w:szCs w:val="22"/>
    </w:rPr>
  </w:style>
  <w:style w:type="paragraph" w:customStyle="1" w:styleId="PPOSIsidebarTablecaption">
    <w:name w:val="(PPO_SI)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4BACC6"/>
      <w:sz w:val="16"/>
      <w:shd w:val="clear" w:color="auto" w:fill="FFFFFF"/>
    </w:rPr>
  </w:style>
  <w:style w:type="paragraph" w:customStyle="1" w:styleId="PPOSIsidebarTitleElectricBlue">
    <w:name w:val="(PPO_SI) sidebar Title ElectricBlue"/>
    <w:basedOn w:val="BASE-STYLE-TEXT"/>
    <w:qFormat/>
    <w:pPr>
      <w:autoSpaceDE w:val="0"/>
      <w:autoSpaceDN w:val="0"/>
      <w:adjustRightInd w:val="0"/>
      <w:spacing w:before="440" w:after="60" w:line="241" w:lineRule="atLeast"/>
      <w:jc w:val="right"/>
    </w:pPr>
    <w:rPr>
      <w:rFonts w:ascii="EC Square Sans Cond Pro" w:hAnsi="EC Square Sans Cond Pro"/>
      <w:b/>
      <w:noProof/>
      <w:color w:val="4BACC6"/>
      <w:sz w:val="21"/>
    </w:rPr>
  </w:style>
  <w:style w:type="paragraph" w:customStyle="1" w:styleId="PPOSIsidebarTitlePeacockBlue">
    <w:name w:val="(PPO_SI) sidebar Title PeacockBlue"/>
    <w:basedOn w:val="BASE-STYLE-TEXT"/>
    <w:qFormat/>
    <w:pPr>
      <w:autoSpaceDE w:val="0"/>
      <w:autoSpaceDN w:val="0"/>
      <w:adjustRightInd w:val="0"/>
      <w:spacing w:before="340" w:after="40" w:line="240" w:lineRule="auto"/>
      <w:jc w:val="right"/>
    </w:pPr>
    <w:rPr>
      <w:rFonts w:ascii="EC Square Sans Cond Pro" w:hAnsi="EC Square Sans Cond Pro"/>
      <w:b/>
      <w:noProof/>
      <w:color w:val="215968"/>
      <w:sz w:val="16"/>
    </w:rPr>
  </w:style>
  <w:style w:type="paragraph" w:customStyle="1" w:styleId="PPOSISpecificobjectivesBOX-BulletElectricBlue">
    <w:name w:val="(PPO_SI) Specific objectives BOX - Bullet ElectricBlue"/>
    <w:basedOn w:val="BASE-STYLE-TEXT"/>
    <w:qFormat/>
    <w:pPr>
      <w:numPr>
        <w:numId w:val="34"/>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qFormat/>
    <w:pPr>
      <w:spacing w:before="140" w:after="120"/>
      <w:ind w:left="-119" w:right="-16" w:firstLine="9"/>
      <w:jc w:val="left"/>
    </w:pPr>
    <w:rPr>
      <w:rFonts w:ascii="EC Square Sans Cond Pro" w:hAnsi="EC Square Sans Cond Pro"/>
      <w:b/>
      <w:noProof/>
      <w:color w:val="4BACC6"/>
      <w:sz w:val="21"/>
    </w:rPr>
  </w:style>
  <w:style w:type="numbering" w:customStyle="1" w:styleId="PPOSISpecificObjectivesBulletsLIST">
    <w:name w:val="(PPO_SI) Specific Objectives Bullets (LIST)"/>
    <w:uiPriority w:val="99"/>
    <w:pPr>
      <w:numPr>
        <w:numId w:val="34"/>
      </w:numPr>
    </w:pPr>
  </w:style>
  <w:style w:type="paragraph" w:customStyle="1" w:styleId="PPOSITitle1">
    <w:name w:val="(PPO_SI) Title 1"/>
    <w:basedOn w:val="BASE-STYLE-HEADINGS"/>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qFormat/>
    <w:pPr>
      <w:spacing w:before="60" w:after="60" w:line="240" w:lineRule="auto"/>
      <w:jc w:val="left"/>
    </w:pPr>
    <w:rPr>
      <w:rFonts w:cstheme="minorBidi"/>
      <w:bCs/>
      <w:noProof/>
      <w:color w:val="4BACC6"/>
      <w:sz w:val="22"/>
      <w:szCs w:val="22"/>
    </w:rPr>
  </w:style>
  <w:style w:type="paragraph" w:customStyle="1" w:styleId="PPOSIVotedbudgetTABLEElectricBlue">
    <w:name w:val="(PPO_SI) Voted budget TABLE Electric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4BACC6"/>
      <w:sz w:val="22"/>
      <w:szCs w:val="2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noProof/>
      <w:color w:val="000000"/>
      <w:sz w:val="24"/>
      <w:szCs w:val="24"/>
    </w:rPr>
  </w:style>
  <w:style w:type="paragraph" w:customStyle="1" w:styleId="AMPRBOXB-bgWHITElnBLUE-BLUEHeading">
    <w:name w:val="(AMPR) BOX B - bgWHITE_lnBLUE - BLUE Heading"/>
    <w:basedOn w:val="BASE-STYLE-TEXT"/>
    <w:next w:val="AMPRBOXB-bgWHITElnBLUE-BLACKtext"/>
    <w:qFormat/>
    <w:pPr>
      <w:pBdr>
        <w:top w:val="dashSmallGap" w:sz="12" w:space="8" w:color="4E9DD6"/>
        <w:left w:val="dashSmallGap" w:sz="12" w:space="8" w:color="4E9DD6"/>
        <w:bottom w:val="dashSmallGap" w:sz="12" w:space="8" w:color="4E9DD6"/>
        <w:right w:val="dashSmallGap" w:sz="12" w:space="8" w:color="4E9DD6"/>
      </w:pBdr>
      <w:spacing w:before="240" w:after="120" w:line="240" w:lineRule="auto"/>
    </w:pPr>
    <w:rPr>
      <w:b/>
      <w:bCs/>
      <w:color w:val="005D95"/>
      <w:sz w:val="22"/>
      <w:szCs w:val="24"/>
      <w:lang w:eastAsia="fr-BE"/>
    </w:rPr>
  </w:style>
  <w:style w:type="paragraph" w:customStyle="1" w:styleId="AMPRBOXC-bgPINK-ORANGEHeading">
    <w:name w:val="(AMPR) BOX C - bgPINK - ORANGE Heading"/>
    <w:basedOn w:val="BASE-STYLE-TEXT"/>
    <w:next w:val="AMPRBOXC-bgPINK-BLACKtext"/>
    <w:qFormat/>
    <w:pPr>
      <w:keepNext/>
      <w:keepLines/>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before="240" w:after="120" w:line="240" w:lineRule="auto"/>
    </w:pPr>
    <w:rPr>
      <w:rFonts w:eastAsiaTheme="minorHAnsi"/>
      <w:b/>
      <w:bCs/>
      <w:color w:val="ED7D31" w:themeColor="accent2"/>
      <w:sz w:val="22"/>
      <w:szCs w:val="24"/>
      <w:lang w:eastAsia="fr-BE"/>
    </w:rPr>
  </w:style>
  <w:style w:type="character" w:customStyle="1" w:styleId="prdnormal">
    <w:name w:val="prdnormal"/>
    <w:basedOn w:val="DefaultParagraphFont"/>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831898">
      <w:bodyDiv w:val="1"/>
      <w:marLeft w:val="0"/>
      <w:marRight w:val="0"/>
      <w:marTop w:val="0"/>
      <w:marBottom w:val="0"/>
      <w:divBdr>
        <w:top w:val="none" w:sz="0" w:space="0" w:color="auto"/>
        <w:left w:val="none" w:sz="0" w:space="0" w:color="auto"/>
        <w:bottom w:val="none" w:sz="0" w:space="0" w:color="auto"/>
        <w:right w:val="none" w:sz="0" w:space="0" w:color="auto"/>
      </w:divBdr>
    </w:div>
    <w:div w:id="191157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29.xml"/><Relationship Id="rId84" Type="http://schemas.openxmlformats.org/officeDocument/2006/relationships/image" Target="media/image13.png"/><Relationship Id="rId89"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07" Type="http://schemas.openxmlformats.org/officeDocument/2006/relationships/footer" Target="footer36.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image" Target="media/image4.jpeg"/><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header" Target="header29.xml"/><Relationship Id="rId74" Type="http://schemas.openxmlformats.org/officeDocument/2006/relationships/footer" Target="footer32.xml"/><Relationship Id="rId79" Type="http://schemas.openxmlformats.org/officeDocument/2006/relationships/image" Target="media/image8.png"/><Relationship Id="rId87" Type="http://schemas.openxmlformats.org/officeDocument/2006/relationships/image" Target="media/image16.png"/><Relationship Id="rId102" Type="http://schemas.openxmlformats.org/officeDocument/2006/relationships/header" Target="header34.xml"/><Relationship Id="rId5" Type="http://schemas.openxmlformats.org/officeDocument/2006/relationships/settings" Target="settings.xml"/><Relationship Id="rId61" Type="http://schemas.openxmlformats.org/officeDocument/2006/relationships/footer" Target="footer25.xml"/><Relationship Id="rId82" Type="http://schemas.openxmlformats.org/officeDocument/2006/relationships/image" Target="media/image11.png"/><Relationship Id="rId90" Type="http://schemas.openxmlformats.org/officeDocument/2006/relationships/image" Target="media/image19.png"/><Relationship Id="rId95" Type="http://schemas.openxmlformats.org/officeDocument/2006/relationships/image" Target="media/image24.png"/><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6.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header" Target="header30.xml"/><Relationship Id="rId77" Type="http://schemas.openxmlformats.org/officeDocument/2006/relationships/image" Target="media/image6.png"/><Relationship Id="rId100" Type="http://schemas.openxmlformats.org/officeDocument/2006/relationships/hyperlink" Target="https://www.imi.europa.eu/" TargetMode="External"/><Relationship Id="rId105" Type="http://schemas.openxmlformats.org/officeDocument/2006/relationships/footer" Target="footer35.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2.xml"/><Relationship Id="rId80" Type="http://schemas.openxmlformats.org/officeDocument/2006/relationships/image" Target="media/image9.png"/><Relationship Id="rId85" Type="http://schemas.openxmlformats.org/officeDocument/2006/relationships/image" Target="media/image14.png"/><Relationship Id="rId93" Type="http://schemas.openxmlformats.org/officeDocument/2006/relationships/image" Target="media/image22.png"/><Relationship Id="rId98"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footer" Target="footer18.xml"/><Relationship Id="rId59" Type="http://schemas.openxmlformats.org/officeDocument/2006/relationships/header" Target="header25.xml"/><Relationship Id="rId67" Type="http://schemas.openxmlformats.org/officeDocument/2006/relationships/footer" Target="footer28.xml"/><Relationship Id="rId103" Type="http://schemas.openxmlformats.org/officeDocument/2006/relationships/header" Target="header35.xml"/><Relationship Id="rId108"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header" Target="header33.xml"/><Relationship Id="rId83" Type="http://schemas.openxmlformats.org/officeDocument/2006/relationships/image" Target="media/image12.png"/><Relationship Id="rId88" Type="http://schemas.openxmlformats.org/officeDocument/2006/relationships/image" Target="media/image17.png"/><Relationship Id="rId91" Type="http://schemas.openxmlformats.org/officeDocument/2006/relationships/image" Target="media/image20.png"/><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footer" Target="footer19.xml"/><Relationship Id="rId57" Type="http://schemas.openxmlformats.org/officeDocument/2006/relationships/header" Target="header24.xml"/><Relationship Id="rId106" Type="http://schemas.openxmlformats.org/officeDocument/2006/relationships/header" Target="header36.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footer" Target="footer31.xml"/><Relationship Id="rId78" Type="http://schemas.openxmlformats.org/officeDocument/2006/relationships/image" Target="media/image7.png"/><Relationship Id="rId81" Type="http://schemas.openxmlformats.org/officeDocument/2006/relationships/image" Target="media/image10.png"/><Relationship Id="rId86" Type="http://schemas.openxmlformats.org/officeDocument/2006/relationships/image" Target="media/image15.png"/><Relationship Id="rId94" Type="http://schemas.openxmlformats.org/officeDocument/2006/relationships/image" Target="media/image23.png"/><Relationship Id="rId99" Type="http://schemas.openxmlformats.org/officeDocument/2006/relationships/hyperlink" Target="https://ec.europa.eu/info/funding-tenders/opportunities/portal/screen/opportunities/topic-details/sc1-phe-coronavirus-2020" TargetMode="External"/><Relationship Id="rId101"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5.xml"/><Relationship Id="rId109" Type="http://schemas.openxmlformats.org/officeDocument/2006/relationships/theme" Target="theme/theme1.xml"/><Relationship Id="rId34" Type="http://schemas.openxmlformats.org/officeDocument/2006/relationships/header" Target="header13.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image" Target="media/image26.png"/><Relationship Id="rId104" Type="http://schemas.openxmlformats.org/officeDocument/2006/relationships/footer" Target="footer34.xml"/><Relationship Id="rId7" Type="http://schemas.openxmlformats.org/officeDocument/2006/relationships/footnotes" Target="footnotes.xml"/><Relationship Id="rId71" Type="http://schemas.openxmlformats.org/officeDocument/2006/relationships/header" Target="header31.xml"/><Relationship Id="rId92"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commission/sites/beta-political/files/political-guidelines-next-commission_bg_1.pdf" TargetMode="External"/><Relationship Id="rId2" Type="http://schemas.openxmlformats.org/officeDocument/2006/relationships/hyperlink" Target="https://www.consilium.europa.eu/bg/press/press-releases/2019/06/20/a-new-strategic-agenda-2019-2024/" TargetMode="External"/><Relationship Id="rId1" Type="http://schemas.openxmlformats.org/officeDocument/2006/relationships/hyperlink" Target="https://ec.europa.eu/info/strategy/eu-budget/how-it-works/annual-lifecycle/assessment/parliaments-approval_bg" TargetMode="External"/><Relationship Id="rId5" Type="http://schemas.openxmlformats.org/officeDocument/2006/relationships/hyperlink" Target="https://ec.europa.eu/growth/smes/business-friendly-environment/performance-review_bg" TargetMode="External"/><Relationship Id="rId4" Type="http://schemas.openxmlformats.org/officeDocument/2006/relationships/hyperlink" Target="https://formobile-project.eu/" TargetMode="External"/></Relationships>
</file>

<file path=word/_rels/header20.xml.rels><?xml version="1.0" encoding="UTF-8" standalone="yes"?>
<Relationships xmlns="http://schemas.openxmlformats.org/package/2006/relationships"><Relationship Id="rId1" Type="http://schemas.openxmlformats.org/officeDocument/2006/relationships/image" Target="media/image5.jpg"/></Relationships>
</file>

<file path=word/_rels/header29.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1538F-5D9B-4688-9985-18BDBCA84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7957</Words>
  <Characters>45833</Characters>
  <Application>Microsoft Office Word</Application>
  <DocSecurity>0</DocSecurity>
  <Lines>881</Lines>
  <Paragraphs>167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2020-07-30T09:47:00Z</dcterms:created>
  <dcterms:modified xsi:type="dcterms:W3CDTF">2020-07-31T09:01:00Z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7.0, Build 20190717</vt:lpwstr>
  </property>
</Properties>
</file>