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1EC6F71F-9C94-4D79-A0C0-9AAF0FFD89D6" style="width:450.75pt;height:387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Style w:val="AMPRSec2TITLE1"/>
        <w:rPr>
          <w:noProof/>
          <w:lang w:val="fr-FR"/>
        </w:rPr>
        <w:sectPr>
          <w:headerReference w:type="even" r:id="rId15"/>
          <w:headerReference w:type="default" r:id="rId16"/>
          <w:footerReference w:type="even" r:id="rId17"/>
          <w:footerReference w:type="default" r:id="rId18"/>
          <w:headerReference w:type="first" r:id="rId19"/>
          <w:footerReference w:type="first" r:id="rId20"/>
          <w:footnotePr>
            <w:numStart w:val="48"/>
          </w:footnotePr>
          <w:pgSz w:w="11906" w:h="16838"/>
          <w:pgMar w:top="1417" w:right="1417" w:bottom="1134" w:left="1417" w:header="567" w:footer="454" w:gutter="0"/>
          <w:pgNumType w:start="41"/>
          <w:cols w:space="720"/>
          <w:titlePg/>
          <w:docGrid w:linePitch="360"/>
        </w:sectPr>
      </w:pPr>
      <w:bookmarkStart w:id="1" w:name="Section1"/>
      <w:bookmarkStart w:id="2" w:name="_Toc535249357"/>
      <w:bookmarkStart w:id="3" w:name="_Toc4680688"/>
      <w:bookmarkStart w:id="4" w:name="_Toc4682962"/>
      <w:bookmarkStart w:id="5" w:name="_Toc37166570"/>
      <w:bookmarkStart w:id="6" w:name="_Toc37948904"/>
      <w:bookmarkStart w:id="7" w:name="_Toc37955819"/>
      <w:bookmarkStart w:id="8" w:name="_Toc37956053"/>
      <w:bookmarkStart w:id="9" w:name="_GoBack"/>
      <w:bookmarkEnd w:id="9"/>
      <w:r>
        <w:rPr>
          <w:noProof/>
          <w:lang w:val="fr-FR"/>
        </w:rPr>
        <w:lastRenderedPageBreak/>
        <w:t>Section</w:t>
      </w:r>
      <w:r>
        <w:rPr>
          <w:rFonts w:ascii="Calibri" w:hAnsi="Calibri" w:cs="Calibri"/>
          <w:noProof/>
          <w:lang w:val="fr-FR"/>
        </w:rPr>
        <w:t> </w:t>
      </w:r>
      <w:bookmarkEnd w:id="1"/>
      <w:r>
        <w:rPr>
          <w:noProof/>
          <w:lang w:val="fr-FR"/>
        </w:rPr>
        <w:t>2 –</w:t>
      </w:r>
      <w:r>
        <w:rPr>
          <w:noProof/>
          <w:lang w:val="fr-FR"/>
        </w:rPr>
        <w:br/>
      </w:r>
      <w:bookmarkEnd w:id="2"/>
      <w:bookmarkEnd w:id="3"/>
      <w:bookmarkEnd w:id="4"/>
      <w:bookmarkEnd w:id="5"/>
      <w:bookmarkEnd w:id="6"/>
      <w:bookmarkEnd w:id="7"/>
      <w:bookmarkEnd w:id="8"/>
      <w:r>
        <w:rPr>
          <w:noProof/>
          <w:lang w:val="fr-FR"/>
        </w:rPr>
        <w:t>Contrôle interne et gestion financière</w:t>
      </w:r>
    </w:p>
    <w:p>
      <w:pPr>
        <w:rPr>
          <w:noProof/>
          <w:lang w:val="fr-FR"/>
        </w:rPr>
        <w:sectPr>
          <w:headerReference w:type="even" r:id="rId21"/>
          <w:headerReference w:type="default" r:id="rId22"/>
          <w:footerReference w:type="even" r:id="rId23"/>
          <w:footerReference w:type="default" r:id="rId24"/>
          <w:headerReference w:type="first" r:id="rId25"/>
          <w:footerReference w:type="first" r:id="rId26"/>
          <w:footnotePr>
            <w:numStart w:val="48"/>
          </w:footnotePr>
          <w:pgSz w:w="11906" w:h="16838"/>
          <w:pgMar w:top="1417" w:right="1417" w:bottom="1134" w:left="1417" w:header="567" w:footer="454" w:gutter="0"/>
          <w:cols w:space="720"/>
          <w:docGrid w:linePitch="360"/>
        </w:sectPr>
      </w:pPr>
    </w:p>
    <w:p>
      <w:pPr>
        <w:pStyle w:val="AMPRSec2TITLE2-numbered"/>
        <w:rPr>
          <w:noProof/>
          <w:lang w:val="fr-FR"/>
        </w:rPr>
      </w:pPr>
      <w:bookmarkStart w:id="10" w:name="_Toc37166571"/>
      <w:bookmarkStart w:id="11" w:name="_Toc37948905"/>
      <w:bookmarkStart w:id="12" w:name="_Toc37955820"/>
      <w:bookmarkStart w:id="13" w:name="_Toc37956054"/>
      <w:bookmarkStart w:id="14" w:name="_Toc3206052"/>
      <w:bookmarkStart w:id="15" w:name="_Toc4603941"/>
      <w:bookmarkStart w:id="16" w:name="_Toc4603962"/>
      <w:bookmarkStart w:id="17" w:name="_Toc4680689"/>
      <w:bookmarkStart w:id="18" w:name="_Toc4682963"/>
      <w:bookmarkStart w:id="19" w:name="_Toc4683087"/>
      <w:r>
        <w:rPr>
          <w:noProof/>
          <w:lang w:val="fr-FR"/>
        </w:rPr>
        <w:t>La Commission gère le budget de l’UE dans un environnement complexe</w:t>
      </w:r>
      <w:bookmarkEnd w:id="10"/>
      <w:bookmarkEnd w:id="11"/>
      <w:bookmarkEnd w:id="12"/>
      <w:bookmarkEnd w:id="13"/>
    </w:p>
    <w:p>
      <w:pPr>
        <w:pStyle w:val="AMPRBodyText"/>
        <w:rPr>
          <w:noProof/>
          <w:lang w:val="fr-FR"/>
        </w:rPr>
      </w:pPr>
      <w:r>
        <w:rPr>
          <w:noProof/>
          <w:lang w:val="fr-FR"/>
        </w:rPr>
        <w:t>La Commission attache une grande importance à la bonne gestion financière du budget de l’UE, ainsi que du Fonds européen de développement et des fonds fiduciaires de l’UE. La Commission a le devoir d’utiliser au mieux l’argent des contribuables pour appuyer la réalisation des objectifs stratégiques de l’UE. Il est donc essentiel de garantir à la fois un niveau élevé de conformité avec les règles applicables et que les financements parviennent aux bénéficiaires visés de manière efficace, efficiente et économique. Par conséquent, la Commission s’efforce d’atteindre les normes les plus élevées en matière de gestion financière tout en conciliant harmonieusement un faible niveau d’erreurs, des paiements rapides et un coût raisonnable des contrôles.</w:t>
      </w:r>
    </w:p>
    <w:p>
      <w:pPr>
        <w:pStyle w:val="AMPRSec2TITLE3-numbered"/>
        <w:rPr>
          <w:noProof/>
          <w:lang w:val="fr-FR"/>
        </w:rPr>
      </w:pPr>
      <w:r>
        <w:rPr>
          <w:noProof/>
          <w:lang w:val="fr-FR"/>
        </w:rPr>
        <w:t>Le budget de l’UE: une grande variété de domaines, de bénéficiaires et de dépenses</w:t>
      </w:r>
    </w:p>
    <w:p>
      <w:pPr>
        <w:pStyle w:val="AMPRBodyText"/>
        <w:rPr>
          <w:noProof/>
          <w:lang w:val="fr-FR"/>
        </w:rPr>
      </w:pPr>
      <w:r>
        <w:rPr>
          <w:noProof/>
          <w:lang w:val="fr-FR"/>
        </w:rPr>
        <w:t>En 2019, les dépenses</w:t>
      </w:r>
      <w:r>
        <w:rPr>
          <w:rStyle w:val="fnRef"/>
          <w:rFonts w:ascii="Arial" w:hAnsi="Arial"/>
          <w:noProof/>
          <w:lang w:val="fr-FR"/>
        </w:rPr>
        <w:t> </w:t>
      </w:r>
      <w:r>
        <w:rPr>
          <w:rStyle w:val="fnRef"/>
          <w:noProof/>
          <w:lang w:val="fr-FR"/>
        </w:rPr>
        <w:t>(</w:t>
      </w:r>
      <w:r>
        <w:rPr>
          <w:rStyle w:val="fnRefNo"/>
          <w:noProof/>
        </w:rPr>
        <w:footnoteReference w:id="1"/>
      </w:r>
      <w:r>
        <w:rPr>
          <w:rStyle w:val="fnRef"/>
          <w:noProof/>
          <w:lang w:val="fr-FR"/>
        </w:rPr>
        <w:t>)</w:t>
      </w:r>
      <w:r>
        <w:rPr>
          <w:noProof/>
          <w:lang w:val="fr-FR"/>
        </w:rPr>
        <w:t xml:space="preserve"> provenant du budget de l’UE se sont élevées à </w:t>
      </w:r>
      <w:r>
        <w:rPr>
          <w:rStyle w:val="AMPRcharBoldBlue"/>
          <w:noProof/>
          <w:lang w:val="fr-FR"/>
        </w:rPr>
        <w:t>147</w:t>
      </w:r>
      <w:r>
        <w:rPr>
          <w:rStyle w:val="AMPRcharBoldBlue"/>
          <w:rFonts w:ascii="Calibri" w:hAnsi="Calibri"/>
          <w:noProof/>
          <w:lang w:val="fr-FR"/>
        </w:rPr>
        <w:t> </w:t>
      </w:r>
      <w:r>
        <w:rPr>
          <w:rStyle w:val="AMPRcharBoldBlue"/>
          <w:noProof/>
          <w:lang w:val="fr-FR"/>
        </w:rPr>
        <w:t>milliards</w:t>
      </w:r>
      <w:r>
        <w:rPr>
          <w:rStyle w:val="AMPRcharBoldBlue"/>
          <w:rFonts w:ascii="Calibri" w:hAnsi="Calibri"/>
          <w:noProof/>
          <w:lang w:val="fr-FR"/>
        </w:rPr>
        <w:t xml:space="preserve"> </w:t>
      </w:r>
      <w:r>
        <w:rPr>
          <w:rStyle w:val="AMPRcharBoldBlue"/>
          <w:noProof/>
          <w:lang w:val="fr-FR"/>
        </w:rPr>
        <w:t>d’EUR</w:t>
      </w:r>
      <w:r>
        <w:rPr>
          <w:noProof/>
          <w:lang w:val="fr-FR"/>
        </w:rPr>
        <w:t xml:space="preserve"> (voir graphique ci-dessous), ce qui correspond à 240</w:t>
      </w:r>
      <w:r>
        <w:rPr>
          <w:rFonts w:ascii="Calibri" w:hAnsi="Calibri"/>
          <w:noProof/>
          <w:lang w:val="fr-FR"/>
        </w:rPr>
        <w:t> </w:t>
      </w:r>
      <w:r>
        <w:rPr>
          <w:noProof/>
          <w:lang w:val="fr-FR"/>
        </w:rPr>
        <w:t>000 paiements allant de quelques centaines d’EUR (bourses Erasmus) à des centaines de millions d’EUR (grands projets tels qu’ITER ou Galileo et Copernicus, ainsi qu’un appui budgétaire aux pays en développement). Ces paiements sont destinés à soutenir des activités aussi diverses que l’agriculture et le développement des zones rurales et urbaines, l’amélioration des infrastructures de transport et numériques, la recherche, l’aide aux petites et moyennes entreprises, la protection de l’environnement, la formation des chômeurs, l’intégration des migrants et la protection des frontières, le soutien aux pays désireux d’adhérer à l’UE et l’aide aux pays voisins et en développement. Les bénéficiaires des fonds de l’UE sont très divers et nombreux.</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single" w:sz="6" w:space="0" w:color="FFFFFF" w:themeColor="background1"/>
        </w:tblBorders>
        <w:tblCellMar>
          <w:top w:w="113" w:type="dxa"/>
          <w:bottom w:w="113" w:type="dxa"/>
        </w:tblCellMar>
        <w:tblLook w:val="04A0" w:firstRow="1" w:lastRow="0" w:firstColumn="1" w:lastColumn="0" w:noHBand="0" w:noVBand="1"/>
      </w:tblPr>
      <w:tblGrid>
        <w:gridCol w:w="1617"/>
        <w:gridCol w:w="1779"/>
        <w:gridCol w:w="1609"/>
        <w:gridCol w:w="1653"/>
        <w:gridCol w:w="1640"/>
        <w:gridCol w:w="774"/>
      </w:tblGrid>
      <w:tr>
        <w:tc>
          <w:tcPr>
            <w:tcW w:w="1809" w:type="dxa"/>
            <w:tcBorders>
              <w:bottom w:val="nil"/>
            </w:tcBorders>
            <w:shd w:val="clear" w:color="auto" w:fill="92D050"/>
            <w:tcMar>
              <w:top w:w="0" w:type="dxa"/>
            </w:tcMar>
          </w:tcPr>
          <w:p>
            <w:pPr>
              <w:suppressAutoHyphens/>
              <w:spacing w:before="80"/>
              <w:rPr>
                <w:b/>
                <w:noProof/>
                <w:color w:val="FFFFFF" w:themeColor="background1"/>
              </w:rPr>
            </w:pPr>
            <w:r>
              <w:rPr>
                <w:b/>
                <w:bCs/>
                <w:noProof/>
                <w:color w:val="FFFFFF" w:themeColor="background1"/>
              </w:rPr>
              <w:t>Ressources naturelles</w:t>
            </w:r>
          </w:p>
        </w:tc>
        <w:tc>
          <w:tcPr>
            <w:tcW w:w="1843" w:type="dxa"/>
            <w:tcBorders>
              <w:bottom w:val="nil"/>
            </w:tcBorders>
            <w:shd w:val="clear" w:color="auto" w:fill="5B9BD5" w:themeFill="accent1"/>
            <w:tcMar>
              <w:top w:w="0" w:type="dxa"/>
            </w:tcMar>
          </w:tcPr>
          <w:p>
            <w:pPr>
              <w:suppressAutoHyphens/>
              <w:spacing w:before="80"/>
              <w:rPr>
                <w:b/>
                <w:noProof/>
                <w:color w:val="FFFFFF" w:themeColor="background1"/>
              </w:rPr>
            </w:pPr>
            <w:r>
              <w:rPr>
                <w:b/>
                <w:bCs/>
                <w:noProof/>
                <w:color w:val="FFFFFF" w:themeColor="background1"/>
              </w:rPr>
              <w:t>Cohésion</w:t>
            </w:r>
          </w:p>
          <w:p>
            <w:pPr>
              <w:suppressAutoHyphens/>
              <w:spacing w:before="80"/>
              <w:rPr>
                <w:noProof/>
                <w:color w:val="F26A47"/>
              </w:rPr>
            </w:pPr>
          </w:p>
        </w:tc>
        <w:tc>
          <w:tcPr>
            <w:tcW w:w="1843" w:type="dxa"/>
            <w:tcBorders>
              <w:bottom w:val="nil"/>
            </w:tcBorders>
            <w:shd w:val="clear" w:color="auto" w:fill="A5A5A5" w:themeFill="accent3"/>
            <w:tcMar>
              <w:top w:w="0" w:type="dxa"/>
            </w:tcMar>
          </w:tcPr>
          <w:p>
            <w:pPr>
              <w:suppressAutoHyphens/>
              <w:spacing w:before="80"/>
              <w:rPr>
                <w:b/>
                <w:noProof/>
                <w:color w:val="FFFFFF" w:themeColor="background1"/>
              </w:rPr>
            </w:pPr>
            <w:r>
              <w:rPr>
                <w:b/>
                <w:bCs/>
                <w:noProof/>
                <w:color w:val="FFFFFF" w:themeColor="background1"/>
              </w:rPr>
              <w:t>Recherche, industrie, espace, énergie et transports</w:t>
            </w:r>
          </w:p>
        </w:tc>
        <w:tc>
          <w:tcPr>
            <w:tcW w:w="1701" w:type="dxa"/>
            <w:tcBorders>
              <w:bottom w:val="nil"/>
            </w:tcBorders>
            <w:shd w:val="clear" w:color="auto" w:fill="FFC000" w:themeFill="accent4"/>
            <w:tcMar>
              <w:top w:w="0" w:type="dxa"/>
            </w:tcMar>
          </w:tcPr>
          <w:p>
            <w:pPr>
              <w:suppressAutoHyphens/>
              <w:spacing w:before="80"/>
              <w:rPr>
                <w:b/>
                <w:noProof/>
                <w:color w:val="FFFFFF" w:themeColor="background1"/>
              </w:rPr>
            </w:pPr>
            <w:r>
              <w:rPr>
                <w:b/>
                <w:bCs/>
                <w:noProof/>
                <w:color w:val="FFFFFF" w:themeColor="background1"/>
              </w:rPr>
              <w:t>Relations extérieures</w:t>
            </w:r>
          </w:p>
        </w:tc>
        <w:tc>
          <w:tcPr>
            <w:tcW w:w="1699" w:type="dxa"/>
            <w:tcBorders>
              <w:bottom w:val="nil"/>
            </w:tcBorders>
            <w:shd w:val="clear" w:color="auto" w:fill="70AD47" w:themeFill="accent6"/>
            <w:tcMar>
              <w:top w:w="0" w:type="dxa"/>
            </w:tcMar>
          </w:tcPr>
          <w:p>
            <w:pPr>
              <w:suppressAutoHyphens/>
              <w:spacing w:before="80"/>
              <w:rPr>
                <w:b/>
                <w:noProof/>
                <w:color w:val="FFFFFF" w:themeColor="background1"/>
              </w:rPr>
            </w:pPr>
            <w:r>
              <w:rPr>
                <w:b/>
                <w:bCs/>
                <w:noProof/>
                <w:color w:val="FFFFFF" w:themeColor="background1"/>
              </w:rPr>
              <w:t>Autres politiques internes</w:t>
            </w:r>
          </w:p>
        </w:tc>
        <w:tc>
          <w:tcPr>
            <w:tcW w:w="711" w:type="dxa"/>
            <w:vMerge w:val="restart"/>
            <w:shd w:val="clear" w:color="auto" w:fill="BFBFBF" w:themeFill="background1" w:themeFillShade="BF"/>
            <w:tcMar>
              <w:top w:w="0" w:type="dxa"/>
            </w:tcMar>
            <w:textDirection w:val="btLr"/>
          </w:tcPr>
          <w:p>
            <w:pPr>
              <w:suppressAutoHyphens/>
              <w:ind w:left="113" w:right="113"/>
              <w:jc w:val="center"/>
              <w:rPr>
                <w:b/>
                <w:noProof/>
                <w:color w:val="FFFFFF" w:themeColor="background1"/>
              </w:rPr>
            </w:pPr>
            <w:r>
              <w:rPr>
                <w:b/>
                <w:bCs/>
                <w:noProof/>
                <w:color w:val="FFFFFF" w:themeColor="background1"/>
              </w:rPr>
              <w:t>Autres services et administration</w:t>
            </w:r>
          </w:p>
          <w:p>
            <w:pPr>
              <w:suppressAutoHyphens/>
              <w:ind w:left="113" w:right="113"/>
              <w:jc w:val="center"/>
              <w:rPr>
                <w:noProof/>
                <w:color w:val="FFFFFF" w:themeColor="background1"/>
              </w:rPr>
            </w:pPr>
            <w:r>
              <w:rPr>
                <w:noProof/>
                <w:color w:val="FFFFFF" w:themeColor="background1"/>
              </w:rPr>
              <w:t>7 milliards d’EUR (5 %)</w:t>
            </w:r>
          </w:p>
        </w:tc>
      </w:tr>
      <w:tr>
        <w:tc>
          <w:tcPr>
            <w:tcW w:w="1809" w:type="dxa"/>
            <w:tcBorders>
              <w:bottom w:val="single" w:sz="6" w:space="0" w:color="FFFFFF" w:themeColor="background1"/>
            </w:tcBorders>
            <w:shd w:val="clear" w:color="auto" w:fill="92D050"/>
          </w:tcPr>
          <w:p>
            <w:pPr>
              <w:suppressAutoHyphens/>
              <w:rPr>
                <w:b/>
                <w:noProof/>
                <w:color w:val="FFFFFF" w:themeColor="background1"/>
              </w:rPr>
            </w:pPr>
            <w:r>
              <w:rPr>
                <w:noProof/>
                <w:color w:val="FFFFFF" w:themeColor="background1"/>
              </w:rPr>
              <w:t>59 milliards d’EUR (40 %)</w:t>
            </w:r>
          </w:p>
        </w:tc>
        <w:tc>
          <w:tcPr>
            <w:tcW w:w="1843" w:type="dxa"/>
            <w:tcBorders>
              <w:bottom w:val="single" w:sz="6" w:space="0" w:color="FFFFFF" w:themeColor="background1"/>
            </w:tcBorders>
            <w:shd w:val="clear" w:color="auto" w:fill="5B9BD5" w:themeFill="accent1"/>
          </w:tcPr>
          <w:p>
            <w:pPr>
              <w:suppressAutoHyphens/>
              <w:rPr>
                <w:b/>
                <w:noProof/>
                <w:color w:val="FFFFFF" w:themeColor="background1"/>
              </w:rPr>
            </w:pPr>
            <w:r>
              <w:rPr>
                <w:noProof/>
                <w:color w:val="FFFFFF" w:themeColor="background1"/>
              </w:rPr>
              <w:t>47 milliards d’EUR (32 %)</w:t>
            </w:r>
          </w:p>
        </w:tc>
        <w:tc>
          <w:tcPr>
            <w:tcW w:w="1843" w:type="dxa"/>
            <w:tcBorders>
              <w:bottom w:val="single" w:sz="6" w:space="0" w:color="FFFFFF" w:themeColor="background1"/>
            </w:tcBorders>
            <w:shd w:val="clear" w:color="auto" w:fill="A5A5A5" w:themeFill="accent3"/>
          </w:tcPr>
          <w:p>
            <w:pPr>
              <w:suppressAutoHyphens/>
              <w:rPr>
                <w:noProof/>
                <w:color w:val="FFFFFF" w:themeColor="background1"/>
              </w:rPr>
            </w:pPr>
            <w:r>
              <w:rPr>
                <w:noProof/>
                <w:color w:val="FFFFFF" w:themeColor="background1"/>
              </w:rPr>
              <w:t xml:space="preserve">15 milliards d’EUR </w:t>
            </w:r>
            <w:r>
              <w:rPr>
                <w:noProof/>
                <w:color w:val="FFFFFF" w:themeColor="background1"/>
              </w:rPr>
              <w:cr/>
            </w:r>
            <w:r>
              <w:rPr>
                <w:noProof/>
                <w:color w:val="FFFFFF" w:themeColor="background1"/>
              </w:rPr>
              <w:br/>
              <w:t>(10 %)</w:t>
            </w:r>
          </w:p>
        </w:tc>
        <w:tc>
          <w:tcPr>
            <w:tcW w:w="1701" w:type="dxa"/>
            <w:tcBorders>
              <w:bottom w:val="single" w:sz="6" w:space="0" w:color="FFFFFF" w:themeColor="background1"/>
            </w:tcBorders>
            <w:shd w:val="clear" w:color="auto" w:fill="FFC000" w:themeFill="accent4"/>
          </w:tcPr>
          <w:p>
            <w:pPr>
              <w:suppressAutoHyphens/>
              <w:rPr>
                <w:noProof/>
                <w:color w:val="FFFFFF" w:themeColor="background1"/>
              </w:rPr>
            </w:pPr>
            <w:r>
              <w:rPr>
                <w:noProof/>
                <w:color w:val="FFFFFF" w:themeColor="background1"/>
              </w:rPr>
              <w:t>12 milliards d’EUR (8 %)</w:t>
            </w:r>
          </w:p>
        </w:tc>
        <w:tc>
          <w:tcPr>
            <w:tcW w:w="1699" w:type="dxa"/>
            <w:tcBorders>
              <w:bottom w:val="single" w:sz="6" w:space="0" w:color="FFFFFF" w:themeColor="background1"/>
            </w:tcBorders>
            <w:shd w:val="clear" w:color="auto" w:fill="70AD47" w:themeFill="accent6"/>
          </w:tcPr>
          <w:p>
            <w:pPr>
              <w:suppressAutoHyphens/>
              <w:rPr>
                <w:noProof/>
                <w:color w:val="FFFFFF" w:themeColor="background1"/>
              </w:rPr>
            </w:pPr>
            <w:r>
              <w:rPr>
                <w:noProof/>
                <w:color w:val="FFFFFF" w:themeColor="background1"/>
              </w:rPr>
              <w:t>7 milliards d’EUR (5 %)</w:t>
            </w:r>
          </w:p>
        </w:tc>
        <w:tc>
          <w:tcPr>
            <w:tcW w:w="711" w:type="dxa"/>
            <w:vMerge/>
            <w:shd w:val="clear" w:color="auto" w:fill="BFBFBF" w:themeFill="background1" w:themeFillShade="BF"/>
          </w:tcPr>
          <w:p>
            <w:pPr>
              <w:suppressAutoHyphens/>
              <w:rPr>
                <w:noProof/>
                <w:color w:val="F26A47"/>
              </w:rPr>
            </w:pPr>
          </w:p>
        </w:tc>
      </w:tr>
      <w:tr>
        <w:trPr>
          <w:trHeight w:val="545"/>
        </w:trPr>
        <w:tc>
          <w:tcPr>
            <w:tcW w:w="1809" w:type="dxa"/>
            <w:tcBorders>
              <w:top w:val="single" w:sz="6" w:space="0" w:color="FFFFFF" w:themeColor="background1"/>
              <w:bottom w:val="single" w:sz="6" w:space="0" w:color="FFFFFF" w:themeColor="background1"/>
            </w:tcBorders>
            <w:shd w:val="clear" w:color="auto" w:fill="92D050"/>
          </w:tcPr>
          <w:p>
            <w:pPr>
              <w:suppressAutoHyphens/>
              <w:rPr>
                <w:noProof/>
                <w:color w:val="F26A47"/>
              </w:rPr>
            </w:pPr>
            <w:r>
              <w:rPr>
                <w:noProof/>
                <w:color w:val="F26A47"/>
                <w:lang w:eastAsia="en-GB"/>
              </w:rPr>
              <mc:AlternateContent>
                <mc:Choice Requires="wpg">
                  <w:drawing>
                    <wp:anchor distT="0" distB="0" distL="114300" distR="114300" simplePos="0" relativeHeight="251651072" behindDoc="0" locked="0" layoutInCell="1" allowOverlap="1">
                      <wp:simplePos x="0" y="0"/>
                      <wp:positionH relativeFrom="column">
                        <wp:posOffset>381591</wp:posOffset>
                      </wp:positionH>
                      <wp:positionV relativeFrom="paragraph">
                        <wp:posOffset>42545</wp:posOffset>
                      </wp:positionV>
                      <wp:extent cx="206375" cy="285750"/>
                      <wp:effectExtent l="38100" t="0" r="41275" b="0"/>
                      <wp:wrapNone/>
                      <wp:docPr id="18" name="Group 26"/>
                      <wp:cNvGraphicFramePr/>
                      <a:graphic xmlns:a="http://schemas.openxmlformats.org/drawingml/2006/main">
                        <a:graphicData uri="http://schemas.microsoft.com/office/word/2010/wordprocessingGroup">
                          <wpg:wgp>
                            <wpg:cNvGrpSpPr/>
                            <wpg:grpSpPr>
                              <a:xfrm>
                                <a:off x="0" y="0"/>
                                <a:ext cx="206375" cy="285750"/>
                                <a:chOff x="0" y="0"/>
                                <a:chExt cx="206375" cy="285750"/>
                              </a:xfrm>
                              <a:solidFill>
                                <a:sysClr val="window" lastClr="FFFFFF"/>
                              </a:solidFill>
                            </wpg:grpSpPr>
                            <wps:wsp>
                              <wps:cNvPr id="19" name="Freeform 19"/>
                              <wps:cNvSpPr>
                                <a:spLocks noEditPoints="1"/>
                              </wps:cNvSpPr>
                              <wps:spPr bwMode="auto">
                                <a:xfrm>
                                  <a:off x="144462" y="41275"/>
                                  <a:ext cx="61913" cy="244475"/>
                                </a:xfrm>
                                <a:custGeom>
                                  <a:avLst/>
                                  <a:gdLst>
                                    <a:gd name="T0" fmla="*/ 29 w 51"/>
                                    <a:gd name="T1" fmla="*/ 126 h 200"/>
                                    <a:gd name="T2" fmla="*/ 43 w 51"/>
                                    <a:gd name="T3" fmla="*/ 111 h 200"/>
                                    <a:gd name="T4" fmla="*/ 43 w 51"/>
                                    <a:gd name="T5" fmla="*/ 134 h 200"/>
                                    <a:gd name="T6" fmla="*/ 29 w 51"/>
                                    <a:gd name="T7" fmla="*/ 149 h 200"/>
                                    <a:gd name="T8" fmla="*/ 29 w 51"/>
                                    <a:gd name="T9" fmla="*/ 126 h 200"/>
                                    <a:gd name="T10" fmla="*/ 7 w 51"/>
                                    <a:gd name="T11" fmla="*/ 111 h 200"/>
                                    <a:gd name="T12" fmla="*/ 22 w 51"/>
                                    <a:gd name="T13" fmla="*/ 126 h 200"/>
                                    <a:gd name="T14" fmla="*/ 22 w 51"/>
                                    <a:gd name="T15" fmla="*/ 149 h 200"/>
                                    <a:gd name="T16" fmla="*/ 7 w 51"/>
                                    <a:gd name="T17" fmla="*/ 134 h 200"/>
                                    <a:gd name="T18" fmla="*/ 7 w 51"/>
                                    <a:gd name="T19" fmla="*/ 111 h 200"/>
                                    <a:gd name="T20" fmla="*/ 22 w 51"/>
                                    <a:gd name="T21" fmla="*/ 81 h 200"/>
                                    <a:gd name="T22" fmla="*/ 7 w 51"/>
                                    <a:gd name="T23" fmla="*/ 67 h 200"/>
                                    <a:gd name="T24" fmla="*/ 7 w 51"/>
                                    <a:gd name="T25" fmla="*/ 44 h 200"/>
                                    <a:gd name="T26" fmla="*/ 22 w 51"/>
                                    <a:gd name="T27" fmla="*/ 59 h 200"/>
                                    <a:gd name="T28" fmla="*/ 22 w 51"/>
                                    <a:gd name="T29" fmla="*/ 81 h 200"/>
                                    <a:gd name="T30" fmla="*/ 43 w 51"/>
                                    <a:gd name="T31" fmla="*/ 67 h 200"/>
                                    <a:gd name="T32" fmla="*/ 29 w 51"/>
                                    <a:gd name="T33" fmla="*/ 81 h 200"/>
                                    <a:gd name="T34" fmla="*/ 29 w 51"/>
                                    <a:gd name="T35" fmla="*/ 59 h 200"/>
                                    <a:gd name="T36" fmla="*/ 43 w 51"/>
                                    <a:gd name="T37" fmla="*/ 44 h 200"/>
                                    <a:gd name="T38" fmla="*/ 43 w 51"/>
                                    <a:gd name="T39" fmla="*/ 67 h 200"/>
                                    <a:gd name="T40" fmla="*/ 43 w 51"/>
                                    <a:gd name="T41" fmla="*/ 100 h 200"/>
                                    <a:gd name="T42" fmla="*/ 29 w 51"/>
                                    <a:gd name="T43" fmla="*/ 115 h 200"/>
                                    <a:gd name="T44" fmla="*/ 29 w 51"/>
                                    <a:gd name="T45" fmla="*/ 111 h 200"/>
                                    <a:gd name="T46" fmla="*/ 25 w 51"/>
                                    <a:gd name="T47" fmla="*/ 107 h 200"/>
                                    <a:gd name="T48" fmla="*/ 22 w 51"/>
                                    <a:gd name="T49" fmla="*/ 111 h 200"/>
                                    <a:gd name="T50" fmla="*/ 22 w 51"/>
                                    <a:gd name="T51" fmla="*/ 115 h 200"/>
                                    <a:gd name="T52" fmla="*/ 7 w 51"/>
                                    <a:gd name="T53" fmla="*/ 100 h 200"/>
                                    <a:gd name="T54" fmla="*/ 7 w 51"/>
                                    <a:gd name="T55" fmla="*/ 78 h 200"/>
                                    <a:gd name="T56" fmla="*/ 22 w 51"/>
                                    <a:gd name="T57" fmla="*/ 92 h 200"/>
                                    <a:gd name="T58" fmla="*/ 22 w 51"/>
                                    <a:gd name="T59" fmla="*/ 96 h 200"/>
                                    <a:gd name="T60" fmla="*/ 25 w 51"/>
                                    <a:gd name="T61" fmla="*/ 99 h 200"/>
                                    <a:gd name="T62" fmla="*/ 29 w 51"/>
                                    <a:gd name="T63" fmla="*/ 96 h 200"/>
                                    <a:gd name="T64" fmla="*/ 29 w 51"/>
                                    <a:gd name="T65" fmla="*/ 92 h 200"/>
                                    <a:gd name="T66" fmla="*/ 43 w 51"/>
                                    <a:gd name="T67" fmla="*/ 78 h 200"/>
                                    <a:gd name="T68" fmla="*/ 43 w 51"/>
                                    <a:gd name="T69" fmla="*/ 100 h 200"/>
                                    <a:gd name="T70" fmla="*/ 47 w 51"/>
                                    <a:gd name="T71" fmla="*/ 0 h 200"/>
                                    <a:gd name="T72" fmla="*/ 43 w 51"/>
                                    <a:gd name="T73" fmla="*/ 3 h 200"/>
                                    <a:gd name="T74" fmla="*/ 43 w 51"/>
                                    <a:gd name="T75" fmla="*/ 33 h 200"/>
                                    <a:gd name="T76" fmla="*/ 29 w 51"/>
                                    <a:gd name="T77" fmla="*/ 48 h 200"/>
                                    <a:gd name="T78" fmla="*/ 29 w 51"/>
                                    <a:gd name="T79" fmla="*/ 3 h 200"/>
                                    <a:gd name="T80" fmla="*/ 25 w 51"/>
                                    <a:gd name="T81" fmla="*/ 0 h 200"/>
                                    <a:gd name="T82" fmla="*/ 22 w 51"/>
                                    <a:gd name="T83" fmla="*/ 3 h 200"/>
                                    <a:gd name="T84" fmla="*/ 22 w 51"/>
                                    <a:gd name="T85" fmla="*/ 48 h 200"/>
                                    <a:gd name="T86" fmla="*/ 7 w 51"/>
                                    <a:gd name="T87" fmla="*/ 33 h 200"/>
                                    <a:gd name="T88" fmla="*/ 7 w 51"/>
                                    <a:gd name="T89" fmla="*/ 3 h 200"/>
                                    <a:gd name="T90" fmla="*/ 3 w 51"/>
                                    <a:gd name="T91" fmla="*/ 0 h 200"/>
                                    <a:gd name="T92" fmla="*/ 0 w 51"/>
                                    <a:gd name="T93" fmla="*/ 3 h 200"/>
                                    <a:gd name="T94" fmla="*/ 0 w 51"/>
                                    <a:gd name="T95" fmla="*/ 136 h 200"/>
                                    <a:gd name="T96" fmla="*/ 1 w 51"/>
                                    <a:gd name="T97" fmla="*/ 138 h 200"/>
                                    <a:gd name="T98" fmla="*/ 22 w 51"/>
                                    <a:gd name="T99" fmla="*/ 159 h 200"/>
                                    <a:gd name="T100" fmla="*/ 22 w 51"/>
                                    <a:gd name="T101" fmla="*/ 196 h 200"/>
                                    <a:gd name="T102" fmla="*/ 25 w 51"/>
                                    <a:gd name="T103" fmla="*/ 200 h 200"/>
                                    <a:gd name="T104" fmla="*/ 29 w 51"/>
                                    <a:gd name="T105" fmla="*/ 196 h 200"/>
                                    <a:gd name="T106" fmla="*/ 29 w 51"/>
                                    <a:gd name="T107" fmla="*/ 159 h 200"/>
                                    <a:gd name="T108" fmla="*/ 50 w 51"/>
                                    <a:gd name="T109" fmla="*/ 138 h 200"/>
                                    <a:gd name="T110" fmla="*/ 51 w 51"/>
                                    <a:gd name="T111" fmla="*/ 136 h 200"/>
                                    <a:gd name="T112" fmla="*/ 51 w 51"/>
                                    <a:gd name="T113" fmla="*/ 3 h 200"/>
                                    <a:gd name="T114" fmla="*/ 47 w 51"/>
                                    <a:gd name="T115"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1" h="200">
                                      <a:moveTo>
                                        <a:pt x="29" y="126"/>
                                      </a:moveTo>
                                      <a:cubicBezTo>
                                        <a:pt x="43" y="111"/>
                                        <a:pt x="43" y="111"/>
                                        <a:pt x="43" y="111"/>
                                      </a:cubicBezTo>
                                      <a:cubicBezTo>
                                        <a:pt x="43" y="134"/>
                                        <a:pt x="43" y="134"/>
                                        <a:pt x="43" y="134"/>
                                      </a:cubicBezTo>
                                      <a:cubicBezTo>
                                        <a:pt x="29" y="149"/>
                                        <a:pt x="29" y="149"/>
                                        <a:pt x="29" y="149"/>
                                      </a:cubicBezTo>
                                      <a:lnTo>
                                        <a:pt x="29" y="126"/>
                                      </a:lnTo>
                                      <a:close/>
                                      <a:moveTo>
                                        <a:pt x="7" y="111"/>
                                      </a:moveTo>
                                      <a:cubicBezTo>
                                        <a:pt x="22" y="126"/>
                                        <a:pt x="22" y="126"/>
                                        <a:pt x="22" y="126"/>
                                      </a:cubicBezTo>
                                      <a:cubicBezTo>
                                        <a:pt x="22" y="149"/>
                                        <a:pt x="22" y="149"/>
                                        <a:pt x="22" y="149"/>
                                      </a:cubicBezTo>
                                      <a:cubicBezTo>
                                        <a:pt x="7" y="134"/>
                                        <a:pt x="7" y="134"/>
                                        <a:pt x="7" y="134"/>
                                      </a:cubicBezTo>
                                      <a:lnTo>
                                        <a:pt x="7" y="111"/>
                                      </a:lnTo>
                                      <a:close/>
                                      <a:moveTo>
                                        <a:pt x="22" y="81"/>
                                      </a:moveTo>
                                      <a:cubicBezTo>
                                        <a:pt x="7" y="67"/>
                                        <a:pt x="7" y="67"/>
                                        <a:pt x="7" y="67"/>
                                      </a:cubicBezTo>
                                      <a:cubicBezTo>
                                        <a:pt x="7" y="44"/>
                                        <a:pt x="7" y="44"/>
                                        <a:pt x="7" y="44"/>
                                      </a:cubicBezTo>
                                      <a:cubicBezTo>
                                        <a:pt x="22" y="59"/>
                                        <a:pt x="22" y="59"/>
                                        <a:pt x="22" y="59"/>
                                      </a:cubicBezTo>
                                      <a:lnTo>
                                        <a:pt x="22" y="81"/>
                                      </a:lnTo>
                                      <a:close/>
                                      <a:moveTo>
                                        <a:pt x="43" y="67"/>
                                      </a:moveTo>
                                      <a:cubicBezTo>
                                        <a:pt x="29" y="81"/>
                                        <a:pt x="29" y="81"/>
                                        <a:pt x="29" y="81"/>
                                      </a:cubicBezTo>
                                      <a:cubicBezTo>
                                        <a:pt x="29" y="59"/>
                                        <a:pt x="29" y="59"/>
                                        <a:pt x="29" y="59"/>
                                      </a:cubicBezTo>
                                      <a:cubicBezTo>
                                        <a:pt x="43" y="44"/>
                                        <a:pt x="43" y="44"/>
                                        <a:pt x="43" y="44"/>
                                      </a:cubicBezTo>
                                      <a:lnTo>
                                        <a:pt x="43" y="67"/>
                                      </a:lnTo>
                                      <a:close/>
                                      <a:moveTo>
                                        <a:pt x="43" y="100"/>
                                      </a:moveTo>
                                      <a:cubicBezTo>
                                        <a:pt x="29" y="115"/>
                                        <a:pt x="29" y="115"/>
                                        <a:pt x="29" y="115"/>
                                      </a:cubicBezTo>
                                      <a:cubicBezTo>
                                        <a:pt x="29" y="111"/>
                                        <a:pt x="29" y="111"/>
                                        <a:pt x="29" y="111"/>
                                      </a:cubicBezTo>
                                      <a:cubicBezTo>
                                        <a:pt x="29" y="109"/>
                                        <a:pt x="27" y="107"/>
                                        <a:pt x="25" y="107"/>
                                      </a:cubicBezTo>
                                      <a:cubicBezTo>
                                        <a:pt x="23" y="107"/>
                                        <a:pt x="22" y="109"/>
                                        <a:pt x="22" y="111"/>
                                      </a:cubicBezTo>
                                      <a:cubicBezTo>
                                        <a:pt x="22" y="115"/>
                                        <a:pt x="22" y="115"/>
                                        <a:pt x="22" y="115"/>
                                      </a:cubicBezTo>
                                      <a:cubicBezTo>
                                        <a:pt x="7" y="100"/>
                                        <a:pt x="7" y="100"/>
                                        <a:pt x="7" y="100"/>
                                      </a:cubicBezTo>
                                      <a:cubicBezTo>
                                        <a:pt x="7" y="78"/>
                                        <a:pt x="7" y="78"/>
                                        <a:pt x="7" y="78"/>
                                      </a:cubicBezTo>
                                      <a:cubicBezTo>
                                        <a:pt x="22" y="92"/>
                                        <a:pt x="22" y="92"/>
                                        <a:pt x="22" y="92"/>
                                      </a:cubicBezTo>
                                      <a:cubicBezTo>
                                        <a:pt x="22" y="96"/>
                                        <a:pt x="22" y="96"/>
                                        <a:pt x="22" y="96"/>
                                      </a:cubicBezTo>
                                      <a:cubicBezTo>
                                        <a:pt x="22" y="98"/>
                                        <a:pt x="23" y="99"/>
                                        <a:pt x="25" y="99"/>
                                      </a:cubicBezTo>
                                      <a:cubicBezTo>
                                        <a:pt x="27" y="99"/>
                                        <a:pt x="29" y="98"/>
                                        <a:pt x="29" y="96"/>
                                      </a:cubicBezTo>
                                      <a:cubicBezTo>
                                        <a:pt x="29" y="92"/>
                                        <a:pt x="29" y="92"/>
                                        <a:pt x="29" y="92"/>
                                      </a:cubicBezTo>
                                      <a:cubicBezTo>
                                        <a:pt x="43" y="78"/>
                                        <a:pt x="43" y="78"/>
                                        <a:pt x="43" y="78"/>
                                      </a:cubicBezTo>
                                      <a:lnTo>
                                        <a:pt x="43" y="100"/>
                                      </a:lnTo>
                                      <a:close/>
                                      <a:moveTo>
                                        <a:pt x="47" y="0"/>
                                      </a:moveTo>
                                      <a:cubicBezTo>
                                        <a:pt x="45" y="0"/>
                                        <a:pt x="43" y="1"/>
                                        <a:pt x="43" y="3"/>
                                      </a:cubicBezTo>
                                      <a:cubicBezTo>
                                        <a:pt x="43" y="33"/>
                                        <a:pt x="43" y="33"/>
                                        <a:pt x="43" y="33"/>
                                      </a:cubicBezTo>
                                      <a:cubicBezTo>
                                        <a:pt x="29" y="48"/>
                                        <a:pt x="29" y="48"/>
                                        <a:pt x="29" y="48"/>
                                      </a:cubicBezTo>
                                      <a:cubicBezTo>
                                        <a:pt x="29" y="3"/>
                                        <a:pt x="29" y="3"/>
                                        <a:pt x="29" y="3"/>
                                      </a:cubicBezTo>
                                      <a:cubicBezTo>
                                        <a:pt x="29" y="1"/>
                                        <a:pt x="27" y="0"/>
                                        <a:pt x="25" y="0"/>
                                      </a:cubicBezTo>
                                      <a:cubicBezTo>
                                        <a:pt x="23" y="0"/>
                                        <a:pt x="22" y="1"/>
                                        <a:pt x="22" y="3"/>
                                      </a:cubicBezTo>
                                      <a:cubicBezTo>
                                        <a:pt x="22" y="48"/>
                                        <a:pt x="22" y="48"/>
                                        <a:pt x="22" y="48"/>
                                      </a:cubicBezTo>
                                      <a:cubicBezTo>
                                        <a:pt x="7" y="33"/>
                                        <a:pt x="7" y="33"/>
                                        <a:pt x="7" y="33"/>
                                      </a:cubicBezTo>
                                      <a:cubicBezTo>
                                        <a:pt x="7" y="3"/>
                                        <a:pt x="7" y="3"/>
                                        <a:pt x="7" y="3"/>
                                      </a:cubicBezTo>
                                      <a:cubicBezTo>
                                        <a:pt x="7" y="1"/>
                                        <a:pt x="6" y="0"/>
                                        <a:pt x="3" y="0"/>
                                      </a:cubicBezTo>
                                      <a:cubicBezTo>
                                        <a:pt x="1" y="0"/>
                                        <a:pt x="0" y="1"/>
                                        <a:pt x="0" y="3"/>
                                      </a:cubicBezTo>
                                      <a:cubicBezTo>
                                        <a:pt x="0" y="136"/>
                                        <a:pt x="0" y="136"/>
                                        <a:pt x="0" y="136"/>
                                      </a:cubicBezTo>
                                      <a:cubicBezTo>
                                        <a:pt x="0" y="137"/>
                                        <a:pt x="0" y="137"/>
                                        <a:pt x="1" y="138"/>
                                      </a:cubicBezTo>
                                      <a:cubicBezTo>
                                        <a:pt x="22" y="159"/>
                                        <a:pt x="22" y="159"/>
                                        <a:pt x="22" y="159"/>
                                      </a:cubicBezTo>
                                      <a:cubicBezTo>
                                        <a:pt x="22" y="196"/>
                                        <a:pt x="22" y="196"/>
                                        <a:pt x="22" y="196"/>
                                      </a:cubicBezTo>
                                      <a:cubicBezTo>
                                        <a:pt x="22" y="199"/>
                                        <a:pt x="23" y="200"/>
                                        <a:pt x="25" y="200"/>
                                      </a:cubicBezTo>
                                      <a:cubicBezTo>
                                        <a:pt x="27" y="200"/>
                                        <a:pt x="29" y="199"/>
                                        <a:pt x="29" y="196"/>
                                      </a:cubicBezTo>
                                      <a:cubicBezTo>
                                        <a:pt x="29" y="159"/>
                                        <a:pt x="29" y="159"/>
                                        <a:pt x="29" y="159"/>
                                      </a:cubicBezTo>
                                      <a:cubicBezTo>
                                        <a:pt x="50" y="138"/>
                                        <a:pt x="50" y="138"/>
                                        <a:pt x="50" y="138"/>
                                      </a:cubicBezTo>
                                      <a:cubicBezTo>
                                        <a:pt x="50" y="137"/>
                                        <a:pt x="51" y="137"/>
                                        <a:pt x="51" y="136"/>
                                      </a:cubicBezTo>
                                      <a:cubicBezTo>
                                        <a:pt x="51" y="3"/>
                                        <a:pt x="51" y="3"/>
                                        <a:pt x="51" y="3"/>
                                      </a:cubicBezTo>
                                      <a:cubicBezTo>
                                        <a:pt x="51" y="1"/>
                                        <a:pt x="49" y="0"/>
                                        <a:pt x="4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wps:cNvSpPr>
                                <a:spLocks noEditPoints="1"/>
                              </wps:cNvSpPr>
                              <wps:spPr bwMode="auto">
                                <a:xfrm>
                                  <a:off x="0" y="41275"/>
                                  <a:ext cx="61913" cy="244475"/>
                                </a:xfrm>
                                <a:custGeom>
                                  <a:avLst/>
                                  <a:gdLst>
                                    <a:gd name="T0" fmla="*/ 22 w 51"/>
                                    <a:gd name="T1" fmla="*/ 81 h 200"/>
                                    <a:gd name="T2" fmla="*/ 7 w 51"/>
                                    <a:gd name="T3" fmla="*/ 67 h 200"/>
                                    <a:gd name="T4" fmla="*/ 7 w 51"/>
                                    <a:gd name="T5" fmla="*/ 44 h 200"/>
                                    <a:gd name="T6" fmla="*/ 22 w 51"/>
                                    <a:gd name="T7" fmla="*/ 59 h 200"/>
                                    <a:gd name="T8" fmla="*/ 22 w 51"/>
                                    <a:gd name="T9" fmla="*/ 81 h 200"/>
                                    <a:gd name="T10" fmla="*/ 44 w 51"/>
                                    <a:gd name="T11" fmla="*/ 67 h 200"/>
                                    <a:gd name="T12" fmla="*/ 29 w 51"/>
                                    <a:gd name="T13" fmla="*/ 81 h 200"/>
                                    <a:gd name="T14" fmla="*/ 29 w 51"/>
                                    <a:gd name="T15" fmla="*/ 59 h 200"/>
                                    <a:gd name="T16" fmla="*/ 44 w 51"/>
                                    <a:gd name="T17" fmla="*/ 44 h 200"/>
                                    <a:gd name="T18" fmla="*/ 7 w 51"/>
                                    <a:gd name="T19" fmla="*/ 78 h 200"/>
                                    <a:gd name="T20" fmla="*/ 22 w 51"/>
                                    <a:gd name="T21" fmla="*/ 92 h 200"/>
                                    <a:gd name="T22" fmla="*/ 22 w 51"/>
                                    <a:gd name="T23" fmla="*/ 115 h 200"/>
                                    <a:gd name="T24" fmla="*/ 7 w 51"/>
                                    <a:gd name="T25" fmla="*/ 100 h 200"/>
                                    <a:gd name="T26" fmla="*/ 44 w 51"/>
                                    <a:gd name="T27" fmla="*/ 100 h 200"/>
                                    <a:gd name="T28" fmla="*/ 29 w 51"/>
                                    <a:gd name="T29" fmla="*/ 115 h 200"/>
                                    <a:gd name="T30" fmla="*/ 29 w 51"/>
                                    <a:gd name="T31" fmla="*/ 92 h 200"/>
                                    <a:gd name="T32" fmla="*/ 44 w 51"/>
                                    <a:gd name="T33" fmla="*/ 78 h 200"/>
                                    <a:gd name="T34" fmla="*/ 44 w 51"/>
                                    <a:gd name="T35" fmla="*/ 100 h 200"/>
                                    <a:gd name="T36" fmla="*/ 25 w 51"/>
                                    <a:gd name="T37" fmla="*/ 140 h 200"/>
                                    <a:gd name="T38" fmla="*/ 22 w 51"/>
                                    <a:gd name="T39" fmla="*/ 144 h 200"/>
                                    <a:gd name="T40" fmla="*/ 22 w 51"/>
                                    <a:gd name="T41" fmla="*/ 149 h 200"/>
                                    <a:gd name="T42" fmla="*/ 7 w 51"/>
                                    <a:gd name="T43" fmla="*/ 134 h 200"/>
                                    <a:gd name="T44" fmla="*/ 7 w 51"/>
                                    <a:gd name="T45" fmla="*/ 111 h 200"/>
                                    <a:gd name="T46" fmla="*/ 22 w 51"/>
                                    <a:gd name="T47" fmla="*/ 126 h 200"/>
                                    <a:gd name="T48" fmla="*/ 22 w 51"/>
                                    <a:gd name="T49" fmla="*/ 129 h 200"/>
                                    <a:gd name="T50" fmla="*/ 25 w 51"/>
                                    <a:gd name="T51" fmla="*/ 133 h 200"/>
                                    <a:gd name="T52" fmla="*/ 29 w 51"/>
                                    <a:gd name="T53" fmla="*/ 129 h 200"/>
                                    <a:gd name="T54" fmla="*/ 29 w 51"/>
                                    <a:gd name="T55" fmla="*/ 126 h 200"/>
                                    <a:gd name="T56" fmla="*/ 44 w 51"/>
                                    <a:gd name="T57" fmla="*/ 111 h 200"/>
                                    <a:gd name="T58" fmla="*/ 44 w 51"/>
                                    <a:gd name="T59" fmla="*/ 134 h 200"/>
                                    <a:gd name="T60" fmla="*/ 29 w 51"/>
                                    <a:gd name="T61" fmla="*/ 149 h 200"/>
                                    <a:gd name="T62" fmla="*/ 29 w 51"/>
                                    <a:gd name="T63" fmla="*/ 144 h 200"/>
                                    <a:gd name="T64" fmla="*/ 25 w 51"/>
                                    <a:gd name="T65" fmla="*/ 140 h 200"/>
                                    <a:gd name="T66" fmla="*/ 47 w 51"/>
                                    <a:gd name="T67" fmla="*/ 0 h 200"/>
                                    <a:gd name="T68" fmla="*/ 44 w 51"/>
                                    <a:gd name="T69" fmla="*/ 3 h 200"/>
                                    <a:gd name="T70" fmla="*/ 44 w 51"/>
                                    <a:gd name="T71" fmla="*/ 33 h 200"/>
                                    <a:gd name="T72" fmla="*/ 29 w 51"/>
                                    <a:gd name="T73" fmla="*/ 48 h 200"/>
                                    <a:gd name="T74" fmla="*/ 29 w 51"/>
                                    <a:gd name="T75" fmla="*/ 3 h 200"/>
                                    <a:gd name="T76" fmla="*/ 25 w 51"/>
                                    <a:gd name="T77" fmla="*/ 0 h 200"/>
                                    <a:gd name="T78" fmla="*/ 22 w 51"/>
                                    <a:gd name="T79" fmla="*/ 3 h 200"/>
                                    <a:gd name="T80" fmla="*/ 22 w 51"/>
                                    <a:gd name="T81" fmla="*/ 48 h 200"/>
                                    <a:gd name="T82" fmla="*/ 7 w 51"/>
                                    <a:gd name="T83" fmla="*/ 33 h 200"/>
                                    <a:gd name="T84" fmla="*/ 7 w 51"/>
                                    <a:gd name="T85" fmla="*/ 3 h 200"/>
                                    <a:gd name="T86" fmla="*/ 4 w 51"/>
                                    <a:gd name="T87" fmla="*/ 0 h 200"/>
                                    <a:gd name="T88" fmla="*/ 0 w 51"/>
                                    <a:gd name="T89" fmla="*/ 3 h 200"/>
                                    <a:gd name="T90" fmla="*/ 0 w 51"/>
                                    <a:gd name="T91" fmla="*/ 136 h 200"/>
                                    <a:gd name="T92" fmla="*/ 1 w 51"/>
                                    <a:gd name="T93" fmla="*/ 138 h 200"/>
                                    <a:gd name="T94" fmla="*/ 22 w 51"/>
                                    <a:gd name="T95" fmla="*/ 159 h 200"/>
                                    <a:gd name="T96" fmla="*/ 22 w 51"/>
                                    <a:gd name="T97" fmla="*/ 196 h 200"/>
                                    <a:gd name="T98" fmla="*/ 25 w 51"/>
                                    <a:gd name="T99" fmla="*/ 200 h 200"/>
                                    <a:gd name="T100" fmla="*/ 29 w 51"/>
                                    <a:gd name="T101" fmla="*/ 196 h 200"/>
                                    <a:gd name="T102" fmla="*/ 29 w 51"/>
                                    <a:gd name="T103" fmla="*/ 159 h 200"/>
                                    <a:gd name="T104" fmla="*/ 50 w 51"/>
                                    <a:gd name="T105" fmla="*/ 138 h 200"/>
                                    <a:gd name="T106" fmla="*/ 51 w 51"/>
                                    <a:gd name="T107" fmla="*/ 136 h 200"/>
                                    <a:gd name="T108" fmla="*/ 51 w 51"/>
                                    <a:gd name="T109" fmla="*/ 3 h 200"/>
                                    <a:gd name="T110" fmla="*/ 47 w 51"/>
                                    <a:gd name="T11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 h="200">
                                      <a:moveTo>
                                        <a:pt x="22" y="81"/>
                                      </a:moveTo>
                                      <a:cubicBezTo>
                                        <a:pt x="7" y="67"/>
                                        <a:pt x="7" y="67"/>
                                        <a:pt x="7" y="67"/>
                                      </a:cubicBezTo>
                                      <a:cubicBezTo>
                                        <a:pt x="7" y="44"/>
                                        <a:pt x="7" y="44"/>
                                        <a:pt x="7" y="44"/>
                                      </a:cubicBezTo>
                                      <a:cubicBezTo>
                                        <a:pt x="22" y="59"/>
                                        <a:pt x="22" y="59"/>
                                        <a:pt x="22" y="59"/>
                                      </a:cubicBezTo>
                                      <a:lnTo>
                                        <a:pt x="22" y="81"/>
                                      </a:lnTo>
                                      <a:close/>
                                      <a:moveTo>
                                        <a:pt x="44" y="67"/>
                                      </a:moveTo>
                                      <a:cubicBezTo>
                                        <a:pt x="29" y="81"/>
                                        <a:pt x="29" y="81"/>
                                        <a:pt x="29" y="81"/>
                                      </a:cubicBezTo>
                                      <a:cubicBezTo>
                                        <a:pt x="29" y="59"/>
                                        <a:pt x="29" y="59"/>
                                        <a:pt x="29" y="59"/>
                                      </a:cubicBezTo>
                                      <a:cubicBezTo>
                                        <a:pt x="44" y="44"/>
                                        <a:pt x="44" y="44"/>
                                        <a:pt x="44" y="44"/>
                                      </a:cubicBezTo>
                                      <a:moveTo>
                                        <a:pt x="7" y="78"/>
                                      </a:moveTo>
                                      <a:cubicBezTo>
                                        <a:pt x="22" y="92"/>
                                        <a:pt x="22" y="92"/>
                                        <a:pt x="22" y="92"/>
                                      </a:cubicBezTo>
                                      <a:cubicBezTo>
                                        <a:pt x="22" y="115"/>
                                        <a:pt x="22" y="115"/>
                                        <a:pt x="22" y="115"/>
                                      </a:cubicBezTo>
                                      <a:cubicBezTo>
                                        <a:pt x="7" y="100"/>
                                        <a:pt x="7" y="100"/>
                                        <a:pt x="7" y="100"/>
                                      </a:cubicBezTo>
                                      <a:moveTo>
                                        <a:pt x="44" y="100"/>
                                      </a:moveTo>
                                      <a:cubicBezTo>
                                        <a:pt x="29" y="115"/>
                                        <a:pt x="29" y="115"/>
                                        <a:pt x="29" y="115"/>
                                      </a:cubicBezTo>
                                      <a:cubicBezTo>
                                        <a:pt x="29" y="92"/>
                                        <a:pt x="29" y="92"/>
                                        <a:pt x="29" y="92"/>
                                      </a:cubicBezTo>
                                      <a:cubicBezTo>
                                        <a:pt x="44" y="78"/>
                                        <a:pt x="44" y="78"/>
                                        <a:pt x="44" y="78"/>
                                      </a:cubicBezTo>
                                      <a:lnTo>
                                        <a:pt x="44" y="100"/>
                                      </a:lnTo>
                                      <a:close/>
                                      <a:moveTo>
                                        <a:pt x="25" y="140"/>
                                      </a:moveTo>
                                      <a:cubicBezTo>
                                        <a:pt x="23" y="140"/>
                                        <a:pt x="22" y="142"/>
                                        <a:pt x="22" y="144"/>
                                      </a:cubicBezTo>
                                      <a:cubicBezTo>
                                        <a:pt x="22" y="149"/>
                                        <a:pt x="22" y="149"/>
                                        <a:pt x="22" y="149"/>
                                      </a:cubicBezTo>
                                      <a:cubicBezTo>
                                        <a:pt x="7" y="134"/>
                                        <a:pt x="7" y="134"/>
                                        <a:pt x="7" y="134"/>
                                      </a:cubicBezTo>
                                      <a:cubicBezTo>
                                        <a:pt x="7" y="111"/>
                                        <a:pt x="7" y="111"/>
                                        <a:pt x="7" y="111"/>
                                      </a:cubicBezTo>
                                      <a:cubicBezTo>
                                        <a:pt x="22" y="126"/>
                                        <a:pt x="22" y="126"/>
                                        <a:pt x="22" y="126"/>
                                      </a:cubicBezTo>
                                      <a:cubicBezTo>
                                        <a:pt x="22" y="129"/>
                                        <a:pt x="22" y="129"/>
                                        <a:pt x="22" y="129"/>
                                      </a:cubicBezTo>
                                      <a:cubicBezTo>
                                        <a:pt x="22" y="131"/>
                                        <a:pt x="23" y="133"/>
                                        <a:pt x="25" y="133"/>
                                      </a:cubicBezTo>
                                      <a:cubicBezTo>
                                        <a:pt x="28" y="133"/>
                                        <a:pt x="29" y="131"/>
                                        <a:pt x="29" y="129"/>
                                      </a:cubicBezTo>
                                      <a:cubicBezTo>
                                        <a:pt x="29" y="126"/>
                                        <a:pt x="29" y="126"/>
                                        <a:pt x="29" y="126"/>
                                      </a:cubicBezTo>
                                      <a:cubicBezTo>
                                        <a:pt x="44" y="111"/>
                                        <a:pt x="44" y="111"/>
                                        <a:pt x="44" y="111"/>
                                      </a:cubicBezTo>
                                      <a:cubicBezTo>
                                        <a:pt x="44" y="134"/>
                                        <a:pt x="44" y="134"/>
                                        <a:pt x="44" y="134"/>
                                      </a:cubicBezTo>
                                      <a:cubicBezTo>
                                        <a:pt x="29" y="149"/>
                                        <a:pt x="29" y="149"/>
                                        <a:pt x="29" y="149"/>
                                      </a:cubicBezTo>
                                      <a:cubicBezTo>
                                        <a:pt x="29" y="144"/>
                                        <a:pt x="29" y="144"/>
                                        <a:pt x="29" y="144"/>
                                      </a:cubicBezTo>
                                      <a:cubicBezTo>
                                        <a:pt x="29" y="142"/>
                                        <a:pt x="28" y="140"/>
                                        <a:pt x="25" y="140"/>
                                      </a:cubicBezTo>
                                      <a:moveTo>
                                        <a:pt x="47" y="0"/>
                                      </a:moveTo>
                                      <a:cubicBezTo>
                                        <a:pt x="45" y="0"/>
                                        <a:pt x="44" y="1"/>
                                        <a:pt x="44" y="3"/>
                                      </a:cubicBezTo>
                                      <a:cubicBezTo>
                                        <a:pt x="44" y="33"/>
                                        <a:pt x="44" y="33"/>
                                        <a:pt x="44" y="33"/>
                                      </a:cubicBezTo>
                                      <a:cubicBezTo>
                                        <a:pt x="29" y="48"/>
                                        <a:pt x="29" y="48"/>
                                        <a:pt x="29" y="48"/>
                                      </a:cubicBezTo>
                                      <a:cubicBezTo>
                                        <a:pt x="29" y="3"/>
                                        <a:pt x="29" y="3"/>
                                        <a:pt x="29" y="3"/>
                                      </a:cubicBezTo>
                                      <a:cubicBezTo>
                                        <a:pt x="29" y="1"/>
                                        <a:pt x="28" y="0"/>
                                        <a:pt x="25" y="0"/>
                                      </a:cubicBezTo>
                                      <a:cubicBezTo>
                                        <a:pt x="23" y="0"/>
                                        <a:pt x="22" y="1"/>
                                        <a:pt x="22" y="3"/>
                                      </a:cubicBezTo>
                                      <a:cubicBezTo>
                                        <a:pt x="22" y="48"/>
                                        <a:pt x="22" y="48"/>
                                        <a:pt x="22" y="48"/>
                                      </a:cubicBezTo>
                                      <a:cubicBezTo>
                                        <a:pt x="7" y="33"/>
                                        <a:pt x="7" y="33"/>
                                        <a:pt x="7" y="33"/>
                                      </a:cubicBezTo>
                                      <a:cubicBezTo>
                                        <a:pt x="7" y="3"/>
                                        <a:pt x="7" y="3"/>
                                        <a:pt x="7" y="3"/>
                                      </a:cubicBezTo>
                                      <a:cubicBezTo>
                                        <a:pt x="7" y="1"/>
                                        <a:pt x="6" y="0"/>
                                        <a:pt x="4" y="0"/>
                                      </a:cubicBezTo>
                                      <a:cubicBezTo>
                                        <a:pt x="2" y="0"/>
                                        <a:pt x="0" y="1"/>
                                        <a:pt x="0" y="3"/>
                                      </a:cubicBezTo>
                                      <a:cubicBezTo>
                                        <a:pt x="0" y="136"/>
                                        <a:pt x="0" y="136"/>
                                        <a:pt x="0" y="136"/>
                                      </a:cubicBezTo>
                                      <a:cubicBezTo>
                                        <a:pt x="0" y="137"/>
                                        <a:pt x="0" y="137"/>
                                        <a:pt x="1" y="138"/>
                                      </a:cubicBezTo>
                                      <a:cubicBezTo>
                                        <a:pt x="22" y="159"/>
                                        <a:pt x="22" y="159"/>
                                        <a:pt x="22" y="159"/>
                                      </a:cubicBezTo>
                                      <a:cubicBezTo>
                                        <a:pt x="22" y="196"/>
                                        <a:pt x="22" y="196"/>
                                        <a:pt x="22" y="196"/>
                                      </a:cubicBezTo>
                                      <a:cubicBezTo>
                                        <a:pt x="22" y="199"/>
                                        <a:pt x="23" y="200"/>
                                        <a:pt x="25" y="200"/>
                                      </a:cubicBezTo>
                                      <a:cubicBezTo>
                                        <a:pt x="28" y="200"/>
                                        <a:pt x="29" y="199"/>
                                        <a:pt x="29" y="196"/>
                                      </a:cubicBezTo>
                                      <a:cubicBezTo>
                                        <a:pt x="29" y="159"/>
                                        <a:pt x="29" y="159"/>
                                        <a:pt x="29" y="159"/>
                                      </a:cubicBezTo>
                                      <a:cubicBezTo>
                                        <a:pt x="50" y="138"/>
                                        <a:pt x="50" y="138"/>
                                        <a:pt x="50" y="138"/>
                                      </a:cubicBezTo>
                                      <a:cubicBezTo>
                                        <a:pt x="51" y="137"/>
                                        <a:pt x="51" y="137"/>
                                        <a:pt x="51" y="136"/>
                                      </a:cubicBezTo>
                                      <a:cubicBezTo>
                                        <a:pt x="51" y="3"/>
                                        <a:pt x="51" y="3"/>
                                        <a:pt x="51" y="3"/>
                                      </a:cubicBezTo>
                                      <a:cubicBezTo>
                                        <a:pt x="51" y="1"/>
                                        <a:pt x="49" y="0"/>
                                        <a:pt x="4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1"/>
                              <wps:cNvSpPr>
                                <a:spLocks noEditPoints="1"/>
                              </wps:cNvSpPr>
                              <wps:spPr bwMode="auto">
                                <a:xfrm>
                                  <a:off x="73025" y="0"/>
                                  <a:ext cx="60325" cy="285750"/>
                                </a:xfrm>
                                <a:custGeom>
                                  <a:avLst/>
                                  <a:gdLst>
                                    <a:gd name="T0" fmla="*/ 29 w 51"/>
                                    <a:gd name="T1" fmla="*/ 126 h 234"/>
                                    <a:gd name="T2" fmla="*/ 43 w 51"/>
                                    <a:gd name="T3" fmla="*/ 111 h 234"/>
                                    <a:gd name="T4" fmla="*/ 43 w 51"/>
                                    <a:gd name="T5" fmla="*/ 134 h 234"/>
                                    <a:gd name="T6" fmla="*/ 29 w 51"/>
                                    <a:gd name="T7" fmla="*/ 148 h 234"/>
                                    <a:gd name="T8" fmla="*/ 29 w 51"/>
                                    <a:gd name="T9" fmla="*/ 126 h 234"/>
                                    <a:gd name="T10" fmla="*/ 7 w 51"/>
                                    <a:gd name="T11" fmla="*/ 111 h 234"/>
                                    <a:gd name="T12" fmla="*/ 22 w 51"/>
                                    <a:gd name="T13" fmla="*/ 126 h 234"/>
                                    <a:gd name="T14" fmla="*/ 22 w 51"/>
                                    <a:gd name="T15" fmla="*/ 148 h 234"/>
                                    <a:gd name="T16" fmla="*/ 7 w 51"/>
                                    <a:gd name="T17" fmla="*/ 134 h 234"/>
                                    <a:gd name="T18" fmla="*/ 7 w 51"/>
                                    <a:gd name="T19" fmla="*/ 111 h 234"/>
                                    <a:gd name="T20" fmla="*/ 7 w 51"/>
                                    <a:gd name="T21" fmla="*/ 78 h 234"/>
                                    <a:gd name="T22" fmla="*/ 22 w 51"/>
                                    <a:gd name="T23" fmla="*/ 92 h 234"/>
                                    <a:gd name="T24" fmla="*/ 22 w 51"/>
                                    <a:gd name="T25" fmla="*/ 115 h 234"/>
                                    <a:gd name="T26" fmla="*/ 7 w 51"/>
                                    <a:gd name="T27" fmla="*/ 100 h 234"/>
                                    <a:gd name="T28" fmla="*/ 7 w 51"/>
                                    <a:gd name="T29" fmla="*/ 78 h 234"/>
                                    <a:gd name="T30" fmla="*/ 43 w 51"/>
                                    <a:gd name="T31" fmla="*/ 100 h 234"/>
                                    <a:gd name="T32" fmla="*/ 29 w 51"/>
                                    <a:gd name="T33" fmla="*/ 115 h 234"/>
                                    <a:gd name="T34" fmla="*/ 29 w 51"/>
                                    <a:gd name="T35" fmla="*/ 92 h 234"/>
                                    <a:gd name="T36" fmla="*/ 43 w 51"/>
                                    <a:gd name="T37" fmla="*/ 78 h 234"/>
                                    <a:gd name="T38" fmla="*/ 43 w 51"/>
                                    <a:gd name="T39" fmla="*/ 100 h 234"/>
                                    <a:gd name="T40" fmla="*/ 25 w 51"/>
                                    <a:gd name="T41" fmla="*/ 66 h 234"/>
                                    <a:gd name="T42" fmla="*/ 29 w 51"/>
                                    <a:gd name="T43" fmla="*/ 62 h 234"/>
                                    <a:gd name="T44" fmla="*/ 29 w 51"/>
                                    <a:gd name="T45" fmla="*/ 59 h 234"/>
                                    <a:gd name="T46" fmla="*/ 43 w 51"/>
                                    <a:gd name="T47" fmla="*/ 44 h 234"/>
                                    <a:gd name="T48" fmla="*/ 43 w 51"/>
                                    <a:gd name="T49" fmla="*/ 67 h 234"/>
                                    <a:gd name="T50" fmla="*/ 29 w 51"/>
                                    <a:gd name="T51" fmla="*/ 81 h 234"/>
                                    <a:gd name="T52" fmla="*/ 29 w 51"/>
                                    <a:gd name="T53" fmla="*/ 77 h 234"/>
                                    <a:gd name="T54" fmla="*/ 25 w 51"/>
                                    <a:gd name="T55" fmla="*/ 73 h 234"/>
                                    <a:gd name="T56" fmla="*/ 22 w 51"/>
                                    <a:gd name="T57" fmla="*/ 77 h 234"/>
                                    <a:gd name="T58" fmla="*/ 22 w 51"/>
                                    <a:gd name="T59" fmla="*/ 81 h 234"/>
                                    <a:gd name="T60" fmla="*/ 7 w 51"/>
                                    <a:gd name="T61" fmla="*/ 67 h 234"/>
                                    <a:gd name="T62" fmla="*/ 7 w 51"/>
                                    <a:gd name="T63" fmla="*/ 44 h 234"/>
                                    <a:gd name="T64" fmla="*/ 22 w 51"/>
                                    <a:gd name="T65" fmla="*/ 59 h 234"/>
                                    <a:gd name="T66" fmla="*/ 22 w 51"/>
                                    <a:gd name="T67" fmla="*/ 62 h 234"/>
                                    <a:gd name="T68" fmla="*/ 25 w 51"/>
                                    <a:gd name="T69" fmla="*/ 66 h 234"/>
                                    <a:gd name="T70" fmla="*/ 47 w 51"/>
                                    <a:gd name="T71" fmla="*/ 0 h 234"/>
                                    <a:gd name="T72" fmla="*/ 43 w 51"/>
                                    <a:gd name="T73" fmla="*/ 3 h 234"/>
                                    <a:gd name="T74" fmla="*/ 43 w 51"/>
                                    <a:gd name="T75" fmla="*/ 33 h 234"/>
                                    <a:gd name="T76" fmla="*/ 29 w 51"/>
                                    <a:gd name="T77" fmla="*/ 48 h 234"/>
                                    <a:gd name="T78" fmla="*/ 29 w 51"/>
                                    <a:gd name="T79" fmla="*/ 3 h 234"/>
                                    <a:gd name="T80" fmla="*/ 25 w 51"/>
                                    <a:gd name="T81" fmla="*/ 0 h 234"/>
                                    <a:gd name="T82" fmla="*/ 22 w 51"/>
                                    <a:gd name="T83" fmla="*/ 3 h 234"/>
                                    <a:gd name="T84" fmla="*/ 22 w 51"/>
                                    <a:gd name="T85" fmla="*/ 48 h 234"/>
                                    <a:gd name="T86" fmla="*/ 7 w 51"/>
                                    <a:gd name="T87" fmla="*/ 33 h 234"/>
                                    <a:gd name="T88" fmla="*/ 7 w 51"/>
                                    <a:gd name="T89" fmla="*/ 3 h 234"/>
                                    <a:gd name="T90" fmla="*/ 4 w 51"/>
                                    <a:gd name="T91" fmla="*/ 0 h 234"/>
                                    <a:gd name="T92" fmla="*/ 0 w 51"/>
                                    <a:gd name="T93" fmla="*/ 3 h 234"/>
                                    <a:gd name="T94" fmla="*/ 0 w 51"/>
                                    <a:gd name="T95" fmla="*/ 135 h 234"/>
                                    <a:gd name="T96" fmla="*/ 1 w 51"/>
                                    <a:gd name="T97" fmla="*/ 138 h 234"/>
                                    <a:gd name="T98" fmla="*/ 22 w 51"/>
                                    <a:gd name="T99" fmla="*/ 159 h 234"/>
                                    <a:gd name="T100" fmla="*/ 22 w 51"/>
                                    <a:gd name="T101" fmla="*/ 230 h 234"/>
                                    <a:gd name="T102" fmla="*/ 25 w 51"/>
                                    <a:gd name="T103" fmla="*/ 234 h 234"/>
                                    <a:gd name="T104" fmla="*/ 29 w 51"/>
                                    <a:gd name="T105" fmla="*/ 230 h 234"/>
                                    <a:gd name="T106" fmla="*/ 29 w 51"/>
                                    <a:gd name="T107" fmla="*/ 159 h 234"/>
                                    <a:gd name="T108" fmla="*/ 50 w 51"/>
                                    <a:gd name="T109" fmla="*/ 138 h 234"/>
                                    <a:gd name="T110" fmla="*/ 51 w 51"/>
                                    <a:gd name="T111" fmla="*/ 135 h 234"/>
                                    <a:gd name="T112" fmla="*/ 51 w 51"/>
                                    <a:gd name="T113" fmla="*/ 3 h 234"/>
                                    <a:gd name="T114" fmla="*/ 47 w 51"/>
                                    <a:gd name="T115"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1" h="234">
                                      <a:moveTo>
                                        <a:pt x="29" y="126"/>
                                      </a:moveTo>
                                      <a:cubicBezTo>
                                        <a:pt x="43" y="111"/>
                                        <a:pt x="43" y="111"/>
                                        <a:pt x="43" y="111"/>
                                      </a:cubicBezTo>
                                      <a:cubicBezTo>
                                        <a:pt x="43" y="134"/>
                                        <a:pt x="43" y="134"/>
                                        <a:pt x="43" y="134"/>
                                      </a:cubicBezTo>
                                      <a:cubicBezTo>
                                        <a:pt x="29" y="148"/>
                                        <a:pt x="29" y="148"/>
                                        <a:pt x="29" y="148"/>
                                      </a:cubicBezTo>
                                      <a:lnTo>
                                        <a:pt x="29" y="126"/>
                                      </a:lnTo>
                                      <a:close/>
                                      <a:moveTo>
                                        <a:pt x="7" y="111"/>
                                      </a:moveTo>
                                      <a:cubicBezTo>
                                        <a:pt x="22" y="126"/>
                                        <a:pt x="22" y="126"/>
                                        <a:pt x="22" y="126"/>
                                      </a:cubicBezTo>
                                      <a:cubicBezTo>
                                        <a:pt x="22" y="148"/>
                                        <a:pt x="22" y="148"/>
                                        <a:pt x="22" y="148"/>
                                      </a:cubicBezTo>
                                      <a:cubicBezTo>
                                        <a:pt x="7" y="134"/>
                                        <a:pt x="7" y="134"/>
                                        <a:pt x="7" y="134"/>
                                      </a:cubicBezTo>
                                      <a:lnTo>
                                        <a:pt x="7" y="111"/>
                                      </a:lnTo>
                                      <a:close/>
                                      <a:moveTo>
                                        <a:pt x="7" y="78"/>
                                      </a:moveTo>
                                      <a:cubicBezTo>
                                        <a:pt x="22" y="92"/>
                                        <a:pt x="22" y="92"/>
                                        <a:pt x="22" y="92"/>
                                      </a:cubicBezTo>
                                      <a:cubicBezTo>
                                        <a:pt x="22" y="115"/>
                                        <a:pt x="22" y="115"/>
                                        <a:pt x="22" y="115"/>
                                      </a:cubicBezTo>
                                      <a:cubicBezTo>
                                        <a:pt x="7" y="100"/>
                                        <a:pt x="7" y="100"/>
                                        <a:pt x="7" y="100"/>
                                      </a:cubicBezTo>
                                      <a:lnTo>
                                        <a:pt x="7" y="78"/>
                                      </a:lnTo>
                                      <a:close/>
                                      <a:moveTo>
                                        <a:pt x="43" y="100"/>
                                      </a:moveTo>
                                      <a:cubicBezTo>
                                        <a:pt x="29" y="115"/>
                                        <a:pt x="29" y="115"/>
                                        <a:pt x="29" y="115"/>
                                      </a:cubicBezTo>
                                      <a:cubicBezTo>
                                        <a:pt x="29" y="92"/>
                                        <a:pt x="29" y="92"/>
                                        <a:pt x="29" y="92"/>
                                      </a:cubicBezTo>
                                      <a:cubicBezTo>
                                        <a:pt x="43" y="78"/>
                                        <a:pt x="43" y="78"/>
                                        <a:pt x="43" y="78"/>
                                      </a:cubicBezTo>
                                      <a:lnTo>
                                        <a:pt x="43" y="100"/>
                                      </a:lnTo>
                                      <a:close/>
                                      <a:moveTo>
                                        <a:pt x="25" y="66"/>
                                      </a:moveTo>
                                      <a:cubicBezTo>
                                        <a:pt x="27" y="66"/>
                                        <a:pt x="29" y="64"/>
                                        <a:pt x="29" y="62"/>
                                      </a:cubicBezTo>
                                      <a:cubicBezTo>
                                        <a:pt x="29" y="59"/>
                                        <a:pt x="29" y="59"/>
                                        <a:pt x="29" y="59"/>
                                      </a:cubicBezTo>
                                      <a:cubicBezTo>
                                        <a:pt x="43" y="44"/>
                                        <a:pt x="43" y="44"/>
                                        <a:pt x="43" y="44"/>
                                      </a:cubicBezTo>
                                      <a:cubicBezTo>
                                        <a:pt x="43" y="67"/>
                                        <a:pt x="43" y="67"/>
                                        <a:pt x="43" y="67"/>
                                      </a:cubicBezTo>
                                      <a:cubicBezTo>
                                        <a:pt x="29" y="81"/>
                                        <a:pt x="29" y="81"/>
                                        <a:pt x="29" y="81"/>
                                      </a:cubicBezTo>
                                      <a:cubicBezTo>
                                        <a:pt x="29" y="77"/>
                                        <a:pt x="29" y="77"/>
                                        <a:pt x="29" y="77"/>
                                      </a:cubicBezTo>
                                      <a:cubicBezTo>
                                        <a:pt x="29" y="75"/>
                                        <a:pt x="27" y="73"/>
                                        <a:pt x="25" y="73"/>
                                      </a:cubicBezTo>
                                      <a:cubicBezTo>
                                        <a:pt x="23" y="73"/>
                                        <a:pt x="22" y="75"/>
                                        <a:pt x="22" y="77"/>
                                      </a:cubicBezTo>
                                      <a:cubicBezTo>
                                        <a:pt x="22" y="81"/>
                                        <a:pt x="22" y="81"/>
                                        <a:pt x="22" y="81"/>
                                      </a:cubicBezTo>
                                      <a:cubicBezTo>
                                        <a:pt x="7" y="67"/>
                                        <a:pt x="7" y="67"/>
                                        <a:pt x="7" y="67"/>
                                      </a:cubicBezTo>
                                      <a:cubicBezTo>
                                        <a:pt x="7" y="44"/>
                                        <a:pt x="7" y="44"/>
                                        <a:pt x="7" y="44"/>
                                      </a:cubicBezTo>
                                      <a:cubicBezTo>
                                        <a:pt x="22" y="59"/>
                                        <a:pt x="22" y="59"/>
                                        <a:pt x="22" y="59"/>
                                      </a:cubicBezTo>
                                      <a:cubicBezTo>
                                        <a:pt x="22" y="62"/>
                                        <a:pt x="22" y="62"/>
                                        <a:pt x="22" y="62"/>
                                      </a:cubicBezTo>
                                      <a:cubicBezTo>
                                        <a:pt x="22" y="64"/>
                                        <a:pt x="23" y="66"/>
                                        <a:pt x="25" y="66"/>
                                      </a:cubicBezTo>
                                      <a:moveTo>
                                        <a:pt x="47" y="0"/>
                                      </a:moveTo>
                                      <a:cubicBezTo>
                                        <a:pt x="45" y="0"/>
                                        <a:pt x="43" y="1"/>
                                        <a:pt x="43" y="3"/>
                                      </a:cubicBezTo>
                                      <a:cubicBezTo>
                                        <a:pt x="43" y="33"/>
                                        <a:pt x="43" y="33"/>
                                        <a:pt x="43" y="33"/>
                                      </a:cubicBezTo>
                                      <a:cubicBezTo>
                                        <a:pt x="29" y="48"/>
                                        <a:pt x="29" y="48"/>
                                        <a:pt x="29" y="48"/>
                                      </a:cubicBezTo>
                                      <a:cubicBezTo>
                                        <a:pt x="29" y="3"/>
                                        <a:pt x="29" y="3"/>
                                        <a:pt x="29" y="3"/>
                                      </a:cubicBezTo>
                                      <a:cubicBezTo>
                                        <a:pt x="29" y="1"/>
                                        <a:pt x="27" y="0"/>
                                        <a:pt x="25" y="0"/>
                                      </a:cubicBezTo>
                                      <a:cubicBezTo>
                                        <a:pt x="23" y="0"/>
                                        <a:pt x="22" y="1"/>
                                        <a:pt x="22" y="3"/>
                                      </a:cubicBezTo>
                                      <a:cubicBezTo>
                                        <a:pt x="22" y="48"/>
                                        <a:pt x="22" y="48"/>
                                        <a:pt x="22" y="48"/>
                                      </a:cubicBezTo>
                                      <a:cubicBezTo>
                                        <a:pt x="7" y="33"/>
                                        <a:pt x="7" y="33"/>
                                        <a:pt x="7" y="33"/>
                                      </a:cubicBezTo>
                                      <a:cubicBezTo>
                                        <a:pt x="7" y="3"/>
                                        <a:pt x="7" y="3"/>
                                        <a:pt x="7" y="3"/>
                                      </a:cubicBezTo>
                                      <a:cubicBezTo>
                                        <a:pt x="7" y="1"/>
                                        <a:pt x="6" y="0"/>
                                        <a:pt x="4" y="0"/>
                                      </a:cubicBezTo>
                                      <a:cubicBezTo>
                                        <a:pt x="2" y="0"/>
                                        <a:pt x="0" y="1"/>
                                        <a:pt x="0" y="3"/>
                                      </a:cubicBezTo>
                                      <a:cubicBezTo>
                                        <a:pt x="0" y="135"/>
                                        <a:pt x="0" y="135"/>
                                        <a:pt x="0" y="135"/>
                                      </a:cubicBezTo>
                                      <a:cubicBezTo>
                                        <a:pt x="0" y="136"/>
                                        <a:pt x="0" y="137"/>
                                        <a:pt x="1" y="138"/>
                                      </a:cubicBezTo>
                                      <a:cubicBezTo>
                                        <a:pt x="22" y="159"/>
                                        <a:pt x="22" y="159"/>
                                        <a:pt x="22" y="159"/>
                                      </a:cubicBezTo>
                                      <a:cubicBezTo>
                                        <a:pt x="22" y="230"/>
                                        <a:pt x="22" y="230"/>
                                        <a:pt x="22" y="230"/>
                                      </a:cubicBezTo>
                                      <a:cubicBezTo>
                                        <a:pt x="22" y="233"/>
                                        <a:pt x="23" y="234"/>
                                        <a:pt x="25" y="234"/>
                                      </a:cubicBezTo>
                                      <a:cubicBezTo>
                                        <a:pt x="27" y="234"/>
                                        <a:pt x="29" y="233"/>
                                        <a:pt x="29" y="230"/>
                                      </a:cubicBezTo>
                                      <a:cubicBezTo>
                                        <a:pt x="29" y="159"/>
                                        <a:pt x="29" y="159"/>
                                        <a:pt x="29" y="159"/>
                                      </a:cubicBezTo>
                                      <a:cubicBezTo>
                                        <a:pt x="50" y="138"/>
                                        <a:pt x="50" y="138"/>
                                        <a:pt x="50" y="138"/>
                                      </a:cubicBezTo>
                                      <a:cubicBezTo>
                                        <a:pt x="51" y="137"/>
                                        <a:pt x="51" y="136"/>
                                        <a:pt x="51" y="135"/>
                                      </a:cubicBezTo>
                                      <a:cubicBezTo>
                                        <a:pt x="51" y="3"/>
                                        <a:pt x="51" y="3"/>
                                        <a:pt x="51" y="3"/>
                                      </a:cubicBezTo>
                                      <a:cubicBezTo>
                                        <a:pt x="51" y="1"/>
                                        <a:pt x="49" y="0"/>
                                        <a:pt x="4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6A0466E" id="Group 26" o:spid="_x0000_s1026" style="position:absolute;margin-left:30.05pt;margin-top:3.35pt;width:16.25pt;height:22.5pt;z-index:251651072;mso-width-relative:margin;mso-height-relative:margin" coordsize="2063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">
                      <v:shape id="Freeform 19" o:spid="_x0000_s1027" style="position:absolute;left:144462;top:41275;width:61913;height:244475;visibility:visible;mso-wrap-style:square;v-text-anchor:top" coordsize="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" path="m29,126c43,111,43,111,43,111v,23,,23,,23c29,149,29,149,29,149r,-23xm7,111v15,15,15,15,15,15c22,149,22,149,22,149,7,134,7,134,7,134r,-23xm22,81c7,67,7,67,7,67,7,44,7,44,7,44,22,59,22,59,22,59r,22xm43,67c29,81,29,81,29,81v,-22,,-22,,-22c43,44,43,44,43,44r,23xm43,100c29,115,29,115,29,115v,-4,,-4,,-4c29,109,27,107,25,107v-2,,-3,2,-3,4c22,115,22,115,22,115,7,100,7,100,7,100,7,78,7,78,7,78,22,92,22,92,22,92v,4,,4,,4c22,98,23,99,25,99v2,,4,-1,4,-3c29,92,29,92,29,92,43,78,43,78,43,78r,22xm47,c45,,43,1,43,3v,30,,30,,30c29,48,29,48,29,48,29,3,29,3,29,3,29,1,27,,25,,23,,22,1,22,3v,45,,45,,45c7,33,7,33,7,33,7,3,7,3,7,3,7,1,6,,3,,1,,,1,,3,,136,,136,,136v,1,,1,1,2c22,159,22,159,22,159v,37,,37,,37c22,199,23,200,25,200v2,,4,-1,4,-4c29,159,29,159,29,159,50,138,50,138,50,138v,-1,1,-1,1,-2c51,3,51,3,51,3,51,1,49,,47,e" filled="f" stroked="f">
                        <v:path arrowok="t" o:connecttype="custom" o:connectlocs="35205,154019;52201,135684;52201,163798;35205,182134;35205,154019;8498,135684;26708,154019;26708,182134;8498,163798;8498,135684;26708,99012;8498,81899;8498,53785;26708,72120;26708,99012;52201,81899;35205,99012;35205,72120;52201,53785;52201,81899;52201,122238;35205,140573;35205,135684;30350,130794;26708,135684;26708,140573;8498,122238;8498,95345;26708,112459;26708,117348;30350,121015;35205,117348;35205,112459;52201,95345;52201,122238;57057,0;52201,3667;52201,40338;35205,58674;35205,3667;30350,0;26708,3667;26708,58674;8498,40338;8498,3667;3642,0;0,3667;0,166243;1214,168688;26708,194358;26708,239586;30350,244475;35205,239586;35205,194358;60699,168688;61913,166243;61913,3667;57057,0" o:connectangles="0,0,0,0,0,0,0,0,0,0,0,0,0,0,0,0,0,0,0,0,0,0,0,0,0,0,0,0,0,0,0,0,0,0,0,0,0,0,0,0,0,0,0,0,0,0,0,0,0,0,0,0,0,0,0,0,0,0"/>
                        <o:lock v:ext="edit" verticies="t"/>
                      </v:shape>
                      <v:shape id="Freeform 20" o:spid="_x0000_s1028" style="position:absolute;top:41275;width:61913;height:244475;visibility:visible;mso-wrap-style:square;v-text-anchor:top" coordsize="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" path="m22,81c7,67,7,67,7,67,7,44,7,44,7,44,22,59,22,59,22,59r,22xm44,67c29,81,29,81,29,81v,-22,,-22,,-22c44,44,44,44,44,44m7,78c22,92,22,92,22,92v,23,,23,,23c7,100,7,100,7,100t37,c29,115,29,115,29,115v,-23,,-23,,-23c44,78,44,78,44,78r,22xm25,140v-2,,-3,2,-3,4c22,149,22,149,22,149,7,134,7,134,7,134v,-23,,-23,,-23c22,126,22,126,22,126v,3,,3,,3c22,131,23,133,25,133v3,,4,-2,4,-4c29,126,29,126,29,126,44,111,44,111,44,111v,23,,23,,23c29,149,29,149,29,149v,-5,,-5,,-5c29,142,28,140,25,140m47,c45,,44,1,44,3v,30,,30,,30c29,48,29,48,29,48,29,3,29,3,29,3,29,1,28,,25,,23,,22,1,22,3v,45,,45,,45c7,33,7,33,7,33,7,3,7,3,7,3,7,1,6,,4,,2,,,1,,3,,136,,136,,136v,1,,1,1,2c22,159,22,159,22,159v,37,,37,,37c22,199,23,200,25,200v3,,4,-1,4,-4c29,159,29,159,29,159,50,138,50,138,50,138v1,-1,1,-1,1,-2c51,3,51,3,51,3,51,1,49,,47,e" filled="f" stroked="f">
                        <v:path arrowok="t" o:connecttype="custom" o:connectlocs="26708,99012;8498,81899;8498,53785;26708,72120;26708,99012;53415,81899;35205,99012;35205,72120;53415,53785;8498,95345;26708,112459;26708,140573;8498,122238;53415,122238;35205,140573;35205,112459;53415,95345;53415,122238;30350,171133;26708,176022;26708,182134;8498,163798;8498,135684;26708,154019;26708,157686;30350,162576;35205,157686;35205,154019;53415,135684;53415,163798;35205,182134;35205,176022;30350,171133;57057,0;53415,3667;53415,40338;35205,58674;35205,3667;30350,0;26708,3667;26708,58674;8498,40338;8498,3667;4856,0;0,3667;0,166243;1214,168688;26708,194358;26708,239586;30350,244475;35205,239586;35205,194358;60699,168688;61913,166243;61913,3667;57057,0" o:connectangles="0,0,0,0,0,0,0,0,0,0,0,0,0,0,0,0,0,0,0,0,0,0,0,0,0,0,0,0,0,0,0,0,0,0,0,0,0,0,0,0,0,0,0,0,0,0,0,0,0,0,0,0,0,0,0,0"/>
                        <o:lock v:ext="edit" verticies="t"/>
                      </v:shape>
                      <v:shape id="Freeform 21" o:spid="_x0000_s1029" style="position:absolute;left:73025;width:60325;height:285750;visibility:visible;mso-wrap-style:square;v-text-anchor:top" coordsize="5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" path="m29,126c43,111,43,111,43,111v,23,,23,,23c29,148,29,148,29,148r,-22xm7,111v15,15,15,15,15,15c22,148,22,148,22,148,7,134,7,134,7,134r,-23xm7,78c22,92,22,92,22,92v,23,,23,,23c7,100,7,100,7,100l7,78xm43,100c29,115,29,115,29,115v,-23,,-23,,-23c43,78,43,78,43,78r,22xm25,66v2,,4,-2,4,-4c29,59,29,59,29,59,43,44,43,44,43,44v,23,,23,,23c29,81,29,81,29,81v,-4,,-4,,-4c29,75,27,73,25,73v-2,,-3,2,-3,4c22,81,22,81,22,81,7,67,7,67,7,67,7,44,7,44,7,44,22,59,22,59,22,59v,3,,3,,3c22,64,23,66,25,66m47,c45,,43,1,43,3v,30,,30,,30c29,48,29,48,29,48,29,3,29,3,29,3,29,1,27,,25,,23,,22,1,22,3v,45,,45,,45c7,33,7,33,7,33,7,3,7,3,7,3,7,1,6,,4,,2,,,1,,3,,135,,135,,135v,1,,2,1,3c22,159,22,159,22,159v,71,,71,,71c22,233,23,234,25,234v2,,4,-1,4,-4c29,159,29,159,29,159,50,138,50,138,50,138v1,-1,1,-2,1,-3c51,3,51,3,51,3,51,1,49,,47,e" filled="f" stroked="f">
                        <v:path arrowok="t" o:connecttype="custom" o:connectlocs="34302,153865;50862,135548;50862,163635;34302,180731;34302,153865;8280,135548;26023,153865;26023,180731;8280,163635;8280,135548;8280,95250;26023,112346;26023,140433;8280,122115;8280,95250;50862,122115;34302,140433;34302,112346;50862,95250;50862,122115;29571,80596;34302,75712;34302,72048;50862,53731;50862,81817;34302,98913;34302,94029;29571,89144;26023,94029;26023,98913;8280,81817;8280,53731;26023,72048;26023,75712;29571,80596;55594,0;50862,3663;50862,40298;34302,58615;34302,3663;29571,0;26023,3663;26023,58615;8280,40298;8280,3663;4731,0;0,3663;0,164856;1183,168519;26023,194163;26023,280865;29571,285750;34302,280865;34302,194163;59142,168519;60325,164856;60325,3663;55594,0" o:connectangles="0,0,0,0,0,0,0,0,0,0,0,0,0,0,0,0,0,0,0,0,0,0,0,0,0,0,0,0,0,0,0,0,0,0,0,0,0,0,0,0,0,0,0,0,0,0,0,0,0,0,0,0,0,0,0,0,0,0"/>
                        <o:lock v:ext="edit" verticies="t"/>
                      </v:shape>
                    </v:group>
                  </w:pict>
                </mc:Fallback>
              </mc:AlternateContent>
            </w:r>
          </w:p>
        </w:tc>
        <w:tc>
          <w:tcPr>
            <w:tcW w:w="1843" w:type="dxa"/>
            <w:tcBorders>
              <w:top w:val="single" w:sz="6" w:space="0" w:color="FFFFFF" w:themeColor="background1"/>
              <w:bottom w:val="single" w:sz="6" w:space="0" w:color="FFFFFF" w:themeColor="background1"/>
            </w:tcBorders>
            <w:shd w:val="clear" w:color="auto" w:fill="5B9BD5" w:themeFill="accent1"/>
          </w:tcPr>
          <w:p>
            <w:pPr>
              <w:suppressAutoHyphens/>
              <w:rPr>
                <w:noProof/>
                <w:color w:val="F26A47"/>
              </w:rPr>
            </w:pPr>
            <w:r>
              <w:rPr>
                <w:noProof/>
                <w:color w:val="F26A47"/>
                <w:lang w:eastAsia="en-GB"/>
              </w:rPr>
              <mc:AlternateContent>
                <mc:Choice Requires="wpg">
                  <w:drawing>
                    <wp:anchor distT="0" distB="0" distL="114300" distR="114300" simplePos="0" relativeHeight="251654144" behindDoc="0" locked="0" layoutInCell="1" allowOverlap="1">
                      <wp:simplePos x="0" y="0"/>
                      <wp:positionH relativeFrom="column">
                        <wp:posOffset>361315</wp:posOffset>
                      </wp:positionH>
                      <wp:positionV relativeFrom="paragraph">
                        <wp:posOffset>63206</wp:posOffset>
                      </wp:positionV>
                      <wp:extent cx="217805" cy="234950"/>
                      <wp:effectExtent l="95250" t="0" r="0" b="0"/>
                      <wp:wrapNone/>
                      <wp:docPr id="14" name="Group 5"/>
                      <wp:cNvGraphicFramePr/>
                      <a:graphic xmlns:a="http://schemas.openxmlformats.org/drawingml/2006/main">
                        <a:graphicData uri="http://schemas.microsoft.com/office/word/2010/wordprocessingGroup">
                          <wpg:wgp>
                            <wpg:cNvGrpSpPr/>
                            <wpg:grpSpPr bwMode="auto">
                              <a:xfrm>
                                <a:off x="0" y="0"/>
                                <a:ext cx="217805" cy="234950"/>
                                <a:chOff x="0" y="0"/>
                                <a:chExt cx="1429" cy="1543"/>
                              </a:xfrm>
                              <a:solidFill>
                                <a:sysClr val="window" lastClr="FFFFFF"/>
                              </a:solidFill>
                            </wpg:grpSpPr>
                            <wps:wsp>
                              <wps:cNvPr id="15" name="Freeform 15"/>
                              <wps:cNvSpPr>
                                <a:spLocks/>
                              </wps:cNvSpPr>
                              <wps:spPr bwMode="auto">
                                <a:xfrm>
                                  <a:off x="0" y="3"/>
                                  <a:ext cx="68" cy="1540"/>
                                </a:xfrm>
                                <a:custGeom>
                                  <a:avLst/>
                                  <a:gdLst>
                                    <a:gd name="T0" fmla="*/ 15 w 29"/>
                                    <a:gd name="T1" fmla="*/ 652 h 652"/>
                                    <a:gd name="T2" fmla="*/ 0 w 29"/>
                                    <a:gd name="T3" fmla="*/ 637 h 652"/>
                                    <a:gd name="T4" fmla="*/ 0 w 29"/>
                                    <a:gd name="T5" fmla="*/ 15 h 652"/>
                                    <a:gd name="T6" fmla="*/ 15 w 29"/>
                                    <a:gd name="T7" fmla="*/ 0 h 652"/>
                                    <a:gd name="T8" fmla="*/ 29 w 29"/>
                                    <a:gd name="T9" fmla="*/ 15 h 652"/>
                                    <a:gd name="T10" fmla="*/ 29 w 29"/>
                                    <a:gd name="T11" fmla="*/ 637 h 652"/>
                                    <a:gd name="T12" fmla="*/ 15 w 29"/>
                                    <a:gd name="T13" fmla="*/ 652 h 652"/>
                                  </a:gdLst>
                                  <a:ahLst/>
                                  <a:cxnLst>
                                    <a:cxn ang="0">
                                      <a:pos x="T0" y="T1"/>
                                    </a:cxn>
                                    <a:cxn ang="0">
                                      <a:pos x="T2" y="T3"/>
                                    </a:cxn>
                                    <a:cxn ang="0">
                                      <a:pos x="T4" y="T5"/>
                                    </a:cxn>
                                    <a:cxn ang="0">
                                      <a:pos x="T6" y="T7"/>
                                    </a:cxn>
                                    <a:cxn ang="0">
                                      <a:pos x="T8" y="T9"/>
                                    </a:cxn>
                                    <a:cxn ang="0">
                                      <a:pos x="T10" y="T11"/>
                                    </a:cxn>
                                    <a:cxn ang="0">
                                      <a:pos x="T12" y="T13"/>
                                    </a:cxn>
                                  </a:cxnLst>
                                  <a:rect l="0" t="0" r="r" b="b"/>
                                  <a:pathLst>
                                    <a:path w="29" h="652">
                                      <a:moveTo>
                                        <a:pt x="15" y="652"/>
                                      </a:moveTo>
                                      <a:cubicBezTo>
                                        <a:pt x="7" y="652"/>
                                        <a:pt x="0" y="645"/>
                                        <a:pt x="0" y="637"/>
                                      </a:cubicBezTo>
                                      <a:cubicBezTo>
                                        <a:pt x="0" y="15"/>
                                        <a:pt x="0" y="15"/>
                                        <a:pt x="0" y="15"/>
                                      </a:cubicBezTo>
                                      <a:cubicBezTo>
                                        <a:pt x="0" y="7"/>
                                        <a:pt x="7" y="0"/>
                                        <a:pt x="15" y="0"/>
                                      </a:cubicBezTo>
                                      <a:cubicBezTo>
                                        <a:pt x="22" y="0"/>
                                        <a:pt x="29" y="7"/>
                                        <a:pt x="29" y="15"/>
                                      </a:cubicBezTo>
                                      <a:cubicBezTo>
                                        <a:pt x="29" y="637"/>
                                        <a:pt x="29" y="637"/>
                                        <a:pt x="29" y="637"/>
                                      </a:cubicBezTo>
                                      <a:cubicBezTo>
                                        <a:pt x="29" y="645"/>
                                        <a:pt x="22" y="652"/>
                                        <a:pt x="15" y="65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16"/>
                              <wps:cNvSpPr>
                                <a:spLocks noEditPoints="1"/>
                              </wps:cNvSpPr>
                              <wps:spPr bwMode="auto">
                                <a:xfrm>
                                  <a:off x="0" y="0"/>
                                  <a:ext cx="1429" cy="1330"/>
                                </a:xfrm>
                                <a:custGeom>
                                  <a:avLst/>
                                  <a:gdLst>
                                    <a:gd name="T0" fmla="*/ 468 w 605"/>
                                    <a:gd name="T1" fmla="*/ 563 h 563"/>
                                    <a:gd name="T2" fmla="*/ 296 w 605"/>
                                    <a:gd name="T3" fmla="*/ 509 h 563"/>
                                    <a:gd name="T4" fmla="*/ 136 w 605"/>
                                    <a:gd name="T5" fmla="*/ 459 h 563"/>
                                    <a:gd name="T6" fmla="*/ 24 w 605"/>
                                    <a:gd name="T7" fmla="*/ 507 h 563"/>
                                    <a:gd name="T8" fmla="*/ 9 w 605"/>
                                    <a:gd name="T9" fmla="*/ 510 h 563"/>
                                    <a:gd name="T10" fmla="*/ 0 w 605"/>
                                    <a:gd name="T11" fmla="*/ 496 h 563"/>
                                    <a:gd name="T12" fmla="*/ 0 w 605"/>
                                    <a:gd name="T13" fmla="*/ 67 h 563"/>
                                    <a:gd name="T14" fmla="*/ 5 w 605"/>
                                    <a:gd name="T15" fmla="*/ 56 h 563"/>
                                    <a:gd name="T16" fmla="*/ 136 w 605"/>
                                    <a:gd name="T17" fmla="*/ 0 h 563"/>
                                    <a:gd name="T18" fmla="*/ 308 w 605"/>
                                    <a:gd name="T19" fmla="*/ 54 h 563"/>
                                    <a:gd name="T20" fmla="*/ 468 w 605"/>
                                    <a:gd name="T21" fmla="*/ 104 h 563"/>
                                    <a:gd name="T22" fmla="*/ 580 w 605"/>
                                    <a:gd name="T23" fmla="*/ 56 h 563"/>
                                    <a:gd name="T24" fmla="*/ 597 w 605"/>
                                    <a:gd name="T25" fmla="*/ 54 h 563"/>
                                    <a:gd name="T26" fmla="*/ 603 w 605"/>
                                    <a:gd name="T27" fmla="*/ 71 h 563"/>
                                    <a:gd name="T28" fmla="*/ 519 w 605"/>
                                    <a:gd name="T29" fmla="*/ 329 h 563"/>
                                    <a:gd name="T30" fmla="*/ 601 w 605"/>
                                    <a:gd name="T31" fmla="*/ 489 h 563"/>
                                    <a:gd name="T32" fmla="*/ 599 w 605"/>
                                    <a:gd name="T33" fmla="*/ 507 h 563"/>
                                    <a:gd name="T34" fmla="*/ 468 w 605"/>
                                    <a:gd name="T35" fmla="*/ 563 h 563"/>
                                    <a:gd name="T36" fmla="*/ 136 w 605"/>
                                    <a:gd name="T37" fmla="*/ 430 h 563"/>
                                    <a:gd name="T38" fmla="*/ 308 w 605"/>
                                    <a:gd name="T39" fmla="*/ 483 h 563"/>
                                    <a:gd name="T40" fmla="*/ 468 w 605"/>
                                    <a:gd name="T41" fmla="*/ 534 h 563"/>
                                    <a:gd name="T42" fmla="*/ 571 w 605"/>
                                    <a:gd name="T43" fmla="*/ 494 h 563"/>
                                    <a:gd name="T44" fmla="*/ 490 w 605"/>
                                    <a:gd name="T45" fmla="*/ 336 h 563"/>
                                    <a:gd name="T46" fmla="*/ 490 w 605"/>
                                    <a:gd name="T47" fmla="*/ 325 h 563"/>
                                    <a:gd name="T48" fmla="*/ 563 w 605"/>
                                    <a:gd name="T49" fmla="*/ 105 h 563"/>
                                    <a:gd name="T50" fmla="*/ 468 w 605"/>
                                    <a:gd name="T51" fmla="*/ 133 h 563"/>
                                    <a:gd name="T52" fmla="*/ 296 w 605"/>
                                    <a:gd name="T53" fmla="*/ 80 h 563"/>
                                    <a:gd name="T54" fmla="*/ 136 w 605"/>
                                    <a:gd name="T55" fmla="*/ 29 h 563"/>
                                    <a:gd name="T56" fmla="*/ 29 w 605"/>
                                    <a:gd name="T57" fmla="*/ 73 h 563"/>
                                    <a:gd name="T58" fmla="*/ 29 w 605"/>
                                    <a:gd name="T59" fmla="*/ 466 h 563"/>
                                    <a:gd name="T60" fmla="*/ 136 w 605"/>
                                    <a:gd name="T61" fmla="*/ 43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05" h="563">
                                      <a:moveTo>
                                        <a:pt x="468" y="563"/>
                                      </a:moveTo>
                                      <a:cubicBezTo>
                                        <a:pt x="409" y="563"/>
                                        <a:pt x="352" y="536"/>
                                        <a:pt x="296" y="509"/>
                                      </a:cubicBezTo>
                                      <a:cubicBezTo>
                                        <a:pt x="240" y="483"/>
                                        <a:pt x="188" y="459"/>
                                        <a:pt x="136" y="459"/>
                                      </a:cubicBezTo>
                                      <a:cubicBezTo>
                                        <a:pt x="95" y="459"/>
                                        <a:pt x="59" y="474"/>
                                        <a:pt x="24" y="507"/>
                                      </a:cubicBezTo>
                                      <a:cubicBezTo>
                                        <a:pt x="20" y="511"/>
                                        <a:pt x="14" y="512"/>
                                        <a:pt x="9" y="510"/>
                                      </a:cubicBezTo>
                                      <a:cubicBezTo>
                                        <a:pt x="4" y="507"/>
                                        <a:pt x="0" y="502"/>
                                        <a:pt x="0" y="496"/>
                                      </a:cubicBezTo>
                                      <a:cubicBezTo>
                                        <a:pt x="0" y="67"/>
                                        <a:pt x="0" y="67"/>
                                        <a:pt x="0" y="67"/>
                                      </a:cubicBezTo>
                                      <a:cubicBezTo>
                                        <a:pt x="0" y="63"/>
                                        <a:pt x="2" y="59"/>
                                        <a:pt x="5" y="56"/>
                                      </a:cubicBezTo>
                                      <a:cubicBezTo>
                                        <a:pt x="45" y="18"/>
                                        <a:pt x="88" y="0"/>
                                        <a:pt x="136" y="0"/>
                                      </a:cubicBezTo>
                                      <a:cubicBezTo>
                                        <a:pt x="195" y="0"/>
                                        <a:pt x="252" y="27"/>
                                        <a:pt x="308" y="54"/>
                                      </a:cubicBezTo>
                                      <a:cubicBezTo>
                                        <a:pt x="363" y="80"/>
                                        <a:pt x="416" y="104"/>
                                        <a:pt x="468" y="104"/>
                                      </a:cubicBezTo>
                                      <a:cubicBezTo>
                                        <a:pt x="509" y="104"/>
                                        <a:pt x="545" y="89"/>
                                        <a:pt x="580" y="56"/>
                                      </a:cubicBezTo>
                                      <a:cubicBezTo>
                                        <a:pt x="584" y="52"/>
                                        <a:pt x="591" y="51"/>
                                        <a:pt x="597" y="54"/>
                                      </a:cubicBezTo>
                                      <a:cubicBezTo>
                                        <a:pt x="602" y="58"/>
                                        <a:pt x="605" y="64"/>
                                        <a:pt x="603" y="71"/>
                                      </a:cubicBezTo>
                                      <a:cubicBezTo>
                                        <a:pt x="576" y="163"/>
                                        <a:pt x="549" y="247"/>
                                        <a:pt x="519" y="329"/>
                                      </a:cubicBezTo>
                                      <a:cubicBezTo>
                                        <a:pt x="548" y="396"/>
                                        <a:pt x="575" y="448"/>
                                        <a:pt x="601" y="489"/>
                                      </a:cubicBezTo>
                                      <a:cubicBezTo>
                                        <a:pt x="605" y="494"/>
                                        <a:pt x="604" y="502"/>
                                        <a:pt x="599" y="507"/>
                                      </a:cubicBezTo>
                                      <a:cubicBezTo>
                                        <a:pt x="559" y="545"/>
                                        <a:pt x="516" y="563"/>
                                        <a:pt x="468" y="563"/>
                                      </a:cubicBezTo>
                                      <a:close/>
                                      <a:moveTo>
                                        <a:pt x="136" y="430"/>
                                      </a:moveTo>
                                      <a:cubicBezTo>
                                        <a:pt x="195" y="430"/>
                                        <a:pt x="252" y="457"/>
                                        <a:pt x="308" y="483"/>
                                      </a:cubicBezTo>
                                      <a:cubicBezTo>
                                        <a:pt x="363" y="509"/>
                                        <a:pt x="416" y="534"/>
                                        <a:pt x="468" y="534"/>
                                      </a:cubicBezTo>
                                      <a:cubicBezTo>
                                        <a:pt x="505" y="534"/>
                                        <a:pt x="539" y="521"/>
                                        <a:pt x="571" y="494"/>
                                      </a:cubicBezTo>
                                      <a:cubicBezTo>
                                        <a:pt x="545" y="452"/>
                                        <a:pt x="519" y="401"/>
                                        <a:pt x="490" y="336"/>
                                      </a:cubicBezTo>
                                      <a:cubicBezTo>
                                        <a:pt x="488" y="332"/>
                                        <a:pt x="488" y="328"/>
                                        <a:pt x="490" y="325"/>
                                      </a:cubicBezTo>
                                      <a:cubicBezTo>
                                        <a:pt x="516" y="255"/>
                                        <a:pt x="540" y="182"/>
                                        <a:pt x="563" y="105"/>
                                      </a:cubicBezTo>
                                      <a:cubicBezTo>
                                        <a:pt x="533" y="124"/>
                                        <a:pt x="502" y="133"/>
                                        <a:pt x="468" y="133"/>
                                      </a:cubicBezTo>
                                      <a:cubicBezTo>
                                        <a:pt x="409" y="133"/>
                                        <a:pt x="352" y="106"/>
                                        <a:pt x="296" y="80"/>
                                      </a:cubicBezTo>
                                      <a:cubicBezTo>
                                        <a:pt x="240" y="54"/>
                                        <a:pt x="188" y="29"/>
                                        <a:pt x="136" y="29"/>
                                      </a:cubicBezTo>
                                      <a:cubicBezTo>
                                        <a:pt x="97" y="29"/>
                                        <a:pt x="62" y="43"/>
                                        <a:pt x="29" y="73"/>
                                      </a:cubicBezTo>
                                      <a:cubicBezTo>
                                        <a:pt x="29" y="466"/>
                                        <a:pt x="29" y="466"/>
                                        <a:pt x="29" y="466"/>
                                      </a:cubicBezTo>
                                      <a:cubicBezTo>
                                        <a:pt x="62" y="442"/>
                                        <a:pt x="97" y="430"/>
                                        <a:pt x="136" y="43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3FFE84" id="Group 5" o:spid="_x0000_s1026" style="position:absolute;margin-left:28.45pt;margin-top:5pt;width:17.15pt;height:18.5pt;z-index:251654144;mso-width-relative:margin;mso-height-relative:margin" coordsize="1429,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">
                      <v:shape id="Freeform 15" o:spid="_x0000_s1027" style="position:absolute;top:3;width:68;height:1540;visibility:visible;mso-wrap-style:square;v-text-anchor:top" coordsize="2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" path="m15,652c7,652,,645,,637,,15,,15,,15,,7,7,,15,v7,,14,7,14,15c29,637,29,637,29,637v,8,-7,15,-14,15xe" filled="f" stroked="f">
                        <v:path arrowok="t" o:connecttype="custom" o:connectlocs="35,1540;0,1505;0,35;35,0;68,35;68,1505;35,1540" o:connectangles="0,0,0,0,0,0,0"/>
                      </v:shape>
                      <v:shape id="Freeform 16" o:spid="_x0000_s1028" style="position:absolute;width:1429;height:1330;visibility:visible;mso-wrap-style:square;v-text-anchor:top" coordsize="60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" path="m468,563v-59,,-116,-27,-172,-54c240,483,188,459,136,459v-41,,-77,15,-112,48c20,511,14,512,9,510,4,507,,502,,496,,67,,67,,67,,63,2,59,5,56,45,18,88,,136,v59,,116,27,172,54c363,80,416,104,468,104v41,,77,-15,112,-48c584,52,591,51,597,54v5,4,8,10,6,17c576,163,549,247,519,329v29,67,56,119,82,160c605,494,604,502,599,507v-40,38,-83,56,-131,56xm136,430v59,,116,27,172,53c363,509,416,534,468,534v37,,71,-13,103,-40c545,452,519,401,490,336v-2,-4,-2,-8,,-11c516,255,540,182,563,105v-30,19,-61,28,-95,28c409,133,352,106,296,80,240,54,188,29,136,29,97,29,62,43,29,73v,393,,393,,393c62,442,97,430,136,430xe" filled="f" stroked="f">
                        <v:path arrowok="t" o:connecttype="custom" o:connectlocs="1105,1330;699,1202;321,1084;57,1198;21,1205;0,1172;0,158;12,132;321,0;727,128;1105,246;1370,132;1410,128;1424,168;1226,777;1420,1155;1415,1198;1105,1330;321,1016;727,1141;1105,1261;1349,1167;1157,794;1157,768;1330,248;1105,314;699,189;321,69;68,172;68,1101;321,1016" o:connectangles="0,0,0,0,0,0,0,0,0,0,0,0,0,0,0,0,0,0,0,0,0,0,0,0,0,0,0,0,0,0,0"/>
                        <o:lock v:ext="edit" verticies="t"/>
                      </v:shape>
                    </v:group>
                  </w:pict>
                </mc:Fallback>
              </mc:AlternateContent>
            </w:r>
            <w:r>
              <w:rPr>
                <w:noProof/>
                <w:color w:val="F26A47"/>
                <w:lang w:eastAsia="en-GB"/>
              </w:rPr>
              <mc:AlternateContent>
                <mc:Choice Requires="wpg">
                  <w:drawing>
                    <wp:anchor distT="0" distB="0" distL="114300" distR="114300" simplePos="0" relativeHeight="251656192" behindDoc="0" locked="0" layoutInCell="1" allowOverlap="1">
                      <wp:simplePos x="0" y="0"/>
                      <wp:positionH relativeFrom="column">
                        <wp:posOffset>691515</wp:posOffset>
                      </wp:positionH>
                      <wp:positionV relativeFrom="paragraph">
                        <wp:posOffset>60630</wp:posOffset>
                      </wp:positionV>
                      <wp:extent cx="250190" cy="248920"/>
                      <wp:effectExtent l="0" t="38100" r="35560" b="0"/>
                      <wp:wrapNone/>
                      <wp:docPr id="3" name="Group 61"/>
                      <wp:cNvGraphicFramePr/>
                      <a:graphic xmlns:a="http://schemas.openxmlformats.org/drawingml/2006/main">
                        <a:graphicData uri="http://schemas.microsoft.com/office/word/2010/wordprocessingGroup">
                          <wpg:wgp>
                            <wpg:cNvGrpSpPr/>
                            <wpg:grpSpPr bwMode="auto">
                              <a:xfrm>
                                <a:off x="0" y="0"/>
                                <a:ext cx="250190" cy="248920"/>
                                <a:chOff x="0" y="0"/>
                                <a:chExt cx="1793" cy="1786"/>
                              </a:xfrm>
                              <a:solidFill>
                                <a:sysClr val="window" lastClr="FFFFFF"/>
                              </a:solidFill>
                            </wpg:grpSpPr>
                            <wps:wsp>
                              <wps:cNvPr id="9" name="Freeform 9"/>
                              <wps:cNvSpPr>
                                <a:spLocks/>
                              </wps:cNvSpPr>
                              <wps:spPr bwMode="auto">
                                <a:xfrm>
                                  <a:off x="1309" y="10"/>
                                  <a:ext cx="484" cy="160"/>
                                </a:xfrm>
                                <a:custGeom>
                                  <a:avLst/>
                                  <a:gdLst>
                                    <a:gd name="T0" fmla="*/ 10 w 205"/>
                                    <a:gd name="T1" fmla="*/ 52 h 68"/>
                                    <a:gd name="T2" fmla="*/ 35 w 205"/>
                                    <a:gd name="T3" fmla="*/ 48 h 68"/>
                                    <a:gd name="T4" fmla="*/ 82 w 205"/>
                                    <a:gd name="T5" fmla="*/ 47 h 68"/>
                                    <a:gd name="T6" fmla="*/ 149 w 205"/>
                                    <a:gd name="T7" fmla="*/ 68 h 68"/>
                                    <a:gd name="T8" fmla="*/ 194 w 205"/>
                                    <a:gd name="T9" fmla="*/ 54 h 68"/>
                                    <a:gd name="T10" fmla="*/ 200 w 205"/>
                                    <a:gd name="T11" fmla="*/ 30 h 68"/>
                                    <a:gd name="T12" fmla="*/ 175 w 205"/>
                                    <a:gd name="T13" fmla="*/ 24 h 68"/>
                                    <a:gd name="T14" fmla="*/ 97 w 205"/>
                                    <a:gd name="T15" fmla="*/ 15 h 68"/>
                                    <a:gd name="T16" fmla="*/ 55 w 205"/>
                                    <a:gd name="T17" fmla="*/ 1 h 68"/>
                                    <a:gd name="T18" fmla="*/ 6 w 205"/>
                                    <a:gd name="T19" fmla="*/ 27 h 68"/>
                                    <a:gd name="T20" fmla="*/ 10 w 205"/>
                                    <a:gd name="T21" fmla="*/ 5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5" h="68">
                                      <a:moveTo>
                                        <a:pt x="10" y="52"/>
                                      </a:moveTo>
                                      <a:cubicBezTo>
                                        <a:pt x="18" y="58"/>
                                        <a:pt x="29" y="56"/>
                                        <a:pt x="35" y="48"/>
                                      </a:cubicBezTo>
                                      <a:cubicBezTo>
                                        <a:pt x="46" y="33"/>
                                        <a:pt x="55" y="34"/>
                                        <a:pt x="82" y="47"/>
                                      </a:cubicBezTo>
                                      <a:cubicBezTo>
                                        <a:pt x="101" y="57"/>
                                        <a:pt x="124" y="68"/>
                                        <a:pt x="149" y="68"/>
                                      </a:cubicBezTo>
                                      <a:cubicBezTo>
                                        <a:pt x="163" y="68"/>
                                        <a:pt x="178" y="64"/>
                                        <a:pt x="194" y="54"/>
                                      </a:cubicBezTo>
                                      <a:cubicBezTo>
                                        <a:pt x="202" y="49"/>
                                        <a:pt x="205" y="38"/>
                                        <a:pt x="200" y="30"/>
                                      </a:cubicBezTo>
                                      <a:cubicBezTo>
                                        <a:pt x="194" y="21"/>
                                        <a:pt x="183" y="19"/>
                                        <a:pt x="175" y="24"/>
                                      </a:cubicBezTo>
                                      <a:cubicBezTo>
                                        <a:pt x="150" y="39"/>
                                        <a:pt x="129" y="30"/>
                                        <a:pt x="97" y="15"/>
                                      </a:cubicBezTo>
                                      <a:cubicBezTo>
                                        <a:pt x="84" y="8"/>
                                        <a:pt x="70" y="2"/>
                                        <a:pt x="55" y="1"/>
                                      </a:cubicBezTo>
                                      <a:cubicBezTo>
                                        <a:pt x="36" y="0"/>
                                        <a:pt x="19" y="9"/>
                                        <a:pt x="6" y="27"/>
                                      </a:cubicBezTo>
                                      <a:cubicBezTo>
                                        <a:pt x="0" y="35"/>
                                        <a:pt x="2" y="46"/>
                                        <a:pt x="10" y="5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1224" y="213"/>
                                  <a:ext cx="345" cy="534"/>
                                </a:xfrm>
                                <a:custGeom>
                                  <a:avLst/>
                                  <a:gdLst>
                                    <a:gd name="T0" fmla="*/ 10 w 146"/>
                                    <a:gd name="T1" fmla="*/ 89 h 226"/>
                                    <a:gd name="T2" fmla="*/ 10 w 146"/>
                                    <a:gd name="T3" fmla="*/ 182 h 226"/>
                                    <a:gd name="T4" fmla="*/ 28 w 146"/>
                                    <a:gd name="T5" fmla="*/ 200 h 226"/>
                                    <a:gd name="T6" fmla="*/ 46 w 146"/>
                                    <a:gd name="T7" fmla="*/ 182 h 226"/>
                                    <a:gd name="T8" fmla="*/ 46 w 146"/>
                                    <a:gd name="T9" fmla="*/ 73 h 226"/>
                                    <a:gd name="T10" fmla="*/ 36 w 146"/>
                                    <a:gd name="T11" fmla="*/ 57 h 226"/>
                                    <a:gd name="T12" fmla="*/ 36 w 146"/>
                                    <a:gd name="T13" fmla="*/ 36 h 226"/>
                                    <a:gd name="T14" fmla="*/ 110 w 146"/>
                                    <a:gd name="T15" fmla="*/ 36 h 226"/>
                                    <a:gd name="T16" fmla="*/ 110 w 146"/>
                                    <a:gd name="T17" fmla="*/ 57 h 226"/>
                                    <a:gd name="T18" fmla="*/ 100 w 146"/>
                                    <a:gd name="T19" fmla="*/ 73 h 226"/>
                                    <a:gd name="T20" fmla="*/ 100 w 146"/>
                                    <a:gd name="T21" fmla="*/ 208 h 226"/>
                                    <a:gd name="T22" fmla="*/ 118 w 146"/>
                                    <a:gd name="T23" fmla="*/ 226 h 226"/>
                                    <a:gd name="T24" fmla="*/ 136 w 146"/>
                                    <a:gd name="T25" fmla="*/ 208 h 226"/>
                                    <a:gd name="T26" fmla="*/ 136 w 146"/>
                                    <a:gd name="T27" fmla="*/ 89 h 226"/>
                                    <a:gd name="T28" fmla="*/ 146 w 146"/>
                                    <a:gd name="T29" fmla="*/ 73 h 226"/>
                                    <a:gd name="T30" fmla="*/ 146 w 146"/>
                                    <a:gd name="T31" fmla="*/ 18 h 226"/>
                                    <a:gd name="T32" fmla="*/ 128 w 146"/>
                                    <a:gd name="T33" fmla="*/ 0 h 226"/>
                                    <a:gd name="T34" fmla="*/ 18 w 146"/>
                                    <a:gd name="T35" fmla="*/ 0 h 226"/>
                                    <a:gd name="T36" fmla="*/ 0 w 146"/>
                                    <a:gd name="T37" fmla="*/ 18 h 226"/>
                                    <a:gd name="T38" fmla="*/ 0 w 146"/>
                                    <a:gd name="T39" fmla="*/ 73 h 226"/>
                                    <a:gd name="T40" fmla="*/ 10 w 146"/>
                                    <a:gd name="T41" fmla="*/ 8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6" h="226">
                                      <a:moveTo>
                                        <a:pt x="10" y="89"/>
                                      </a:moveTo>
                                      <a:cubicBezTo>
                                        <a:pt x="10" y="182"/>
                                        <a:pt x="10" y="182"/>
                                        <a:pt x="10" y="182"/>
                                      </a:cubicBezTo>
                                      <a:cubicBezTo>
                                        <a:pt x="10" y="192"/>
                                        <a:pt x="18" y="200"/>
                                        <a:pt x="28" y="200"/>
                                      </a:cubicBezTo>
                                      <a:cubicBezTo>
                                        <a:pt x="38" y="200"/>
                                        <a:pt x="46" y="192"/>
                                        <a:pt x="46" y="182"/>
                                      </a:cubicBezTo>
                                      <a:cubicBezTo>
                                        <a:pt x="46" y="73"/>
                                        <a:pt x="46" y="73"/>
                                        <a:pt x="46" y="73"/>
                                      </a:cubicBezTo>
                                      <a:cubicBezTo>
                                        <a:pt x="46" y="66"/>
                                        <a:pt x="42" y="60"/>
                                        <a:pt x="36" y="57"/>
                                      </a:cubicBezTo>
                                      <a:cubicBezTo>
                                        <a:pt x="36" y="36"/>
                                        <a:pt x="36" y="36"/>
                                        <a:pt x="36" y="36"/>
                                      </a:cubicBezTo>
                                      <a:cubicBezTo>
                                        <a:pt x="110" y="36"/>
                                        <a:pt x="110" y="36"/>
                                        <a:pt x="110" y="36"/>
                                      </a:cubicBezTo>
                                      <a:cubicBezTo>
                                        <a:pt x="110" y="57"/>
                                        <a:pt x="110" y="57"/>
                                        <a:pt x="110" y="57"/>
                                      </a:cubicBezTo>
                                      <a:cubicBezTo>
                                        <a:pt x="104" y="60"/>
                                        <a:pt x="100" y="66"/>
                                        <a:pt x="100" y="73"/>
                                      </a:cubicBezTo>
                                      <a:cubicBezTo>
                                        <a:pt x="100" y="208"/>
                                        <a:pt x="100" y="208"/>
                                        <a:pt x="100" y="208"/>
                                      </a:cubicBezTo>
                                      <a:cubicBezTo>
                                        <a:pt x="100" y="218"/>
                                        <a:pt x="108" y="226"/>
                                        <a:pt x="118" y="226"/>
                                      </a:cubicBezTo>
                                      <a:cubicBezTo>
                                        <a:pt x="128" y="226"/>
                                        <a:pt x="136" y="218"/>
                                        <a:pt x="136" y="208"/>
                                      </a:cubicBezTo>
                                      <a:cubicBezTo>
                                        <a:pt x="136" y="89"/>
                                        <a:pt x="136" y="89"/>
                                        <a:pt x="136" y="89"/>
                                      </a:cubicBezTo>
                                      <a:cubicBezTo>
                                        <a:pt x="142" y="86"/>
                                        <a:pt x="146" y="80"/>
                                        <a:pt x="146" y="73"/>
                                      </a:cubicBezTo>
                                      <a:cubicBezTo>
                                        <a:pt x="146" y="18"/>
                                        <a:pt x="146" y="18"/>
                                        <a:pt x="146" y="18"/>
                                      </a:cubicBezTo>
                                      <a:cubicBezTo>
                                        <a:pt x="146" y="8"/>
                                        <a:pt x="138" y="0"/>
                                        <a:pt x="128" y="0"/>
                                      </a:cubicBezTo>
                                      <a:cubicBezTo>
                                        <a:pt x="18" y="0"/>
                                        <a:pt x="18" y="0"/>
                                        <a:pt x="18" y="0"/>
                                      </a:cubicBezTo>
                                      <a:cubicBezTo>
                                        <a:pt x="8" y="0"/>
                                        <a:pt x="0" y="8"/>
                                        <a:pt x="0" y="18"/>
                                      </a:cubicBezTo>
                                      <a:cubicBezTo>
                                        <a:pt x="0" y="73"/>
                                        <a:pt x="0" y="73"/>
                                        <a:pt x="0" y="73"/>
                                      </a:cubicBezTo>
                                      <a:cubicBezTo>
                                        <a:pt x="0" y="80"/>
                                        <a:pt x="4" y="86"/>
                                        <a:pt x="10" y="8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11"/>
                              <wps:cNvSpPr>
                                <a:spLocks noEditPoints="1"/>
                              </wps:cNvSpPr>
                              <wps:spPr bwMode="auto">
                                <a:xfrm>
                                  <a:off x="0" y="0"/>
                                  <a:ext cx="1786" cy="1786"/>
                                </a:xfrm>
                                <a:custGeom>
                                  <a:avLst/>
                                  <a:gdLst>
                                    <a:gd name="T0" fmla="*/ 699 w 756"/>
                                    <a:gd name="T1" fmla="*/ 720 h 756"/>
                                    <a:gd name="T2" fmla="*/ 686 w 756"/>
                                    <a:gd name="T3" fmla="*/ 358 h 756"/>
                                    <a:gd name="T4" fmla="*/ 355 w 756"/>
                                    <a:gd name="T5" fmla="*/ 271 h 756"/>
                                    <a:gd name="T6" fmla="*/ 348 w 756"/>
                                    <a:gd name="T7" fmla="*/ 405 h 756"/>
                                    <a:gd name="T8" fmla="*/ 265 w 756"/>
                                    <a:gd name="T9" fmla="*/ 306 h 756"/>
                                    <a:gd name="T10" fmla="*/ 296 w 756"/>
                                    <a:gd name="T11" fmla="*/ 289 h 756"/>
                                    <a:gd name="T12" fmla="*/ 261 w 756"/>
                                    <a:gd name="T13" fmla="*/ 271 h 756"/>
                                    <a:gd name="T14" fmla="*/ 317 w 756"/>
                                    <a:gd name="T15" fmla="*/ 212 h 756"/>
                                    <a:gd name="T16" fmla="*/ 327 w 756"/>
                                    <a:gd name="T17" fmla="*/ 209 h 756"/>
                                    <a:gd name="T18" fmla="*/ 335 w 756"/>
                                    <a:gd name="T19" fmla="*/ 191 h 756"/>
                                    <a:gd name="T20" fmla="*/ 300 w 756"/>
                                    <a:gd name="T21" fmla="*/ 93 h 756"/>
                                    <a:gd name="T22" fmla="*/ 286 w 756"/>
                                    <a:gd name="T23" fmla="*/ 81 h 756"/>
                                    <a:gd name="T24" fmla="*/ 239 w 756"/>
                                    <a:gd name="T25" fmla="*/ 81 h 756"/>
                                    <a:gd name="T26" fmla="*/ 214 w 756"/>
                                    <a:gd name="T27" fmla="*/ 0 h 756"/>
                                    <a:gd name="T28" fmla="*/ 149 w 756"/>
                                    <a:gd name="T29" fmla="*/ 16 h 756"/>
                                    <a:gd name="T30" fmla="*/ 98 w 756"/>
                                    <a:gd name="T31" fmla="*/ 81 h 756"/>
                                    <a:gd name="T32" fmla="*/ 82 w 756"/>
                                    <a:gd name="T33" fmla="*/ 90 h 756"/>
                                    <a:gd name="T34" fmla="*/ 46 w 756"/>
                                    <a:gd name="T35" fmla="*/ 187 h 756"/>
                                    <a:gd name="T36" fmla="*/ 45 w 756"/>
                                    <a:gd name="T37" fmla="*/ 197 h 756"/>
                                    <a:gd name="T38" fmla="*/ 60 w 756"/>
                                    <a:gd name="T39" fmla="*/ 211 h 756"/>
                                    <a:gd name="T40" fmla="*/ 127 w 756"/>
                                    <a:gd name="T41" fmla="*/ 212 h 756"/>
                                    <a:gd name="T42" fmla="*/ 103 w 756"/>
                                    <a:gd name="T43" fmla="*/ 271 h 756"/>
                                    <a:gd name="T44" fmla="*/ 103 w 756"/>
                                    <a:gd name="T45" fmla="*/ 306 h 756"/>
                                    <a:gd name="T46" fmla="*/ 105 w 756"/>
                                    <a:gd name="T47" fmla="*/ 405 h 756"/>
                                    <a:gd name="T48" fmla="*/ 45 w 756"/>
                                    <a:gd name="T49" fmla="*/ 423 h 756"/>
                                    <a:gd name="T50" fmla="*/ 18 w 756"/>
                                    <a:gd name="T51" fmla="*/ 720 h 756"/>
                                    <a:gd name="T52" fmla="*/ 18 w 756"/>
                                    <a:gd name="T53" fmla="*/ 756 h 756"/>
                                    <a:gd name="T54" fmla="*/ 756 w 756"/>
                                    <a:gd name="T55" fmla="*/ 738 h 756"/>
                                    <a:gd name="T56" fmla="*/ 183 w 756"/>
                                    <a:gd name="T57" fmla="*/ 36 h 756"/>
                                    <a:gd name="T58" fmla="*/ 203 w 756"/>
                                    <a:gd name="T59" fmla="*/ 81 h 756"/>
                                    <a:gd name="T60" fmla="*/ 183 w 756"/>
                                    <a:gd name="T61" fmla="*/ 36 h 756"/>
                                    <a:gd name="T62" fmla="*/ 207 w 756"/>
                                    <a:gd name="T63" fmla="*/ 117 h 756"/>
                                    <a:gd name="T64" fmla="*/ 167 w 756"/>
                                    <a:gd name="T65" fmla="*/ 176 h 756"/>
                                    <a:gd name="T66" fmla="*/ 163 w 756"/>
                                    <a:gd name="T67" fmla="*/ 212 h 756"/>
                                    <a:gd name="T68" fmla="*/ 224 w 756"/>
                                    <a:gd name="T69" fmla="*/ 271 h 756"/>
                                    <a:gd name="T70" fmla="*/ 163 w 756"/>
                                    <a:gd name="T71" fmla="*/ 212 h 756"/>
                                    <a:gd name="T72" fmla="*/ 110 w 756"/>
                                    <a:gd name="T73" fmla="*/ 117 h 756"/>
                                    <a:gd name="T74" fmla="*/ 131 w 756"/>
                                    <a:gd name="T75" fmla="*/ 176 h 756"/>
                                    <a:gd name="T76" fmla="*/ 146 w 756"/>
                                    <a:gd name="T77" fmla="*/ 720 h 756"/>
                                    <a:gd name="T78" fmla="*/ 81 w 756"/>
                                    <a:gd name="T79" fmla="*/ 441 h 756"/>
                                    <a:gd name="T80" fmla="*/ 121 w 756"/>
                                    <a:gd name="T81" fmla="*/ 441 h 756"/>
                                    <a:gd name="T82" fmla="*/ 146 w 756"/>
                                    <a:gd name="T83" fmla="*/ 720 h 756"/>
                                    <a:gd name="T84" fmla="*/ 152 w 756"/>
                                    <a:gd name="T85" fmla="*/ 306 h 756"/>
                                    <a:gd name="T86" fmla="*/ 240 w 756"/>
                                    <a:gd name="T87" fmla="*/ 405 h 756"/>
                                    <a:gd name="T88" fmla="*/ 141 w 756"/>
                                    <a:gd name="T89" fmla="*/ 405 h 756"/>
                                    <a:gd name="T90" fmla="*/ 182 w 756"/>
                                    <a:gd name="T91" fmla="*/ 720 h 756"/>
                                    <a:gd name="T92" fmla="*/ 247 w 756"/>
                                    <a:gd name="T93" fmla="*/ 441 h 756"/>
                                    <a:gd name="T94" fmla="*/ 243 w 756"/>
                                    <a:gd name="T95" fmla="*/ 117 h 756"/>
                                    <a:gd name="T96" fmla="*/ 292 w 756"/>
                                    <a:gd name="T97" fmla="*/ 176 h 756"/>
                                    <a:gd name="T98" fmla="*/ 243 w 756"/>
                                    <a:gd name="T99" fmla="*/ 117 h 756"/>
                                    <a:gd name="T100" fmla="*/ 283 w 756"/>
                                    <a:gd name="T101" fmla="*/ 720 h 756"/>
                                    <a:gd name="T102" fmla="*/ 348 w 756"/>
                                    <a:gd name="T103" fmla="*/ 441 h 756"/>
                                    <a:gd name="T104" fmla="*/ 659 w 756"/>
                                    <a:gd name="T105" fmla="*/ 723 h 756"/>
                                    <a:gd name="T106" fmla="*/ 380 w 756"/>
                                    <a:gd name="T107" fmla="*/ 313 h 756"/>
                                    <a:gd name="T108" fmla="*/ 659 w 756"/>
                                    <a:gd name="T109" fmla="*/ 723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6" h="756">
                                      <a:moveTo>
                                        <a:pt x="738" y="720"/>
                                      </a:moveTo>
                                      <a:cubicBezTo>
                                        <a:pt x="699" y="720"/>
                                        <a:pt x="699" y="720"/>
                                        <a:pt x="699" y="720"/>
                                      </a:cubicBezTo>
                                      <a:cubicBezTo>
                                        <a:pt x="699" y="376"/>
                                        <a:pt x="699" y="376"/>
                                        <a:pt x="699" y="376"/>
                                      </a:cubicBezTo>
                                      <a:cubicBezTo>
                                        <a:pt x="699" y="368"/>
                                        <a:pt x="694" y="361"/>
                                        <a:pt x="686" y="358"/>
                                      </a:cubicBezTo>
                                      <a:cubicBezTo>
                                        <a:pt x="371" y="268"/>
                                        <a:pt x="371" y="268"/>
                                        <a:pt x="371" y="268"/>
                                      </a:cubicBezTo>
                                      <a:cubicBezTo>
                                        <a:pt x="366" y="267"/>
                                        <a:pt x="360" y="268"/>
                                        <a:pt x="355" y="271"/>
                                      </a:cubicBezTo>
                                      <a:cubicBezTo>
                                        <a:pt x="351" y="275"/>
                                        <a:pt x="348" y="280"/>
                                        <a:pt x="348" y="286"/>
                                      </a:cubicBezTo>
                                      <a:cubicBezTo>
                                        <a:pt x="348" y="405"/>
                                        <a:pt x="348" y="405"/>
                                        <a:pt x="348" y="405"/>
                                      </a:cubicBezTo>
                                      <a:cubicBezTo>
                                        <a:pt x="276" y="405"/>
                                        <a:pt x="276" y="405"/>
                                        <a:pt x="276" y="405"/>
                                      </a:cubicBezTo>
                                      <a:cubicBezTo>
                                        <a:pt x="265" y="306"/>
                                        <a:pt x="265" y="306"/>
                                        <a:pt x="265" y="306"/>
                                      </a:cubicBezTo>
                                      <a:cubicBezTo>
                                        <a:pt x="278" y="306"/>
                                        <a:pt x="278" y="306"/>
                                        <a:pt x="278" y="306"/>
                                      </a:cubicBezTo>
                                      <a:cubicBezTo>
                                        <a:pt x="288" y="306"/>
                                        <a:pt x="296" y="298"/>
                                        <a:pt x="296" y="289"/>
                                      </a:cubicBezTo>
                                      <a:cubicBezTo>
                                        <a:pt x="296" y="279"/>
                                        <a:pt x="288" y="271"/>
                                        <a:pt x="278" y="271"/>
                                      </a:cubicBezTo>
                                      <a:cubicBezTo>
                                        <a:pt x="261" y="271"/>
                                        <a:pt x="261" y="271"/>
                                        <a:pt x="261" y="271"/>
                                      </a:cubicBezTo>
                                      <a:cubicBezTo>
                                        <a:pt x="254" y="212"/>
                                        <a:pt x="254" y="212"/>
                                        <a:pt x="254" y="212"/>
                                      </a:cubicBezTo>
                                      <a:cubicBezTo>
                                        <a:pt x="317" y="212"/>
                                        <a:pt x="317" y="212"/>
                                        <a:pt x="317" y="212"/>
                                      </a:cubicBezTo>
                                      <a:cubicBezTo>
                                        <a:pt x="318" y="212"/>
                                        <a:pt x="320" y="212"/>
                                        <a:pt x="321" y="211"/>
                                      </a:cubicBezTo>
                                      <a:cubicBezTo>
                                        <a:pt x="323" y="211"/>
                                        <a:pt x="325" y="210"/>
                                        <a:pt x="327" y="209"/>
                                      </a:cubicBezTo>
                                      <a:cubicBezTo>
                                        <a:pt x="332" y="206"/>
                                        <a:pt x="335" y="201"/>
                                        <a:pt x="335" y="197"/>
                                      </a:cubicBezTo>
                                      <a:cubicBezTo>
                                        <a:pt x="336" y="195"/>
                                        <a:pt x="336" y="193"/>
                                        <a:pt x="335" y="191"/>
                                      </a:cubicBezTo>
                                      <a:cubicBezTo>
                                        <a:pt x="335" y="189"/>
                                        <a:pt x="335" y="188"/>
                                        <a:pt x="334" y="187"/>
                                      </a:cubicBezTo>
                                      <a:cubicBezTo>
                                        <a:pt x="300" y="93"/>
                                        <a:pt x="300" y="93"/>
                                        <a:pt x="300" y="93"/>
                                      </a:cubicBezTo>
                                      <a:cubicBezTo>
                                        <a:pt x="300" y="92"/>
                                        <a:pt x="299" y="91"/>
                                        <a:pt x="299" y="90"/>
                                      </a:cubicBezTo>
                                      <a:cubicBezTo>
                                        <a:pt x="297" y="86"/>
                                        <a:pt x="293" y="82"/>
                                        <a:pt x="286" y="81"/>
                                      </a:cubicBezTo>
                                      <a:cubicBezTo>
                                        <a:pt x="285" y="81"/>
                                        <a:pt x="284" y="81"/>
                                        <a:pt x="283" y="81"/>
                                      </a:cubicBezTo>
                                      <a:cubicBezTo>
                                        <a:pt x="239" y="81"/>
                                        <a:pt x="239" y="81"/>
                                        <a:pt x="239" y="81"/>
                                      </a:cubicBezTo>
                                      <a:cubicBezTo>
                                        <a:pt x="232" y="16"/>
                                        <a:pt x="232" y="16"/>
                                        <a:pt x="232" y="16"/>
                                      </a:cubicBezTo>
                                      <a:cubicBezTo>
                                        <a:pt x="231" y="7"/>
                                        <a:pt x="223" y="0"/>
                                        <a:pt x="214" y="0"/>
                                      </a:cubicBezTo>
                                      <a:cubicBezTo>
                                        <a:pt x="167" y="0"/>
                                        <a:pt x="167" y="0"/>
                                        <a:pt x="167" y="0"/>
                                      </a:cubicBezTo>
                                      <a:cubicBezTo>
                                        <a:pt x="158" y="0"/>
                                        <a:pt x="150" y="7"/>
                                        <a:pt x="149" y="16"/>
                                      </a:cubicBezTo>
                                      <a:cubicBezTo>
                                        <a:pt x="142" y="81"/>
                                        <a:pt x="142" y="81"/>
                                        <a:pt x="142" y="81"/>
                                      </a:cubicBezTo>
                                      <a:cubicBezTo>
                                        <a:pt x="98" y="81"/>
                                        <a:pt x="98" y="81"/>
                                        <a:pt x="98" y="81"/>
                                      </a:cubicBezTo>
                                      <a:cubicBezTo>
                                        <a:pt x="97" y="81"/>
                                        <a:pt x="95" y="81"/>
                                        <a:pt x="94" y="81"/>
                                      </a:cubicBezTo>
                                      <a:cubicBezTo>
                                        <a:pt x="90" y="82"/>
                                        <a:pt x="85" y="82"/>
                                        <a:pt x="82" y="90"/>
                                      </a:cubicBezTo>
                                      <a:cubicBezTo>
                                        <a:pt x="81" y="91"/>
                                        <a:pt x="81" y="92"/>
                                        <a:pt x="80" y="93"/>
                                      </a:cubicBezTo>
                                      <a:cubicBezTo>
                                        <a:pt x="46" y="187"/>
                                        <a:pt x="46" y="187"/>
                                        <a:pt x="46" y="187"/>
                                      </a:cubicBezTo>
                                      <a:cubicBezTo>
                                        <a:pt x="46" y="188"/>
                                        <a:pt x="45" y="189"/>
                                        <a:pt x="45" y="191"/>
                                      </a:cubicBezTo>
                                      <a:cubicBezTo>
                                        <a:pt x="45" y="193"/>
                                        <a:pt x="45" y="195"/>
                                        <a:pt x="45" y="197"/>
                                      </a:cubicBezTo>
                                      <a:cubicBezTo>
                                        <a:pt x="46" y="203"/>
                                        <a:pt x="52" y="208"/>
                                        <a:pt x="54" y="209"/>
                                      </a:cubicBezTo>
                                      <a:cubicBezTo>
                                        <a:pt x="56" y="210"/>
                                        <a:pt x="58" y="211"/>
                                        <a:pt x="60" y="211"/>
                                      </a:cubicBezTo>
                                      <a:cubicBezTo>
                                        <a:pt x="61" y="212"/>
                                        <a:pt x="62" y="212"/>
                                        <a:pt x="63" y="212"/>
                                      </a:cubicBezTo>
                                      <a:cubicBezTo>
                                        <a:pt x="127" y="212"/>
                                        <a:pt x="127" y="212"/>
                                        <a:pt x="127" y="212"/>
                                      </a:cubicBezTo>
                                      <a:cubicBezTo>
                                        <a:pt x="120" y="271"/>
                                        <a:pt x="120" y="271"/>
                                        <a:pt x="120" y="271"/>
                                      </a:cubicBezTo>
                                      <a:cubicBezTo>
                                        <a:pt x="103" y="271"/>
                                        <a:pt x="103" y="271"/>
                                        <a:pt x="103" y="271"/>
                                      </a:cubicBezTo>
                                      <a:cubicBezTo>
                                        <a:pt x="93" y="271"/>
                                        <a:pt x="85" y="279"/>
                                        <a:pt x="85" y="289"/>
                                      </a:cubicBezTo>
                                      <a:cubicBezTo>
                                        <a:pt x="85" y="298"/>
                                        <a:pt x="93" y="306"/>
                                        <a:pt x="103" y="306"/>
                                      </a:cubicBezTo>
                                      <a:cubicBezTo>
                                        <a:pt x="116" y="306"/>
                                        <a:pt x="116" y="306"/>
                                        <a:pt x="116" y="306"/>
                                      </a:cubicBezTo>
                                      <a:cubicBezTo>
                                        <a:pt x="105" y="405"/>
                                        <a:pt x="105" y="405"/>
                                        <a:pt x="105" y="405"/>
                                      </a:cubicBezTo>
                                      <a:cubicBezTo>
                                        <a:pt x="63" y="405"/>
                                        <a:pt x="63" y="405"/>
                                        <a:pt x="63" y="405"/>
                                      </a:cubicBezTo>
                                      <a:cubicBezTo>
                                        <a:pt x="53" y="405"/>
                                        <a:pt x="45" y="413"/>
                                        <a:pt x="45" y="423"/>
                                      </a:cubicBezTo>
                                      <a:cubicBezTo>
                                        <a:pt x="45" y="720"/>
                                        <a:pt x="45" y="720"/>
                                        <a:pt x="45" y="720"/>
                                      </a:cubicBezTo>
                                      <a:cubicBezTo>
                                        <a:pt x="18" y="720"/>
                                        <a:pt x="18" y="720"/>
                                        <a:pt x="18" y="720"/>
                                      </a:cubicBezTo>
                                      <a:cubicBezTo>
                                        <a:pt x="8" y="720"/>
                                        <a:pt x="0" y="728"/>
                                        <a:pt x="0" y="738"/>
                                      </a:cubicBezTo>
                                      <a:cubicBezTo>
                                        <a:pt x="0" y="748"/>
                                        <a:pt x="8" y="756"/>
                                        <a:pt x="18" y="756"/>
                                      </a:cubicBezTo>
                                      <a:cubicBezTo>
                                        <a:pt x="738" y="756"/>
                                        <a:pt x="738" y="756"/>
                                        <a:pt x="738" y="756"/>
                                      </a:cubicBezTo>
                                      <a:cubicBezTo>
                                        <a:pt x="748" y="756"/>
                                        <a:pt x="756" y="748"/>
                                        <a:pt x="756" y="738"/>
                                      </a:cubicBezTo>
                                      <a:cubicBezTo>
                                        <a:pt x="756" y="728"/>
                                        <a:pt x="748" y="720"/>
                                        <a:pt x="738" y="720"/>
                                      </a:cubicBezTo>
                                      <a:close/>
                                      <a:moveTo>
                                        <a:pt x="183" y="36"/>
                                      </a:moveTo>
                                      <a:cubicBezTo>
                                        <a:pt x="198" y="36"/>
                                        <a:pt x="198" y="36"/>
                                        <a:pt x="198" y="36"/>
                                      </a:cubicBezTo>
                                      <a:cubicBezTo>
                                        <a:pt x="203" y="81"/>
                                        <a:pt x="203" y="81"/>
                                        <a:pt x="203" y="81"/>
                                      </a:cubicBezTo>
                                      <a:cubicBezTo>
                                        <a:pt x="178" y="81"/>
                                        <a:pt x="178" y="81"/>
                                        <a:pt x="178" y="81"/>
                                      </a:cubicBezTo>
                                      <a:lnTo>
                                        <a:pt x="183" y="36"/>
                                      </a:lnTo>
                                      <a:close/>
                                      <a:moveTo>
                                        <a:pt x="174" y="117"/>
                                      </a:moveTo>
                                      <a:cubicBezTo>
                                        <a:pt x="207" y="117"/>
                                        <a:pt x="207" y="117"/>
                                        <a:pt x="207" y="117"/>
                                      </a:cubicBezTo>
                                      <a:cubicBezTo>
                                        <a:pt x="214" y="176"/>
                                        <a:pt x="214" y="176"/>
                                        <a:pt x="214" y="176"/>
                                      </a:cubicBezTo>
                                      <a:cubicBezTo>
                                        <a:pt x="167" y="176"/>
                                        <a:pt x="167" y="176"/>
                                        <a:pt x="167" y="176"/>
                                      </a:cubicBezTo>
                                      <a:lnTo>
                                        <a:pt x="174" y="117"/>
                                      </a:lnTo>
                                      <a:close/>
                                      <a:moveTo>
                                        <a:pt x="163" y="212"/>
                                      </a:moveTo>
                                      <a:cubicBezTo>
                                        <a:pt x="218" y="212"/>
                                        <a:pt x="218" y="212"/>
                                        <a:pt x="218" y="212"/>
                                      </a:cubicBezTo>
                                      <a:cubicBezTo>
                                        <a:pt x="224" y="271"/>
                                        <a:pt x="224" y="271"/>
                                        <a:pt x="224" y="271"/>
                                      </a:cubicBezTo>
                                      <a:cubicBezTo>
                                        <a:pt x="156" y="271"/>
                                        <a:pt x="156" y="271"/>
                                        <a:pt x="156" y="271"/>
                                      </a:cubicBezTo>
                                      <a:lnTo>
                                        <a:pt x="163" y="212"/>
                                      </a:lnTo>
                                      <a:close/>
                                      <a:moveTo>
                                        <a:pt x="89" y="176"/>
                                      </a:moveTo>
                                      <a:cubicBezTo>
                                        <a:pt x="110" y="117"/>
                                        <a:pt x="110" y="117"/>
                                        <a:pt x="110" y="117"/>
                                      </a:cubicBezTo>
                                      <a:cubicBezTo>
                                        <a:pt x="138" y="117"/>
                                        <a:pt x="138" y="117"/>
                                        <a:pt x="138" y="117"/>
                                      </a:cubicBezTo>
                                      <a:cubicBezTo>
                                        <a:pt x="131" y="176"/>
                                        <a:pt x="131" y="176"/>
                                        <a:pt x="131" y="176"/>
                                      </a:cubicBezTo>
                                      <a:lnTo>
                                        <a:pt x="89" y="176"/>
                                      </a:lnTo>
                                      <a:close/>
                                      <a:moveTo>
                                        <a:pt x="146" y="720"/>
                                      </a:moveTo>
                                      <a:cubicBezTo>
                                        <a:pt x="81" y="720"/>
                                        <a:pt x="81" y="720"/>
                                        <a:pt x="81" y="720"/>
                                      </a:cubicBezTo>
                                      <a:cubicBezTo>
                                        <a:pt x="81" y="441"/>
                                        <a:pt x="81" y="441"/>
                                        <a:pt x="81" y="441"/>
                                      </a:cubicBezTo>
                                      <a:cubicBezTo>
                                        <a:pt x="121" y="441"/>
                                        <a:pt x="121" y="441"/>
                                        <a:pt x="121" y="441"/>
                                      </a:cubicBezTo>
                                      <a:cubicBezTo>
                                        <a:pt x="121" y="441"/>
                                        <a:pt x="121" y="441"/>
                                        <a:pt x="121" y="441"/>
                                      </a:cubicBezTo>
                                      <a:cubicBezTo>
                                        <a:pt x="146" y="441"/>
                                        <a:pt x="146" y="441"/>
                                        <a:pt x="146" y="441"/>
                                      </a:cubicBezTo>
                                      <a:lnTo>
                                        <a:pt x="146" y="720"/>
                                      </a:lnTo>
                                      <a:close/>
                                      <a:moveTo>
                                        <a:pt x="141" y="405"/>
                                      </a:moveTo>
                                      <a:cubicBezTo>
                                        <a:pt x="152" y="306"/>
                                        <a:pt x="152" y="306"/>
                                        <a:pt x="152" y="306"/>
                                      </a:cubicBezTo>
                                      <a:cubicBezTo>
                                        <a:pt x="228" y="306"/>
                                        <a:pt x="228" y="306"/>
                                        <a:pt x="228" y="306"/>
                                      </a:cubicBezTo>
                                      <a:cubicBezTo>
                                        <a:pt x="240" y="405"/>
                                        <a:pt x="240" y="405"/>
                                        <a:pt x="240" y="405"/>
                                      </a:cubicBezTo>
                                      <a:cubicBezTo>
                                        <a:pt x="164" y="405"/>
                                        <a:pt x="164" y="405"/>
                                        <a:pt x="164" y="405"/>
                                      </a:cubicBezTo>
                                      <a:lnTo>
                                        <a:pt x="141" y="405"/>
                                      </a:lnTo>
                                      <a:close/>
                                      <a:moveTo>
                                        <a:pt x="247" y="720"/>
                                      </a:moveTo>
                                      <a:cubicBezTo>
                                        <a:pt x="182" y="720"/>
                                        <a:pt x="182" y="720"/>
                                        <a:pt x="182" y="720"/>
                                      </a:cubicBezTo>
                                      <a:cubicBezTo>
                                        <a:pt x="182" y="441"/>
                                        <a:pt x="182" y="441"/>
                                        <a:pt x="182" y="441"/>
                                      </a:cubicBezTo>
                                      <a:cubicBezTo>
                                        <a:pt x="247" y="441"/>
                                        <a:pt x="247" y="441"/>
                                        <a:pt x="247" y="441"/>
                                      </a:cubicBezTo>
                                      <a:lnTo>
                                        <a:pt x="247" y="720"/>
                                      </a:lnTo>
                                      <a:close/>
                                      <a:moveTo>
                                        <a:pt x="243" y="117"/>
                                      </a:moveTo>
                                      <a:cubicBezTo>
                                        <a:pt x="271" y="117"/>
                                        <a:pt x="271" y="117"/>
                                        <a:pt x="271" y="117"/>
                                      </a:cubicBezTo>
                                      <a:cubicBezTo>
                                        <a:pt x="292" y="176"/>
                                        <a:pt x="292" y="176"/>
                                        <a:pt x="292" y="176"/>
                                      </a:cubicBezTo>
                                      <a:cubicBezTo>
                                        <a:pt x="250" y="176"/>
                                        <a:pt x="250" y="176"/>
                                        <a:pt x="250" y="176"/>
                                      </a:cubicBezTo>
                                      <a:lnTo>
                                        <a:pt x="243" y="117"/>
                                      </a:lnTo>
                                      <a:close/>
                                      <a:moveTo>
                                        <a:pt x="348" y="720"/>
                                      </a:moveTo>
                                      <a:cubicBezTo>
                                        <a:pt x="283" y="720"/>
                                        <a:pt x="283" y="720"/>
                                        <a:pt x="283" y="720"/>
                                      </a:cubicBezTo>
                                      <a:cubicBezTo>
                                        <a:pt x="283" y="441"/>
                                        <a:pt x="283" y="441"/>
                                        <a:pt x="283" y="441"/>
                                      </a:cubicBezTo>
                                      <a:cubicBezTo>
                                        <a:pt x="348" y="441"/>
                                        <a:pt x="348" y="441"/>
                                        <a:pt x="348" y="441"/>
                                      </a:cubicBezTo>
                                      <a:lnTo>
                                        <a:pt x="348" y="720"/>
                                      </a:lnTo>
                                      <a:close/>
                                      <a:moveTo>
                                        <a:pt x="659" y="723"/>
                                      </a:moveTo>
                                      <a:cubicBezTo>
                                        <a:pt x="380" y="723"/>
                                        <a:pt x="380" y="723"/>
                                        <a:pt x="380" y="723"/>
                                      </a:cubicBezTo>
                                      <a:cubicBezTo>
                                        <a:pt x="380" y="313"/>
                                        <a:pt x="380" y="313"/>
                                        <a:pt x="380" y="313"/>
                                      </a:cubicBezTo>
                                      <a:cubicBezTo>
                                        <a:pt x="659" y="393"/>
                                        <a:pt x="659" y="393"/>
                                        <a:pt x="659" y="393"/>
                                      </a:cubicBezTo>
                                      <a:lnTo>
                                        <a:pt x="659" y="7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993" y="1352"/>
                                  <a:ext cx="470" cy="85"/>
                                </a:xfrm>
                                <a:custGeom>
                                  <a:avLst/>
                                  <a:gdLst>
                                    <a:gd name="T0" fmla="*/ 18 w 199"/>
                                    <a:gd name="T1" fmla="*/ 36 h 36"/>
                                    <a:gd name="T2" fmla="*/ 181 w 199"/>
                                    <a:gd name="T3" fmla="*/ 36 h 36"/>
                                    <a:gd name="T4" fmla="*/ 199 w 199"/>
                                    <a:gd name="T5" fmla="*/ 18 h 36"/>
                                    <a:gd name="T6" fmla="*/ 181 w 199"/>
                                    <a:gd name="T7" fmla="*/ 0 h 36"/>
                                    <a:gd name="T8" fmla="*/ 18 w 199"/>
                                    <a:gd name="T9" fmla="*/ 0 h 36"/>
                                    <a:gd name="T10" fmla="*/ 0 w 199"/>
                                    <a:gd name="T11" fmla="*/ 18 h 36"/>
                                    <a:gd name="T12" fmla="*/ 18 w 199"/>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199" h="36">
                                      <a:moveTo>
                                        <a:pt x="18" y="36"/>
                                      </a:moveTo>
                                      <a:cubicBezTo>
                                        <a:pt x="181" y="36"/>
                                        <a:pt x="181" y="36"/>
                                        <a:pt x="181" y="36"/>
                                      </a:cubicBezTo>
                                      <a:cubicBezTo>
                                        <a:pt x="191" y="36"/>
                                        <a:pt x="199" y="28"/>
                                        <a:pt x="199" y="18"/>
                                      </a:cubicBezTo>
                                      <a:cubicBezTo>
                                        <a:pt x="199" y="8"/>
                                        <a:pt x="191" y="0"/>
                                        <a:pt x="181" y="0"/>
                                      </a:cubicBezTo>
                                      <a:cubicBezTo>
                                        <a:pt x="18" y="0"/>
                                        <a:pt x="18" y="0"/>
                                        <a:pt x="18" y="0"/>
                                      </a:cubicBezTo>
                                      <a:cubicBezTo>
                                        <a:pt x="8" y="0"/>
                                        <a:pt x="0" y="8"/>
                                        <a:pt x="0" y="18"/>
                                      </a:cubicBezTo>
                                      <a:cubicBezTo>
                                        <a:pt x="0" y="28"/>
                                        <a:pt x="8" y="36"/>
                                        <a:pt x="18" y="3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993" y="1139"/>
                                  <a:ext cx="470" cy="85"/>
                                </a:xfrm>
                                <a:custGeom>
                                  <a:avLst/>
                                  <a:gdLst>
                                    <a:gd name="T0" fmla="*/ 18 w 199"/>
                                    <a:gd name="T1" fmla="*/ 36 h 36"/>
                                    <a:gd name="T2" fmla="*/ 181 w 199"/>
                                    <a:gd name="T3" fmla="*/ 36 h 36"/>
                                    <a:gd name="T4" fmla="*/ 199 w 199"/>
                                    <a:gd name="T5" fmla="*/ 18 h 36"/>
                                    <a:gd name="T6" fmla="*/ 181 w 199"/>
                                    <a:gd name="T7" fmla="*/ 0 h 36"/>
                                    <a:gd name="T8" fmla="*/ 18 w 199"/>
                                    <a:gd name="T9" fmla="*/ 0 h 36"/>
                                    <a:gd name="T10" fmla="*/ 0 w 199"/>
                                    <a:gd name="T11" fmla="*/ 18 h 36"/>
                                    <a:gd name="T12" fmla="*/ 18 w 199"/>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199" h="36">
                                      <a:moveTo>
                                        <a:pt x="18" y="36"/>
                                      </a:moveTo>
                                      <a:cubicBezTo>
                                        <a:pt x="181" y="36"/>
                                        <a:pt x="181" y="36"/>
                                        <a:pt x="181" y="36"/>
                                      </a:cubicBezTo>
                                      <a:cubicBezTo>
                                        <a:pt x="191" y="36"/>
                                        <a:pt x="199" y="28"/>
                                        <a:pt x="199" y="18"/>
                                      </a:cubicBezTo>
                                      <a:cubicBezTo>
                                        <a:pt x="199" y="8"/>
                                        <a:pt x="191" y="0"/>
                                        <a:pt x="181" y="0"/>
                                      </a:cubicBezTo>
                                      <a:cubicBezTo>
                                        <a:pt x="18" y="0"/>
                                        <a:pt x="18" y="0"/>
                                        <a:pt x="18" y="0"/>
                                      </a:cubicBezTo>
                                      <a:cubicBezTo>
                                        <a:pt x="8" y="0"/>
                                        <a:pt x="0" y="8"/>
                                        <a:pt x="0" y="18"/>
                                      </a:cubicBezTo>
                                      <a:cubicBezTo>
                                        <a:pt x="0" y="28"/>
                                        <a:pt x="8" y="36"/>
                                        <a:pt x="18" y="3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E090ED" id="Group 61" o:spid="_x0000_s1026" style="position:absolute;margin-left:54.45pt;margin-top:4.75pt;width:19.7pt;height:19.6pt;z-index:251656192;mso-width-relative:margin;mso-height-relative:margin" coordsize="1793,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">
                      <v:shape id="Freeform 9" o:spid="_x0000_s1027" style="position:absolute;left:1309;top:10;width:484;height:160;visibility:visible;mso-wrap-style:square;v-text-anchor:top" coordsize="2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" path="m10,52v8,6,19,4,25,-4c46,33,55,34,82,47v19,10,42,21,67,21c163,68,178,64,194,54v8,-5,11,-16,6,-24c194,21,183,19,175,24,150,39,129,30,97,15,84,8,70,2,55,1,36,,19,9,6,27,,35,2,46,10,52xe" filled="f" stroked="f">
                        <v:path arrowok="t" o:connecttype="custom" o:connectlocs="24,122;83,113;194,111;352,160;458,127;472,71;413,56;229,35;130,2;14,64;24,122" o:connectangles="0,0,0,0,0,0,0,0,0,0,0"/>
                      </v:shape>
                      <v:shape id="Freeform 10" o:spid="_x0000_s1028" style="position:absolute;left:1224;top:213;width:345;height:534;visibility:visible;mso-wrap-style:square;v-text-anchor:top" coordsize="14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" path="m10,89v,93,,93,,93c10,192,18,200,28,200v10,,18,-8,18,-18c46,73,46,73,46,73,46,66,42,60,36,57v,-21,,-21,,-21c110,36,110,36,110,36v,21,,21,,21c104,60,100,66,100,73v,135,,135,,135c100,218,108,226,118,226v10,,18,-8,18,-18c136,89,136,89,136,89v6,-3,10,-9,10,-16c146,18,146,18,146,18,146,8,138,,128,,18,,18,,18,,8,,,8,,18,,73,,73,,73v,7,4,13,10,16xe" filled="f" stroked="f">
                        <v:path arrowok="t" o:connecttype="custom" o:connectlocs="24,210;24,430;66,473;109,430;109,172;85,135;85,85;260,85;260,135;236,172;236,491;279,534;321,491;321,210;345,172;345,43;302,0;43,0;0,43;0,172;24,210" o:connectangles="0,0,0,0,0,0,0,0,0,0,0,0,0,0,0,0,0,0,0,0,0"/>
                      </v:shape>
                      <v:shape id="Freeform 11" o:spid="_x0000_s1029" style="position:absolute;width:1786;height:178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" path="m738,720v-39,,-39,,-39,c699,376,699,376,699,376v,-8,-5,-15,-13,-18c371,268,371,268,371,268v-5,-1,-11,,-16,3c351,275,348,280,348,286v,119,,119,,119c276,405,276,405,276,405,265,306,265,306,265,306v13,,13,,13,c288,306,296,298,296,289v,-10,-8,-18,-18,-18c261,271,261,271,261,271v-7,-59,-7,-59,-7,-59c317,212,317,212,317,212v1,,3,,4,-1c323,211,325,210,327,209v5,-3,8,-8,8,-12c336,195,336,193,335,191v,-2,,-3,-1,-4c300,93,300,93,300,93v,-1,-1,-2,-1,-3c297,86,293,82,286,81v-1,,-2,,-3,c239,81,239,81,239,81,232,16,232,16,232,16,231,7,223,,214,,167,,167,,167,v-9,,-17,7,-18,16c142,81,142,81,142,81v-44,,-44,,-44,c97,81,95,81,94,81v-4,1,-9,1,-12,9c81,91,81,92,80,93,46,187,46,187,46,187v,1,-1,2,-1,4c45,193,45,195,45,197v1,6,7,11,9,12c56,210,58,211,60,211v1,1,2,1,3,1c127,212,127,212,127,212v-7,59,-7,59,-7,59c103,271,103,271,103,271v-10,,-18,8,-18,18c85,298,93,306,103,306v13,,13,,13,c105,405,105,405,105,405v-42,,-42,,-42,c53,405,45,413,45,423v,297,,297,,297c18,720,18,720,18,720,8,720,,728,,738v,10,8,18,18,18c738,756,738,756,738,756v10,,18,-8,18,-18c756,728,748,720,738,720xm183,36v15,,15,,15,c203,81,203,81,203,81v-25,,-25,,-25,l183,36xm174,117v33,,33,,33,c214,176,214,176,214,176v-47,,-47,,-47,l174,117xm163,212v55,,55,,55,c224,271,224,271,224,271v-68,,-68,,-68,l163,212xm89,176v21,-59,21,-59,21,-59c138,117,138,117,138,117v-7,59,-7,59,-7,59l89,176xm146,720v-65,,-65,,-65,c81,441,81,441,81,441v40,,40,,40,c121,441,121,441,121,441v25,,25,,25,l146,720xm141,405v11,-99,11,-99,11,-99c228,306,228,306,228,306v12,99,12,99,12,99c164,405,164,405,164,405r-23,xm247,720v-65,,-65,,-65,c182,441,182,441,182,441v65,,65,,65,l247,720xm243,117v28,,28,,28,c292,176,292,176,292,176v-42,,-42,,-42,l243,117xm348,720v-65,,-65,,-65,c283,441,283,441,283,441v65,,65,,65,l348,720xm659,723v-279,,-279,,-279,c380,313,380,313,380,313v279,80,279,80,279,80l659,723xe" filled="f" stroked="f">
                        <v:path arrowok="t" o:connecttype="custom" o:connectlocs="1651,1701;1621,846;839,640;822,957;626,723;699,683;617,640;749,501;773,494;791,451;709,220;676,191;565,191;506,0;352,38;232,191;194,213;109,442;106,465;142,498;300,501;243,640;243,723;248,957;106,999;43,1701;43,1786;1786,1743;432,85;480,191;432,85;489,276;395,416;385,501;529,640;385,501;260,276;309,416;345,1701;191,1042;286,1042;345,1701;359,723;567,957;333,957;430,1701;584,1042;574,276;690,416;574,276;669,1701;822,1042;1557,1708;898,739;1557,1708" o:connectangles="0,0,0,0,0,0,0,0,0,0,0,0,0,0,0,0,0,0,0,0,0,0,0,0,0,0,0,0,0,0,0,0,0,0,0,0,0,0,0,0,0,0,0,0,0,0,0,0,0,0,0,0,0,0,0"/>
                        <o:lock v:ext="edit" verticies="t"/>
                      </v:shape>
                      <v:shape id="Freeform 12" o:spid="_x0000_s1030" style="position:absolute;left:993;top:1352;width:470;height:85;visibility:visible;mso-wrap-style:square;v-text-anchor:top" coordsize="1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" path="m18,36v163,,163,,163,c191,36,199,28,199,18,199,8,191,,181,,18,,18,,18,,8,,,8,,18,,28,8,36,18,36xe" filled="f" stroked="f">
                        <v:path arrowok="t" o:connecttype="custom" o:connectlocs="43,85;427,85;470,43;427,0;43,0;0,43;43,85" o:connectangles="0,0,0,0,0,0,0"/>
                      </v:shape>
                      <v:shape id="Freeform 13" o:spid="_x0000_s1031" style="position:absolute;left:993;top:1139;width:470;height:85;visibility:visible;mso-wrap-style:square;v-text-anchor:top" coordsize="1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" path="m18,36v163,,163,,163,c191,36,199,28,199,18,199,8,191,,181,,18,,18,,18,,8,,,8,,18,,28,8,36,18,36xe" filled="f" stroked="f">
                        <v:path arrowok="t" o:connecttype="custom" o:connectlocs="43,85;427,85;470,43;427,0;43,0;0,43;43,85" o:connectangles="0,0,0,0,0,0,0"/>
                      </v:shape>
                    </v:group>
                  </w:pict>
                </mc:Fallback>
              </mc:AlternateContent>
            </w:r>
            <w:r>
              <w:rPr>
                <w:noProof/>
                <w:color w:val="FF5050"/>
                <w:sz w:val="16"/>
                <w:lang w:eastAsia="en-GB"/>
              </w:rPr>
              <mc:AlternateContent>
                <mc:Choice Requires="wps">
                  <w:drawing>
                    <wp:anchor distT="0" distB="0" distL="114300" distR="114300" simplePos="0" relativeHeight="251652096" behindDoc="0" locked="0" layoutInCell="1" allowOverlap="1">
                      <wp:simplePos x="0" y="0"/>
                      <wp:positionH relativeFrom="column">
                        <wp:posOffset>-635</wp:posOffset>
                      </wp:positionH>
                      <wp:positionV relativeFrom="paragraph">
                        <wp:posOffset>45720</wp:posOffset>
                      </wp:positionV>
                      <wp:extent cx="260985" cy="261620"/>
                      <wp:effectExtent l="0" t="0" r="5715" b="5080"/>
                      <wp:wrapNone/>
                      <wp:docPr id="22"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60985" cy="261620"/>
                              </a:xfrm>
                              <a:custGeom>
                                <a:avLst/>
                                <a:gdLst>
                                  <a:gd name="T0" fmla="*/ 86 w 193"/>
                                  <a:gd name="T1" fmla="*/ 189 h 193"/>
                                  <a:gd name="T2" fmla="*/ 0 w 193"/>
                                  <a:gd name="T3" fmla="*/ 98 h 193"/>
                                  <a:gd name="T4" fmla="*/ 30 w 193"/>
                                  <a:gd name="T5" fmla="*/ 62 h 193"/>
                                  <a:gd name="T6" fmla="*/ 37 w 193"/>
                                  <a:gd name="T7" fmla="*/ 64 h 193"/>
                                  <a:gd name="T8" fmla="*/ 77 w 193"/>
                                  <a:gd name="T9" fmla="*/ 76 h 193"/>
                                  <a:gd name="T10" fmla="*/ 65 w 193"/>
                                  <a:gd name="T11" fmla="*/ 36 h 193"/>
                                  <a:gd name="T12" fmla="*/ 63 w 193"/>
                                  <a:gd name="T13" fmla="*/ 29 h 193"/>
                                  <a:gd name="T14" fmla="*/ 106 w 193"/>
                                  <a:gd name="T15" fmla="*/ 6 h 193"/>
                                  <a:gd name="T16" fmla="*/ 136 w 193"/>
                                  <a:gd name="T17" fmla="*/ 12 h 193"/>
                                  <a:gd name="T18" fmla="*/ 181 w 193"/>
                                  <a:gd name="T19" fmla="*/ 58 h 193"/>
                                  <a:gd name="T20" fmla="*/ 187 w 193"/>
                                  <a:gd name="T21" fmla="*/ 88 h 193"/>
                                  <a:gd name="T22" fmla="*/ 187 w 193"/>
                                  <a:gd name="T23" fmla="*/ 108 h 193"/>
                                  <a:gd name="T24" fmla="*/ 160 w 193"/>
                                  <a:gd name="T25" fmla="*/ 132 h 193"/>
                                  <a:gd name="T26" fmla="*/ 151 w 193"/>
                                  <a:gd name="T27" fmla="*/ 117 h 193"/>
                                  <a:gd name="T28" fmla="*/ 117 w 193"/>
                                  <a:gd name="T29" fmla="*/ 150 h 193"/>
                                  <a:gd name="T30" fmla="*/ 132 w 193"/>
                                  <a:gd name="T31" fmla="*/ 159 h 193"/>
                                  <a:gd name="T32" fmla="*/ 106 w 193"/>
                                  <a:gd name="T33" fmla="*/ 189 h 193"/>
                                  <a:gd name="T34" fmla="*/ 31 w 193"/>
                                  <a:gd name="T35" fmla="*/ 73 h 193"/>
                                  <a:gd name="T36" fmla="*/ 9 w 193"/>
                                  <a:gd name="T37" fmla="*/ 98 h 193"/>
                                  <a:gd name="T38" fmla="*/ 92 w 193"/>
                                  <a:gd name="T39" fmla="*/ 183 h 193"/>
                                  <a:gd name="T40" fmla="*/ 120 w 193"/>
                                  <a:gd name="T41" fmla="*/ 162 h 193"/>
                                  <a:gd name="T42" fmla="*/ 102 w 193"/>
                                  <a:gd name="T43" fmla="*/ 133 h 193"/>
                                  <a:gd name="T44" fmla="*/ 157 w 193"/>
                                  <a:gd name="T45" fmla="*/ 111 h 193"/>
                                  <a:gd name="T46" fmla="*/ 181 w 193"/>
                                  <a:gd name="T47" fmla="*/ 102 h 193"/>
                                  <a:gd name="T48" fmla="*/ 181 w 193"/>
                                  <a:gd name="T49" fmla="*/ 94 h 193"/>
                                  <a:gd name="T50" fmla="*/ 152 w 193"/>
                                  <a:gd name="T51" fmla="*/ 61 h 193"/>
                                  <a:gd name="T52" fmla="*/ 175 w 193"/>
                                  <a:gd name="T53" fmla="*/ 52 h 193"/>
                                  <a:gd name="T54" fmla="*/ 142 w 193"/>
                                  <a:gd name="T55" fmla="*/ 18 h 193"/>
                                  <a:gd name="T56" fmla="*/ 132 w 193"/>
                                  <a:gd name="T57" fmla="*/ 41 h 193"/>
                                  <a:gd name="T58" fmla="*/ 100 w 193"/>
                                  <a:gd name="T59" fmla="*/ 12 h 193"/>
                                  <a:gd name="T60" fmla="*/ 74 w 193"/>
                                  <a:gd name="T61" fmla="*/ 30 h 193"/>
                                  <a:gd name="T62" fmla="*/ 83 w 193"/>
                                  <a:gd name="T63" fmla="*/ 82 h 193"/>
                                  <a:gd name="T64" fmla="*/ 31 w 193"/>
                                  <a:gd name="T65" fmla="*/ 73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3" h="193">
                                    <a:moveTo>
                                      <a:pt x="96" y="193"/>
                                    </a:moveTo>
                                    <a:cubicBezTo>
                                      <a:pt x="92" y="193"/>
                                      <a:pt x="88" y="192"/>
                                      <a:pt x="86" y="189"/>
                                    </a:cubicBezTo>
                                    <a:cubicBezTo>
                                      <a:pt x="4" y="108"/>
                                      <a:pt x="4" y="108"/>
                                      <a:pt x="4" y="108"/>
                                    </a:cubicBezTo>
                                    <a:cubicBezTo>
                                      <a:pt x="1" y="105"/>
                                      <a:pt x="0" y="101"/>
                                      <a:pt x="0" y="98"/>
                                    </a:cubicBezTo>
                                    <a:cubicBezTo>
                                      <a:pt x="0" y="94"/>
                                      <a:pt x="1" y="90"/>
                                      <a:pt x="4" y="88"/>
                                    </a:cubicBezTo>
                                    <a:cubicBezTo>
                                      <a:pt x="30" y="62"/>
                                      <a:pt x="30" y="62"/>
                                      <a:pt x="30" y="62"/>
                                    </a:cubicBezTo>
                                    <a:cubicBezTo>
                                      <a:pt x="31" y="61"/>
                                      <a:pt x="32" y="61"/>
                                      <a:pt x="34" y="61"/>
                                    </a:cubicBezTo>
                                    <a:cubicBezTo>
                                      <a:pt x="35" y="62"/>
                                      <a:pt x="37" y="63"/>
                                      <a:pt x="37" y="64"/>
                                    </a:cubicBezTo>
                                    <a:cubicBezTo>
                                      <a:pt x="38" y="69"/>
                                      <a:pt x="40" y="73"/>
                                      <a:pt x="43" y="76"/>
                                    </a:cubicBezTo>
                                    <a:cubicBezTo>
                                      <a:pt x="52" y="85"/>
                                      <a:pt x="68" y="85"/>
                                      <a:pt x="77" y="76"/>
                                    </a:cubicBezTo>
                                    <a:cubicBezTo>
                                      <a:pt x="86" y="67"/>
                                      <a:pt x="86" y="52"/>
                                      <a:pt x="77" y="43"/>
                                    </a:cubicBezTo>
                                    <a:cubicBezTo>
                                      <a:pt x="73" y="40"/>
                                      <a:pt x="69" y="37"/>
                                      <a:pt x="65" y="36"/>
                                    </a:cubicBezTo>
                                    <a:cubicBezTo>
                                      <a:pt x="63" y="36"/>
                                      <a:pt x="62" y="35"/>
                                      <a:pt x="62" y="33"/>
                                    </a:cubicBezTo>
                                    <a:cubicBezTo>
                                      <a:pt x="61" y="32"/>
                                      <a:pt x="62" y="30"/>
                                      <a:pt x="63" y="29"/>
                                    </a:cubicBezTo>
                                    <a:cubicBezTo>
                                      <a:pt x="86" y="6"/>
                                      <a:pt x="86" y="6"/>
                                      <a:pt x="86" y="6"/>
                                    </a:cubicBezTo>
                                    <a:cubicBezTo>
                                      <a:pt x="91" y="1"/>
                                      <a:pt x="100" y="1"/>
                                      <a:pt x="106" y="6"/>
                                    </a:cubicBezTo>
                                    <a:cubicBezTo>
                                      <a:pt x="127" y="28"/>
                                      <a:pt x="127" y="28"/>
                                      <a:pt x="127" y="28"/>
                                    </a:cubicBezTo>
                                    <a:cubicBezTo>
                                      <a:pt x="128" y="22"/>
                                      <a:pt x="131" y="17"/>
                                      <a:pt x="136" y="12"/>
                                    </a:cubicBezTo>
                                    <a:cubicBezTo>
                                      <a:pt x="148" y="0"/>
                                      <a:pt x="169" y="0"/>
                                      <a:pt x="181" y="12"/>
                                    </a:cubicBezTo>
                                    <a:cubicBezTo>
                                      <a:pt x="193" y="25"/>
                                      <a:pt x="193" y="45"/>
                                      <a:pt x="181" y="58"/>
                                    </a:cubicBezTo>
                                    <a:cubicBezTo>
                                      <a:pt x="177" y="62"/>
                                      <a:pt x="171" y="65"/>
                                      <a:pt x="166" y="66"/>
                                    </a:cubicBezTo>
                                    <a:cubicBezTo>
                                      <a:pt x="187" y="88"/>
                                      <a:pt x="187" y="88"/>
                                      <a:pt x="187" y="88"/>
                                    </a:cubicBezTo>
                                    <a:cubicBezTo>
                                      <a:pt x="190" y="90"/>
                                      <a:pt x="191" y="94"/>
                                      <a:pt x="191" y="98"/>
                                    </a:cubicBezTo>
                                    <a:cubicBezTo>
                                      <a:pt x="191" y="101"/>
                                      <a:pt x="190" y="105"/>
                                      <a:pt x="187" y="108"/>
                                    </a:cubicBezTo>
                                    <a:cubicBezTo>
                                      <a:pt x="164" y="131"/>
                                      <a:pt x="164" y="131"/>
                                      <a:pt x="164" y="131"/>
                                    </a:cubicBezTo>
                                    <a:cubicBezTo>
                                      <a:pt x="163" y="132"/>
                                      <a:pt x="161" y="132"/>
                                      <a:pt x="160" y="132"/>
                                    </a:cubicBezTo>
                                    <a:cubicBezTo>
                                      <a:pt x="158" y="131"/>
                                      <a:pt x="157" y="130"/>
                                      <a:pt x="157" y="129"/>
                                    </a:cubicBezTo>
                                    <a:cubicBezTo>
                                      <a:pt x="156" y="124"/>
                                      <a:pt x="154" y="120"/>
                                      <a:pt x="151" y="117"/>
                                    </a:cubicBezTo>
                                    <a:cubicBezTo>
                                      <a:pt x="142" y="108"/>
                                      <a:pt x="126" y="108"/>
                                      <a:pt x="117" y="117"/>
                                    </a:cubicBezTo>
                                    <a:cubicBezTo>
                                      <a:pt x="108" y="126"/>
                                      <a:pt x="108" y="141"/>
                                      <a:pt x="117" y="150"/>
                                    </a:cubicBezTo>
                                    <a:cubicBezTo>
                                      <a:pt x="121" y="153"/>
                                      <a:pt x="125" y="155"/>
                                      <a:pt x="129" y="156"/>
                                    </a:cubicBezTo>
                                    <a:cubicBezTo>
                                      <a:pt x="131" y="157"/>
                                      <a:pt x="132" y="158"/>
                                      <a:pt x="132" y="159"/>
                                    </a:cubicBezTo>
                                    <a:cubicBezTo>
                                      <a:pt x="133" y="161"/>
                                      <a:pt x="132" y="162"/>
                                      <a:pt x="131" y="164"/>
                                    </a:cubicBezTo>
                                    <a:cubicBezTo>
                                      <a:pt x="106" y="189"/>
                                      <a:pt x="106" y="189"/>
                                      <a:pt x="106" y="189"/>
                                    </a:cubicBezTo>
                                    <a:cubicBezTo>
                                      <a:pt x="103" y="192"/>
                                      <a:pt x="99" y="193"/>
                                      <a:pt x="96" y="193"/>
                                    </a:cubicBezTo>
                                    <a:close/>
                                    <a:moveTo>
                                      <a:pt x="31" y="73"/>
                                    </a:moveTo>
                                    <a:cubicBezTo>
                                      <a:pt x="10" y="94"/>
                                      <a:pt x="10" y="94"/>
                                      <a:pt x="10" y="94"/>
                                    </a:cubicBezTo>
                                    <a:cubicBezTo>
                                      <a:pt x="9" y="95"/>
                                      <a:pt x="9" y="96"/>
                                      <a:pt x="9" y="98"/>
                                    </a:cubicBezTo>
                                    <a:cubicBezTo>
                                      <a:pt x="9" y="99"/>
                                      <a:pt x="9" y="101"/>
                                      <a:pt x="10" y="102"/>
                                    </a:cubicBezTo>
                                    <a:cubicBezTo>
                                      <a:pt x="92" y="183"/>
                                      <a:pt x="92" y="183"/>
                                      <a:pt x="92" y="183"/>
                                    </a:cubicBezTo>
                                    <a:cubicBezTo>
                                      <a:pt x="94" y="185"/>
                                      <a:pt x="97" y="185"/>
                                      <a:pt x="100" y="183"/>
                                    </a:cubicBezTo>
                                    <a:cubicBezTo>
                                      <a:pt x="120" y="162"/>
                                      <a:pt x="120" y="162"/>
                                      <a:pt x="120" y="162"/>
                                    </a:cubicBezTo>
                                    <a:cubicBezTo>
                                      <a:pt x="117" y="161"/>
                                      <a:pt x="114" y="159"/>
                                      <a:pt x="111" y="156"/>
                                    </a:cubicBezTo>
                                    <a:cubicBezTo>
                                      <a:pt x="105" y="150"/>
                                      <a:pt x="102" y="142"/>
                                      <a:pt x="102" y="133"/>
                                    </a:cubicBezTo>
                                    <a:cubicBezTo>
                                      <a:pt x="102" y="125"/>
                                      <a:pt x="105" y="117"/>
                                      <a:pt x="111" y="111"/>
                                    </a:cubicBezTo>
                                    <a:cubicBezTo>
                                      <a:pt x="123" y="99"/>
                                      <a:pt x="144" y="99"/>
                                      <a:pt x="157" y="111"/>
                                    </a:cubicBezTo>
                                    <a:cubicBezTo>
                                      <a:pt x="159" y="113"/>
                                      <a:pt x="161" y="116"/>
                                      <a:pt x="163" y="120"/>
                                    </a:cubicBezTo>
                                    <a:cubicBezTo>
                                      <a:pt x="181" y="102"/>
                                      <a:pt x="181" y="102"/>
                                      <a:pt x="181" y="102"/>
                                    </a:cubicBezTo>
                                    <a:cubicBezTo>
                                      <a:pt x="182" y="101"/>
                                      <a:pt x="183" y="99"/>
                                      <a:pt x="183" y="98"/>
                                    </a:cubicBezTo>
                                    <a:cubicBezTo>
                                      <a:pt x="183" y="96"/>
                                      <a:pt x="182" y="95"/>
                                      <a:pt x="181" y="94"/>
                                    </a:cubicBezTo>
                                    <a:cubicBezTo>
                                      <a:pt x="153" y="66"/>
                                      <a:pt x="153" y="66"/>
                                      <a:pt x="153" y="66"/>
                                    </a:cubicBezTo>
                                    <a:cubicBezTo>
                                      <a:pt x="152" y="64"/>
                                      <a:pt x="151" y="63"/>
                                      <a:pt x="152" y="61"/>
                                    </a:cubicBezTo>
                                    <a:cubicBezTo>
                                      <a:pt x="153" y="59"/>
                                      <a:pt x="154" y="58"/>
                                      <a:pt x="156" y="58"/>
                                    </a:cubicBezTo>
                                    <a:cubicBezTo>
                                      <a:pt x="163" y="59"/>
                                      <a:pt x="170" y="57"/>
                                      <a:pt x="175" y="52"/>
                                    </a:cubicBezTo>
                                    <a:cubicBezTo>
                                      <a:pt x="184" y="43"/>
                                      <a:pt x="184" y="28"/>
                                      <a:pt x="175" y="18"/>
                                    </a:cubicBezTo>
                                    <a:cubicBezTo>
                                      <a:pt x="166" y="10"/>
                                      <a:pt x="150" y="10"/>
                                      <a:pt x="142" y="18"/>
                                    </a:cubicBezTo>
                                    <a:cubicBezTo>
                                      <a:pt x="137" y="23"/>
                                      <a:pt x="134" y="30"/>
                                      <a:pt x="135" y="37"/>
                                    </a:cubicBezTo>
                                    <a:cubicBezTo>
                                      <a:pt x="135" y="39"/>
                                      <a:pt x="134" y="40"/>
                                      <a:pt x="132" y="41"/>
                                    </a:cubicBezTo>
                                    <a:cubicBezTo>
                                      <a:pt x="131" y="42"/>
                                      <a:pt x="129" y="42"/>
                                      <a:pt x="128" y="40"/>
                                    </a:cubicBezTo>
                                    <a:cubicBezTo>
                                      <a:pt x="100" y="12"/>
                                      <a:pt x="100" y="12"/>
                                      <a:pt x="100" y="12"/>
                                    </a:cubicBezTo>
                                    <a:cubicBezTo>
                                      <a:pt x="97" y="10"/>
                                      <a:pt x="94" y="10"/>
                                      <a:pt x="92" y="12"/>
                                    </a:cubicBezTo>
                                    <a:cubicBezTo>
                                      <a:pt x="74" y="30"/>
                                      <a:pt x="74" y="30"/>
                                      <a:pt x="74" y="30"/>
                                    </a:cubicBezTo>
                                    <a:cubicBezTo>
                                      <a:pt x="77" y="32"/>
                                      <a:pt x="80" y="34"/>
                                      <a:pt x="83" y="37"/>
                                    </a:cubicBezTo>
                                    <a:cubicBezTo>
                                      <a:pt x="95" y="49"/>
                                      <a:pt x="95" y="70"/>
                                      <a:pt x="83" y="82"/>
                                    </a:cubicBezTo>
                                    <a:cubicBezTo>
                                      <a:pt x="70" y="94"/>
                                      <a:pt x="49" y="94"/>
                                      <a:pt x="37" y="82"/>
                                    </a:cubicBezTo>
                                    <a:cubicBezTo>
                                      <a:pt x="35" y="79"/>
                                      <a:pt x="32" y="76"/>
                                      <a:pt x="31" y="73"/>
                                    </a:cubicBezTo>
                                    <a:close/>
                                  </a:path>
                                </a:pathLst>
                              </a:custGeom>
                              <a:solidFill>
                                <a:sysClr val="window" lastClr="FFFFFF"/>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304FF6" id="Freeform 137" o:spid="_x0000_s1026" style="position:absolute;margin-left:-.05pt;margin-top:3.6pt;width:20.55pt;height:20.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" path="m96,193v-4,,-8,-1,-10,-4c4,108,4,108,4,108,1,105,,101,,98,,94,1,90,4,88,30,62,30,62,30,62v1,-1,2,-1,4,-1c35,62,37,63,37,64v1,5,3,9,6,12c52,85,68,85,77,76v9,-9,9,-24,,-33c73,40,69,37,65,36v-2,,-3,-1,-3,-3c61,32,62,30,63,29,86,6,86,6,86,6v5,-5,14,-5,20,c127,28,127,28,127,28v1,-6,4,-11,9,-16c148,,169,,181,12v12,13,12,33,,46c177,62,171,65,166,66v21,22,21,22,21,22c190,90,191,94,191,98v,3,-1,7,-4,10c164,131,164,131,164,131v-1,1,-3,1,-4,1c158,131,157,130,157,129v-1,-5,-3,-9,-6,-12c142,108,126,108,117,117v-9,9,-9,24,,33c121,153,125,155,129,156v2,1,3,2,3,3c133,161,132,162,131,164v-25,25,-25,25,-25,25c103,192,99,193,96,193xm31,73c10,94,10,94,10,94,9,95,9,96,9,98v,1,,3,1,4c92,183,92,183,92,183v2,2,5,2,8,c120,162,120,162,120,162v-3,-1,-6,-3,-9,-6c105,150,102,142,102,133v,-8,3,-16,9,-22c123,99,144,99,157,111v2,2,4,5,6,9c181,102,181,102,181,102v1,-1,2,-3,2,-4c183,96,182,95,181,94,153,66,153,66,153,66v-1,-2,-2,-3,-1,-5c153,59,154,58,156,58v7,1,14,-1,19,-6c184,43,184,28,175,18v-9,-8,-25,-8,-33,c137,23,134,30,135,37v,2,-1,3,-3,4c131,42,129,42,128,40,100,12,100,12,100,12v-3,-2,-6,-2,-8,c74,30,74,30,74,30v3,2,6,4,9,7c95,49,95,70,83,82,70,94,49,94,37,82,35,79,32,76,31,73xe" fillcolor="window" stroked="f">
                      <v:path arrowok="t" o:connecttype="custom" o:connectlocs="116294,256198;0,132843;40568,84044;50033,86755;104124,103021;87897,48800;85192,39311;143339,8133;183907,16267;244758,78622;252871,119288;252871,146399;216361,178932;204190,158599;158214,203332;178498,215532;143339,256198;41920,98955;12170,132843;124407,248065;162270,219598;137930,180287;212304,150465;244758,138265;244758,127421;205543,82688;236644,70488;192020,24400;178498,55577;135225,16267;100067,40666;112237,111155;41920,98955" o:connectangles="0,0,0,0,0,0,0,0,0,0,0,0,0,0,0,0,0,0,0,0,0,0,0,0,0,0,0,0,0,0,0,0,0"/>
                      <o:lock v:ext="edit" verticies="t"/>
                    </v:shape>
                  </w:pict>
                </mc:Fallback>
              </mc:AlternateContent>
            </w:r>
          </w:p>
        </w:tc>
        <w:tc>
          <w:tcPr>
            <w:tcW w:w="1843" w:type="dxa"/>
            <w:tcBorders>
              <w:top w:val="single" w:sz="6" w:space="0" w:color="FFFFFF" w:themeColor="background1"/>
              <w:bottom w:val="single" w:sz="6" w:space="0" w:color="FFFFFF" w:themeColor="background1"/>
            </w:tcBorders>
            <w:shd w:val="clear" w:color="auto" w:fill="A5A5A5" w:themeFill="accent3"/>
          </w:tcPr>
          <w:p>
            <w:pPr>
              <w:suppressAutoHyphens/>
              <w:rPr>
                <w:noProof/>
                <w:color w:val="F26A47"/>
              </w:rPr>
            </w:pPr>
            <w:r>
              <w:rPr>
                <w:noProof/>
                <w:color w:val="F26A47"/>
                <w:lang w:eastAsia="en-GB"/>
              </w:rPr>
              <mc:AlternateContent>
                <mc:Choice Requires="wpg">
                  <w:drawing>
                    <wp:anchor distT="0" distB="0" distL="114300" distR="114300" simplePos="0" relativeHeight="251657216" behindDoc="0" locked="0" layoutInCell="1" allowOverlap="1">
                      <wp:simplePos x="0" y="0"/>
                      <wp:positionH relativeFrom="column">
                        <wp:posOffset>379774</wp:posOffset>
                      </wp:positionH>
                      <wp:positionV relativeFrom="paragraph">
                        <wp:posOffset>33020</wp:posOffset>
                      </wp:positionV>
                      <wp:extent cx="219710" cy="274955"/>
                      <wp:effectExtent l="38100" t="0" r="8890" b="0"/>
                      <wp:wrapNone/>
                      <wp:docPr id="23" name="Group 2077"/>
                      <wp:cNvGraphicFramePr/>
                      <a:graphic xmlns:a="http://schemas.openxmlformats.org/drawingml/2006/main">
                        <a:graphicData uri="http://schemas.microsoft.com/office/word/2010/wordprocessingGroup">
                          <wpg:wgp>
                            <wpg:cNvGrpSpPr/>
                            <wpg:grpSpPr>
                              <a:xfrm>
                                <a:off x="0" y="0"/>
                                <a:ext cx="219710" cy="274955"/>
                                <a:chOff x="0" y="0"/>
                                <a:chExt cx="252413" cy="315913"/>
                              </a:xfrm>
                              <a:solidFill>
                                <a:sysClr val="window" lastClr="FFFFFF"/>
                              </a:solidFill>
                            </wpg:grpSpPr>
                            <wps:wsp>
                              <wps:cNvPr id="24" name="Freeform 24"/>
                              <wps:cNvSpPr>
                                <a:spLocks noEditPoints="1"/>
                              </wps:cNvSpPr>
                              <wps:spPr bwMode="auto">
                                <a:xfrm>
                                  <a:off x="0" y="0"/>
                                  <a:ext cx="252413" cy="315913"/>
                                </a:xfrm>
                                <a:custGeom>
                                  <a:avLst/>
                                  <a:gdLst>
                                    <a:gd name="T0" fmla="*/ 173 w 192"/>
                                    <a:gd name="T1" fmla="*/ 145 h 237"/>
                                    <a:gd name="T2" fmla="*/ 149 w 192"/>
                                    <a:gd name="T3" fmla="*/ 183 h 237"/>
                                    <a:gd name="T4" fmla="*/ 119 w 192"/>
                                    <a:gd name="T5" fmla="*/ 192 h 237"/>
                                    <a:gd name="T6" fmla="*/ 179 w 192"/>
                                    <a:gd name="T7" fmla="*/ 113 h 237"/>
                                    <a:gd name="T8" fmla="*/ 105 w 192"/>
                                    <a:gd name="T9" fmla="*/ 158 h 237"/>
                                    <a:gd name="T10" fmla="*/ 56 w 192"/>
                                    <a:gd name="T11" fmla="*/ 121 h 237"/>
                                    <a:gd name="T12" fmla="*/ 80 w 192"/>
                                    <a:gd name="T13" fmla="*/ 114 h 237"/>
                                    <a:gd name="T14" fmla="*/ 80 w 192"/>
                                    <a:gd name="T15" fmla="*/ 114 h 237"/>
                                    <a:gd name="T16" fmla="*/ 80 w 192"/>
                                    <a:gd name="T17" fmla="*/ 114 h 237"/>
                                    <a:gd name="T18" fmla="*/ 81 w 192"/>
                                    <a:gd name="T19" fmla="*/ 115 h 237"/>
                                    <a:gd name="T20" fmla="*/ 107 w 192"/>
                                    <a:gd name="T21" fmla="*/ 129 h 237"/>
                                    <a:gd name="T22" fmla="*/ 129 w 192"/>
                                    <a:gd name="T23" fmla="*/ 118 h 237"/>
                                    <a:gd name="T24" fmla="*/ 115 w 192"/>
                                    <a:gd name="T25" fmla="*/ 81 h 237"/>
                                    <a:gd name="T26" fmla="*/ 115 w 192"/>
                                    <a:gd name="T27" fmla="*/ 80 h 237"/>
                                    <a:gd name="T28" fmla="*/ 114 w 192"/>
                                    <a:gd name="T29" fmla="*/ 80 h 237"/>
                                    <a:gd name="T30" fmla="*/ 114 w 192"/>
                                    <a:gd name="T31" fmla="*/ 80 h 237"/>
                                    <a:gd name="T32" fmla="*/ 66 w 192"/>
                                    <a:gd name="T33" fmla="*/ 32 h 237"/>
                                    <a:gd name="T34" fmla="*/ 34 w 192"/>
                                    <a:gd name="T35" fmla="*/ 16 h 237"/>
                                    <a:gd name="T36" fmla="*/ 23 w 192"/>
                                    <a:gd name="T37" fmla="*/ 0 h 237"/>
                                    <a:gd name="T38" fmla="*/ 0 w 192"/>
                                    <a:gd name="T39" fmla="*/ 23 h 237"/>
                                    <a:gd name="T40" fmla="*/ 16 w 192"/>
                                    <a:gd name="T41" fmla="*/ 34 h 237"/>
                                    <a:gd name="T42" fmla="*/ 33 w 192"/>
                                    <a:gd name="T43" fmla="*/ 68 h 237"/>
                                    <a:gd name="T44" fmla="*/ 31 w 192"/>
                                    <a:gd name="T45" fmla="*/ 89 h 237"/>
                                    <a:gd name="T46" fmla="*/ 79 w 192"/>
                                    <a:gd name="T47" fmla="*/ 193 h 237"/>
                                    <a:gd name="T48" fmla="*/ 46 w 192"/>
                                    <a:gd name="T49" fmla="*/ 229 h 237"/>
                                    <a:gd name="T50" fmla="*/ 148 w 192"/>
                                    <a:gd name="T51" fmla="*/ 237 h 237"/>
                                    <a:gd name="T52" fmla="*/ 136 w 192"/>
                                    <a:gd name="T53" fmla="*/ 213 h 237"/>
                                    <a:gd name="T54" fmla="*/ 136 w 192"/>
                                    <a:gd name="T55" fmla="*/ 200 h 237"/>
                                    <a:gd name="T56" fmla="*/ 155 w 192"/>
                                    <a:gd name="T57" fmla="*/ 188 h 237"/>
                                    <a:gd name="T58" fmla="*/ 162 w 192"/>
                                    <a:gd name="T59" fmla="*/ 190 h 237"/>
                                    <a:gd name="T60" fmla="*/ 164 w 192"/>
                                    <a:gd name="T61" fmla="*/ 109 h 237"/>
                                    <a:gd name="T62" fmla="*/ 112 w 192"/>
                                    <a:gd name="T63" fmla="*/ 161 h 237"/>
                                    <a:gd name="T64" fmla="*/ 54 w 192"/>
                                    <a:gd name="T65" fmla="*/ 65 h 237"/>
                                    <a:gd name="T66" fmla="*/ 37 w 192"/>
                                    <a:gd name="T67" fmla="*/ 82 h 237"/>
                                    <a:gd name="T68" fmla="*/ 100 w 192"/>
                                    <a:gd name="T69" fmla="*/ 113 h 237"/>
                                    <a:gd name="T70" fmla="*/ 123 w 192"/>
                                    <a:gd name="T71" fmla="*/ 113 h 237"/>
                                    <a:gd name="T72" fmla="*/ 106 w 192"/>
                                    <a:gd name="T73" fmla="*/ 117 h 237"/>
                                    <a:gd name="T74" fmla="*/ 123 w 192"/>
                                    <a:gd name="T75" fmla="*/ 113 h 237"/>
                                    <a:gd name="T76" fmla="*/ 106 w 192"/>
                                    <a:gd name="T77" fmla="*/ 82 h 237"/>
                                    <a:gd name="T78" fmla="*/ 78 w 192"/>
                                    <a:gd name="T79" fmla="*/ 82 h 237"/>
                                    <a:gd name="T80" fmla="*/ 39 w 192"/>
                                    <a:gd name="T81" fmla="*/ 62 h 237"/>
                                    <a:gd name="T82" fmla="*/ 55 w 192"/>
                                    <a:gd name="T83" fmla="*/ 38 h 237"/>
                                    <a:gd name="T84" fmla="*/ 44 w 192"/>
                                    <a:gd name="T85" fmla="*/ 37 h 237"/>
                                    <a:gd name="T86" fmla="*/ 29 w 192"/>
                                    <a:gd name="T87" fmla="*/ 22 h 237"/>
                                    <a:gd name="T88" fmla="*/ 9 w 192"/>
                                    <a:gd name="T89" fmla="*/ 20 h 237"/>
                                    <a:gd name="T90" fmla="*/ 26 w 192"/>
                                    <a:gd name="T91" fmla="*/ 9 h 237"/>
                                    <a:gd name="T92" fmla="*/ 15 w 192"/>
                                    <a:gd name="T93" fmla="*/ 26 h 237"/>
                                    <a:gd name="T94" fmla="*/ 31 w 192"/>
                                    <a:gd name="T95" fmla="*/ 121 h 237"/>
                                    <a:gd name="T96" fmla="*/ 48 w 192"/>
                                    <a:gd name="T97" fmla="*/ 121 h 237"/>
                                    <a:gd name="T98" fmla="*/ 79 w 192"/>
                                    <a:gd name="T99" fmla="*/ 185 h 237"/>
                                    <a:gd name="T100" fmla="*/ 144 w 192"/>
                                    <a:gd name="T101" fmla="*/ 229 h 237"/>
                                    <a:gd name="T102" fmla="*/ 62 w 192"/>
                                    <a:gd name="T103" fmla="*/ 221 h 237"/>
                                    <a:gd name="T104" fmla="*/ 86 w 192"/>
                                    <a:gd name="T105" fmla="*/ 213 h 237"/>
                                    <a:gd name="T106" fmla="*/ 112 w 192"/>
                                    <a:gd name="T107" fmla="*/ 177 h 237"/>
                                    <a:gd name="T108" fmla="*/ 159 w 192"/>
                                    <a:gd name="T109" fmla="*/ 182 h 237"/>
                                    <a:gd name="T110" fmla="*/ 182 w 192"/>
                                    <a:gd name="T111" fmla="*/ 159 h 237"/>
                                    <a:gd name="T112" fmla="*/ 159 w 192"/>
                                    <a:gd name="T113" fmla="*/ 182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2" h="237">
                                      <a:moveTo>
                                        <a:pt x="190" y="157"/>
                                      </a:moveTo>
                                      <a:cubicBezTo>
                                        <a:pt x="178" y="145"/>
                                        <a:pt x="178" y="145"/>
                                        <a:pt x="178" y="145"/>
                                      </a:cubicBezTo>
                                      <a:cubicBezTo>
                                        <a:pt x="177" y="144"/>
                                        <a:pt x="175" y="144"/>
                                        <a:pt x="173" y="145"/>
                                      </a:cubicBezTo>
                                      <a:cubicBezTo>
                                        <a:pt x="145" y="173"/>
                                        <a:pt x="145" y="173"/>
                                        <a:pt x="145" y="173"/>
                                      </a:cubicBezTo>
                                      <a:cubicBezTo>
                                        <a:pt x="144" y="175"/>
                                        <a:pt x="144" y="177"/>
                                        <a:pt x="145" y="179"/>
                                      </a:cubicBezTo>
                                      <a:cubicBezTo>
                                        <a:pt x="149" y="183"/>
                                        <a:pt x="149" y="183"/>
                                        <a:pt x="149" y="183"/>
                                      </a:cubicBezTo>
                                      <a:cubicBezTo>
                                        <a:pt x="142" y="190"/>
                                        <a:pt x="142" y="190"/>
                                        <a:pt x="142" y="190"/>
                                      </a:cubicBezTo>
                                      <a:cubicBezTo>
                                        <a:pt x="141" y="192"/>
                                        <a:pt x="139" y="192"/>
                                        <a:pt x="136" y="192"/>
                                      </a:cubicBezTo>
                                      <a:cubicBezTo>
                                        <a:pt x="119" y="192"/>
                                        <a:pt x="119" y="192"/>
                                        <a:pt x="119" y="192"/>
                                      </a:cubicBezTo>
                                      <a:cubicBezTo>
                                        <a:pt x="119" y="178"/>
                                        <a:pt x="119" y="178"/>
                                        <a:pt x="119" y="178"/>
                                      </a:cubicBezTo>
                                      <a:cubicBezTo>
                                        <a:pt x="179" y="118"/>
                                        <a:pt x="179" y="118"/>
                                        <a:pt x="179" y="118"/>
                                      </a:cubicBezTo>
                                      <a:cubicBezTo>
                                        <a:pt x="180" y="117"/>
                                        <a:pt x="180" y="114"/>
                                        <a:pt x="179" y="113"/>
                                      </a:cubicBezTo>
                                      <a:cubicBezTo>
                                        <a:pt x="167" y="101"/>
                                        <a:pt x="167" y="101"/>
                                        <a:pt x="167" y="101"/>
                                      </a:cubicBezTo>
                                      <a:cubicBezTo>
                                        <a:pt x="166" y="100"/>
                                        <a:pt x="163" y="100"/>
                                        <a:pt x="162" y="101"/>
                                      </a:cubicBezTo>
                                      <a:cubicBezTo>
                                        <a:pt x="105" y="158"/>
                                        <a:pt x="105" y="158"/>
                                        <a:pt x="105" y="158"/>
                                      </a:cubicBezTo>
                                      <a:cubicBezTo>
                                        <a:pt x="103" y="157"/>
                                        <a:pt x="101" y="157"/>
                                        <a:pt x="99" y="157"/>
                                      </a:cubicBezTo>
                                      <a:cubicBezTo>
                                        <a:pt x="94" y="157"/>
                                        <a:pt x="89" y="158"/>
                                        <a:pt x="86" y="162"/>
                                      </a:cubicBezTo>
                                      <a:cubicBezTo>
                                        <a:pt x="68" y="156"/>
                                        <a:pt x="56" y="139"/>
                                        <a:pt x="56" y="121"/>
                                      </a:cubicBezTo>
                                      <a:cubicBezTo>
                                        <a:pt x="56" y="115"/>
                                        <a:pt x="57" y="110"/>
                                        <a:pt x="58" y="106"/>
                                      </a:cubicBezTo>
                                      <a:cubicBezTo>
                                        <a:pt x="62" y="105"/>
                                        <a:pt x="65" y="104"/>
                                        <a:pt x="68" y="102"/>
                                      </a:cubicBezTo>
                                      <a:cubicBezTo>
                                        <a:pt x="80" y="114"/>
                                        <a:pt x="80" y="114"/>
                                        <a:pt x="80" y="114"/>
                                      </a:cubicBezTo>
                                      <a:cubicBezTo>
                                        <a:pt x="80" y="114"/>
                                        <a:pt x="80" y="114"/>
                                        <a:pt x="80" y="114"/>
                                      </a:cubicBezTo>
                                      <a:cubicBezTo>
                                        <a:pt x="80" y="114"/>
                                        <a:pt x="80" y="114"/>
                                        <a:pt x="80" y="114"/>
                                      </a:cubicBezTo>
                                      <a:cubicBezTo>
                                        <a:pt x="80" y="114"/>
                                        <a:pt x="80" y="114"/>
                                        <a:pt x="80" y="114"/>
                                      </a:cubicBezTo>
                                      <a:cubicBezTo>
                                        <a:pt x="80" y="114"/>
                                        <a:pt x="80" y="114"/>
                                        <a:pt x="80" y="114"/>
                                      </a:cubicBezTo>
                                      <a:cubicBezTo>
                                        <a:pt x="80" y="114"/>
                                        <a:pt x="80" y="114"/>
                                        <a:pt x="80" y="114"/>
                                      </a:cubicBezTo>
                                      <a:cubicBezTo>
                                        <a:pt x="80" y="114"/>
                                        <a:pt x="80" y="114"/>
                                        <a:pt x="80" y="114"/>
                                      </a:cubicBezTo>
                                      <a:cubicBezTo>
                                        <a:pt x="81" y="115"/>
                                        <a:pt x="81" y="115"/>
                                        <a:pt x="81" y="115"/>
                                      </a:cubicBezTo>
                                      <a:cubicBezTo>
                                        <a:pt x="81" y="115"/>
                                        <a:pt x="81" y="115"/>
                                        <a:pt x="81" y="115"/>
                                      </a:cubicBezTo>
                                      <a:cubicBezTo>
                                        <a:pt x="81" y="115"/>
                                        <a:pt x="81" y="115"/>
                                        <a:pt x="81" y="115"/>
                                      </a:cubicBezTo>
                                      <a:cubicBezTo>
                                        <a:pt x="81" y="115"/>
                                        <a:pt x="81" y="115"/>
                                        <a:pt x="81" y="115"/>
                                      </a:cubicBezTo>
                                      <a:cubicBezTo>
                                        <a:pt x="99" y="121"/>
                                        <a:pt x="99" y="121"/>
                                        <a:pt x="99" y="121"/>
                                      </a:cubicBezTo>
                                      <a:cubicBezTo>
                                        <a:pt x="107" y="129"/>
                                        <a:pt x="107" y="129"/>
                                        <a:pt x="107" y="129"/>
                                      </a:cubicBezTo>
                                      <a:cubicBezTo>
                                        <a:pt x="108" y="130"/>
                                        <a:pt x="110" y="131"/>
                                        <a:pt x="112" y="131"/>
                                      </a:cubicBezTo>
                                      <a:cubicBezTo>
                                        <a:pt x="114" y="131"/>
                                        <a:pt x="116" y="130"/>
                                        <a:pt x="118" y="129"/>
                                      </a:cubicBezTo>
                                      <a:cubicBezTo>
                                        <a:pt x="129" y="118"/>
                                        <a:pt x="129" y="118"/>
                                        <a:pt x="129" y="118"/>
                                      </a:cubicBezTo>
                                      <a:cubicBezTo>
                                        <a:pt x="132" y="115"/>
                                        <a:pt x="132" y="110"/>
                                        <a:pt x="129" y="107"/>
                                      </a:cubicBezTo>
                                      <a:cubicBezTo>
                                        <a:pt x="121" y="99"/>
                                        <a:pt x="121" y="99"/>
                                        <a:pt x="121" y="99"/>
                                      </a:cubicBezTo>
                                      <a:cubicBezTo>
                                        <a:pt x="115" y="81"/>
                                        <a:pt x="115" y="81"/>
                                        <a:pt x="115" y="81"/>
                                      </a:cubicBezTo>
                                      <a:cubicBezTo>
                                        <a:pt x="115" y="81"/>
                                        <a:pt x="115" y="81"/>
                                        <a:pt x="115" y="81"/>
                                      </a:cubicBezTo>
                                      <a:cubicBezTo>
                                        <a:pt x="115" y="81"/>
                                        <a:pt x="115" y="81"/>
                                        <a:pt x="115" y="81"/>
                                      </a:cubicBezTo>
                                      <a:cubicBezTo>
                                        <a:pt x="115" y="81"/>
                                        <a:pt x="115" y="81"/>
                                        <a:pt x="115" y="80"/>
                                      </a:cubicBezTo>
                                      <a:cubicBezTo>
                                        <a:pt x="115" y="80"/>
                                        <a:pt x="115" y="80"/>
                                        <a:pt x="115" y="80"/>
                                      </a:cubicBezTo>
                                      <a:cubicBezTo>
                                        <a:pt x="115" y="80"/>
                                        <a:pt x="115" y="80"/>
                                        <a:pt x="115" y="80"/>
                                      </a:cubicBezTo>
                                      <a:cubicBezTo>
                                        <a:pt x="114" y="80"/>
                                        <a:pt x="114" y="80"/>
                                        <a:pt x="114" y="80"/>
                                      </a:cubicBezTo>
                                      <a:cubicBezTo>
                                        <a:pt x="114" y="80"/>
                                        <a:pt x="114" y="80"/>
                                        <a:pt x="114" y="80"/>
                                      </a:cubicBezTo>
                                      <a:cubicBezTo>
                                        <a:pt x="114" y="80"/>
                                        <a:pt x="114" y="80"/>
                                        <a:pt x="114" y="80"/>
                                      </a:cubicBezTo>
                                      <a:cubicBezTo>
                                        <a:pt x="114" y="80"/>
                                        <a:pt x="114" y="80"/>
                                        <a:pt x="114" y="80"/>
                                      </a:cubicBezTo>
                                      <a:cubicBezTo>
                                        <a:pt x="114" y="79"/>
                                        <a:pt x="114" y="79"/>
                                        <a:pt x="114" y="79"/>
                                      </a:cubicBezTo>
                                      <a:cubicBezTo>
                                        <a:pt x="114" y="79"/>
                                        <a:pt x="114" y="79"/>
                                        <a:pt x="114" y="79"/>
                                      </a:cubicBezTo>
                                      <a:cubicBezTo>
                                        <a:pt x="66" y="32"/>
                                        <a:pt x="66" y="32"/>
                                        <a:pt x="66" y="32"/>
                                      </a:cubicBezTo>
                                      <a:cubicBezTo>
                                        <a:pt x="64" y="30"/>
                                        <a:pt x="61" y="29"/>
                                        <a:pt x="58" y="29"/>
                                      </a:cubicBezTo>
                                      <a:cubicBezTo>
                                        <a:pt x="55" y="29"/>
                                        <a:pt x="52" y="30"/>
                                        <a:pt x="50" y="32"/>
                                      </a:cubicBezTo>
                                      <a:cubicBezTo>
                                        <a:pt x="34" y="16"/>
                                        <a:pt x="34" y="16"/>
                                        <a:pt x="34" y="16"/>
                                      </a:cubicBezTo>
                                      <a:cubicBezTo>
                                        <a:pt x="34" y="15"/>
                                        <a:pt x="35" y="13"/>
                                        <a:pt x="35" y="12"/>
                                      </a:cubicBezTo>
                                      <a:cubicBezTo>
                                        <a:pt x="35" y="9"/>
                                        <a:pt x="33" y="6"/>
                                        <a:pt x="31" y="3"/>
                                      </a:cubicBezTo>
                                      <a:cubicBezTo>
                                        <a:pt x="29" y="1"/>
                                        <a:pt x="26" y="0"/>
                                        <a:pt x="23" y="0"/>
                                      </a:cubicBezTo>
                                      <a:cubicBezTo>
                                        <a:pt x="20" y="0"/>
                                        <a:pt x="17" y="1"/>
                                        <a:pt x="14" y="3"/>
                                      </a:cubicBezTo>
                                      <a:cubicBezTo>
                                        <a:pt x="3" y="14"/>
                                        <a:pt x="3" y="14"/>
                                        <a:pt x="3" y="14"/>
                                      </a:cubicBezTo>
                                      <a:cubicBezTo>
                                        <a:pt x="1" y="17"/>
                                        <a:pt x="0" y="20"/>
                                        <a:pt x="0" y="23"/>
                                      </a:cubicBezTo>
                                      <a:cubicBezTo>
                                        <a:pt x="0" y="26"/>
                                        <a:pt x="1" y="29"/>
                                        <a:pt x="3" y="31"/>
                                      </a:cubicBezTo>
                                      <a:cubicBezTo>
                                        <a:pt x="6" y="34"/>
                                        <a:pt x="9" y="35"/>
                                        <a:pt x="12" y="35"/>
                                      </a:cubicBezTo>
                                      <a:cubicBezTo>
                                        <a:pt x="13" y="35"/>
                                        <a:pt x="15" y="34"/>
                                        <a:pt x="16" y="34"/>
                                      </a:cubicBezTo>
                                      <a:cubicBezTo>
                                        <a:pt x="32" y="50"/>
                                        <a:pt x="32" y="50"/>
                                        <a:pt x="32" y="50"/>
                                      </a:cubicBezTo>
                                      <a:cubicBezTo>
                                        <a:pt x="27" y="54"/>
                                        <a:pt x="28" y="62"/>
                                        <a:pt x="32" y="67"/>
                                      </a:cubicBezTo>
                                      <a:cubicBezTo>
                                        <a:pt x="33" y="68"/>
                                        <a:pt x="33" y="68"/>
                                        <a:pt x="33" y="68"/>
                                      </a:cubicBezTo>
                                      <a:cubicBezTo>
                                        <a:pt x="34" y="68"/>
                                        <a:pt x="34" y="68"/>
                                        <a:pt x="34" y="68"/>
                                      </a:cubicBezTo>
                                      <a:cubicBezTo>
                                        <a:pt x="31" y="72"/>
                                        <a:pt x="30" y="77"/>
                                        <a:pt x="30" y="82"/>
                                      </a:cubicBezTo>
                                      <a:cubicBezTo>
                                        <a:pt x="30" y="84"/>
                                        <a:pt x="30" y="87"/>
                                        <a:pt x="31" y="89"/>
                                      </a:cubicBezTo>
                                      <a:cubicBezTo>
                                        <a:pt x="26" y="99"/>
                                        <a:pt x="24" y="110"/>
                                        <a:pt x="24" y="121"/>
                                      </a:cubicBezTo>
                                      <a:cubicBezTo>
                                        <a:pt x="24" y="138"/>
                                        <a:pt x="29" y="154"/>
                                        <a:pt x="40" y="167"/>
                                      </a:cubicBezTo>
                                      <a:cubicBezTo>
                                        <a:pt x="50" y="180"/>
                                        <a:pt x="64" y="189"/>
                                        <a:pt x="79" y="193"/>
                                      </a:cubicBezTo>
                                      <a:cubicBezTo>
                                        <a:pt x="79" y="213"/>
                                        <a:pt x="79" y="213"/>
                                        <a:pt x="79" y="213"/>
                                      </a:cubicBezTo>
                                      <a:cubicBezTo>
                                        <a:pt x="62" y="213"/>
                                        <a:pt x="62" y="213"/>
                                        <a:pt x="62" y="213"/>
                                      </a:cubicBezTo>
                                      <a:cubicBezTo>
                                        <a:pt x="53" y="213"/>
                                        <a:pt x="46" y="220"/>
                                        <a:pt x="46" y="229"/>
                                      </a:cubicBezTo>
                                      <a:cubicBezTo>
                                        <a:pt x="46" y="233"/>
                                        <a:pt x="46" y="233"/>
                                        <a:pt x="46" y="233"/>
                                      </a:cubicBezTo>
                                      <a:cubicBezTo>
                                        <a:pt x="46" y="235"/>
                                        <a:pt x="48" y="237"/>
                                        <a:pt x="50" y="237"/>
                                      </a:cubicBezTo>
                                      <a:cubicBezTo>
                                        <a:pt x="148" y="237"/>
                                        <a:pt x="148" y="237"/>
                                        <a:pt x="148" y="237"/>
                                      </a:cubicBezTo>
                                      <a:cubicBezTo>
                                        <a:pt x="150" y="237"/>
                                        <a:pt x="152" y="235"/>
                                        <a:pt x="152" y="233"/>
                                      </a:cubicBezTo>
                                      <a:cubicBezTo>
                                        <a:pt x="152" y="229"/>
                                        <a:pt x="152" y="229"/>
                                        <a:pt x="152" y="229"/>
                                      </a:cubicBezTo>
                                      <a:cubicBezTo>
                                        <a:pt x="152" y="220"/>
                                        <a:pt x="145" y="213"/>
                                        <a:pt x="136" y="213"/>
                                      </a:cubicBezTo>
                                      <a:cubicBezTo>
                                        <a:pt x="119" y="213"/>
                                        <a:pt x="119" y="213"/>
                                        <a:pt x="119" y="213"/>
                                      </a:cubicBezTo>
                                      <a:cubicBezTo>
                                        <a:pt x="119" y="200"/>
                                        <a:pt x="119" y="200"/>
                                        <a:pt x="119" y="200"/>
                                      </a:cubicBezTo>
                                      <a:cubicBezTo>
                                        <a:pt x="136" y="200"/>
                                        <a:pt x="136" y="200"/>
                                        <a:pt x="136" y="200"/>
                                      </a:cubicBezTo>
                                      <a:cubicBezTo>
                                        <a:pt x="136" y="200"/>
                                        <a:pt x="136" y="200"/>
                                        <a:pt x="136" y="200"/>
                                      </a:cubicBezTo>
                                      <a:cubicBezTo>
                                        <a:pt x="141" y="200"/>
                                        <a:pt x="145" y="198"/>
                                        <a:pt x="148" y="195"/>
                                      </a:cubicBezTo>
                                      <a:cubicBezTo>
                                        <a:pt x="155" y="188"/>
                                        <a:pt x="155" y="188"/>
                                        <a:pt x="155" y="188"/>
                                      </a:cubicBezTo>
                                      <a:cubicBezTo>
                                        <a:pt x="157" y="190"/>
                                        <a:pt x="157" y="190"/>
                                        <a:pt x="157" y="190"/>
                                      </a:cubicBezTo>
                                      <a:cubicBezTo>
                                        <a:pt x="157" y="191"/>
                                        <a:pt x="158" y="191"/>
                                        <a:pt x="159" y="191"/>
                                      </a:cubicBezTo>
                                      <a:cubicBezTo>
                                        <a:pt x="160" y="191"/>
                                        <a:pt x="161" y="191"/>
                                        <a:pt x="162" y="190"/>
                                      </a:cubicBezTo>
                                      <a:cubicBezTo>
                                        <a:pt x="190" y="162"/>
                                        <a:pt x="190" y="162"/>
                                        <a:pt x="190" y="162"/>
                                      </a:cubicBezTo>
                                      <a:cubicBezTo>
                                        <a:pt x="192" y="161"/>
                                        <a:pt x="192" y="158"/>
                                        <a:pt x="190" y="157"/>
                                      </a:cubicBezTo>
                                      <a:close/>
                                      <a:moveTo>
                                        <a:pt x="164" y="109"/>
                                      </a:moveTo>
                                      <a:cubicBezTo>
                                        <a:pt x="171" y="115"/>
                                        <a:pt x="171" y="115"/>
                                        <a:pt x="171" y="115"/>
                                      </a:cubicBezTo>
                                      <a:cubicBezTo>
                                        <a:pt x="117" y="169"/>
                                        <a:pt x="117" y="169"/>
                                        <a:pt x="117" y="169"/>
                                      </a:cubicBezTo>
                                      <a:cubicBezTo>
                                        <a:pt x="116" y="166"/>
                                        <a:pt x="114" y="163"/>
                                        <a:pt x="112" y="161"/>
                                      </a:cubicBezTo>
                                      <a:lnTo>
                                        <a:pt x="164" y="109"/>
                                      </a:lnTo>
                                      <a:close/>
                                      <a:moveTo>
                                        <a:pt x="37" y="82"/>
                                      </a:moveTo>
                                      <a:cubicBezTo>
                                        <a:pt x="37" y="73"/>
                                        <a:pt x="45" y="65"/>
                                        <a:pt x="54" y="65"/>
                                      </a:cubicBezTo>
                                      <a:cubicBezTo>
                                        <a:pt x="63" y="65"/>
                                        <a:pt x="71" y="73"/>
                                        <a:pt x="71" y="82"/>
                                      </a:cubicBezTo>
                                      <a:cubicBezTo>
                                        <a:pt x="71" y="91"/>
                                        <a:pt x="63" y="98"/>
                                        <a:pt x="54" y="98"/>
                                      </a:cubicBezTo>
                                      <a:cubicBezTo>
                                        <a:pt x="45" y="98"/>
                                        <a:pt x="37" y="91"/>
                                        <a:pt x="37" y="82"/>
                                      </a:cubicBezTo>
                                      <a:close/>
                                      <a:moveTo>
                                        <a:pt x="110" y="89"/>
                                      </a:moveTo>
                                      <a:cubicBezTo>
                                        <a:pt x="113" y="100"/>
                                        <a:pt x="113" y="100"/>
                                        <a:pt x="113" y="100"/>
                                      </a:cubicBezTo>
                                      <a:cubicBezTo>
                                        <a:pt x="100" y="113"/>
                                        <a:pt x="100" y="113"/>
                                        <a:pt x="100" y="113"/>
                                      </a:cubicBezTo>
                                      <a:cubicBezTo>
                                        <a:pt x="89" y="109"/>
                                        <a:pt x="89" y="109"/>
                                        <a:pt x="89" y="109"/>
                                      </a:cubicBezTo>
                                      <a:lnTo>
                                        <a:pt x="110" y="89"/>
                                      </a:lnTo>
                                      <a:close/>
                                      <a:moveTo>
                                        <a:pt x="123" y="113"/>
                                      </a:moveTo>
                                      <a:cubicBezTo>
                                        <a:pt x="113" y="123"/>
                                        <a:pt x="113" y="123"/>
                                        <a:pt x="113" y="123"/>
                                      </a:cubicBezTo>
                                      <a:cubicBezTo>
                                        <a:pt x="112" y="123"/>
                                        <a:pt x="112" y="123"/>
                                        <a:pt x="112" y="123"/>
                                      </a:cubicBezTo>
                                      <a:cubicBezTo>
                                        <a:pt x="106" y="117"/>
                                        <a:pt x="106" y="117"/>
                                        <a:pt x="106" y="117"/>
                                      </a:cubicBezTo>
                                      <a:cubicBezTo>
                                        <a:pt x="117" y="106"/>
                                        <a:pt x="117" y="106"/>
                                        <a:pt x="117" y="106"/>
                                      </a:cubicBezTo>
                                      <a:cubicBezTo>
                                        <a:pt x="123" y="112"/>
                                        <a:pt x="123" y="112"/>
                                        <a:pt x="123" y="112"/>
                                      </a:cubicBezTo>
                                      <a:cubicBezTo>
                                        <a:pt x="123" y="112"/>
                                        <a:pt x="123" y="112"/>
                                        <a:pt x="123" y="113"/>
                                      </a:cubicBezTo>
                                      <a:close/>
                                      <a:moveTo>
                                        <a:pt x="58" y="36"/>
                                      </a:moveTo>
                                      <a:cubicBezTo>
                                        <a:pt x="59" y="36"/>
                                        <a:pt x="60" y="37"/>
                                        <a:pt x="61" y="38"/>
                                      </a:cubicBezTo>
                                      <a:cubicBezTo>
                                        <a:pt x="106" y="82"/>
                                        <a:pt x="106" y="82"/>
                                        <a:pt x="106" y="82"/>
                                      </a:cubicBezTo>
                                      <a:cubicBezTo>
                                        <a:pt x="82" y="106"/>
                                        <a:pt x="82" y="106"/>
                                        <a:pt x="82" y="106"/>
                                      </a:cubicBezTo>
                                      <a:cubicBezTo>
                                        <a:pt x="73" y="97"/>
                                        <a:pt x="73" y="97"/>
                                        <a:pt x="73" y="97"/>
                                      </a:cubicBezTo>
                                      <a:cubicBezTo>
                                        <a:pt x="76" y="93"/>
                                        <a:pt x="78" y="87"/>
                                        <a:pt x="78" y="82"/>
                                      </a:cubicBezTo>
                                      <a:cubicBezTo>
                                        <a:pt x="78" y="68"/>
                                        <a:pt x="67" y="57"/>
                                        <a:pt x="54" y="57"/>
                                      </a:cubicBezTo>
                                      <a:cubicBezTo>
                                        <a:pt x="48" y="57"/>
                                        <a:pt x="43" y="59"/>
                                        <a:pt x="39" y="63"/>
                                      </a:cubicBezTo>
                                      <a:cubicBezTo>
                                        <a:pt x="39" y="63"/>
                                        <a:pt x="39" y="63"/>
                                        <a:pt x="39" y="62"/>
                                      </a:cubicBezTo>
                                      <a:cubicBezTo>
                                        <a:pt x="38" y="61"/>
                                        <a:pt x="38" y="61"/>
                                        <a:pt x="38" y="61"/>
                                      </a:cubicBezTo>
                                      <a:cubicBezTo>
                                        <a:pt x="36" y="59"/>
                                        <a:pt x="36" y="57"/>
                                        <a:pt x="38" y="55"/>
                                      </a:cubicBezTo>
                                      <a:cubicBezTo>
                                        <a:pt x="55" y="38"/>
                                        <a:pt x="55" y="38"/>
                                        <a:pt x="55" y="38"/>
                                      </a:cubicBezTo>
                                      <a:cubicBezTo>
                                        <a:pt x="56" y="37"/>
                                        <a:pt x="57" y="36"/>
                                        <a:pt x="58" y="36"/>
                                      </a:cubicBezTo>
                                      <a:close/>
                                      <a:moveTo>
                                        <a:pt x="29" y="22"/>
                                      </a:moveTo>
                                      <a:cubicBezTo>
                                        <a:pt x="44" y="37"/>
                                        <a:pt x="44" y="37"/>
                                        <a:pt x="44" y="37"/>
                                      </a:cubicBezTo>
                                      <a:cubicBezTo>
                                        <a:pt x="37" y="44"/>
                                        <a:pt x="37" y="44"/>
                                        <a:pt x="37" y="44"/>
                                      </a:cubicBezTo>
                                      <a:cubicBezTo>
                                        <a:pt x="22" y="29"/>
                                        <a:pt x="22" y="29"/>
                                        <a:pt x="22" y="29"/>
                                      </a:cubicBezTo>
                                      <a:lnTo>
                                        <a:pt x="29" y="22"/>
                                      </a:lnTo>
                                      <a:close/>
                                      <a:moveTo>
                                        <a:pt x="9" y="26"/>
                                      </a:moveTo>
                                      <a:cubicBezTo>
                                        <a:pt x="8" y="25"/>
                                        <a:pt x="7" y="24"/>
                                        <a:pt x="7" y="23"/>
                                      </a:cubicBezTo>
                                      <a:cubicBezTo>
                                        <a:pt x="7" y="22"/>
                                        <a:pt x="8" y="21"/>
                                        <a:pt x="9" y="20"/>
                                      </a:cubicBezTo>
                                      <a:cubicBezTo>
                                        <a:pt x="20" y="9"/>
                                        <a:pt x="20" y="9"/>
                                        <a:pt x="20" y="9"/>
                                      </a:cubicBezTo>
                                      <a:cubicBezTo>
                                        <a:pt x="21" y="8"/>
                                        <a:pt x="22" y="7"/>
                                        <a:pt x="23" y="7"/>
                                      </a:cubicBezTo>
                                      <a:cubicBezTo>
                                        <a:pt x="24" y="7"/>
                                        <a:pt x="25" y="8"/>
                                        <a:pt x="26" y="9"/>
                                      </a:cubicBezTo>
                                      <a:cubicBezTo>
                                        <a:pt x="27" y="10"/>
                                        <a:pt x="27" y="11"/>
                                        <a:pt x="27" y="12"/>
                                      </a:cubicBezTo>
                                      <a:cubicBezTo>
                                        <a:pt x="27" y="13"/>
                                        <a:pt x="27" y="14"/>
                                        <a:pt x="26" y="15"/>
                                      </a:cubicBezTo>
                                      <a:cubicBezTo>
                                        <a:pt x="15" y="26"/>
                                        <a:pt x="15" y="26"/>
                                        <a:pt x="15" y="26"/>
                                      </a:cubicBezTo>
                                      <a:cubicBezTo>
                                        <a:pt x="13" y="27"/>
                                        <a:pt x="10" y="27"/>
                                        <a:pt x="9" y="26"/>
                                      </a:cubicBezTo>
                                      <a:close/>
                                      <a:moveTo>
                                        <a:pt x="46" y="163"/>
                                      </a:moveTo>
                                      <a:cubicBezTo>
                                        <a:pt x="36" y="151"/>
                                        <a:pt x="31" y="136"/>
                                        <a:pt x="31" y="121"/>
                                      </a:cubicBezTo>
                                      <a:cubicBezTo>
                                        <a:pt x="31" y="113"/>
                                        <a:pt x="33" y="105"/>
                                        <a:pt x="35" y="97"/>
                                      </a:cubicBezTo>
                                      <a:cubicBezTo>
                                        <a:pt x="39" y="102"/>
                                        <a:pt x="44" y="105"/>
                                        <a:pt x="50" y="106"/>
                                      </a:cubicBezTo>
                                      <a:cubicBezTo>
                                        <a:pt x="49" y="111"/>
                                        <a:pt x="48" y="116"/>
                                        <a:pt x="48" y="121"/>
                                      </a:cubicBezTo>
                                      <a:cubicBezTo>
                                        <a:pt x="48" y="142"/>
                                        <a:pt x="61" y="161"/>
                                        <a:pt x="81" y="168"/>
                                      </a:cubicBezTo>
                                      <a:cubicBezTo>
                                        <a:pt x="80" y="171"/>
                                        <a:pt x="79" y="174"/>
                                        <a:pt x="79" y="177"/>
                                      </a:cubicBezTo>
                                      <a:cubicBezTo>
                                        <a:pt x="79" y="185"/>
                                        <a:pt x="79" y="185"/>
                                        <a:pt x="79" y="185"/>
                                      </a:cubicBezTo>
                                      <a:cubicBezTo>
                                        <a:pt x="66" y="181"/>
                                        <a:pt x="54" y="173"/>
                                        <a:pt x="46" y="163"/>
                                      </a:cubicBezTo>
                                      <a:close/>
                                      <a:moveTo>
                                        <a:pt x="144" y="229"/>
                                      </a:moveTo>
                                      <a:cubicBezTo>
                                        <a:pt x="144" y="229"/>
                                        <a:pt x="144" y="229"/>
                                        <a:pt x="144" y="229"/>
                                      </a:cubicBezTo>
                                      <a:cubicBezTo>
                                        <a:pt x="54" y="229"/>
                                        <a:pt x="54" y="229"/>
                                        <a:pt x="54" y="229"/>
                                      </a:cubicBezTo>
                                      <a:cubicBezTo>
                                        <a:pt x="54" y="229"/>
                                        <a:pt x="54" y="229"/>
                                        <a:pt x="54" y="229"/>
                                      </a:cubicBezTo>
                                      <a:cubicBezTo>
                                        <a:pt x="54" y="224"/>
                                        <a:pt x="58" y="221"/>
                                        <a:pt x="62" y="221"/>
                                      </a:cubicBezTo>
                                      <a:cubicBezTo>
                                        <a:pt x="136" y="221"/>
                                        <a:pt x="136" y="221"/>
                                        <a:pt x="136" y="221"/>
                                      </a:cubicBezTo>
                                      <a:cubicBezTo>
                                        <a:pt x="140" y="221"/>
                                        <a:pt x="144" y="224"/>
                                        <a:pt x="144" y="229"/>
                                      </a:cubicBezTo>
                                      <a:close/>
                                      <a:moveTo>
                                        <a:pt x="86" y="213"/>
                                      </a:moveTo>
                                      <a:cubicBezTo>
                                        <a:pt x="86" y="177"/>
                                        <a:pt x="86" y="177"/>
                                        <a:pt x="86" y="177"/>
                                      </a:cubicBezTo>
                                      <a:cubicBezTo>
                                        <a:pt x="86" y="170"/>
                                        <a:pt x="92" y="164"/>
                                        <a:pt x="99" y="164"/>
                                      </a:cubicBezTo>
                                      <a:cubicBezTo>
                                        <a:pt x="106" y="164"/>
                                        <a:pt x="112" y="170"/>
                                        <a:pt x="112" y="177"/>
                                      </a:cubicBezTo>
                                      <a:cubicBezTo>
                                        <a:pt x="112" y="213"/>
                                        <a:pt x="112" y="213"/>
                                        <a:pt x="112" y="213"/>
                                      </a:cubicBezTo>
                                      <a:lnTo>
                                        <a:pt x="86" y="213"/>
                                      </a:lnTo>
                                      <a:close/>
                                      <a:moveTo>
                                        <a:pt x="159" y="182"/>
                                      </a:moveTo>
                                      <a:cubicBezTo>
                                        <a:pt x="153" y="176"/>
                                        <a:pt x="153" y="176"/>
                                        <a:pt x="153" y="176"/>
                                      </a:cubicBezTo>
                                      <a:cubicBezTo>
                                        <a:pt x="176" y="153"/>
                                        <a:pt x="176" y="153"/>
                                        <a:pt x="176" y="153"/>
                                      </a:cubicBezTo>
                                      <a:cubicBezTo>
                                        <a:pt x="182" y="159"/>
                                        <a:pt x="182" y="159"/>
                                        <a:pt x="182" y="159"/>
                                      </a:cubicBezTo>
                                      <a:lnTo>
                                        <a:pt x="159" y="182"/>
                                      </a:lnTo>
                                      <a:close/>
                                      <a:moveTo>
                                        <a:pt x="159" y="182"/>
                                      </a:moveTo>
                                      <a:cubicBezTo>
                                        <a:pt x="159" y="182"/>
                                        <a:pt x="159" y="182"/>
                                        <a:pt x="159" y="18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wps:cNvSpPr>
                                <a:spLocks noEditPoints="1"/>
                              </wps:cNvSpPr>
                              <wps:spPr bwMode="auto">
                                <a:xfrm>
                                  <a:off x="65087" y="104775"/>
                                  <a:ext cx="11113" cy="9525"/>
                                </a:xfrm>
                                <a:custGeom>
                                  <a:avLst/>
                                  <a:gdLst>
                                    <a:gd name="T0" fmla="*/ 4 w 8"/>
                                    <a:gd name="T1" fmla="*/ 8 h 8"/>
                                    <a:gd name="T2" fmla="*/ 8 w 8"/>
                                    <a:gd name="T3" fmla="*/ 4 h 8"/>
                                    <a:gd name="T4" fmla="*/ 4 w 8"/>
                                    <a:gd name="T5" fmla="*/ 0 h 8"/>
                                    <a:gd name="T6" fmla="*/ 4 w 8"/>
                                    <a:gd name="T7" fmla="*/ 0 h 8"/>
                                    <a:gd name="T8" fmla="*/ 0 w 8"/>
                                    <a:gd name="T9" fmla="*/ 4 h 8"/>
                                    <a:gd name="T10" fmla="*/ 4 w 8"/>
                                    <a:gd name="T11" fmla="*/ 8 h 8"/>
                                    <a:gd name="T12" fmla="*/ 4 w 8"/>
                                    <a:gd name="T13" fmla="*/ 8 h 8"/>
                                    <a:gd name="T14" fmla="*/ 4 w 8"/>
                                    <a:gd name="T15" fmla="*/ 8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8">
                                      <a:moveTo>
                                        <a:pt x="4" y="8"/>
                                      </a:moveTo>
                                      <a:cubicBezTo>
                                        <a:pt x="6" y="8"/>
                                        <a:pt x="8" y="6"/>
                                        <a:pt x="8" y="4"/>
                                      </a:cubicBezTo>
                                      <a:cubicBezTo>
                                        <a:pt x="8" y="2"/>
                                        <a:pt x="6" y="0"/>
                                        <a:pt x="4" y="0"/>
                                      </a:cubicBezTo>
                                      <a:cubicBezTo>
                                        <a:pt x="4" y="0"/>
                                        <a:pt x="4" y="0"/>
                                        <a:pt x="4" y="0"/>
                                      </a:cubicBezTo>
                                      <a:cubicBezTo>
                                        <a:pt x="2" y="0"/>
                                        <a:pt x="0" y="2"/>
                                        <a:pt x="0" y="4"/>
                                      </a:cubicBezTo>
                                      <a:cubicBezTo>
                                        <a:pt x="0" y="6"/>
                                        <a:pt x="2" y="8"/>
                                        <a:pt x="4" y="8"/>
                                      </a:cubicBezTo>
                                      <a:close/>
                                      <a:moveTo>
                                        <a:pt x="4" y="8"/>
                                      </a:moveTo>
                                      <a:cubicBezTo>
                                        <a:pt x="4" y="8"/>
                                        <a:pt x="4" y="8"/>
                                        <a:pt x="4" y="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26"/>
                              <wps:cNvSpPr>
                                <a:spLocks noEditPoints="1"/>
                              </wps:cNvSpPr>
                              <wps:spPr bwMode="auto">
                                <a:xfrm>
                                  <a:off x="123825" y="234950"/>
                                  <a:ext cx="11113" cy="9525"/>
                                </a:xfrm>
                                <a:custGeom>
                                  <a:avLst/>
                                  <a:gdLst>
                                    <a:gd name="T0" fmla="*/ 4 w 8"/>
                                    <a:gd name="T1" fmla="*/ 0 h 8"/>
                                    <a:gd name="T2" fmla="*/ 1 w 8"/>
                                    <a:gd name="T3" fmla="*/ 1 h 8"/>
                                    <a:gd name="T4" fmla="*/ 0 w 8"/>
                                    <a:gd name="T5" fmla="*/ 4 h 8"/>
                                    <a:gd name="T6" fmla="*/ 1 w 8"/>
                                    <a:gd name="T7" fmla="*/ 7 h 8"/>
                                    <a:gd name="T8" fmla="*/ 4 w 8"/>
                                    <a:gd name="T9" fmla="*/ 8 h 8"/>
                                    <a:gd name="T10" fmla="*/ 7 w 8"/>
                                    <a:gd name="T11" fmla="*/ 7 h 8"/>
                                    <a:gd name="T12" fmla="*/ 8 w 8"/>
                                    <a:gd name="T13" fmla="*/ 4 h 8"/>
                                    <a:gd name="T14" fmla="*/ 7 w 8"/>
                                    <a:gd name="T15" fmla="*/ 1 h 8"/>
                                    <a:gd name="T16" fmla="*/ 4 w 8"/>
                                    <a:gd name="T17" fmla="*/ 0 h 8"/>
                                    <a:gd name="T18" fmla="*/ 4 w 8"/>
                                    <a:gd name="T19" fmla="*/ 0 h 8"/>
                                    <a:gd name="T20" fmla="*/ 4 w 8"/>
                                    <a:gd name="T2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8">
                                      <a:moveTo>
                                        <a:pt x="4" y="0"/>
                                      </a:moveTo>
                                      <a:cubicBezTo>
                                        <a:pt x="3" y="0"/>
                                        <a:pt x="2" y="1"/>
                                        <a:pt x="1" y="1"/>
                                      </a:cubicBezTo>
                                      <a:cubicBezTo>
                                        <a:pt x="1" y="2"/>
                                        <a:pt x="0" y="3"/>
                                        <a:pt x="0" y="4"/>
                                      </a:cubicBezTo>
                                      <a:cubicBezTo>
                                        <a:pt x="0" y="5"/>
                                        <a:pt x="1" y="6"/>
                                        <a:pt x="1" y="7"/>
                                      </a:cubicBezTo>
                                      <a:cubicBezTo>
                                        <a:pt x="2" y="7"/>
                                        <a:pt x="3" y="8"/>
                                        <a:pt x="4" y="8"/>
                                      </a:cubicBezTo>
                                      <a:cubicBezTo>
                                        <a:pt x="5" y="8"/>
                                        <a:pt x="6" y="7"/>
                                        <a:pt x="7" y="7"/>
                                      </a:cubicBezTo>
                                      <a:cubicBezTo>
                                        <a:pt x="7" y="6"/>
                                        <a:pt x="8" y="5"/>
                                        <a:pt x="8" y="4"/>
                                      </a:cubicBezTo>
                                      <a:cubicBezTo>
                                        <a:pt x="8" y="3"/>
                                        <a:pt x="7" y="2"/>
                                        <a:pt x="7" y="1"/>
                                      </a:cubicBezTo>
                                      <a:cubicBezTo>
                                        <a:pt x="6" y="1"/>
                                        <a:pt x="5" y="0"/>
                                        <a:pt x="4" y="0"/>
                                      </a:cubicBezTo>
                                      <a:close/>
                                      <a:moveTo>
                                        <a:pt x="4" y="0"/>
                                      </a:moveTo>
                                      <a:cubicBezTo>
                                        <a:pt x="4" y="0"/>
                                        <a:pt x="4" y="0"/>
                                        <a:pt x="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311E741" id="Group 2077" o:spid="_x0000_s1026" style="position:absolute;margin-left:29.9pt;margin-top:2.6pt;width:17.3pt;height:21.65pt;z-index:251657216;mso-width-relative:margin;mso-height-relative:margin" coordsize="252413,31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">
                      <v:shape id="Freeform 24" o:spid="_x0000_s1027" style="position:absolute;width:252413;height:315913;visibility:visible;mso-wrap-style:square;v-text-anchor:top" coordsize="19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" path="m190,157c178,145,178,145,178,145v-1,-1,-3,-1,-5,c145,173,145,173,145,173v-1,2,-1,4,,6c149,183,149,183,149,183v-7,7,-7,7,-7,7c141,192,139,192,136,192v-17,,-17,,-17,c119,178,119,178,119,178v60,-60,60,-60,60,-60c180,117,180,114,179,113,167,101,167,101,167,101v-1,-1,-4,-1,-5,c105,158,105,158,105,158v-2,-1,-4,-1,-6,-1c94,157,89,158,86,162,68,156,56,139,56,121v,-6,1,-11,2,-15c62,105,65,104,68,102v12,12,12,12,12,12c80,114,80,114,80,114v,,,,,c80,114,80,114,80,114v,,,,,c80,114,80,114,80,114v,,,,,c81,115,81,115,81,115v,,,,,c81,115,81,115,81,115v,,,,,c99,121,99,121,99,121v8,8,8,8,8,8c108,130,110,131,112,131v2,,4,-1,6,-2c129,118,129,118,129,118v3,-3,3,-8,,-11c121,99,121,99,121,99,115,81,115,81,115,81v,,,,,c115,81,115,81,115,81v,,,,,-1c115,80,115,80,115,80v,,,,,c114,80,114,80,114,80v,,,,,c114,80,114,80,114,80v,,,,,c114,79,114,79,114,79v,,,,,c66,32,66,32,66,32,64,30,61,29,58,29v-3,,-6,1,-8,3c34,16,34,16,34,16v,-1,1,-3,1,-4c35,9,33,6,31,3,29,1,26,,23,,20,,17,1,14,3,3,14,3,14,3,14,1,17,,20,,23v,3,1,6,3,8c6,34,9,35,12,35v1,,3,-1,4,-1c32,50,32,50,32,50v-5,4,-4,12,,17c33,68,33,68,33,68v1,,1,,1,c31,72,30,77,30,82v,2,,5,1,7c26,99,24,110,24,121v,17,5,33,16,46c50,180,64,189,79,193v,20,,20,,20c62,213,62,213,62,213v-9,,-16,7,-16,16c46,233,46,233,46,233v,2,2,4,4,4c148,237,148,237,148,237v2,,4,-2,4,-4c152,229,152,229,152,229v,-9,-7,-16,-16,-16c119,213,119,213,119,213v,-13,,-13,,-13c136,200,136,200,136,200v,,,,,c141,200,145,198,148,195v7,-7,7,-7,7,-7c157,190,157,190,157,190v,1,1,1,2,1c160,191,161,191,162,190v28,-28,28,-28,28,-28c192,161,192,158,190,157xm164,109v7,6,7,6,7,6c117,169,117,169,117,169v-1,-3,-3,-6,-5,-8l164,109xm37,82v,-9,8,-17,17,-17c63,65,71,73,71,82v,9,-8,16,-17,16c45,98,37,91,37,82xm110,89v3,11,3,11,3,11c100,113,100,113,100,113,89,109,89,109,89,109l110,89xm123,113v-10,10,-10,10,-10,10c112,123,112,123,112,123v-6,-6,-6,-6,-6,-6c117,106,117,106,117,106v6,6,6,6,6,6c123,112,123,112,123,113xm58,36v1,,2,1,3,2c106,82,106,82,106,82,82,106,82,106,82,106,73,97,73,97,73,97v3,-4,5,-10,5,-15c78,68,67,57,54,57v-6,,-11,2,-15,6c39,63,39,63,39,62,38,61,38,61,38,61v-2,-2,-2,-4,,-6c55,38,55,38,55,38v1,-1,2,-2,3,-2xm29,22c44,37,44,37,44,37v-7,7,-7,7,-7,7c22,29,22,29,22,29r7,-7xm9,26c8,25,7,24,7,23v,-1,1,-2,2,-3c20,9,20,9,20,9,21,8,22,7,23,7v1,,2,1,3,2c27,10,27,11,27,12v,1,,2,-1,3c15,26,15,26,15,26v-2,1,-5,1,-6,xm46,163c36,151,31,136,31,121v,-8,2,-16,4,-24c39,102,44,105,50,106v-1,5,-2,10,-2,15c48,142,61,161,81,168v-1,3,-2,6,-2,9c79,185,79,185,79,185,66,181,54,173,46,163xm144,229v,,,,,c54,229,54,229,54,229v,,,,,c54,224,58,221,62,221v74,,74,,74,c140,221,144,224,144,229xm86,213v,-36,,-36,,-36c86,170,92,164,99,164v7,,13,6,13,13c112,213,112,213,112,213r-26,xm159,182v-6,-6,-6,-6,-6,-6c176,153,176,153,176,153v6,6,6,6,6,6l159,182xm159,182v,,,,,e" filled="f" stroked="f">
                        <v:path arrowok="t" o:connecttype="custom" o:connectlocs="227435,193280;195883,243933;156443,255930;235323,150625;138038,210609;73620,161289;105172,151958;105172,151958;105172,151958;106487,153291;140668,171953;169590,157290;151185,107970;151185,106637;149870,106637;149870,106637;86767,42655;44698,21327;30237,0;0,30658;21034,45321;43383,90642;40754,118634;103857,257262;60474,305249;194568,315913;178793,283922;178793,266593;203771,250598;212973,253264;215603,145293;147241,214608;70991,86643;48642,109303;131465,150625;161702,150625;139353,155957;161702,150625;139353,109303;102543,109303;51271,82644;72306,50653;57845,49320;38125,29325;11832,26659;34181,11997;19720,34657;40754,161289;63103,161289;103857,246599;189310,305249;81508,294586;113060,283922;147241,235935;209030,242600;239266,211942;209030,242600" o:connectangles="0,0,0,0,0,0,0,0,0,0,0,0,0,0,0,0,0,0,0,0,0,0,0,0,0,0,0,0,0,0,0,0,0,0,0,0,0,0,0,0,0,0,0,0,0,0,0,0,0,0,0,0,0,0,0,0,0"/>
                        <o:lock v:ext="edit" verticies="t"/>
                      </v:shape>
                      <v:shape id="Freeform 25" o:spid="_x0000_s1028" style="position:absolute;left:65087;top:104775;width:11113;height:9525;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" path="m4,8c6,8,8,6,8,4,8,2,6,,4,v,,,,,c2,,,2,,4,,6,2,8,4,8xm4,8v,,,,,e" filled="f" stroked="f">
                        <v:path arrowok="t" o:connecttype="custom" o:connectlocs="5557,9525;11113,4763;5557,0;5557,0;0,4763;5557,9525;5557,9525;5557,9525" o:connectangles="0,0,0,0,0,0,0,0"/>
                        <o:lock v:ext="edit" verticies="t"/>
                      </v:shape>
                      <v:shape id="Freeform 26" o:spid="_x0000_s1029" style="position:absolute;left:123825;top:234950;width:11113;height:9525;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" path="m4,c3,,2,1,1,1,1,2,,3,,4,,5,1,6,1,7v1,,2,1,3,1c5,8,6,7,7,7,7,6,8,5,8,4,8,3,7,2,7,1,6,1,5,,4,xm4,v,,,,,e" filled="f" stroked="f">
                        <v:path arrowok="t" o:connecttype="custom" o:connectlocs="5557,0;1389,1191;0,4763;1389,8334;5557,9525;9724,8334;11113,4763;9724,1191;5557,0;5557,0;5557,0" o:connectangles="0,0,0,0,0,0,0,0,0,0,0"/>
                        <o:lock v:ext="edit" verticies="t"/>
                      </v:shape>
                    </v:group>
                  </w:pict>
                </mc:Fallback>
              </mc:AlternateContent>
            </w:r>
          </w:p>
        </w:tc>
        <w:tc>
          <w:tcPr>
            <w:tcW w:w="1701" w:type="dxa"/>
            <w:tcBorders>
              <w:top w:val="single" w:sz="6" w:space="0" w:color="FFFFFF" w:themeColor="background1"/>
              <w:bottom w:val="single" w:sz="6" w:space="0" w:color="FFFFFF" w:themeColor="background1"/>
            </w:tcBorders>
            <w:shd w:val="clear" w:color="auto" w:fill="FFC000" w:themeFill="accent4"/>
          </w:tcPr>
          <w:p>
            <w:pPr>
              <w:suppressAutoHyphens/>
              <w:rPr>
                <w:noProof/>
                <w:color w:val="F26A47"/>
              </w:rPr>
            </w:pPr>
            <w:r>
              <w:rPr>
                <w:noProof/>
                <w:color w:val="A5A5A5" w:themeColor="accent3"/>
                <w:sz w:val="16"/>
                <w:lang w:eastAsia="en-GB"/>
              </w:rPr>
              <mc:AlternateContent>
                <mc:Choice Requires="wpg">
                  <w:drawing>
                    <wp:anchor distT="0" distB="0" distL="114300" distR="114300" simplePos="0" relativeHeight="251658240" behindDoc="0" locked="0" layoutInCell="1" allowOverlap="1">
                      <wp:simplePos x="0" y="0"/>
                      <wp:positionH relativeFrom="column">
                        <wp:posOffset>229914</wp:posOffset>
                      </wp:positionH>
                      <wp:positionV relativeFrom="paragraph">
                        <wp:posOffset>73025</wp:posOffset>
                      </wp:positionV>
                      <wp:extent cx="361819" cy="222140"/>
                      <wp:effectExtent l="0" t="0" r="38735" b="6985"/>
                      <wp:wrapNone/>
                      <wp:docPr id="27" name="Group 3149"/>
                      <wp:cNvGraphicFramePr/>
                      <a:graphic xmlns:a="http://schemas.openxmlformats.org/drawingml/2006/main">
                        <a:graphicData uri="http://schemas.microsoft.com/office/word/2010/wordprocessingGroup">
                          <wpg:wgp>
                            <wpg:cNvGrpSpPr/>
                            <wpg:grpSpPr>
                              <a:xfrm>
                                <a:off x="0" y="0"/>
                                <a:ext cx="361819" cy="222140"/>
                                <a:chOff x="0" y="0"/>
                                <a:chExt cx="368301" cy="225425"/>
                              </a:xfrm>
                              <a:solidFill>
                                <a:sysClr val="window" lastClr="FFFFFF"/>
                              </a:solidFill>
                            </wpg:grpSpPr>
                            <wps:wsp>
                              <wps:cNvPr id="28" name="Freeform 28"/>
                              <wps:cNvSpPr>
                                <a:spLocks/>
                              </wps:cNvSpPr>
                              <wps:spPr bwMode="auto">
                                <a:xfrm>
                                  <a:off x="204788" y="9525"/>
                                  <a:ext cx="163513" cy="215900"/>
                                </a:xfrm>
                                <a:custGeom>
                                  <a:avLst/>
                                  <a:gdLst>
                                    <a:gd name="T0" fmla="*/ 42 w 121"/>
                                    <a:gd name="T1" fmla="*/ 158 h 158"/>
                                    <a:gd name="T2" fmla="*/ 0 w 121"/>
                                    <a:gd name="T3" fmla="*/ 146 h 158"/>
                                    <a:gd name="T4" fmla="*/ 4 w 121"/>
                                    <a:gd name="T5" fmla="*/ 140 h 158"/>
                                    <a:gd name="T6" fmla="*/ 42 w 121"/>
                                    <a:gd name="T7" fmla="*/ 151 h 158"/>
                                    <a:gd name="T8" fmla="*/ 114 w 121"/>
                                    <a:gd name="T9" fmla="*/ 79 h 158"/>
                                    <a:gd name="T10" fmla="*/ 42 w 121"/>
                                    <a:gd name="T11" fmla="*/ 8 h 158"/>
                                    <a:gd name="T12" fmla="*/ 10 w 121"/>
                                    <a:gd name="T13" fmla="*/ 15 h 158"/>
                                    <a:gd name="T14" fmla="*/ 7 w 121"/>
                                    <a:gd name="T15" fmla="*/ 9 h 158"/>
                                    <a:gd name="T16" fmla="*/ 42 w 121"/>
                                    <a:gd name="T17" fmla="*/ 0 h 158"/>
                                    <a:gd name="T18" fmla="*/ 121 w 121"/>
                                    <a:gd name="T19" fmla="*/ 79 h 158"/>
                                    <a:gd name="T20" fmla="*/ 42 w 121"/>
                                    <a:gd name="T21"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1" h="158">
                                      <a:moveTo>
                                        <a:pt x="42" y="158"/>
                                      </a:moveTo>
                                      <a:cubicBezTo>
                                        <a:pt x="27" y="158"/>
                                        <a:pt x="12" y="154"/>
                                        <a:pt x="0" y="146"/>
                                      </a:cubicBezTo>
                                      <a:cubicBezTo>
                                        <a:pt x="4" y="140"/>
                                        <a:pt x="4" y="140"/>
                                        <a:pt x="4" y="140"/>
                                      </a:cubicBezTo>
                                      <a:cubicBezTo>
                                        <a:pt x="15" y="147"/>
                                        <a:pt x="29" y="151"/>
                                        <a:pt x="42" y="151"/>
                                      </a:cubicBezTo>
                                      <a:cubicBezTo>
                                        <a:pt x="82" y="151"/>
                                        <a:pt x="114" y="119"/>
                                        <a:pt x="114" y="79"/>
                                      </a:cubicBezTo>
                                      <a:cubicBezTo>
                                        <a:pt x="114" y="40"/>
                                        <a:pt x="82" y="8"/>
                                        <a:pt x="42" y="8"/>
                                      </a:cubicBezTo>
                                      <a:cubicBezTo>
                                        <a:pt x="31" y="8"/>
                                        <a:pt x="20" y="10"/>
                                        <a:pt x="10" y="15"/>
                                      </a:cubicBezTo>
                                      <a:cubicBezTo>
                                        <a:pt x="7" y="9"/>
                                        <a:pt x="7" y="9"/>
                                        <a:pt x="7" y="9"/>
                                      </a:cubicBezTo>
                                      <a:cubicBezTo>
                                        <a:pt x="18" y="3"/>
                                        <a:pt x="30" y="0"/>
                                        <a:pt x="42" y="0"/>
                                      </a:cubicBezTo>
                                      <a:cubicBezTo>
                                        <a:pt x="86" y="0"/>
                                        <a:pt x="121" y="36"/>
                                        <a:pt x="121" y="79"/>
                                      </a:cubicBezTo>
                                      <a:cubicBezTo>
                                        <a:pt x="121" y="123"/>
                                        <a:pt x="86" y="158"/>
                                        <a:pt x="42" y="1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9"/>
                              <wps:cNvSpPr>
                                <a:spLocks noEditPoints="1"/>
                              </wps:cNvSpPr>
                              <wps:spPr bwMode="auto">
                                <a:xfrm>
                                  <a:off x="252413" y="49212"/>
                                  <a:ext cx="20638" cy="20638"/>
                                </a:xfrm>
                                <a:custGeom>
                                  <a:avLst/>
                                  <a:gdLst>
                                    <a:gd name="T0" fmla="*/ 6 w 13"/>
                                    <a:gd name="T1" fmla="*/ 0 h 13"/>
                                    <a:gd name="T2" fmla="*/ 8 w 13"/>
                                    <a:gd name="T3" fmla="*/ 5 h 13"/>
                                    <a:gd name="T4" fmla="*/ 13 w 13"/>
                                    <a:gd name="T5" fmla="*/ 5 h 13"/>
                                    <a:gd name="T6" fmla="*/ 8 w 13"/>
                                    <a:gd name="T7" fmla="*/ 8 h 13"/>
                                    <a:gd name="T8" fmla="*/ 10 w 13"/>
                                    <a:gd name="T9" fmla="*/ 13 h 13"/>
                                    <a:gd name="T10" fmla="*/ 6 w 13"/>
                                    <a:gd name="T11" fmla="*/ 10 h 13"/>
                                    <a:gd name="T12" fmla="*/ 3 w 13"/>
                                    <a:gd name="T13" fmla="*/ 13 h 13"/>
                                    <a:gd name="T14" fmla="*/ 4 w 13"/>
                                    <a:gd name="T15" fmla="*/ 8 h 13"/>
                                    <a:gd name="T16" fmla="*/ 0 w 13"/>
                                    <a:gd name="T17" fmla="*/ 5 h 13"/>
                                    <a:gd name="T18" fmla="*/ 5 w 13"/>
                                    <a:gd name="T19" fmla="*/ 5 h 13"/>
                                    <a:gd name="T20" fmla="*/ 6 w 13"/>
                                    <a:gd name="T21" fmla="*/ 0 h 13"/>
                                    <a:gd name="T22" fmla="*/ 6 w 13"/>
                                    <a:gd name="T23" fmla="*/ 0 h 13"/>
                                    <a:gd name="T24" fmla="*/ 6 w 13"/>
                                    <a:gd name="T2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3">
                                      <a:moveTo>
                                        <a:pt x="6" y="0"/>
                                      </a:moveTo>
                                      <a:lnTo>
                                        <a:pt x="8" y="5"/>
                                      </a:lnTo>
                                      <a:lnTo>
                                        <a:pt x="13" y="5"/>
                                      </a:lnTo>
                                      <a:lnTo>
                                        <a:pt x="8" y="8"/>
                                      </a:lnTo>
                                      <a:lnTo>
                                        <a:pt x="10" y="13"/>
                                      </a:lnTo>
                                      <a:lnTo>
                                        <a:pt x="6" y="10"/>
                                      </a:lnTo>
                                      <a:lnTo>
                                        <a:pt x="3" y="13"/>
                                      </a:lnTo>
                                      <a:lnTo>
                                        <a:pt x="4" y="8"/>
                                      </a:lnTo>
                                      <a:lnTo>
                                        <a:pt x="0" y="5"/>
                                      </a:lnTo>
                                      <a:lnTo>
                                        <a:pt x="5" y="5"/>
                                      </a:lnTo>
                                      <a:lnTo>
                                        <a:pt x="6" y="0"/>
                                      </a:lnTo>
                                      <a:close/>
                                      <a:moveTo>
                                        <a:pt x="6" y="0"/>
                                      </a:moveTo>
                                      <a:lnTo>
                                        <a:pt x="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30"/>
                              <wps:cNvSpPr>
                                <a:spLocks noEditPoints="1"/>
                              </wps:cNvSpPr>
                              <wps:spPr bwMode="auto">
                                <a:xfrm>
                                  <a:off x="252413" y="49212"/>
                                  <a:ext cx="20638" cy="20638"/>
                                </a:xfrm>
                                <a:custGeom>
                                  <a:avLst/>
                                  <a:gdLst>
                                    <a:gd name="T0" fmla="*/ 6 w 13"/>
                                    <a:gd name="T1" fmla="*/ 0 h 13"/>
                                    <a:gd name="T2" fmla="*/ 8 w 13"/>
                                    <a:gd name="T3" fmla="*/ 5 h 13"/>
                                    <a:gd name="T4" fmla="*/ 13 w 13"/>
                                    <a:gd name="T5" fmla="*/ 5 h 13"/>
                                    <a:gd name="T6" fmla="*/ 8 w 13"/>
                                    <a:gd name="T7" fmla="*/ 8 h 13"/>
                                    <a:gd name="T8" fmla="*/ 10 w 13"/>
                                    <a:gd name="T9" fmla="*/ 13 h 13"/>
                                    <a:gd name="T10" fmla="*/ 6 w 13"/>
                                    <a:gd name="T11" fmla="*/ 10 h 13"/>
                                    <a:gd name="T12" fmla="*/ 3 w 13"/>
                                    <a:gd name="T13" fmla="*/ 13 h 13"/>
                                    <a:gd name="T14" fmla="*/ 4 w 13"/>
                                    <a:gd name="T15" fmla="*/ 8 h 13"/>
                                    <a:gd name="T16" fmla="*/ 0 w 13"/>
                                    <a:gd name="T17" fmla="*/ 5 h 13"/>
                                    <a:gd name="T18" fmla="*/ 5 w 13"/>
                                    <a:gd name="T19" fmla="*/ 5 h 13"/>
                                    <a:gd name="T20" fmla="*/ 6 w 13"/>
                                    <a:gd name="T21" fmla="*/ 0 h 13"/>
                                    <a:gd name="T22" fmla="*/ 6 w 13"/>
                                    <a:gd name="T23" fmla="*/ 0 h 13"/>
                                    <a:gd name="T24" fmla="*/ 6 w 13"/>
                                    <a:gd name="T2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3">
                                      <a:moveTo>
                                        <a:pt x="6" y="0"/>
                                      </a:moveTo>
                                      <a:lnTo>
                                        <a:pt x="8" y="5"/>
                                      </a:lnTo>
                                      <a:lnTo>
                                        <a:pt x="13" y="5"/>
                                      </a:lnTo>
                                      <a:lnTo>
                                        <a:pt x="8" y="8"/>
                                      </a:lnTo>
                                      <a:lnTo>
                                        <a:pt x="10" y="13"/>
                                      </a:lnTo>
                                      <a:lnTo>
                                        <a:pt x="6" y="10"/>
                                      </a:lnTo>
                                      <a:lnTo>
                                        <a:pt x="3" y="13"/>
                                      </a:lnTo>
                                      <a:lnTo>
                                        <a:pt x="4" y="8"/>
                                      </a:lnTo>
                                      <a:lnTo>
                                        <a:pt x="0" y="5"/>
                                      </a:lnTo>
                                      <a:lnTo>
                                        <a:pt x="5" y="5"/>
                                      </a:lnTo>
                                      <a:lnTo>
                                        <a:pt x="6" y="0"/>
                                      </a:lnTo>
                                      <a:moveTo>
                                        <a:pt x="6" y="0"/>
                                      </a:moveTo>
                                      <a:lnTo>
                                        <a:pt x="6"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Freeform 38"/>
                              <wps:cNvSpPr>
                                <a:spLocks noEditPoints="1"/>
                              </wps:cNvSpPr>
                              <wps:spPr bwMode="auto">
                                <a:xfrm>
                                  <a:off x="214313" y="69850"/>
                                  <a:ext cx="20638" cy="19050"/>
                                </a:xfrm>
                                <a:custGeom>
                                  <a:avLst/>
                                  <a:gdLst>
                                    <a:gd name="T0" fmla="*/ 2 w 13"/>
                                    <a:gd name="T1" fmla="*/ 0 h 12"/>
                                    <a:gd name="T2" fmla="*/ 6 w 13"/>
                                    <a:gd name="T3" fmla="*/ 3 h 12"/>
                                    <a:gd name="T4" fmla="*/ 9 w 13"/>
                                    <a:gd name="T5" fmla="*/ 0 h 12"/>
                                    <a:gd name="T6" fmla="*/ 9 w 13"/>
                                    <a:gd name="T7" fmla="*/ 4 h 12"/>
                                    <a:gd name="T8" fmla="*/ 13 w 13"/>
                                    <a:gd name="T9" fmla="*/ 6 h 12"/>
                                    <a:gd name="T10" fmla="*/ 8 w 13"/>
                                    <a:gd name="T11" fmla="*/ 7 h 12"/>
                                    <a:gd name="T12" fmla="*/ 7 w 13"/>
                                    <a:gd name="T13" fmla="*/ 12 h 12"/>
                                    <a:gd name="T14" fmla="*/ 5 w 13"/>
                                    <a:gd name="T15" fmla="*/ 7 h 12"/>
                                    <a:gd name="T16" fmla="*/ 0 w 13"/>
                                    <a:gd name="T17" fmla="*/ 8 h 12"/>
                                    <a:gd name="T18" fmla="*/ 4 w 13"/>
                                    <a:gd name="T19" fmla="*/ 5 h 12"/>
                                    <a:gd name="T20" fmla="*/ 2 w 13"/>
                                    <a:gd name="T21" fmla="*/ 0 h 12"/>
                                    <a:gd name="T22" fmla="*/ 2 w 13"/>
                                    <a:gd name="T23" fmla="*/ 0 h 12"/>
                                    <a:gd name="T24" fmla="*/ 2 w 13"/>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2" y="0"/>
                                      </a:moveTo>
                                      <a:lnTo>
                                        <a:pt x="6" y="3"/>
                                      </a:lnTo>
                                      <a:lnTo>
                                        <a:pt x="9" y="0"/>
                                      </a:lnTo>
                                      <a:lnTo>
                                        <a:pt x="9" y="4"/>
                                      </a:lnTo>
                                      <a:lnTo>
                                        <a:pt x="13" y="6"/>
                                      </a:lnTo>
                                      <a:lnTo>
                                        <a:pt x="8" y="7"/>
                                      </a:lnTo>
                                      <a:lnTo>
                                        <a:pt x="7" y="12"/>
                                      </a:lnTo>
                                      <a:lnTo>
                                        <a:pt x="5" y="7"/>
                                      </a:lnTo>
                                      <a:lnTo>
                                        <a:pt x="0" y="8"/>
                                      </a:lnTo>
                                      <a:lnTo>
                                        <a:pt x="4" y="5"/>
                                      </a:lnTo>
                                      <a:lnTo>
                                        <a:pt x="2" y="0"/>
                                      </a:lnTo>
                                      <a:close/>
                                      <a:moveTo>
                                        <a:pt x="2" y="0"/>
                                      </a:moveTo>
                                      <a:lnTo>
                                        <a:pt x="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 name="Freeform 89"/>
                              <wps:cNvSpPr>
                                <a:spLocks noEditPoints="1"/>
                              </wps:cNvSpPr>
                              <wps:spPr bwMode="auto">
                                <a:xfrm>
                                  <a:off x="214313" y="69850"/>
                                  <a:ext cx="20638" cy="19050"/>
                                </a:xfrm>
                                <a:custGeom>
                                  <a:avLst/>
                                  <a:gdLst>
                                    <a:gd name="T0" fmla="*/ 2 w 13"/>
                                    <a:gd name="T1" fmla="*/ 0 h 12"/>
                                    <a:gd name="T2" fmla="*/ 6 w 13"/>
                                    <a:gd name="T3" fmla="*/ 3 h 12"/>
                                    <a:gd name="T4" fmla="*/ 9 w 13"/>
                                    <a:gd name="T5" fmla="*/ 0 h 12"/>
                                    <a:gd name="T6" fmla="*/ 9 w 13"/>
                                    <a:gd name="T7" fmla="*/ 4 h 12"/>
                                    <a:gd name="T8" fmla="*/ 13 w 13"/>
                                    <a:gd name="T9" fmla="*/ 6 h 12"/>
                                    <a:gd name="T10" fmla="*/ 8 w 13"/>
                                    <a:gd name="T11" fmla="*/ 7 h 12"/>
                                    <a:gd name="T12" fmla="*/ 7 w 13"/>
                                    <a:gd name="T13" fmla="*/ 12 h 12"/>
                                    <a:gd name="T14" fmla="*/ 5 w 13"/>
                                    <a:gd name="T15" fmla="*/ 7 h 12"/>
                                    <a:gd name="T16" fmla="*/ 0 w 13"/>
                                    <a:gd name="T17" fmla="*/ 8 h 12"/>
                                    <a:gd name="T18" fmla="*/ 4 w 13"/>
                                    <a:gd name="T19" fmla="*/ 5 h 12"/>
                                    <a:gd name="T20" fmla="*/ 2 w 13"/>
                                    <a:gd name="T21" fmla="*/ 0 h 12"/>
                                    <a:gd name="T22" fmla="*/ 2 w 13"/>
                                    <a:gd name="T23" fmla="*/ 0 h 12"/>
                                    <a:gd name="T24" fmla="*/ 2 w 13"/>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2" y="0"/>
                                      </a:moveTo>
                                      <a:lnTo>
                                        <a:pt x="6" y="3"/>
                                      </a:lnTo>
                                      <a:lnTo>
                                        <a:pt x="9" y="0"/>
                                      </a:lnTo>
                                      <a:lnTo>
                                        <a:pt x="9" y="4"/>
                                      </a:lnTo>
                                      <a:lnTo>
                                        <a:pt x="13" y="6"/>
                                      </a:lnTo>
                                      <a:lnTo>
                                        <a:pt x="8" y="7"/>
                                      </a:lnTo>
                                      <a:lnTo>
                                        <a:pt x="7" y="12"/>
                                      </a:lnTo>
                                      <a:lnTo>
                                        <a:pt x="5" y="7"/>
                                      </a:lnTo>
                                      <a:lnTo>
                                        <a:pt x="0" y="8"/>
                                      </a:lnTo>
                                      <a:lnTo>
                                        <a:pt x="4" y="5"/>
                                      </a:lnTo>
                                      <a:lnTo>
                                        <a:pt x="2" y="0"/>
                                      </a:lnTo>
                                      <a:moveTo>
                                        <a:pt x="2" y="0"/>
                                      </a:moveTo>
                                      <a:lnTo>
                                        <a:pt x="2"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noEditPoints="1"/>
                              </wps:cNvSpPr>
                              <wps:spPr bwMode="auto">
                                <a:xfrm>
                                  <a:off x="198438" y="107950"/>
                                  <a:ext cx="19050" cy="19050"/>
                                </a:xfrm>
                                <a:custGeom>
                                  <a:avLst/>
                                  <a:gdLst>
                                    <a:gd name="T0" fmla="*/ 0 w 12"/>
                                    <a:gd name="T1" fmla="*/ 6 h 12"/>
                                    <a:gd name="T2" fmla="*/ 4 w 12"/>
                                    <a:gd name="T3" fmla="*/ 4 h 12"/>
                                    <a:gd name="T4" fmla="*/ 4 w 12"/>
                                    <a:gd name="T5" fmla="*/ 0 h 12"/>
                                    <a:gd name="T6" fmla="*/ 7 w 12"/>
                                    <a:gd name="T7" fmla="*/ 3 h 12"/>
                                    <a:gd name="T8" fmla="*/ 12 w 12"/>
                                    <a:gd name="T9" fmla="*/ 2 h 12"/>
                                    <a:gd name="T10" fmla="*/ 8 w 12"/>
                                    <a:gd name="T11" fmla="*/ 6 h 12"/>
                                    <a:gd name="T12" fmla="*/ 12 w 12"/>
                                    <a:gd name="T13" fmla="*/ 10 h 12"/>
                                    <a:gd name="T14" fmla="*/ 7 w 12"/>
                                    <a:gd name="T15" fmla="*/ 8 h 12"/>
                                    <a:gd name="T16" fmla="*/ 4 w 12"/>
                                    <a:gd name="T17" fmla="*/ 12 h 12"/>
                                    <a:gd name="T18" fmla="*/ 4 w 12"/>
                                    <a:gd name="T19" fmla="*/ 7 h 12"/>
                                    <a:gd name="T20" fmla="*/ 0 w 12"/>
                                    <a:gd name="T21" fmla="*/ 6 h 12"/>
                                    <a:gd name="T22" fmla="*/ 0 w 12"/>
                                    <a:gd name="T23" fmla="*/ 6 h 12"/>
                                    <a:gd name="T24" fmla="*/ 0 w 12"/>
                                    <a:gd name="T25"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2">
                                      <a:moveTo>
                                        <a:pt x="0" y="6"/>
                                      </a:moveTo>
                                      <a:lnTo>
                                        <a:pt x="4" y="4"/>
                                      </a:lnTo>
                                      <a:lnTo>
                                        <a:pt x="4" y="0"/>
                                      </a:lnTo>
                                      <a:lnTo>
                                        <a:pt x="7" y="3"/>
                                      </a:lnTo>
                                      <a:lnTo>
                                        <a:pt x="12" y="2"/>
                                      </a:lnTo>
                                      <a:lnTo>
                                        <a:pt x="8" y="6"/>
                                      </a:lnTo>
                                      <a:lnTo>
                                        <a:pt x="12" y="10"/>
                                      </a:lnTo>
                                      <a:lnTo>
                                        <a:pt x="7" y="8"/>
                                      </a:lnTo>
                                      <a:lnTo>
                                        <a:pt x="4" y="12"/>
                                      </a:lnTo>
                                      <a:lnTo>
                                        <a:pt x="4" y="7"/>
                                      </a:lnTo>
                                      <a:lnTo>
                                        <a:pt x="0" y="6"/>
                                      </a:lnTo>
                                      <a:close/>
                                      <a:moveTo>
                                        <a:pt x="0" y="6"/>
                                      </a:moveTo>
                                      <a:lnTo>
                                        <a:pt x="0"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noEditPoints="1"/>
                              </wps:cNvSpPr>
                              <wps:spPr bwMode="auto">
                                <a:xfrm>
                                  <a:off x="198438" y="107950"/>
                                  <a:ext cx="19050" cy="19050"/>
                                </a:xfrm>
                                <a:custGeom>
                                  <a:avLst/>
                                  <a:gdLst>
                                    <a:gd name="T0" fmla="*/ 0 w 12"/>
                                    <a:gd name="T1" fmla="*/ 6 h 12"/>
                                    <a:gd name="T2" fmla="*/ 4 w 12"/>
                                    <a:gd name="T3" fmla="*/ 4 h 12"/>
                                    <a:gd name="T4" fmla="*/ 4 w 12"/>
                                    <a:gd name="T5" fmla="*/ 0 h 12"/>
                                    <a:gd name="T6" fmla="*/ 7 w 12"/>
                                    <a:gd name="T7" fmla="*/ 3 h 12"/>
                                    <a:gd name="T8" fmla="*/ 12 w 12"/>
                                    <a:gd name="T9" fmla="*/ 2 h 12"/>
                                    <a:gd name="T10" fmla="*/ 8 w 12"/>
                                    <a:gd name="T11" fmla="*/ 6 h 12"/>
                                    <a:gd name="T12" fmla="*/ 12 w 12"/>
                                    <a:gd name="T13" fmla="*/ 10 h 12"/>
                                    <a:gd name="T14" fmla="*/ 7 w 12"/>
                                    <a:gd name="T15" fmla="*/ 8 h 12"/>
                                    <a:gd name="T16" fmla="*/ 4 w 12"/>
                                    <a:gd name="T17" fmla="*/ 12 h 12"/>
                                    <a:gd name="T18" fmla="*/ 4 w 12"/>
                                    <a:gd name="T19" fmla="*/ 7 h 12"/>
                                    <a:gd name="T20" fmla="*/ 0 w 12"/>
                                    <a:gd name="T21" fmla="*/ 6 h 12"/>
                                    <a:gd name="T22" fmla="*/ 0 w 12"/>
                                    <a:gd name="T23" fmla="*/ 6 h 12"/>
                                    <a:gd name="T24" fmla="*/ 0 w 12"/>
                                    <a:gd name="T25"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2">
                                      <a:moveTo>
                                        <a:pt x="0" y="6"/>
                                      </a:moveTo>
                                      <a:lnTo>
                                        <a:pt x="4" y="4"/>
                                      </a:lnTo>
                                      <a:lnTo>
                                        <a:pt x="4" y="0"/>
                                      </a:lnTo>
                                      <a:lnTo>
                                        <a:pt x="7" y="3"/>
                                      </a:lnTo>
                                      <a:lnTo>
                                        <a:pt x="12" y="2"/>
                                      </a:lnTo>
                                      <a:lnTo>
                                        <a:pt x="8" y="6"/>
                                      </a:lnTo>
                                      <a:lnTo>
                                        <a:pt x="12" y="10"/>
                                      </a:lnTo>
                                      <a:lnTo>
                                        <a:pt x="7" y="8"/>
                                      </a:lnTo>
                                      <a:lnTo>
                                        <a:pt x="4" y="12"/>
                                      </a:lnTo>
                                      <a:lnTo>
                                        <a:pt x="4" y="7"/>
                                      </a:lnTo>
                                      <a:lnTo>
                                        <a:pt x="0" y="6"/>
                                      </a:lnTo>
                                      <a:moveTo>
                                        <a:pt x="0" y="6"/>
                                      </a:moveTo>
                                      <a:lnTo>
                                        <a:pt x="0" y="6"/>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noEditPoints="1"/>
                              </wps:cNvSpPr>
                              <wps:spPr bwMode="auto">
                                <a:xfrm>
                                  <a:off x="214313" y="146050"/>
                                  <a:ext cx="20638" cy="19050"/>
                                </a:xfrm>
                                <a:custGeom>
                                  <a:avLst/>
                                  <a:gdLst>
                                    <a:gd name="T0" fmla="*/ 2 w 13"/>
                                    <a:gd name="T1" fmla="*/ 11 h 12"/>
                                    <a:gd name="T2" fmla="*/ 4 w 13"/>
                                    <a:gd name="T3" fmla="*/ 7 h 12"/>
                                    <a:gd name="T4" fmla="*/ 0 w 13"/>
                                    <a:gd name="T5" fmla="*/ 3 h 12"/>
                                    <a:gd name="T6" fmla="*/ 5 w 13"/>
                                    <a:gd name="T7" fmla="*/ 4 h 12"/>
                                    <a:gd name="T8" fmla="*/ 7 w 13"/>
                                    <a:gd name="T9" fmla="*/ 0 h 12"/>
                                    <a:gd name="T10" fmla="*/ 8 w 13"/>
                                    <a:gd name="T11" fmla="*/ 4 h 12"/>
                                    <a:gd name="T12" fmla="*/ 13 w 13"/>
                                    <a:gd name="T13" fmla="*/ 5 h 12"/>
                                    <a:gd name="T14" fmla="*/ 9 w 13"/>
                                    <a:gd name="T15" fmla="*/ 8 h 12"/>
                                    <a:gd name="T16" fmla="*/ 9 w 13"/>
                                    <a:gd name="T17" fmla="*/ 12 h 12"/>
                                    <a:gd name="T18" fmla="*/ 6 w 13"/>
                                    <a:gd name="T19" fmla="*/ 8 h 12"/>
                                    <a:gd name="T20" fmla="*/ 2 w 13"/>
                                    <a:gd name="T21" fmla="*/ 11 h 12"/>
                                    <a:gd name="T22" fmla="*/ 2 w 13"/>
                                    <a:gd name="T23" fmla="*/ 11 h 12"/>
                                    <a:gd name="T24" fmla="*/ 2 w 13"/>
                                    <a:gd name="T25"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2" y="11"/>
                                      </a:moveTo>
                                      <a:lnTo>
                                        <a:pt x="4" y="7"/>
                                      </a:lnTo>
                                      <a:lnTo>
                                        <a:pt x="0" y="3"/>
                                      </a:lnTo>
                                      <a:lnTo>
                                        <a:pt x="5" y="4"/>
                                      </a:lnTo>
                                      <a:lnTo>
                                        <a:pt x="7" y="0"/>
                                      </a:lnTo>
                                      <a:lnTo>
                                        <a:pt x="8" y="4"/>
                                      </a:lnTo>
                                      <a:lnTo>
                                        <a:pt x="13" y="5"/>
                                      </a:lnTo>
                                      <a:lnTo>
                                        <a:pt x="9" y="8"/>
                                      </a:lnTo>
                                      <a:lnTo>
                                        <a:pt x="9" y="12"/>
                                      </a:lnTo>
                                      <a:lnTo>
                                        <a:pt x="6" y="8"/>
                                      </a:lnTo>
                                      <a:lnTo>
                                        <a:pt x="2" y="11"/>
                                      </a:lnTo>
                                      <a:close/>
                                      <a:moveTo>
                                        <a:pt x="2" y="11"/>
                                      </a:moveTo>
                                      <a:lnTo>
                                        <a:pt x="2" y="1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1" name="Freeform 3211"/>
                              <wps:cNvSpPr>
                                <a:spLocks noEditPoints="1"/>
                              </wps:cNvSpPr>
                              <wps:spPr bwMode="auto">
                                <a:xfrm>
                                  <a:off x="214313" y="146050"/>
                                  <a:ext cx="20638" cy="19050"/>
                                </a:xfrm>
                                <a:custGeom>
                                  <a:avLst/>
                                  <a:gdLst>
                                    <a:gd name="T0" fmla="*/ 2 w 13"/>
                                    <a:gd name="T1" fmla="*/ 11 h 12"/>
                                    <a:gd name="T2" fmla="*/ 4 w 13"/>
                                    <a:gd name="T3" fmla="*/ 7 h 12"/>
                                    <a:gd name="T4" fmla="*/ 0 w 13"/>
                                    <a:gd name="T5" fmla="*/ 3 h 12"/>
                                    <a:gd name="T6" fmla="*/ 5 w 13"/>
                                    <a:gd name="T7" fmla="*/ 4 h 12"/>
                                    <a:gd name="T8" fmla="*/ 7 w 13"/>
                                    <a:gd name="T9" fmla="*/ 0 h 12"/>
                                    <a:gd name="T10" fmla="*/ 8 w 13"/>
                                    <a:gd name="T11" fmla="*/ 4 h 12"/>
                                    <a:gd name="T12" fmla="*/ 13 w 13"/>
                                    <a:gd name="T13" fmla="*/ 5 h 12"/>
                                    <a:gd name="T14" fmla="*/ 9 w 13"/>
                                    <a:gd name="T15" fmla="*/ 8 h 12"/>
                                    <a:gd name="T16" fmla="*/ 9 w 13"/>
                                    <a:gd name="T17" fmla="*/ 12 h 12"/>
                                    <a:gd name="T18" fmla="*/ 6 w 13"/>
                                    <a:gd name="T19" fmla="*/ 8 h 12"/>
                                    <a:gd name="T20" fmla="*/ 2 w 13"/>
                                    <a:gd name="T21" fmla="*/ 11 h 12"/>
                                    <a:gd name="T22" fmla="*/ 2 w 13"/>
                                    <a:gd name="T23" fmla="*/ 11 h 12"/>
                                    <a:gd name="T24" fmla="*/ 2 w 13"/>
                                    <a:gd name="T25"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2" y="11"/>
                                      </a:moveTo>
                                      <a:lnTo>
                                        <a:pt x="4" y="7"/>
                                      </a:lnTo>
                                      <a:lnTo>
                                        <a:pt x="0" y="3"/>
                                      </a:lnTo>
                                      <a:lnTo>
                                        <a:pt x="5" y="4"/>
                                      </a:lnTo>
                                      <a:lnTo>
                                        <a:pt x="7" y="0"/>
                                      </a:lnTo>
                                      <a:lnTo>
                                        <a:pt x="8" y="4"/>
                                      </a:lnTo>
                                      <a:lnTo>
                                        <a:pt x="13" y="5"/>
                                      </a:lnTo>
                                      <a:lnTo>
                                        <a:pt x="9" y="8"/>
                                      </a:lnTo>
                                      <a:lnTo>
                                        <a:pt x="9" y="12"/>
                                      </a:lnTo>
                                      <a:lnTo>
                                        <a:pt x="6" y="8"/>
                                      </a:lnTo>
                                      <a:lnTo>
                                        <a:pt x="2" y="11"/>
                                      </a:lnTo>
                                      <a:moveTo>
                                        <a:pt x="2" y="11"/>
                                      </a:moveTo>
                                      <a:lnTo>
                                        <a:pt x="2" y="1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2" name="Freeform 3212"/>
                              <wps:cNvSpPr>
                                <a:spLocks noEditPoints="1"/>
                              </wps:cNvSpPr>
                              <wps:spPr bwMode="auto">
                                <a:xfrm>
                                  <a:off x="252413" y="163512"/>
                                  <a:ext cx="20638" cy="19050"/>
                                </a:xfrm>
                                <a:custGeom>
                                  <a:avLst/>
                                  <a:gdLst>
                                    <a:gd name="T0" fmla="*/ 6 w 13"/>
                                    <a:gd name="T1" fmla="*/ 12 h 12"/>
                                    <a:gd name="T2" fmla="*/ 5 w 13"/>
                                    <a:gd name="T3" fmla="*/ 7 h 12"/>
                                    <a:gd name="T4" fmla="*/ 0 w 13"/>
                                    <a:gd name="T5" fmla="*/ 7 h 12"/>
                                    <a:gd name="T6" fmla="*/ 4 w 13"/>
                                    <a:gd name="T7" fmla="*/ 4 h 12"/>
                                    <a:gd name="T8" fmla="*/ 3 w 13"/>
                                    <a:gd name="T9" fmla="*/ 0 h 12"/>
                                    <a:gd name="T10" fmla="*/ 6 w 13"/>
                                    <a:gd name="T11" fmla="*/ 3 h 12"/>
                                    <a:gd name="T12" fmla="*/ 10 w 13"/>
                                    <a:gd name="T13" fmla="*/ 0 h 12"/>
                                    <a:gd name="T14" fmla="*/ 8 w 13"/>
                                    <a:gd name="T15" fmla="*/ 4 h 12"/>
                                    <a:gd name="T16" fmla="*/ 13 w 13"/>
                                    <a:gd name="T17" fmla="*/ 7 h 12"/>
                                    <a:gd name="T18" fmla="*/ 8 w 13"/>
                                    <a:gd name="T19" fmla="*/ 7 h 12"/>
                                    <a:gd name="T20" fmla="*/ 6 w 13"/>
                                    <a:gd name="T21" fmla="*/ 12 h 12"/>
                                    <a:gd name="T22" fmla="*/ 6 w 13"/>
                                    <a:gd name="T23" fmla="*/ 12 h 12"/>
                                    <a:gd name="T24" fmla="*/ 6 w 13"/>
                                    <a:gd name="T2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6" y="12"/>
                                      </a:moveTo>
                                      <a:lnTo>
                                        <a:pt x="5" y="7"/>
                                      </a:lnTo>
                                      <a:lnTo>
                                        <a:pt x="0" y="7"/>
                                      </a:lnTo>
                                      <a:lnTo>
                                        <a:pt x="4" y="4"/>
                                      </a:lnTo>
                                      <a:lnTo>
                                        <a:pt x="3" y="0"/>
                                      </a:lnTo>
                                      <a:lnTo>
                                        <a:pt x="6" y="3"/>
                                      </a:lnTo>
                                      <a:lnTo>
                                        <a:pt x="10" y="0"/>
                                      </a:lnTo>
                                      <a:lnTo>
                                        <a:pt x="8" y="4"/>
                                      </a:lnTo>
                                      <a:lnTo>
                                        <a:pt x="13" y="7"/>
                                      </a:lnTo>
                                      <a:lnTo>
                                        <a:pt x="8" y="7"/>
                                      </a:lnTo>
                                      <a:lnTo>
                                        <a:pt x="6" y="12"/>
                                      </a:lnTo>
                                      <a:close/>
                                      <a:moveTo>
                                        <a:pt x="6" y="12"/>
                                      </a:moveTo>
                                      <a:lnTo>
                                        <a:pt x="6" y="1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3" name="Freeform 3213"/>
                              <wps:cNvSpPr>
                                <a:spLocks noEditPoints="1"/>
                              </wps:cNvSpPr>
                              <wps:spPr bwMode="auto">
                                <a:xfrm>
                                  <a:off x="252413" y="163512"/>
                                  <a:ext cx="20638" cy="19050"/>
                                </a:xfrm>
                                <a:custGeom>
                                  <a:avLst/>
                                  <a:gdLst>
                                    <a:gd name="T0" fmla="*/ 6 w 13"/>
                                    <a:gd name="T1" fmla="*/ 12 h 12"/>
                                    <a:gd name="T2" fmla="*/ 5 w 13"/>
                                    <a:gd name="T3" fmla="*/ 7 h 12"/>
                                    <a:gd name="T4" fmla="*/ 0 w 13"/>
                                    <a:gd name="T5" fmla="*/ 7 h 12"/>
                                    <a:gd name="T6" fmla="*/ 4 w 13"/>
                                    <a:gd name="T7" fmla="*/ 4 h 12"/>
                                    <a:gd name="T8" fmla="*/ 3 w 13"/>
                                    <a:gd name="T9" fmla="*/ 0 h 12"/>
                                    <a:gd name="T10" fmla="*/ 6 w 13"/>
                                    <a:gd name="T11" fmla="*/ 3 h 12"/>
                                    <a:gd name="T12" fmla="*/ 10 w 13"/>
                                    <a:gd name="T13" fmla="*/ 0 h 12"/>
                                    <a:gd name="T14" fmla="*/ 8 w 13"/>
                                    <a:gd name="T15" fmla="*/ 4 h 12"/>
                                    <a:gd name="T16" fmla="*/ 13 w 13"/>
                                    <a:gd name="T17" fmla="*/ 7 h 12"/>
                                    <a:gd name="T18" fmla="*/ 8 w 13"/>
                                    <a:gd name="T19" fmla="*/ 7 h 12"/>
                                    <a:gd name="T20" fmla="*/ 6 w 13"/>
                                    <a:gd name="T21" fmla="*/ 12 h 12"/>
                                    <a:gd name="T22" fmla="*/ 6 w 13"/>
                                    <a:gd name="T23" fmla="*/ 12 h 12"/>
                                    <a:gd name="T24" fmla="*/ 6 w 13"/>
                                    <a:gd name="T2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6" y="12"/>
                                      </a:moveTo>
                                      <a:lnTo>
                                        <a:pt x="5" y="7"/>
                                      </a:lnTo>
                                      <a:lnTo>
                                        <a:pt x="0" y="7"/>
                                      </a:lnTo>
                                      <a:lnTo>
                                        <a:pt x="4" y="4"/>
                                      </a:lnTo>
                                      <a:lnTo>
                                        <a:pt x="3" y="0"/>
                                      </a:lnTo>
                                      <a:lnTo>
                                        <a:pt x="6" y="3"/>
                                      </a:lnTo>
                                      <a:lnTo>
                                        <a:pt x="10" y="0"/>
                                      </a:lnTo>
                                      <a:lnTo>
                                        <a:pt x="8" y="4"/>
                                      </a:lnTo>
                                      <a:lnTo>
                                        <a:pt x="13" y="7"/>
                                      </a:lnTo>
                                      <a:lnTo>
                                        <a:pt x="8" y="7"/>
                                      </a:lnTo>
                                      <a:lnTo>
                                        <a:pt x="6" y="12"/>
                                      </a:lnTo>
                                      <a:moveTo>
                                        <a:pt x="6" y="12"/>
                                      </a:moveTo>
                                      <a:lnTo>
                                        <a:pt x="6" y="12"/>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4" name="Freeform 3214"/>
                              <wps:cNvSpPr>
                                <a:spLocks noEditPoints="1"/>
                              </wps:cNvSpPr>
                              <wps:spPr bwMode="auto">
                                <a:xfrm>
                                  <a:off x="290513" y="146050"/>
                                  <a:ext cx="20638" cy="19050"/>
                                </a:xfrm>
                                <a:custGeom>
                                  <a:avLst/>
                                  <a:gdLst>
                                    <a:gd name="T0" fmla="*/ 11 w 13"/>
                                    <a:gd name="T1" fmla="*/ 11 h 12"/>
                                    <a:gd name="T2" fmla="*/ 7 w 13"/>
                                    <a:gd name="T3" fmla="*/ 8 h 12"/>
                                    <a:gd name="T4" fmla="*/ 3 w 13"/>
                                    <a:gd name="T5" fmla="*/ 12 h 12"/>
                                    <a:gd name="T6" fmla="*/ 4 w 13"/>
                                    <a:gd name="T7" fmla="*/ 8 h 12"/>
                                    <a:gd name="T8" fmla="*/ 0 w 13"/>
                                    <a:gd name="T9" fmla="*/ 5 h 12"/>
                                    <a:gd name="T10" fmla="*/ 4 w 13"/>
                                    <a:gd name="T11" fmla="*/ 4 h 12"/>
                                    <a:gd name="T12" fmla="*/ 5 w 13"/>
                                    <a:gd name="T13" fmla="*/ 0 h 12"/>
                                    <a:gd name="T14" fmla="*/ 8 w 13"/>
                                    <a:gd name="T15" fmla="*/ 4 h 12"/>
                                    <a:gd name="T16" fmla="*/ 13 w 13"/>
                                    <a:gd name="T17" fmla="*/ 3 h 12"/>
                                    <a:gd name="T18" fmla="*/ 9 w 13"/>
                                    <a:gd name="T19" fmla="*/ 7 h 12"/>
                                    <a:gd name="T20" fmla="*/ 11 w 13"/>
                                    <a:gd name="T21" fmla="*/ 11 h 12"/>
                                    <a:gd name="T22" fmla="*/ 11 w 13"/>
                                    <a:gd name="T23" fmla="*/ 11 h 12"/>
                                    <a:gd name="T24" fmla="*/ 11 w 13"/>
                                    <a:gd name="T25"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11" y="11"/>
                                      </a:moveTo>
                                      <a:lnTo>
                                        <a:pt x="7" y="8"/>
                                      </a:lnTo>
                                      <a:lnTo>
                                        <a:pt x="3" y="12"/>
                                      </a:lnTo>
                                      <a:lnTo>
                                        <a:pt x="4" y="8"/>
                                      </a:lnTo>
                                      <a:lnTo>
                                        <a:pt x="0" y="5"/>
                                      </a:lnTo>
                                      <a:lnTo>
                                        <a:pt x="4" y="4"/>
                                      </a:lnTo>
                                      <a:lnTo>
                                        <a:pt x="5" y="0"/>
                                      </a:lnTo>
                                      <a:lnTo>
                                        <a:pt x="8" y="4"/>
                                      </a:lnTo>
                                      <a:lnTo>
                                        <a:pt x="13" y="3"/>
                                      </a:lnTo>
                                      <a:lnTo>
                                        <a:pt x="9" y="7"/>
                                      </a:lnTo>
                                      <a:lnTo>
                                        <a:pt x="11" y="11"/>
                                      </a:lnTo>
                                      <a:close/>
                                      <a:moveTo>
                                        <a:pt x="11" y="11"/>
                                      </a:moveTo>
                                      <a:lnTo>
                                        <a:pt x="11" y="1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5" name="Freeform 3215"/>
                              <wps:cNvSpPr>
                                <a:spLocks noEditPoints="1"/>
                              </wps:cNvSpPr>
                              <wps:spPr bwMode="auto">
                                <a:xfrm>
                                  <a:off x="290513" y="146050"/>
                                  <a:ext cx="20638" cy="19050"/>
                                </a:xfrm>
                                <a:custGeom>
                                  <a:avLst/>
                                  <a:gdLst>
                                    <a:gd name="T0" fmla="*/ 11 w 13"/>
                                    <a:gd name="T1" fmla="*/ 11 h 12"/>
                                    <a:gd name="T2" fmla="*/ 7 w 13"/>
                                    <a:gd name="T3" fmla="*/ 8 h 12"/>
                                    <a:gd name="T4" fmla="*/ 3 w 13"/>
                                    <a:gd name="T5" fmla="*/ 12 h 12"/>
                                    <a:gd name="T6" fmla="*/ 4 w 13"/>
                                    <a:gd name="T7" fmla="*/ 8 h 12"/>
                                    <a:gd name="T8" fmla="*/ 0 w 13"/>
                                    <a:gd name="T9" fmla="*/ 5 h 12"/>
                                    <a:gd name="T10" fmla="*/ 4 w 13"/>
                                    <a:gd name="T11" fmla="*/ 4 h 12"/>
                                    <a:gd name="T12" fmla="*/ 5 w 13"/>
                                    <a:gd name="T13" fmla="*/ 0 h 12"/>
                                    <a:gd name="T14" fmla="*/ 8 w 13"/>
                                    <a:gd name="T15" fmla="*/ 4 h 12"/>
                                    <a:gd name="T16" fmla="*/ 13 w 13"/>
                                    <a:gd name="T17" fmla="*/ 3 h 12"/>
                                    <a:gd name="T18" fmla="*/ 9 w 13"/>
                                    <a:gd name="T19" fmla="*/ 7 h 12"/>
                                    <a:gd name="T20" fmla="*/ 11 w 13"/>
                                    <a:gd name="T21" fmla="*/ 11 h 12"/>
                                    <a:gd name="T22" fmla="*/ 11 w 13"/>
                                    <a:gd name="T23" fmla="*/ 11 h 12"/>
                                    <a:gd name="T24" fmla="*/ 11 w 13"/>
                                    <a:gd name="T25"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11" y="11"/>
                                      </a:moveTo>
                                      <a:lnTo>
                                        <a:pt x="7" y="8"/>
                                      </a:lnTo>
                                      <a:lnTo>
                                        <a:pt x="3" y="12"/>
                                      </a:lnTo>
                                      <a:lnTo>
                                        <a:pt x="4" y="8"/>
                                      </a:lnTo>
                                      <a:lnTo>
                                        <a:pt x="0" y="5"/>
                                      </a:lnTo>
                                      <a:lnTo>
                                        <a:pt x="4" y="4"/>
                                      </a:lnTo>
                                      <a:lnTo>
                                        <a:pt x="5" y="0"/>
                                      </a:lnTo>
                                      <a:lnTo>
                                        <a:pt x="8" y="4"/>
                                      </a:lnTo>
                                      <a:lnTo>
                                        <a:pt x="13" y="3"/>
                                      </a:lnTo>
                                      <a:lnTo>
                                        <a:pt x="9" y="7"/>
                                      </a:lnTo>
                                      <a:lnTo>
                                        <a:pt x="11" y="11"/>
                                      </a:lnTo>
                                      <a:moveTo>
                                        <a:pt x="11" y="11"/>
                                      </a:moveTo>
                                      <a:lnTo>
                                        <a:pt x="11" y="1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6" name="Freeform 3216"/>
                              <wps:cNvSpPr>
                                <a:spLocks noEditPoints="1"/>
                              </wps:cNvSpPr>
                              <wps:spPr bwMode="auto">
                                <a:xfrm>
                                  <a:off x="307975" y="107950"/>
                                  <a:ext cx="19050" cy="19050"/>
                                </a:xfrm>
                                <a:custGeom>
                                  <a:avLst/>
                                  <a:gdLst>
                                    <a:gd name="T0" fmla="*/ 12 w 12"/>
                                    <a:gd name="T1" fmla="*/ 6 h 12"/>
                                    <a:gd name="T2" fmla="*/ 7 w 12"/>
                                    <a:gd name="T3" fmla="*/ 7 h 12"/>
                                    <a:gd name="T4" fmla="*/ 7 w 12"/>
                                    <a:gd name="T5" fmla="*/ 12 h 12"/>
                                    <a:gd name="T6" fmla="*/ 4 w 12"/>
                                    <a:gd name="T7" fmla="*/ 8 h 12"/>
                                    <a:gd name="T8" fmla="*/ 0 w 12"/>
                                    <a:gd name="T9" fmla="*/ 10 h 12"/>
                                    <a:gd name="T10" fmla="*/ 2 w 12"/>
                                    <a:gd name="T11" fmla="*/ 6 h 12"/>
                                    <a:gd name="T12" fmla="*/ 0 w 12"/>
                                    <a:gd name="T13" fmla="*/ 2 h 12"/>
                                    <a:gd name="T14" fmla="*/ 4 w 12"/>
                                    <a:gd name="T15" fmla="*/ 3 h 12"/>
                                    <a:gd name="T16" fmla="*/ 7 w 12"/>
                                    <a:gd name="T17" fmla="*/ 0 h 12"/>
                                    <a:gd name="T18" fmla="*/ 7 w 12"/>
                                    <a:gd name="T19" fmla="*/ 4 h 12"/>
                                    <a:gd name="T20" fmla="*/ 12 w 12"/>
                                    <a:gd name="T21" fmla="*/ 6 h 12"/>
                                    <a:gd name="T22" fmla="*/ 12 w 12"/>
                                    <a:gd name="T23" fmla="*/ 6 h 12"/>
                                    <a:gd name="T24" fmla="*/ 12 w 12"/>
                                    <a:gd name="T25"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2">
                                      <a:moveTo>
                                        <a:pt x="12" y="6"/>
                                      </a:moveTo>
                                      <a:lnTo>
                                        <a:pt x="7" y="7"/>
                                      </a:lnTo>
                                      <a:lnTo>
                                        <a:pt x="7" y="12"/>
                                      </a:lnTo>
                                      <a:lnTo>
                                        <a:pt x="4" y="8"/>
                                      </a:lnTo>
                                      <a:lnTo>
                                        <a:pt x="0" y="10"/>
                                      </a:lnTo>
                                      <a:lnTo>
                                        <a:pt x="2" y="6"/>
                                      </a:lnTo>
                                      <a:lnTo>
                                        <a:pt x="0" y="2"/>
                                      </a:lnTo>
                                      <a:lnTo>
                                        <a:pt x="4" y="3"/>
                                      </a:lnTo>
                                      <a:lnTo>
                                        <a:pt x="7" y="0"/>
                                      </a:lnTo>
                                      <a:lnTo>
                                        <a:pt x="7" y="4"/>
                                      </a:lnTo>
                                      <a:lnTo>
                                        <a:pt x="12" y="6"/>
                                      </a:lnTo>
                                      <a:close/>
                                      <a:moveTo>
                                        <a:pt x="12" y="6"/>
                                      </a:moveTo>
                                      <a:lnTo>
                                        <a:pt x="12"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7" name="Freeform 3217"/>
                              <wps:cNvSpPr>
                                <a:spLocks noEditPoints="1"/>
                              </wps:cNvSpPr>
                              <wps:spPr bwMode="auto">
                                <a:xfrm>
                                  <a:off x="307975" y="107950"/>
                                  <a:ext cx="19050" cy="19050"/>
                                </a:xfrm>
                                <a:custGeom>
                                  <a:avLst/>
                                  <a:gdLst>
                                    <a:gd name="T0" fmla="*/ 12 w 12"/>
                                    <a:gd name="T1" fmla="*/ 6 h 12"/>
                                    <a:gd name="T2" fmla="*/ 7 w 12"/>
                                    <a:gd name="T3" fmla="*/ 7 h 12"/>
                                    <a:gd name="T4" fmla="*/ 7 w 12"/>
                                    <a:gd name="T5" fmla="*/ 12 h 12"/>
                                    <a:gd name="T6" fmla="*/ 4 w 12"/>
                                    <a:gd name="T7" fmla="*/ 8 h 12"/>
                                    <a:gd name="T8" fmla="*/ 0 w 12"/>
                                    <a:gd name="T9" fmla="*/ 10 h 12"/>
                                    <a:gd name="T10" fmla="*/ 2 w 12"/>
                                    <a:gd name="T11" fmla="*/ 6 h 12"/>
                                    <a:gd name="T12" fmla="*/ 0 w 12"/>
                                    <a:gd name="T13" fmla="*/ 2 h 12"/>
                                    <a:gd name="T14" fmla="*/ 4 w 12"/>
                                    <a:gd name="T15" fmla="*/ 3 h 12"/>
                                    <a:gd name="T16" fmla="*/ 7 w 12"/>
                                    <a:gd name="T17" fmla="*/ 0 h 12"/>
                                    <a:gd name="T18" fmla="*/ 7 w 12"/>
                                    <a:gd name="T19" fmla="*/ 4 h 12"/>
                                    <a:gd name="T20" fmla="*/ 12 w 12"/>
                                    <a:gd name="T21" fmla="*/ 6 h 12"/>
                                    <a:gd name="T22" fmla="*/ 12 w 12"/>
                                    <a:gd name="T23" fmla="*/ 6 h 12"/>
                                    <a:gd name="T24" fmla="*/ 12 w 12"/>
                                    <a:gd name="T25"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2">
                                      <a:moveTo>
                                        <a:pt x="12" y="6"/>
                                      </a:moveTo>
                                      <a:lnTo>
                                        <a:pt x="7" y="7"/>
                                      </a:lnTo>
                                      <a:lnTo>
                                        <a:pt x="7" y="12"/>
                                      </a:lnTo>
                                      <a:lnTo>
                                        <a:pt x="4" y="8"/>
                                      </a:lnTo>
                                      <a:lnTo>
                                        <a:pt x="0" y="10"/>
                                      </a:lnTo>
                                      <a:lnTo>
                                        <a:pt x="2" y="6"/>
                                      </a:lnTo>
                                      <a:lnTo>
                                        <a:pt x="0" y="2"/>
                                      </a:lnTo>
                                      <a:lnTo>
                                        <a:pt x="4" y="3"/>
                                      </a:lnTo>
                                      <a:lnTo>
                                        <a:pt x="7" y="0"/>
                                      </a:lnTo>
                                      <a:lnTo>
                                        <a:pt x="7" y="4"/>
                                      </a:lnTo>
                                      <a:lnTo>
                                        <a:pt x="12" y="6"/>
                                      </a:lnTo>
                                      <a:moveTo>
                                        <a:pt x="12" y="6"/>
                                      </a:moveTo>
                                      <a:lnTo>
                                        <a:pt x="12" y="6"/>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8" name="Freeform 3218"/>
                              <wps:cNvSpPr>
                                <a:spLocks noEditPoints="1"/>
                              </wps:cNvSpPr>
                              <wps:spPr bwMode="auto">
                                <a:xfrm>
                                  <a:off x="290513" y="69850"/>
                                  <a:ext cx="20638" cy="19050"/>
                                </a:xfrm>
                                <a:custGeom>
                                  <a:avLst/>
                                  <a:gdLst>
                                    <a:gd name="T0" fmla="*/ 11 w 13"/>
                                    <a:gd name="T1" fmla="*/ 0 h 12"/>
                                    <a:gd name="T2" fmla="*/ 9 w 13"/>
                                    <a:gd name="T3" fmla="*/ 5 h 12"/>
                                    <a:gd name="T4" fmla="*/ 13 w 13"/>
                                    <a:gd name="T5" fmla="*/ 8 h 12"/>
                                    <a:gd name="T6" fmla="*/ 8 w 13"/>
                                    <a:gd name="T7" fmla="*/ 7 h 12"/>
                                    <a:gd name="T8" fmla="*/ 5 w 13"/>
                                    <a:gd name="T9" fmla="*/ 12 h 12"/>
                                    <a:gd name="T10" fmla="*/ 5 w 13"/>
                                    <a:gd name="T11" fmla="*/ 7 h 12"/>
                                    <a:gd name="T12" fmla="*/ 0 w 13"/>
                                    <a:gd name="T13" fmla="*/ 6 h 12"/>
                                    <a:gd name="T14" fmla="*/ 4 w 13"/>
                                    <a:gd name="T15" fmla="*/ 4 h 12"/>
                                    <a:gd name="T16" fmla="*/ 3 w 13"/>
                                    <a:gd name="T17" fmla="*/ 0 h 12"/>
                                    <a:gd name="T18" fmla="*/ 7 w 13"/>
                                    <a:gd name="T19" fmla="*/ 3 h 12"/>
                                    <a:gd name="T20" fmla="*/ 11 w 13"/>
                                    <a:gd name="T21" fmla="*/ 0 h 12"/>
                                    <a:gd name="T22" fmla="*/ 11 w 13"/>
                                    <a:gd name="T23" fmla="*/ 0 h 12"/>
                                    <a:gd name="T24" fmla="*/ 11 w 13"/>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11" y="0"/>
                                      </a:moveTo>
                                      <a:lnTo>
                                        <a:pt x="9" y="5"/>
                                      </a:lnTo>
                                      <a:lnTo>
                                        <a:pt x="13" y="8"/>
                                      </a:lnTo>
                                      <a:lnTo>
                                        <a:pt x="8" y="7"/>
                                      </a:lnTo>
                                      <a:lnTo>
                                        <a:pt x="5" y="12"/>
                                      </a:lnTo>
                                      <a:lnTo>
                                        <a:pt x="5" y="7"/>
                                      </a:lnTo>
                                      <a:lnTo>
                                        <a:pt x="0" y="6"/>
                                      </a:lnTo>
                                      <a:lnTo>
                                        <a:pt x="4" y="4"/>
                                      </a:lnTo>
                                      <a:lnTo>
                                        <a:pt x="3" y="0"/>
                                      </a:lnTo>
                                      <a:lnTo>
                                        <a:pt x="7" y="3"/>
                                      </a:lnTo>
                                      <a:lnTo>
                                        <a:pt x="11" y="0"/>
                                      </a:lnTo>
                                      <a:close/>
                                      <a:moveTo>
                                        <a:pt x="11" y="0"/>
                                      </a:moveTo>
                                      <a:lnTo>
                                        <a:pt x="1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9" name="Freeform 3219"/>
                              <wps:cNvSpPr>
                                <a:spLocks noEditPoints="1"/>
                              </wps:cNvSpPr>
                              <wps:spPr bwMode="auto">
                                <a:xfrm>
                                  <a:off x="290513" y="69850"/>
                                  <a:ext cx="20638" cy="19050"/>
                                </a:xfrm>
                                <a:custGeom>
                                  <a:avLst/>
                                  <a:gdLst>
                                    <a:gd name="T0" fmla="*/ 11 w 13"/>
                                    <a:gd name="T1" fmla="*/ 0 h 12"/>
                                    <a:gd name="T2" fmla="*/ 9 w 13"/>
                                    <a:gd name="T3" fmla="*/ 5 h 12"/>
                                    <a:gd name="T4" fmla="*/ 13 w 13"/>
                                    <a:gd name="T5" fmla="*/ 8 h 12"/>
                                    <a:gd name="T6" fmla="*/ 8 w 13"/>
                                    <a:gd name="T7" fmla="*/ 7 h 12"/>
                                    <a:gd name="T8" fmla="*/ 5 w 13"/>
                                    <a:gd name="T9" fmla="*/ 12 h 12"/>
                                    <a:gd name="T10" fmla="*/ 5 w 13"/>
                                    <a:gd name="T11" fmla="*/ 7 h 12"/>
                                    <a:gd name="T12" fmla="*/ 0 w 13"/>
                                    <a:gd name="T13" fmla="*/ 6 h 12"/>
                                    <a:gd name="T14" fmla="*/ 4 w 13"/>
                                    <a:gd name="T15" fmla="*/ 4 h 12"/>
                                    <a:gd name="T16" fmla="*/ 3 w 13"/>
                                    <a:gd name="T17" fmla="*/ 0 h 12"/>
                                    <a:gd name="T18" fmla="*/ 7 w 13"/>
                                    <a:gd name="T19" fmla="*/ 3 h 12"/>
                                    <a:gd name="T20" fmla="*/ 11 w 13"/>
                                    <a:gd name="T21" fmla="*/ 0 h 12"/>
                                    <a:gd name="T22" fmla="*/ 11 w 13"/>
                                    <a:gd name="T23" fmla="*/ 0 h 12"/>
                                    <a:gd name="T24" fmla="*/ 11 w 13"/>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11" y="0"/>
                                      </a:moveTo>
                                      <a:lnTo>
                                        <a:pt x="9" y="5"/>
                                      </a:lnTo>
                                      <a:lnTo>
                                        <a:pt x="13" y="8"/>
                                      </a:lnTo>
                                      <a:lnTo>
                                        <a:pt x="8" y="7"/>
                                      </a:lnTo>
                                      <a:lnTo>
                                        <a:pt x="5" y="12"/>
                                      </a:lnTo>
                                      <a:lnTo>
                                        <a:pt x="5" y="7"/>
                                      </a:lnTo>
                                      <a:lnTo>
                                        <a:pt x="0" y="6"/>
                                      </a:lnTo>
                                      <a:lnTo>
                                        <a:pt x="4" y="4"/>
                                      </a:lnTo>
                                      <a:lnTo>
                                        <a:pt x="3" y="0"/>
                                      </a:lnTo>
                                      <a:lnTo>
                                        <a:pt x="7" y="3"/>
                                      </a:lnTo>
                                      <a:lnTo>
                                        <a:pt x="11" y="0"/>
                                      </a:lnTo>
                                      <a:moveTo>
                                        <a:pt x="11" y="0"/>
                                      </a:moveTo>
                                      <a:lnTo>
                                        <a:pt x="11"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0" name="Freeform 3220"/>
                              <wps:cNvSpPr>
                                <a:spLocks noEditPoints="1"/>
                              </wps:cNvSpPr>
                              <wps:spPr bwMode="auto">
                                <a:xfrm>
                                  <a:off x="0" y="0"/>
                                  <a:ext cx="192088" cy="223838"/>
                                </a:xfrm>
                                <a:custGeom>
                                  <a:avLst/>
                                  <a:gdLst>
                                    <a:gd name="T0" fmla="*/ 94 w 143"/>
                                    <a:gd name="T1" fmla="*/ 125 h 164"/>
                                    <a:gd name="T2" fmla="*/ 120 w 143"/>
                                    <a:gd name="T3" fmla="*/ 107 h 164"/>
                                    <a:gd name="T4" fmla="*/ 117 w 143"/>
                                    <a:gd name="T5" fmla="*/ 91 h 164"/>
                                    <a:gd name="T6" fmla="*/ 89 w 143"/>
                                    <a:gd name="T7" fmla="*/ 120 h 164"/>
                                    <a:gd name="T8" fmla="*/ 82 w 143"/>
                                    <a:gd name="T9" fmla="*/ 157 h 164"/>
                                    <a:gd name="T10" fmla="*/ 57 w 143"/>
                                    <a:gd name="T11" fmla="*/ 121 h 164"/>
                                    <a:gd name="T12" fmla="*/ 71 w 143"/>
                                    <a:gd name="T13" fmla="*/ 90 h 164"/>
                                    <a:gd name="T14" fmla="*/ 59 w 143"/>
                                    <a:gd name="T15" fmla="*/ 75 h 164"/>
                                    <a:gd name="T16" fmla="*/ 62 w 143"/>
                                    <a:gd name="T17" fmla="*/ 50 h 164"/>
                                    <a:gd name="T18" fmla="*/ 37 w 143"/>
                                    <a:gd name="T19" fmla="*/ 22 h 164"/>
                                    <a:gd name="T20" fmla="*/ 80 w 143"/>
                                    <a:gd name="T21" fmla="*/ 40 h 164"/>
                                    <a:gd name="T22" fmla="*/ 86 w 143"/>
                                    <a:gd name="T23" fmla="*/ 61 h 164"/>
                                    <a:gd name="T24" fmla="*/ 86 w 143"/>
                                    <a:gd name="T25" fmla="*/ 63 h 164"/>
                                    <a:gd name="T26" fmla="*/ 98 w 143"/>
                                    <a:gd name="T27" fmla="*/ 76 h 164"/>
                                    <a:gd name="T28" fmla="*/ 123 w 143"/>
                                    <a:gd name="T29" fmla="*/ 44 h 164"/>
                                    <a:gd name="T30" fmla="*/ 138 w 143"/>
                                    <a:gd name="T31" fmla="*/ 31 h 164"/>
                                    <a:gd name="T32" fmla="*/ 125 w 143"/>
                                    <a:gd name="T33" fmla="*/ 11 h 164"/>
                                    <a:gd name="T34" fmla="*/ 79 w 143"/>
                                    <a:gd name="T35" fmla="*/ 0 h 164"/>
                                    <a:gd name="T36" fmla="*/ 57 w 143"/>
                                    <a:gd name="T37" fmla="*/ 4 h 164"/>
                                    <a:gd name="T38" fmla="*/ 28 w 143"/>
                                    <a:gd name="T39" fmla="*/ 20 h 164"/>
                                    <a:gd name="T40" fmla="*/ 34 w 143"/>
                                    <a:gd name="T41" fmla="*/ 149 h 164"/>
                                    <a:gd name="T42" fmla="*/ 96 w 143"/>
                                    <a:gd name="T43" fmla="*/ 163 h 164"/>
                                    <a:gd name="T44" fmla="*/ 135 w 143"/>
                                    <a:gd name="T45" fmla="*/ 136 h 164"/>
                                    <a:gd name="T46" fmla="*/ 82 w 143"/>
                                    <a:gd name="T47" fmla="*/ 7 h 164"/>
                                    <a:gd name="T48" fmla="*/ 105 w 143"/>
                                    <a:gd name="T49" fmla="*/ 67 h 164"/>
                                    <a:gd name="T50" fmla="*/ 93 w 143"/>
                                    <a:gd name="T51" fmla="*/ 64 h 164"/>
                                    <a:gd name="T52" fmla="*/ 65 w 143"/>
                                    <a:gd name="T53" fmla="*/ 9 h 164"/>
                                    <a:gd name="T54" fmla="*/ 37 w 143"/>
                                    <a:gd name="T55" fmla="*/ 142 h 164"/>
                                    <a:gd name="T56" fmla="*/ 31 w 143"/>
                                    <a:gd name="T57" fmla="*/ 27 h 164"/>
                                    <a:gd name="T58" fmla="*/ 55 w 143"/>
                                    <a:gd name="T59" fmla="*/ 48 h 164"/>
                                    <a:gd name="T60" fmla="*/ 53 w 143"/>
                                    <a:gd name="T61" fmla="*/ 79 h 164"/>
                                    <a:gd name="T62" fmla="*/ 64 w 143"/>
                                    <a:gd name="T63" fmla="*/ 90 h 164"/>
                                    <a:gd name="T64" fmla="*/ 50 w 143"/>
                                    <a:gd name="T65" fmla="*/ 11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3" h="164">
                                      <a:moveTo>
                                        <a:pt x="98" y="156"/>
                                      </a:moveTo>
                                      <a:cubicBezTo>
                                        <a:pt x="92" y="145"/>
                                        <a:pt x="88" y="131"/>
                                        <a:pt x="94" y="125"/>
                                      </a:cubicBezTo>
                                      <a:cubicBezTo>
                                        <a:pt x="98" y="122"/>
                                        <a:pt x="101" y="121"/>
                                        <a:pt x="104" y="121"/>
                                      </a:cubicBezTo>
                                      <a:cubicBezTo>
                                        <a:pt x="111" y="119"/>
                                        <a:pt x="116" y="118"/>
                                        <a:pt x="120" y="107"/>
                                      </a:cubicBezTo>
                                      <a:cubicBezTo>
                                        <a:pt x="118" y="102"/>
                                        <a:pt x="117" y="96"/>
                                        <a:pt x="117" y="91"/>
                                      </a:cubicBezTo>
                                      <a:cubicBezTo>
                                        <a:pt x="117" y="91"/>
                                        <a:pt x="117" y="91"/>
                                        <a:pt x="117" y="91"/>
                                      </a:cubicBezTo>
                                      <a:cubicBezTo>
                                        <a:pt x="113" y="112"/>
                                        <a:pt x="109" y="113"/>
                                        <a:pt x="103" y="114"/>
                                      </a:cubicBezTo>
                                      <a:cubicBezTo>
                                        <a:pt x="99" y="114"/>
                                        <a:pt x="94" y="115"/>
                                        <a:pt x="89" y="120"/>
                                      </a:cubicBezTo>
                                      <a:cubicBezTo>
                                        <a:pt x="79" y="130"/>
                                        <a:pt x="86" y="147"/>
                                        <a:pt x="90" y="157"/>
                                      </a:cubicBezTo>
                                      <a:cubicBezTo>
                                        <a:pt x="88" y="157"/>
                                        <a:pt x="85" y="157"/>
                                        <a:pt x="82" y="157"/>
                                      </a:cubicBezTo>
                                      <a:cubicBezTo>
                                        <a:pt x="68" y="157"/>
                                        <a:pt x="55" y="153"/>
                                        <a:pt x="43" y="146"/>
                                      </a:cubicBezTo>
                                      <a:cubicBezTo>
                                        <a:pt x="51" y="140"/>
                                        <a:pt x="54" y="130"/>
                                        <a:pt x="57" y="121"/>
                                      </a:cubicBezTo>
                                      <a:cubicBezTo>
                                        <a:pt x="59" y="113"/>
                                        <a:pt x="61" y="105"/>
                                        <a:pt x="66" y="101"/>
                                      </a:cubicBezTo>
                                      <a:cubicBezTo>
                                        <a:pt x="70" y="97"/>
                                        <a:pt x="72" y="94"/>
                                        <a:pt x="71" y="90"/>
                                      </a:cubicBezTo>
                                      <a:cubicBezTo>
                                        <a:pt x="71" y="85"/>
                                        <a:pt x="67" y="82"/>
                                        <a:pt x="64" y="80"/>
                                      </a:cubicBezTo>
                                      <a:cubicBezTo>
                                        <a:pt x="62" y="78"/>
                                        <a:pt x="60" y="77"/>
                                        <a:pt x="59" y="75"/>
                                      </a:cubicBezTo>
                                      <a:cubicBezTo>
                                        <a:pt x="56" y="71"/>
                                        <a:pt x="58" y="62"/>
                                        <a:pt x="60" y="55"/>
                                      </a:cubicBezTo>
                                      <a:cubicBezTo>
                                        <a:pt x="61" y="53"/>
                                        <a:pt x="61" y="51"/>
                                        <a:pt x="62" y="50"/>
                                      </a:cubicBezTo>
                                      <a:cubicBezTo>
                                        <a:pt x="63" y="44"/>
                                        <a:pt x="59" y="38"/>
                                        <a:pt x="49" y="31"/>
                                      </a:cubicBezTo>
                                      <a:cubicBezTo>
                                        <a:pt x="45" y="27"/>
                                        <a:pt x="40" y="24"/>
                                        <a:pt x="37" y="22"/>
                                      </a:cubicBezTo>
                                      <a:cubicBezTo>
                                        <a:pt x="43" y="17"/>
                                        <a:pt x="51" y="13"/>
                                        <a:pt x="59" y="11"/>
                                      </a:cubicBezTo>
                                      <a:cubicBezTo>
                                        <a:pt x="61" y="18"/>
                                        <a:pt x="67" y="32"/>
                                        <a:pt x="80" y="40"/>
                                      </a:cubicBezTo>
                                      <a:cubicBezTo>
                                        <a:pt x="86" y="43"/>
                                        <a:pt x="89" y="47"/>
                                        <a:pt x="89" y="53"/>
                                      </a:cubicBezTo>
                                      <a:cubicBezTo>
                                        <a:pt x="88" y="58"/>
                                        <a:pt x="86" y="61"/>
                                        <a:pt x="86" y="61"/>
                                      </a:cubicBezTo>
                                      <a:cubicBezTo>
                                        <a:pt x="86" y="62"/>
                                        <a:pt x="86" y="62"/>
                                        <a:pt x="86" y="62"/>
                                      </a:cubicBezTo>
                                      <a:cubicBezTo>
                                        <a:pt x="86" y="63"/>
                                        <a:pt x="86" y="63"/>
                                        <a:pt x="86" y="63"/>
                                      </a:cubicBezTo>
                                      <a:cubicBezTo>
                                        <a:pt x="86" y="64"/>
                                        <a:pt x="86" y="70"/>
                                        <a:pt x="91" y="74"/>
                                      </a:cubicBezTo>
                                      <a:cubicBezTo>
                                        <a:pt x="93" y="75"/>
                                        <a:pt x="95" y="76"/>
                                        <a:pt x="98" y="76"/>
                                      </a:cubicBezTo>
                                      <a:cubicBezTo>
                                        <a:pt x="101" y="76"/>
                                        <a:pt x="104" y="75"/>
                                        <a:pt x="108" y="73"/>
                                      </a:cubicBezTo>
                                      <a:cubicBezTo>
                                        <a:pt x="115" y="70"/>
                                        <a:pt x="120" y="60"/>
                                        <a:pt x="123" y="44"/>
                                      </a:cubicBezTo>
                                      <a:cubicBezTo>
                                        <a:pt x="125" y="36"/>
                                        <a:pt x="126" y="27"/>
                                        <a:pt x="126" y="21"/>
                                      </a:cubicBezTo>
                                      <a:cubicBezTo>
                                        <a:pt x="130" y="24"/>
                                        <a:pt x="134" y="28"/>
                                        <a:pt x="138" y="31"/>
                                      </a:cubicBezTo>
                                      <a:cubicBezTo>
                                        <a:pt x="139" y="30"/>
                                        <a:pt x="141" y="28"/>
                                        <a:pt x="143" y="26"/>
                                      </a:cubicBezTo>
                                      <a:cubicBezTo>
                                        <a:pt x="137" y="21"/>
                                        <a:pt x="131" y="16"/>
                                        <a:pt x="125" y="11"/>
                                      </a:cubicBezTo>
                                      <a:cubicBezTo>
                                        <a:pt x="113" y="4"/>
                                        <a:pt x="100" y="0"/>
                                        <a:pt x="86" y="0"/>
                                      </a:cubicBezTo>
                                      <a:cubicBezTo>
                                        <a:pt x="79" y="0"/>
                                        <a:pt x="79" y="0"/>
                                        <a:pt x="79" y="0"/>
                                      </a:cubicBezTo>
                                      <a:cubicBezTo>
                                        <a:pt x="72" y="0"/>
                                        <a:pt x="66" y="1"/>
                                        <a:pt x="60" y="3"/>
                                      </a:cubicBezTo>
                                      <a:cubicBezTo>
                                        <a:pt x="57" y="4"/>
                                        <a:pt x="57" y="4"/>
                                        <a:pt x="57" y="4"/>
                                      </a:cubicBezTo>
                                      <a:cubicBezTo>
                                        <a:pt x="57" y="4"/>
                                        <a:pt x="57" y="4"/>
                                        <a:pt x="57" y="4"/>
                                      </a:cubicBezTo>
                                      <a:cubicBezTo>
                                        <a:pt x="47" y="7"/>
                                        <a:pt x="37" y="13"/>
                                        <a:pt x="28" y="20"/>
                                      </a:cubicBezTo>
                                      <a:cubicBezTo>
                                        <a:pt x="10" y="36"/>
                                        <a:pt x="0" y="58"/>
                                        <a:pt x="0" y="82"/>
                                      </a:cubicBezTo>
                                      <a:cubicBezTo>
                                        <a:pt x="0" y="108"/>
                                        <a:pt x="13" y="133"/>
                                        <a:pt x="34" y="149"/>
                                      </a:cubicBezTo>
                                      <a:cubicBezTo>
                                        <a:pt x="48" y="159"/>
                                        <a:pt x="65" y="164"/>
                                        <a:pt x="82" y="164"/>
                                      </a:cubicBezTo>
                                      <a:cubicBezTo>
                                        <a:pt x="87" y="164"/>
                                        <a:pt x="92" y="164"/>
                                        <a:pt x="96" y="163"/>
                                      </a:cubicBezTo>
                                      <a:cubicBezTo>
                                        <a:pt x="113" y="160"/>
                                        <a:pt x="128" y="152"/>
                                        <a:pt x="140" y="141"/>
                                      </a:cubicBezTo>
                                      <a:cubicBezTo>
                                        <a:pt x="138" y="139"/>
                                        <a:pt x="136" y="137"/>
                                        <a:pt x="135" y="136"/>
                                      </a:cubicBezTo>
                                      <a:cubicBezTo>
                                        <a:pt x="125" y="146"/>
                                        <a:pt x="112" y="153"/>
                                        <a:pt x="98" y="156"/>
                                      </a:cubicBezTo>
                                      <a:close/>
                                      <a:moveTo>
                                        <a:pt x="82" y="7"/>
                                      </a:moveTo>
                                      <a:cubicBezTo>
                                        <a:pt x="95" y="7"/>
                                        <a:pt x="108" y="10"/>
                                        <a:pt x="119" y="17"/>
                                      </a:cubicBezTo>
                                      <a:cubicBezTo>
                                        <a:pt x="118" y="39"/>
                                        <a:pt x="114" y="63"/>
                                        <a:pt x="105" y="67"/>
                                      </a:cubicBezTo>
                                      <a:cubicBezTo>
                                        <a:pt x="100" y="69"/>
                                        <a:pt x="97" y="69"/>
                                        <a:pt x="95" y="68"/>
                                      </a:cubicBezTo>
                                      <a:cubicBezTo>
                                        <a:pt x="94" y="67"/>
                                        <a:pt x="93" y="65"/>
                                        <a:pt x="93" y="64"/>
                                      </a:cubicBezTo>
                                      <a:cubicBezTo>
                                        <a:pt x="95" y="59"/>
                                        <a:pt x="101" y="43"/>
                                        <a:pt x="84" y="34"/>
                                      </a:cubicBezTo>
                                      <a:cubicBezTo>
                                        <a:pt x="73" y="27"/>
                                        <a:pt x="68" y="15"/>
                                        <a:pt x="65" y="9"/>
                                      </a:cubicBezTo>
                                      <a:cubicBezTo>
                                        <a:pt x="71" y="8"/>
                                        <a:pt x="77" y="7"/>
                                        <a:pt x="82" y="7"/>
                                      </a:cubicBezTo>
                                      <a:close/>
                                      <a:moveTo>
                                        <a:pt x="37" y="142"/>
                                      </a:moveTo>
                                      <a:cubicBezTo>
                                        <a:pt x="18" y="128"/>
                                        <a:pt x="7" y="105"/>
                                        <a:pt x="7" y="82"/>
                                      </a:cubicBezTo>
                                      <a:cubicBezTo>
                                        <a:pt x="7" y="61"/>
                                        <a:pt x="16" y="41"/>
                                        <a:pt x="31" y="27"/>
                                      </a:cubicBezTo>
                                      <a:cubicBezTo>
                                        <a:pt x="34" y="29"/>
                                        <a:pt x="40" y="32"/>
                                        <a:pt x="45" y="36"/>
                                      </a:cubicBezTo>
                                      <a:cubicBezTo>
                                        <a:pt x="53" y="43"/>
                                        <a:pt x="55" y="47"/>
                                        <a:pt x="55" y="48"/>
                                      </a:cubicBezTo>
                                      <a:cubicBezTo>
                                        <a:pt x="55" y="49"/>
                                        <a:pt x="54" y="51"/>
                                        <a:pt x="54" y="53"/>
                                      </a:cubicBezTo>
                                      <a:cubicBezTo>
                                        <a:pt x="51" y="62"/>
                                        <a:pt x="48" y="72"/>
                                        <a:pt x="53" y="79"/>
                                      </a:cubicBezTo>
                                      <a:cubicBezTo>
                                        <a:pt x="55" y="82"/>
                                        <a:pt x="57" y="84"/>
                                        <a:pt x="60" y="85"/>
                                      </a:cubicBezTo>
                                      <a:cubicBezTo>
                                        <a:pt x="62" y="87"/>
                                        <a:pt x="64" y="89"/>
                                        <a:pt x="64" y="90"/>
                                      </a:cubicBezTo>
                                      <a:cubicBezTo>
                                        <a:pt x="64" y="91"/>
                                        <a:pt x="64" y="93"/>
                                        <a:pt x="61" y="96"/>
                                      </a:cubicBezTo>
                                      <a:cubicBezTo>
                                        <a:pt x="55" y="102"/>
                                        <a:pt x="53" y="110"/>
                                        <a:pt x="50" y="119"/>
                                      </a:cubicBezTo>
                                      <a:cubicBezTo>
                                        <a:pt x="47" y="129"/>
                                        <a:pt x="44" y="138"/>
                                        <a:pt x="37" y="1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47DD2C4" id="Group 3149" o:spid="_x0000_s1026" style="position:absolute;margin-left:18.1pt;margin-top:5.75pt;width:28.5pt;height:17.5pt;z-index:251658240;mso-width-relative:margin;mso-height-relative:margin" coordsize="368301,2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">
                      <v:shape id="Freeform 28" o:spid="_x0000_s1027" style="position:absolute;left:204788;top:9525;width:163513;height:215900;visibility:visible;mso-wrap-style:square;v-text-anchor:top" coordsize="1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" path="m42,158c27,158,12,154,,146v4,-6,4,-6,4,-6c15,147,29,151,42,151v40,,72,-32,72,-72c114,40,82,8,42,8,31,8,20,10,10,15,7,9,7,9,7,9,18,3,30,,42,v44,,79,36,79,79c121,123,86,158,42,158xe" filled="f" stroked="f">
                        <v:path arrowok="t" o:connecttype="custom" o:connectlocs="56757,215900;0,199503;5405,191304;56757,206335;154054,107950;56757,10932;13513,20497;9459,12298;56757,0;163513,107950;56757,215900" o:connectangles="0,0,0,0,0,0,0,0,0,0,0"/>
                      </v:shape>
                      <v:shape id="Freeform 29" o:spid="_x0000_s1028" style="position:absolute;left:252413;top:49212;width:20638;height:20638;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" path="m6,l8,5r5,l8,8r2,5l6,10,3,13,4,8,,5r5,l6,xm6,r,xe" filled="f" stroked="f">
                        <v:path arrowok="t" o:connecttype="custom" o:connectlocs="9525,0;12700,7938;20638,7938;12700,12700;15875,20638;9525,15875;4763,20638;6350,12700;0,7938;7938,7938;9525,0;9525,0;9525,0" o:connectangles="0,0,0,0,0,0,0,0,0,0,0,0,0"/>
                        <o:lock v:ext="edit" verticies="t"/>
                      </v:shape>
                      <v:shape id="Freeform 30" o:spid="_x0000_s1029" style="position:absolute;left:252413;top:49212;width:20638;height:20638;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" path="m6,l8,5r5,l8,8r2,5l6,10,3,13,4,8,,5r5,l6,t,l6,e" filled="f" stroked="f">
                        <v:path arrowok="t" o:connecttype="custom" o:connectlocs="9525,0;12700,7938;20638,7938;12700,12700;15875,20638;9525,15875;4763,20638;6350,12700;0,7938;7938,7938;9525,0;9525,0;9525,0" o:connectangles="0,0,0,0,0,0,0,0,0,0,0,0,0"/>
                        <o:lock v:ext="edit" verticies="t"/>
                      </v:shape>
                      <v:shape id="Freeform 38" o:spid="_x0000_s1030" style="position:absolute;left:214313;top:698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" path="m2,l6,3,9,r,4l13,6,8,7,7,12,5,7,,8,4,5,2,xm2,r,xe" filled="f" stroked="f">
                        <v:path arrowok="t" o:connecttype="custom" o:connectlocs="3175,0;9525,4763;14288,0;14288,6350;20638,9525;12700,11113;11113,19050;7938,11113;0,12700;6350,7938;3175,0;3175,0;3175,0" o:connectangles="0,0,0,0,0,0,0,0,0,0,0,0,0"/>
                        <o:lock v:ext="edit" verticies="t"/>
                      </v:shape>
                      <v:shape id="Freeform 89" o:spid="_x0000_s1031" style="position:absolute;left:214313;top:698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" path="m2,l6,3,9,r,4l13,6,8,7,7,12,5,7,,8,4,5,2,t,l2,e" filled="f" stroked="f">
                        <v:path arrowok="t" o:connecttype="custom" o:connectlocs="3175,0;9525,4763;14288,0;14288,6350;20638,9525;12700,11113;11113,19050;7938,11113;0,12700;6350,7938;3175,0;3175,0;3175,0" o:connectangles="0,0,0,0,0,0,0,0,0,0,0,0,0"/>
                        <o:lock v:ext="edit" verticies="t"/>
                      </v:shape>
                      <v:shape id="Freeform 91" o:spid="_x0000_s1032" style="position:absolute;left:198438;top:107950;width:19050;height:1905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" path="m,6l4,4,4,,7,3,12,2,8,6r4,4l7,8,4,12,4,7,,6xm,6r,xe" filled="f" stroked="f">
                        <v:path arrowok="t" o:connecttype="custom" o:connectlocs="0,9525;6350,6350;6350,0;11113,4763;19050,3175;12700,9525;19050,15875;11113,12700;6350,19050;6350,11113;0,9525;0,9525;0,9525" o:connectangles="0,0,0,0,0,0,0,0,0,0,0,0,0"/>
                        <o:lock v:ext="edit" verticies="t"/>
                      </v:shape>
                      <v:shape id="Freeform 93" o:spid="_x0000_s1033" style="position:absolute;left:198438;top:107950;width:19050;height:1905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" path="m,6l4,4,4,,7,3,12,2,8,6r4,4l7,8,4,12,4,7,,6t,l,6e" filled="f" stroked="f">
                        <v:path arrowok="t" o:connecttype="custom" o:connectlocs="0,9525;6350,6350;6350,0;11113,4763;19050,3175;12700,9525;19050,15875;11113,12700;6350,19050;6350,11113;0,9525;0,9525;0,9525" o:connectangles="0,0,0,0,0,0,0,0,0,0,0,0,0"/>
                        <o:lock v:ext="edit" verticies="t"/>
                      </v:shape>
                      <v:shape id="Freeform 94" o:spid="_x0000_s1034" style="position:absolute;left:214313;top:1460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" path="m2,11l4,7,,3,5,4,7,,8,4r5,1l9,8r,4l6,8,2,11xm2,11r,xe" filled="f" stroked="f">
                        <v:path arrowok="t" o:connecttype="custom" o:connectlocs="3175,17463;6350,11113;0,4763;7938,6350;11113,0;12700,6350;20638,7938;14288,12700;14288,19050;9525,12700;3175,17463;3175,17463;3175,17463" o:connectangles="0,0,0,0,0,0,0,0,0,0,0,0,0"/>
                        <o:lock v:ext="edit" verticies="t"/>
                      </v:shape>
                      <v:shape id="Freeform 3211" o:spid="_x0000_s1035" style="position:absolute;left:214313;top:1460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" path="m2,11l4,7,,3,5,4,7,,8,4r5,1l9,8r,4l6,8,2,11t,l2,11e" filled="f" stroked="f">
                        <v:path arrowok="t" o:connecttype="custom" o:connectlocs="3175,17463;6350,11113;0,4763;7938,6350;11113,0;12700,6350;20638,7938;14288,12700;14288,19050;9525,12700;3175,17463;3175,17463;3175,17463" o:connectangles="0,0,0,0,0,0,0,0,0,0,0,0,0"/>
                        <o:lock v:ext="edit" verticies="t"/>
                      </v:shape>
                      <v:shape id="Freeform 3212" o:spid="_x0000_s1036" style="position:absolute;left:252413;top:163512;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" path="m6,12l5,7,,7,4,4,3,,6,3,10,,8,4r5,3l8,7,6,12xm6,12r,xe" filled="f" stroked="f">
                        <v:path arrowok="t" o:connecttype="custom" o:connectlocs="9525,19050;7938,11113;0,11113;6350,6350;4763,0;9525,4763;15875,0;12700,6350;20638,11113;12700,11113;9525,19050;9525,19050;9525,19050" o:connectangles="0,0,0,0,0,0,0,0,0,0,0,0,0"/>
                        <o:lock v:ext="edit" verticies="t"/>
                      </v:shape>
                      <v:shape id="Freeform 3213" o:spid="_x0000_s1037" style="position:absolute;left:252413;top:163512;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" path="m6,12l5,7,,7,4,4,3,,6,3,10,,8,4r5,3l8,7,6,12t,l6,12e" filled="f" stroked="f">
                        <v:path arrowok="t" o:connecttype="custom" o:connectlocs="9525,19050;7938,11113;0,11113;6350,6350;4763,0;9525,4763;15875,0;12700,6350;20638,11113;12700,11113;9525,19050;9525,19050;9525,19050" o:connectangles="0,0,0,0,0,0,0,0,0,0,0,0,0"/>
                        <o:lock v:ext="edit" verticies="t"/>
                      </v:shape>
                      <v:shape id="Freeform 3214" o:spid="_x0000_s1038" style="position:absolute;left:290513;top:1460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" path="m11,11l7,8,3,12,4,8,,5,4,4,5,,8,4,13,3,9,7r2,4xm11,11r,xe" filled="f" stroked="f">
                        <v:path arrowok="t" o:connecttype="custom" o:connectlocs="17463,17463;11113,12700;4763,19050;6350,12700;0,7938;6350,6350;7938,0;12700,6350;20638,4763;14288,11113;17463,17463;17463,17463;17463,17463" o:connectangles="0,0,0,0,0,0,0,0,0,0,0,0,0"/>
                        <o:lock v:ext="edit" verticies="t"/>
                      </v:shape>
                      <v:shape id="Freeform 3215" o:spid="_x0000_s1039" style="position:absolute;left:290513;top:1460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" path="m11,11l7,8,3,12,4,8,,5,4,4,5,,8,4,13,3,9,7r2,4m11,11r,e" filled="f" stroked="f">
                        <v:path arrowok="t" o:connecttype="custom" o:connectlocs="17463,17463;11113,12700;4763,19050;6350,12700;0,7938;6350,6350;7938,0;12700,6350;20638,4763;14288,11113;17463,17463;17463,17463;17463,17463" o:connectangles="0,0,0,0,0,0,0,0,0,0,0,0,0"/>
                        <o:lock v:ext="edit" verticies="t"/>
                      </v:shape>
                      <v:shape id="Freeform 3216" o:spid="_x0000_s1040" style="position:absolute;left:307975;top:107950;width:19050;height:1905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" path="m12,6l7,7r,5l4,8,,10,2,6,,2,4,3,7,r,4l12,6xm12,6r,xe" filled="f" stroked="f">
                        <v:path arrowok="t" o:connecttype="custom" o:connectlocs="19050,9525;11113,11113;11113,19050;6350,12700;0,15875;3175,9525;0,3175;6350,4763;11113,0;11113,6350;19050,9525;19050,9525;19050,9525" o:connectangles="0,0,0,0,0,0,0,0,0,0,0,0,0"/>
                        <o:lock v:ext="edit" verticies="t"/>
                      </v:shape>
                      <v:shape id="Freeform 3217" o:spid="_x0000_s1041" style="position:absolute;left:307975;top:107950;width:19050;height:1905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" path="m12,6l7,7r,5l4,8,,10,2,6,,2,4,3,7,r,4l12,6t,l12,6e" filled="f" stroked="f">
                        <v:path arrowok="t" o:connecttype="custom" o:connectlocs="19050,9525;11113,11113;11113,19050;6350,12700;0,15875;3175,9525;0,3175;6350,4763;11113,0;11113,6350;19050,9525;19050,9525;19050,9525" o:connectangles="0,0,0,0,0,0,0,0,0,0,0,0,0"/>
                        <o:lock v:ext="edit" verticies="t"/>
                      </v:shape>
                      <v:shape id="Freeform 3218" o:spid="_x0000_s1042" style="position:absolute;left:290513;top:698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" path="m11,l9,5r4,3l8,7,5,12,5,7,,6,4,4,3,,7,3,11,xm11,r,xe" filled="f" stroked="f">
                        <v:path arrowok="t" o:connecttype="custom" o:connectlocs="17463,0;14288,7938;20638,12700;12700,11113;7938,19050;7938,11113;0,9525;6350,6350;4763,0;11113,4763;17463,0;17463,0;17463,0" o:connectangles="0,0,0,0,0,0,0,0,0,0,0,0,0"/>
                        <o:lock v:ext="edit" verticies="t"/>
                      </v:shape>
                      <v:shape id="Freeform 3219" o:spid="_x0000_s1043" style="position:absolute;left:290513;top:698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" path="m11,l9,5r4,3l8,7,5,12,5,7,,6,4,4,3,,7,3,11,t,l11,e" filled="f" stroked="f">
                        <v:path arrowok="t" o:connecttype="custom" o:connectlocs="17463,0;14288,7938;20638,12700;12700,11113;7938,19050;7938,11113;0,9525;6350,6350;4763,0;11113,4763;17463,0;17463,0;17463,0" o:connectangles="0,0,0,0,0,0,0,0,0,0,0,0,0"/>
                        <o:lock v:ext="edit" verticies="t"/>
                      </v:shape>
                      <v:shape id="Freeform 3220" o:spid="_x0000_s1044" style="position:absolute;width:192088;height:223838;visibility:visible;mso-wrap-style:square;v-text-anchor:top" coordsize="14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" path="m98,156c92,145,88,131,94,125v4,-3,7,-4,10,-4c111,119,116,118,120,107v-2,-5,-3,-11,-3,-16c117,91,117,91,117,91v-4,21,-8,22,-14,23c99,114,94,115,89,120v-10,10,-3,27,1,37c88,157,85,157,82,157v-14,,-27,-4,-39,-11c51,140,54,130,57,121v2,-8,4,-16,9,-20c70,97,72,94,71,90v,-5,-4,-8,-7,-10c62,78,60,77,59,75,56,71,58,62,60,55v1,-2,1,-4,2,-5c63,44,59,38,49,31,45,27,40,24,37,22,43,17,51,13,59,11v2,7,8,21,21,29c86,43,89,47,89,53v-1,5,-3,8,-3,8c86,62,86,62,86,62v,1,,1,,1c86,64,86,70,91,74v2,1,4,2,7,2c101,76,104,75,108,73v7,-3,12,-13,15,-29c125,36,126,27,126,21v4,3,8,7,12,10c139,30,141,28,143,26,137,21,131,16,125,11,113,4,100,,86,,79,,79,,79,,72,,66,1,60,3,57,4,57,4,57,4v,,,,,c47,7,37,13,28,20,10,36,,58,,82v,26,13,51,34,67c48,159,65,164,82,164v5,,10,,14,-1c113,160,128,152,140,141v-2,-2,-4,-4,-5,-5c125,146,112,153,98,156xm82,7v13,,26,3,37,10c118,39,114,63,105,67v-5,2,-8,2,-10,1c94,67,93,65,93,64v2,-5,8,-21,-9,-30c73,27,68,15,65,9,71,8,77,7,82,7xm37,142c18,128,7,105,7,82,7,61,16,41,31,27v3,2,9,5,14,9c53,43,55,47,55,48v,1,-1,3,-1,5c51,62,48,72,53,79v2,3,4,5,7,6c62,87,64,89,64,90v,1,,3,-3,6c55,102,53,110,50,119v-3,10,-6,19,-13,23xe" filled="f" stroked="f">
                        <v:path arrowok="t" o:connecttype="custom" o:connectlocs="126268,170608;161193,146041;157163,124203;119551,163784;110148,214284;76567,165149;95372,122838;79253,102365;83283,68243;49701,30027;107462,54595;115521,83257;115521,85987;131641,103730;165223,60054;185372,42311;167909,15014;106119,0;76567,5459;37612,27297;45671,203365;128954,222473;181342,185622;110148,9554;141044,91446;124924,87351;87313,12284;49701,193811;41641,36851;73880,65514;71193,107824;85969,122838;67164,162419" o:connectangles="0,0,0,0,0,0,0,0,0,0,0,0,0,0,0,0,0,0,0,0,0,0,0,0,0,0,0,0,0,0,0,0,0"/>
                        <o:lock v:ext="edit" verticies="t"/>
                      </v:shape>
                    </v:group>
                  </w:pict>
                </mc:Fallback>
              </mc:AlternateContent>
            </w:r>
          </w:p>
        </w:tc>
        <w:tc>
          <w:tcPr>
            <w:tcW w:w="1699" w:type="dxa"/>
            <w:tcBorders>
              <w:top w:val="single" w:sz="6" w:space="0" w:color="FFFFFF" w:themeColor="background1"/>
              <w:bottom w:val="single" w:sz="6" w:space="0" w:color="FFFFFF" w:themeColor="background1"/>
            </w:tcBorders>
            <w:shd w:val="clear" w:color="auto" w:fill="70AD47" w:themeFill="accent6"/>
          </w:tcPr>
          <w:p>
            <w:pPr>
              <w:suppressAutoHyphens/>
              <w:rPr>
                <w:noProof/>
                <w:color w:val="F26A47"/>
              </w:rPr>
            </w:pPr>
            <w:r>
              <w:rPr>
                <w:noProof/>
                <w:color w:val="F26A47"/>
                <w:lang w:eastAsia="en-GB"/>
              </w:rPr>
              <mc:AlternateContent>
                <mc:Choice Requires="wpg">
                  <w:drawing>
                    <wp:anchor distT="0" distB="0" distL="114300" distR="114300" simplePos="0" relativeHeight="251650048" behindDoc="0" locked="0" layoutInCell="1" allowOverlap="1">
                      <wp:simplePos x="0" y="0"/>
                      <wp:positionH relativeFrom="column">
                        <wp:posOffset>522685</wp:posOffset>
                      </wp:positionH>
                      <wp:positionV relativeFrom="paragraph">
                        <wp:posOffset>31779</wp:posOffset>
                      </wp:positionV>
                      <wp:extent cx="249425" cy="263092"/>
                      <wp:effectExtent l="0" t="0" r="0" b="3810"/>
                      <wp:wrapNone/>
                      <wp:docPr id="3224" name="Group 67"/>
                      <wp:cNvGraphicFramePr/>
                      <a:graphic xmlns:a="http://schemas.openxmlformats.org/drawingml/2006/main">
                        <a:graphicData uri="http://schemas.microsoft.com/office/word/2010/wordprocessingGroup">
                          <wpg:wgp>
                            <wpg:cNvGrpSpPr/>
                            <wpg:grpSpPr>
                              <a:xfrm>
                                <a:off x="0" y="0"/>
                                <a:ext cx="249425" cy="263092"/>
                                <a:chOff x="0" y="0"/>
                                <a:chExt cx="236538" cy="249237"/>
                              </a:xfrm>
                              <a:solidFill>
                                <a:sysClr val="window" lastClr="FFFFFF"/>
                              </a:solidFill>
                            </wpg:grpSpPr>
                            <wps:wsp>
                              <wps:cNvPr id="3225" name="Freeform 3225"/>
                              <wps:cNvSpPr>
                                <a:spLocks noEditPoints="1"/>
                              </wps:cNvSpPr>
                              <wps:spPr bwMode="auto">
                                <a:xfrm>
                                  <a:off x="0" y="76200"/>
                                  <a:ext cx="96838" cy="173037"/>
                                </a:xfrm>
                                <a:custGeom>
                                  <a:avLst/>
                                  <a:gdLst>
                                    <a:gd name="T0" fmla="*/ 79 w 80"/>
                                    <a:gd name="T1" fmla="*/ 137 h 142"/>
                                    <a:gd name="T2" fmla="*/ 80 w 80"/>
                                    <a:gd name="T3" fmla="*/ 136 h 142"/>
                                    <a:gd name="T4" fmla="*/ 80 w 80"/>
                                    <a:gd name="T5" fmla="*/ 136 h 142"/>
                                    <a:gd name="T6" fmla="*/ 80 w 80"/>
                                    <a:gd name="T7" fmla="*/ 135 h 142"/>
                                    <a:gd name="T8" fmla="*/ 80 w 80"/>
                                    <a:gd name="T9" fmla="*/ 135 h 142"/>
                                    <a:gd name="T10" fmla="*/ 80 w 80"/>
                                    <a:gd name="T11" fmla="*/ 134 h 142"/>
                                    <a:gd name="T12" fmla="*/ 75 w 80"/>
                                    <a:gd name="T13" fmla="*/ 95 h 142"/>
                                    <a:gd name="T14" fmla="*/ 39 w 80"/>
                                    <a:gd name="T15" fmla="*/ 57 h 142"/>
                                    <a:gd name="T16" fmla="*/ 28 w 80"/>
                                    <a:gd name="T17" fmla="*/ 58 h 142"/>
                                    <a:gd name="T18" fmla="*/ 27 w 80"/>
                                    <a:gd name="T19" fmla="*/ 68 h 142"/>
                                    <a:gd name="T20" fmla="*/ 41 w 80"/>
                                    <a:gd name="T21" fmla="*/ 88 h 142"/>
                                    <a:gd name="T22" fmla="*/ 46 w 80"/>
                                    <a:gd name="T23" fmla="*/ 84 h 142"/>
                                    <a:gd name="T24" fmla="*/ 31 w 80"/>
                                    <a:gd name="T25" fmla="*/ 65 h 142"/>
                                    <a:gd name="T26" fmla="*/ 35 w 80"/>
                                    <a:gd name="T27" fmla="*/ 61 h 142"/>
                                    <a:gd name="T28" fmla="*/ 58 w 80"/>
                                    <a:gd name="T29" fmla="*/ 78 h 142"/>
                                    <a:gd name="T30" fmla="*/ 72 w 80"/>
                                    <a:gd name="T31" fmla="*/ 114 h 142"/>
                                    <a:gd name="T32" fmla="*/ 44 w 80"/>
                                    <a:gd name="T33" fmla="*/ 105 h 142"/>
                                    <a:gd name="T34" fmla="*/ 11 w 80"/>
                                    <a:gd name="T35" fmla="*/ 71 h 142"/>
                                    <a:gd name="T36" fmla="*/ 8 w 80"/>
                                    <a:gd name="T37" fmla="*/ 6 h 142"/>
                                    <a:gd name="T38" fmla="*/ 25 w 80"/>
                                    <a:gd name="T39" fmla="*/ 64 h 142"/>
                                    <a:gd name="T40" fmla="*/ 31 w 80"/>
                                    <a:gd name="T41" fmla="*/ 62 h 142"/>
                                    <a:gd name="T42" fmla="*/ 16 w 80"/>
                                    <a:gd name="T43" fmla="*/ 6 h 142"/>
                                    <a:gd name="T44" fmla="*/ 0 w 80"/>
                                    <a:gd name="T45" fmla="*/ 9 h 142"/>
                                    <a:gd name="T46" fmla="*/ 13 w 80"/>
                                    <a:gd name="T47" fmla="*/ 86 h 142"/>
                                    <a:gd name="T48" fmla="*/ 45 w 80"/>
                                    <a:gd name="T49" fmla="*/ 118 h 142"/>
                                    <a:gd name="T50" fmla="*/ 45 w 80"/>
                                    <a:gd name="T51" fmla="*/ 139 h 142"/>
                                    <a:gd name="T52" fmla="*/ 45 w 80"/>
                                    <a:gd name="T53" fmla="*/ 139 h 142"/>
                                    <a:gd name="T54" fmla="*/ 45 w 80"/>
                                    <a:gd name="T55" fmla="*/ 140 h 142"/>
                                    <a:gd name="T56" fmla="*/ 46 w 80"/>
                                    <a:gd name="T57" fmla="*/ 140 h 142"/>
                                    <a:gd name="T58" fmla="*/ 46 w 80"/>
                                    <a:gd name="T59" fmla="*/ 140 h 142"/>
                                    <a:gd name="T60" fmla="*/ 46 w 80"/>
                                    <a:gd name="T61" fmla="*/ 141 h 142"/>
                                    <a:gd name="T62" fmla="*/ 46 w 80"/>
                                    <a:gd name="T63" fmla="*/ 141 h 142"/>
                                    <a:gd name="T64" fmla="*/ 47 w 80"/>
                                    <a:gd name="T65" fmla="*/ 141 h 142"/>
                                    <a:gd name="T66" fmla="*/ 47 w 80"/>
                                    <a:gd name="T67" fmla="*/ 141 h 142"/>
                                    <a:gd name="T68" fmla="*/ 47 w 80"/>
                                    <a:gd name="T69" fmla="*/ 142 h 142"/>
                                    <a:gd name="T70" fmla="*/ 48 w 80"/>
                                    <a:gd name="T71" fmla="*/ 142 h 142"/>
                                    <a:gd name="T72" fmla="*/ 48 w 80"/>
                                    <a:gd name="T73" fmla="*/ 142 h 142"/>
                                    <a:gd name="T74" fmla="*/ 48 w 80"/>
                                    <a:gd name="T75" fmla="*/ 142 h 142"/>
                                    <a:gd name="T76" fmla="*/ 78 w 80"/>
                                    <a:gd name="T77" fmla="*/ 137 h 142"/>
                                    <a:gd name="T78" fmla="*/ 78 w 80"/>
                                    <a:gd name="T79" fmla="*/ 137 h 142"/>
                                    <a:gd name="T80" fmla="*/ 79 w 80"/>
                                    <a:gd name="T81" fmla="*/ 137 h 142"/>
                                    <a:gd name="T82" fmla="*/ 74 w 80"/>
                                    <a:gd name="T83" fmla="*/ 132 h 142"/>
                                    <a:gd name="T84" fmla="*/ 51 w 80"/>
                                    <a:gd name="T85" fmla="*/ 124 h 142"/>
                                    <a:gd name="T86" fmla="*/ 74 w 80"/>
                                    <a:gd name="T87" fmla="*/ 132 h 142"/>
                                    <a:gd name="T88" fmla="*/ 74 w 80"/>
                                    <a:gd name="T89" fmla="*/ 13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0" h="142">
                                      <a:moveTo>
                                        <a:pt x="79" y="137"/>
                                      </a:moveTo>
                                      <a:cubicBezTo>
                                        <a:pt x="79" y="137"/>
                                        <a:pt x="79" y="137"/>
                                        <a:pt x="79" y="137"/>
                                      </a:cubicBezTo>
                                      <a:cubicBezTo>
                                        <a:pt x="79" y="137"/>
                                        <a:pt x="80" y="137"/>
                                        <a:pt x="80" y="137"/>
                                      </a:cubicBezTo>
                                      <a:cubicBezTo>
                                        <a:pt x="80" y="136"/>
                                        <a:pt x="80" y="136"/>
                                        <a:pt x="80" y="136"/>
                                      </a:cubicBezTo>
                                      <a:cubicBezTo>
                                        <a:pt x="80" y="136"/>
                                        <a:pt x="80" y="136"/>
                                        <a:pt x="80" y="136"/>
                                      </a:cubicBezTo>
                                      <a:cubicBezTo>
                                        <a:pt x="80" y="136"/>
                                        <a:pt x="80" y="136"/>
                                        <a:pt x="80" y="136"/>
                                      </a:cubicBezTo>
                                      <a:cubicBezTo>
                                        <a:pt x="80" y="136"/>
                                        <a:pt x="80" y="136"/>
                                        <a:pt x="80" y="136"/>
                                      </a:cubicBezTo>
                                      <a:cubicBezTo>
                                        <a:pt x="80" y="136"/>
                                        <a:pt x="80" y="135"/>
                                        <a:pt x="80" y="135"/>
                                      </a:cubicBezTo>
                                      <a:cubicBezTo>
                                        <a:pt x="80" y="135"/>
                                        <a:pt x="80" y="135"/>
                                        <a:pt x="80" y="135"/>
                                      </a:cubicBezTo>
                                      <a:cubicBezTo>
                                        <a:pt x="80" y="135"/>
                                        <a:pt x="80" y="135"/>
                                        <a:pt x="80" y="135"/>
                                      </a:cubicBezTo>
                                      <a:cubicBezTo>
                                        <a:pt x="80" y="135"/>
                                        <a:pt x="80" y="135"/>
                                        <a:pt x="80" y="135"/>
                                      </a:cubicBezTo>
                                      <a:cubicBezTo>
                                        <a:pt x="80" y="134"/>
                                        <a:pt x="80" y="134"/>
                                        <a:pt x="80" y="134"/>
                                      </a:cubicBezTo>
                                      <a:cubicBezTo>
                                        <a:pt x="76" y="96"/>
                                        <a:pt x="76" y="96"/>
                                        <a:pt x="76" y="96"/>
                                      </a:cubicBezTo>
                                      <a:cubicBezTo>
                                        <a:pt x="76" y="96"/>
                                        <a:pt x="76" y="96"/>
                                        <a:pt x="75" y="95"/>
                                      </a:cubicBezTo>
                                      <a:cubicBezTo>
                                        <a:pt x="75" y="95"/>
                                        <a:pt x="72" y="80"/>
                                        <a:pt x="61" y="73"/>
                                      </a:cubicBezTo>
                                      <a:cubicBezTo>
                                        <a:pt x="39" y="57"/>
                                        <a:pt x="39" y="57"/>
                                        <a:pt x="39" y="57"/>
                                      </a:cubicBezTo>
                                      <a:cubicBezTo>
                                        <a:pt x="39" y="57"/>
                                        <a:pt x="39" y="57"/>
                                        <a:pt x="39" y="57"/>
                                      </a:cubicBezTo>
                                      <a:cubicBezTo>
                                        <a:pt x="35" y="54"/>
                                        <a:pt x="31" y="55"/>
                                        <a:pt x="28" y="58"/>
                                      </a:cubicBezTo>
                                      <a:cubicBezTo>
                                        <a:pt x="25" y="61"/>
                                        <a:pt x="24" y="65"/>
                                        <a:pt x="27" y="68"/>
                                      </a:cubicBezTo>
                                      <a:cubicBezTo>
                                        <a:pt x="27" y="68"/>
                                        <a:pt x="27" y="68"/>
                                        <a:pt x="27" y="68"/>
                                      </a:cubicBezTo>
                                      <a:cubicBezTo>
                                        <a:pt x="27" y="69"/>
                                        <a:pt x="27" y="70"/>
                                        <a:pt x="34" y="79"/>
                                      </a:cubicBezTo>
                                      <a:cubicBezTo>
                                        <a:pt x="38" y="83"/>
                                        <a:pt x="41" y="87"/>
                                        <a:pt x="41" y="88"/>
                                      </a:cubicBezTo>
                                      <a:cubicBezTo>
                                        <a:pt x="42" y="89"/>
                                        <a:pt x="44" y="89"/>
                                        <a:pt x="45" y="88"/>
                                      </a:cubicBezTo>
                                      <a:cubicBezTo>
                                        <a:pt x="46" y="88"/>
                                        <a:pt x="47" y="86"/>
                                        <a:pt x="46" y="84"/>
                                      </a:cubicBezTo>
                                      <a:cubicBezTo>
                                        <a:pt x="46" y="84"/>
                                        <a:pt x="46" y="84"/>
                                        <a:pt x="39" y="76"/>
                                      </a:cubicBezTo>
                                      <a:cubicBezTo>
                                        <a:pt x="36" y="71"/>
                                        <a:pt x="32" y="66"/>
                                        <a:pt x="31" y="65"/>
                                      </a:cubicBezTo>
                                      <a:cubicBezTo>
                                        <a:pt x="30" y="64"/>
                                        <a:pt x="32" y="62"/>
                                        <a:pt x="32" y="62"/>
                                      </a:cubicBezTo>
                                      <a:cubicBezTo>
                                        <a:pt x="33" y="61"/>
                                        <a:pt x="34" y="61"/>
                                        <a:pt x="35" y="61"/>
                                      </a:cubicBezTo>
                                      <a:cubicBezTo>
                                        <a:pt x="57" y="78"/>
                                        <a:pt x="57" y="78"/>
                                        <a:pt x="57" y="78"/>
                                      </a:cubicBezTo>
                                      <a:cubicBezTo>
                                        <a:pt x="58" y="78"/>
                                        <a:pt x="58" y="78"/>
                                        <a:pt x="58" y="78"/>
                                      </a:cubicBezTo>
                                      <a:cubicBezTo>
                                        <a:pt x="66" y="83"/>
                                        <a:pt x="70" y="95"/>
                                        <a:pt x="70" y="97"/>
                                      </a:cubicBezTo>
                                      <a:cubicBezTo>
                                        <a:pt x="72" y="114"/>
                                        <a:pt x="72" y="114"/>
                                        <a:pt x="72" y="114"/>
                                      </a:cubicBezTo>
                                      <a:cubicBezTo>
                                        <a:pt x="51" y="118"/>
                                        <a:pt x="51" y="118"/>
                                        <a:pt x="51" y="118"/>
                                      </a:cubicBezTo>
                                      <a:cubicBezTo>
                                        <a:pt x="50" y="113"/>
                                        <a:pt x="48" y="108"/>
                                        <a:pt x="44" y="105"/>
                                      </a:cubicBezTo>
                                      <a:cubicBezTo>
                                        <a:pt x="17" y="82"/>
                                        <a:pt x="17" y="82"/>
                                        <a:pt x="17" y="82"/>
                                      </a:cubicBezTo>
                                      <a:cubicBezTo>
                                        <a:pt x="13" y="79"/>
                                        <a:pt x="11" y="75"/>
                                        <a:pt x="11" y="71"/>
                                      </a:cubicBezTo>
                                      <a:cubicBezTo>
                                        <a:pt x="6" y="9"/>
                                        <a:pt x="6" y="9"/>
                                        <a:pt x="6" y="9"/>
                                      </a:cubicBezTo>
                                      <a:cubicBezTo>
                                        <a:pt x="5" y="7"/>
                                        <a:pt x="7" y="6"/>
                                        <a:pt x="8" y="6"/>
                                      </a:cubicBezTo>
                                      <a:cubicBezTo>
                                        <a:pt x="8" y="6"/>
                                        <a:pt x="10" y="6"/>
                                        <a:pt x="11" y="8"/>
                                      </a:cubicBezTo>
                                      <a:cubicBezTo>
                                        <a:pt x="25" y="64"/>
                                        <a:pt x="25" y="64"/>
                                        <a:pt x="25" y="64"/>
                                      </a:cubicBezTo>
                                      <a:cubicBezTo>
                                        <a:pt x="25" y="65"/>
                                        <a:pt x="27" y="66"/>
                                        <a:pt x="29" y="66"/>
                                      </a:cubicBezTo>
                                      <a:cubicBezTo>
                                        <a:pt x="30" y="66"/>
                                        <a:pt x="31" y="64"/>
                                        <a:pt x="31" y="62"/>
                                      </a:cubicBezTo>
                                      <a:cubicBezTo>
                                        <a:pt x="16" y="6"/>
                                        <a:pt x="16" y="6"/>
                                        <a:pt x="16" y="6"/>
                                      </a:cubicBezTo>
                                      <a:cubicBezTo>
                                        <a:pt x="16" y="6"/>
                                        <a:pt x="16" y="6"/>
                                        <a:pt x="16" y="6"/>
                                      </a:cubicBezTo>
                                      <a:cubicBezTo>
                                        <a:pt x="15" y="2"/>
                                        <a:pt x="11" y="0"/>
                                        <a:pt x="7" y="1"/>
                                      </a:cubicBezTo>
                                      <a:cubicBezTo>
                                        <a:pt x="2" y="1"/>
                                        <a:pt x="0" y="5"/>
                                        <a:pt x="0" y="9"/>
                                      </a:cubicBezTo>
                                      <a:cubicBezTo>
                                        <a:pt x="5" y="71"/>
                                        <a:pt x="5" y="71"/>
                                        <a:pt x="5" y="71"/>
                                      </a:cubicBezTo>
                                      <a:cubicBezTo>
                                        <a:pt x="6" y="77"/>
                                        <a:pt x="8" y="82"/>
                                        <a:pt x="13" y="86"/>
                                      </a:cubicBezTo>
                                      <a:cubicBezTo>
                                        <a:pt x="41" y="109"/>
                                        <a:pt x="41" y="109"/>
                                        <a:pt x="41" y="109"/>
                                      </a:cubicBezTo>
                                      <a:cubicBezTo>
                                        <a:pt x="43" y="112"/>
                                        <a:pt x="45" y="115"/>
                                        <a:pt x="45" y="118"/>
                                      </a:cubicBezTo>
                                      <a:cubicBezTo>
                                        <a:pt x="45" y="139"/>
                                        <a:pt x="45" y="139"/>
                                        <a:pt x="45" y="139"/>
                                      </a:cubicBezTo>
                                      <a:cubicBezTo>
                                        <a:pt x="45" y="139"/>
                                        <a:pt x="45" y="139"/>
                                        <a:pt x="45" y="139"/>
                                      </a:cubicBezTo>
                                      <a:cubicBezTo>
                                        <a:pt x="45" y="139"/>
                                        <a:pt x="45" y="139"/>
                                        <a:pt x="45" y="139"/>
                                      </a:cubicBezTo>
                                      <a:cubicBezTo>
                                        <a:pt x="45" y="139"/>
                                        <a:pt x="45" y="139"/>
                                        <a:pt x="45" y="139"/>
                                      </a:cubicBezTo>
                                      <a:cubicBezTo>
                                        <a:pt x="45" y="139"/>
                                        <a:pt x="45" y="139"/>
                                        <a:pt x="45" y="139"/>
                                      </a:cubicBezTo>
                                      <a:cubicBezTo>
                                        <a:pt x="45" y="140"/>
                                        <a:pt x="45" y="140"/>
                                        <a:pt x="45" y="140"/>
                                      </a:cubicBezTo>
                                      <a:cubicBezTo>
                                        <a:pt x="45" y="140"/>
                                        <a:pt x="45" y="140"/>
                                        <a:pt x="45" y="140"/>
                                      </a:cubicBezTo>
                                      <a:cubicBezTo>
                                        <a:pt x="45" y="140"/>
                                        <a:pt x="46" y="140"/>
                                        <a:pt x="46" y="140"/>
                                      </a:cubicBezTo>
                                      <a:cubicBezTo>
                                        <a:pt x="46" y="140"/>
                                        <a:pt x="46" y="140"/>
                                        <a:pt x="46" y="140"/>
                                      </a:cubicBezTo>
                                      <a:cubicBezTo>
                                        <a:pt x="46" y="140"/>
                                        <a:pt x="46" y="140"/>
                                        <a:pt x="46" y="140"/>
                                      </a:cubicBezTo>
                                      <a:cubicBezTo>
                                        <a:pt x="46" y="141"/>
                                        <a:pt x="46" y="141"/>
                                        <a:pt x="46" y="141"/>
                                      </a:cubicBezTo>
                                      <a:cubicBezTo>
                                        <a:pt x="46" y="141"/>
                                        <a:pt x="46" y="141"/>
                                        <a:pt x="46" y="141"/>
                                      </a:cubicBezTo>
                                      <a:cubicBezTo>
                                        <a:pt x="46" y="141"/>
                                        <a:pt x="46" y="141"/>
                                        <a:pt x="46" y="141"/>
                                      </a:cubicBezTo>
                                      <a:cubicBezTo>
                                        <a:pt x="46" y="141"/>
                                        <a:pt x="46" y="141"/>
                                        <a:pt x="46" y="141"/>
                                      </a:cubicBezTo>
                                      <a:cubicBezTo>
                                        <a:pt x="46" y="141"/>
                                        <a:pt x="46" y="141"/>
                                        <a:pt x="47" y="141"/>
                                      </a:cubicBezTo>
                                      <a:cubicBezTo>
                                        <a:pt x="47" y="141"/>
                                        <a:pt x="47" y="141"/>
                                        <a:pt x="47" y="141"/>
                                      </a:cubicBezTo>
                                      <a:cubicBezTo>
                                        <a:pt x="47" y="141"/>
                                        <a:pt x="47" y="141"/>
                                        <a:pt x="47" y="141"/>
                                      </a:cubicBezTo>
                                      <a:cubicBezTo>
                                        <a:pt x="47" y="141"/>
                                        <a:pt x="47" y="141"/>
                                        <a:pt x="47" y="141"/>
                                      </a:cubicBezTo>
                                      <a:cubicBezTo>
                                        <a:pt x="47" y="142"/>
                                        <a:pt x="47" y="142"/>
                                        <a:pt x="47" y="142"/>
                                      </a:cubicBezTo>
                                      <a:cubicBezTo>
                                        <a:pt x="47" y="142"/>
                                        <a:pt x="47" y="142"/>
                                        <a:pt x="47" y="142"/>
                                      </a:cubicBezTo>
                                      <a:cubicBezTo>
                                        <a:pt x="48" y="142"/>
                                        <a:pt x="48" y="142"/>
                                        <a:pt x="48" y="142"/>
                                      </a:cubicBezTo>
                                      <a:cubicBezTo>
                                        <a:pt x="48" y="142"/>
                                        <a:pt x="48" y="142"/>
                                        <a:pt x="48" y="142"/>
                                      </a:cubicBezTo>
                                      <a:cubicBezTo>
                                        <a:pt x="48" y="142"/>
                                        <a:pt x="48" y="142"/>
                                        <a:pt x="48" y="142"/>
                                      </a:cubicBezTo>
                                      <a:cubicBezTo>
                                        <a:pt x="48" y="142"/>
                                        <a:pt x="48" y="142"/>
                                        <a:pt x="48" y="142"/>
                                      </a:cubicBezTo>
                                      <a:cubicBezTo>
                                        <a:pt x="48" y="142"/>
                                        <a:pt x="48" y="142"/>
                                        <a:pt x="48" y="142"/>
                                      </a:cubicBezTo>
                                      <a:cubicBezTo>
                                        <a:pt x="48" y="142"/>
                                        <a:pt x="48" y="142"/>
                                        <a:pt x="48" y="142"/>
                                      </a:cubicBezTo>
                                      <a:cubicBezTo>
                                        <a:pt x="48" y="142"/>
                                        <a:pt x="48" y="142"/>
                                        <a:pt x="49" y="142"/>
                                      </a:cubicBezTo>
                                      <a:cubicBezTo>
                                        <a:pt x="78" y="137"/>
                                        <a:pt x="78" y="137"/>
                                        <a:pt x="78" y="137"/>
                                      </a:cubicBezTo>
                                      <a:cubicBezTo>
                                        <a:pt x="78" y="137"/>
                                        <a:pt x="78" y="137"/>
                                        <a:pt x="78" y="137"/>
                                      </a:cubicBezTo>
                                      <a:cubicBezTo>
                                        <a:pt x="78" y="137"/>
                                        <a:pt x="78" y="137"/>
                                        <a:pt x="78" y="137"/>
                                      </a:cubicBezTo>
                                      <a:cubicBezTo>
                                        <a:pt x="79" y="137"/>
                                        <a:pt x="79" y="137"/>
                                        <a:pt x="79" y="137"/>
                                      </a:cubicBezTo>
                                      <a:cubicBezTo>
                                        <a:pt x="79" y="137"/>
                                        <a:pt x="79" y="137"/>
                                        <a:pt x="79" y="137"/>
                                      </a:cubicBezTo>
                                      <a:cubicBezTo>
                                        <a:pt x="79" y="137"/>
                                        <a:pt x="79" y="137"/>
                                        <a:pt x="79" y="137"/>
                                      </a:cubicBezTo>
                                      <a:close/>
                                      <a:moveTo>
                                        <a:pt x="74" y="132"/>
                                      </a:moveTo>
                                      <a:cubicBezTo>
                                        <a:pt x="51" y="136"/>
                                        <a:pt x="51" y="136"/>
                                        <a:pt x="51" y="136"/>
                                      </a:cubicBezTo>
                                      <a:cubicBezTo>
                                        <a:pt x="51" y="124"/>
                                        <a:pt x="51" y="124"/>
                                        <a:pt x="51" y="124"/>
                                      </a:cubicBezTo>
                                      <a:cubicBezTo>
                                        <a:pt x="73" y="120"/>
                                        <a:pt x="73" y="120"/>
                                        <a:pt x="73" y="120"/>
                                      </a:cubicBezTo>
                                      <a:lnTo>
                                        <a:pt x="74" y="132"/>
                                      </a:lnTo>
                                      <a:close/>
                                      <a:moveTo>
                                        <a:pt x="74" y="132"/>
                                      </a:moveTo>
                                      <a:cubicBezTo>
                                        <a:pt x="74" y="132"/>
                                        <a:pt x="74" y="132"/>
                                        <a:pt x="74" y="13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6" name="Freeform 3226"/>
                              <wps:cNvSpPr>
                                <a:spLocks noEditPoints="1"/>
                              </wps:cNvSpPr>
                              <wps:spPr bwMode="auto">
                                <a:xfrm>
                                  <a:off x="141288" y="76200"/>
                                  <a:ext cx="95250" cy="173037"/>
                                </a:xfrm>
                                <a:custGeom>
                                  <a:avLst/>
                                  <a:gdLst>
                                    <a:gd name="T0" fmla="*/ 1 w 80"/>
                                    <a:gd name="T1" fmla="*/ 137 h 142"/>
                                    <a:gd name="T2" fmla="*/ 2 w 80"/>
                                    <a:gd name="T3" fmla="*/ 137 h 142"/>
                                    <a:gd name="T4" fmla="*/ 2 w 80"/>
                                    <a:gd name="T5" fmla="*/ 137 h 142"/>
                                    <a:gd name="T6" fmla="*/ 32 w 80"/>
                                    <a:gd name="T7" fmla="*/ 142 h 142"/>
                                    <a:gd name="T8" fmla="*/ 32 w 80"/>
                                    <a:gd name="T9" fmla="*/ 142 h 142"/>
                                    <a:gd name="T10" fmla="*/ 32 w 80"/>
                                    <a:gd name="T11" fmla="*/ 142 h 142"/>
                                    <a:gd name="T12" fmla="*/ 33 w 80"/>
                                    <a:gd name="T13" fmla="*/ 142 h 142"/>
                                    <a:gd name="T14" fmla="*/ 33 w 80"/>
                                    <a:gd name="T15" fmla="*/ 141 h 142"/>
                                    <a:gd name="T16" fmla="*/ 33 w 80"/>
                                    <a:gd name="T17" fmla="*/ 141 h 142"/>
                                    <a:gd name="T18" fmla="*/ 34 w 80"/>
                                    <a:gd name="T19" fmla="*/ 141 h 142"/>
                                    <a:gd name="T20" fmla="*/ 34 w 80"/>
                                    <a:gd name="T21" fmla="*/ 141 h 142"/>
                                    <a:gd name="T22" fmla="*/ 34 w 80"/>
                                    <a:gd name="T23" fmla="*/ 140 h 142"/>
                                    <a:gd name="T24" fmla="*/ 34 w 80"/>
                                    <a:gd name="T25" fmla="*/ 140 h 142"/>
                                    <a:gd name="T26" fmla="*/ 35 w 80"/>
                                    <a:gd name="T27" fmla="*/ 140 h 142"/>
                                    <a:gd name="T28" fmla="*/ 35 w 80"/>
                                    <a:gd name="T29" fmla="*/ 139 h 142"/>
                                    <a:gd name="T30" fmla="*/ 35 w 80"/>
                                    <a:gd name="T31" fmla="*/ 139 h 142"/>
                                    <a:gd name="T32" fmla="*/ 35 w 80"/>
                                    <a:gd name="T33" fmla="*/ 118 h 142"/>
                                    <a:gd name="T34" fmla="*/ 67 w 80"/>
                                    <a:gd name="T35" fmla="*/ 86 h 142"/>
                                    <a:gd name="T36" fmla="*/ 80 w 80"/>
                                    <a:gd name="T37" fmla="*/ 9 h 142"/>
                                    <a:gd name="T38" fmla="*/ 64 w 80"/>
                                    <a:gd name="T39" fmla="*/ 6 h 142"/>
                                    <a:gd name="T40" fmla="*/ 49 w 80"/>
                                    <a:gd name="T41" fmla="*/ 62 h 142"/>
                                    <a:gd name="T42" fmla="*/ 55 w 80"/>
                                    <a:gd name="T43" fmla="*/ 64 h 142"/>
                                    <a:gd name="T44" fmla="*/ 72 w 80"/>
                                    <a:gd name="T45" fmla="*/ 6 h 142"/>
                                    <a:gd name="T46" fmla="*/ 69 w 80"/>
                                    <a:gd name="T47" fmla="*/ 71 h 142"/>
                                    <a:gd name="T48" fmla="*/ 35 w 80"/>
                                    <a:gd name="T49" fmla="*/ 105 h 142"/>
                                    <a:gd name="T50" fmla="*/ 8 w 80"/>
                                    <a:gd name="T51" fmla="*/ 114 h 142"/>
                                    <a:gd name="T52" fmla="*/ 22 w 80"/>
                                    <a:gd name="T53" fmla="*/ 78 h 142"/>
                                    <a:gd name="T54" fmla="*/ 45 w 80"/>
                                    <a:gd name="T55" fmla="*/ 61 h 142"/>
                                    <a:gd name="T56" fmla="*/ 49 w 80"/>
                                    <a:gd name="T57" fmla="*/ 65 h 142"/>
                                    <a:gd name="T58" fmla="*/ 34 w 80"/>
                                    <a:gd name="T59" fmla="*/ 84 h 142"/>
                                    <a:gd name="T60" fmla="*/ 39 w 80"/>
                                    <a:gd name="T61" fmla="*/ 88 h 142"/>
                                    <a:gd name="T62" fmla="*/ 53 w 80"/>
                                    <a:gd name="T63" fmla="*/ 68 h 142"/>
                                    <a:gd name="T64" fmla="*/ 52 w 80"/>
                                    <a:gd name="T65" fmla="*/ 58 h 142"/>
                                    <a:gd name="T66" fmla="*/ 41 w 80"/>
                                    <a:gd name="T67" fmla="*/ 57 h 142"/>
                                    <a:gd name="T68" fmla="*/ 4 w 80"/>
                                    <a:gd name="T69" fmla="*/ 95 h 142"/>
                                    <a:gd name="T70" fmla="*/ 0 w 80"/>
                                    <a:gd name="T71" fmla="*/ 134 h 142"/>
                                    <a:gd name="T72" fmla="*/ 0 w 80"/>
                                    <a:gd name="T73" fmla="*/ 135 h 142"/>
                                    <a:gd name="T74" fmla="*/ 0 w 80"/>
                                    <a:gd name="T75" fmla="*/ 135 h 142"/>
                                    <a:gd name="T76" fmla="*/ 0 w 80"/>
                                    <a:gd name="T77" fmla="*/ 136 h 142"/>
                                    <a:gd name="T78" fmla="*/ 0 w 80"/>
                                    <a:gd name="T79" fmla="*/ 136 h 142"/>
                                    <a:gd name="T80" fmla="*/ 1 w 80"/>
                                    <a:gd name="T81" fmla="*/ 137 h 142"/>
                                    <a:gd name="T82" fmla="*/ 7 w 80"/>
                                    <a:gd name="T83" fmla="*/ 120 h 142"/>
                                    <a:gd name="T84" fmla="*/ 29 w 80"/>
                                    <a:gd name="T85" fmla="*/ 136 h 142"/>
                                    <a:gd name="T86" fmla="*/ 7 w 80"/>
                                    <a:gd name="T87" fmla="*/ 120 h 142"/>
                                    <a:gd name="T88" fmla="*/ 6 w 80"/>
                                    <a:gd name="T89" fmla="*/ 13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0" h="142">
                                      <a:moveTo>
                                        <a:pt x="1" y="137"/>
                                      </a:moveTo>
                                      <a:cubicBezTo>
                                        <a:pt x="1" y="137"/>
                                        <a:pt x="1" y="137"/>
                                        <a:pt x="1" y="137"/>
                                      </a:cubicBezTo>
                                      <a:cubicBezTo>
                                        <a:pt x="1" y="137"/>
                                        <a:pt x="1" y="137"/>
                                        <a:pt x="1" y="137"/>
                                      </a:cubicBezTo>
                                      <a:cubicBezTo>
                                        <a:pt x="1" y="137"/>
                                        <a:pt x="1" y="137"/>
                                        <a:pt x="2" y="137"/>
                                      </a:cubicBezTo>
                                      <a:cubicBezTo>
                                        <a:pt x="2" y="137"/>
                                        <a:pt x="2" y="137"/>
                                        <a:pt x="2" y="137"/>
                                      </a:cubicBezTo>
                                      <a:cubicBezTo>
                                        <a:pt x="2" y="137"/>
                                        <a:pt x="2" y="137"/>
                                        <a:pt x="2" y="137"/>
                                      </a:cubicBezTo>
                                      <a:cubicBezTo>
                                        <a:pt x="31" y="142"/>
                                        <a:pt x="31" y="142"/>
                                        <a:pt x="31" y="142"/>
                                      </a:cubicBezTo>
                                      <a:cubicBezTo>
                                        <a:pt x="31" y="142"/>
                                        <a:pt x="32" y="142"/>
                                        <a:pt x="32" y="142"/>
                                      </a:cubicBezTo>
                                      <a:cubicBezTo>
                                        <a:pt x="32" y="142"/>
                                        <a:pt x="32" y="142"/>
                                        <a:pt x="32" y="142"/>
                                      </a:cubicBezTo>
                                      <a:cubicBezTo>
                                        <a:pt x="32" y="142"/>
                                        <a:pt x="32" y="142"/>
                                        <a:pt x="32" y="142"/>
                                      </a:cubicBezTo>
                                      <a:cubicBezTo>
                                        <a:pt x="32" y="142"/>
                                        <a:pt x="32" y="142"/>
                                        <a:pt x="32" y="142"/>
                                      </a:cubicBezTo>
                                      <a:cubicBezTo>
                                        <a:pt x="32" y="142"/>
                                        <a:pt x="32" y="142"/>
                                        <a:pt x="32" y="142"/>
                                      </a:cubicBezTo>
                                      <a:cubicBezTo>
                                        <a:pt x="32" y="142"/>
                                        <a:pt x="32" y="142"/>
                                        <a:pt x="32" y="142"/>
                                      </a:cubicBezTo>
                                      <a:cubicBezTo>
                                        <a:pt x="33" y="142"/>
                                        <a:pt x="33" y="142"/>
                                        <a:pt x="33" y="142"/>
                                      </a:cubicBezTo>
                                      <a:cubicBezTo>
                                        <a:pt x="33" y="142"/>
                                        <a:pt x="33" y="142"/>
                                        <a:pt x="33" y="142"/>
                                      </a:cubicBezTo>
                                      <a:cubicBezTo>
                                        <a:pt x="33" y="142"/>
                                        <a:pt x="33" y="142"/>
                                        <a:pt x="33" y="141"/>
                                      </a:cubicBezTo>
                                      <a:cubicBezTo>
                                        <a:pt x="33" y="141"/>
                                        <a:pt x="33" y="141"/>
                                        <a:pt x="33" y="141"/>
                                      </a:cubicBezTo>
                                      <a:cubicBezTo>
                                        <a:pt x="33" y="141"/>
                                        <a:pt x="33" y="141"/>
                                        <a:pt x="33" y="141"/>
                                      </a:cubicBezTo>
                                      <a:cubicBezTo>
                                        <a:pt x="33" y="141"/>
                                        <a:pt x="33" y="141"/>
                                        <a:pt x="33" y="141"/>
                                      </a:cubicBezTo>
                                      <a:cubicBezTo>
                                        <a:pt x="33" y="141"/>
                                        <a:pt x="34" y="141"/>
                                        <a:pt x="34" y="141"/>
                                      </a:cubicBezTo>
                                      <a:cubicBezTo>
                                        <a:pt x="34" y="141"/>
                                        <a:pt x="34" y="141"/>
                                        <a:pt x="34" y="141"/>
                                      </a:cubicBezTo>
                                      <a:cubicBezTo>
                                        <a:pt x="34" y="141"/>
                                        <a:pt x="34" y="141"/>
                                        <a:pt x="34" y="141"/>
                                      </a:cubicBezTo>
                                      <a:cubicBezTo>
                                        <a:pt x="34" y="141"/>
                                        <a:pt x="34" y="141"/>
                                        <a:pt x="34" y="141"/>
                                      </a:cubicBezTo>
                                      <a:cubicBezTo>
                                        <a:pt x="34" y="141"/>
                                        <a:pt x="34" y="141"/>
                                        <a:pt x="34" y="140"/>
                                      </a:cubicBezTo>
                                      <a:cubicBezTo>
                                        <a:pt x="34" y="140"/>
                                        <a:pt x="34" y="140"/>
                                        <a:pt x="34" y="140"/>
                                      </a:cubicBezTo>
                                      <a:cubicBezTo>
                                        <a:pt x="34" y="140"/>
                                        <a:pt x="34" y="140"/>
                                        <a:pt x="34" y="140"/>
                                      </a:cubicBezTo>
                                      <a:cubicBezTo>
                                        <a:pt x="34" y="140"/>
                                        <a:pt x="34" y="140"/>
                                        <a:pt x="34" y="140"/>
                                      </a:cubicBezTo>
                                      <a:cubicBezTo>
                                        <a:pt x="35" y="140"/>
                                        <a:pt x="35" y="140"/>
                                        <a:pt x="35" y="140"/>
                                      </a:cubicBezTo>
                                      <a:cubicBezTo>
                                        <a:pt x="35" y="140"/>
                                        <a:pt x="35" y="140"/>
                                        <a:pt x="35" y="139"/>
                                      </a:cubicBezTo>
                                      <a:cubicBezTo>
                                        <a:pt x="35" y="139"/>
                                        <a:pt x="35" y="139"/>
                                        <a:pt x="35" y="139"/>
                                      </a:cubicBezTo>
                                      <a:cubicBezTo>
                                        <a:pt x="35" y="139"/>
                                        <a:pt x="35" y="139"/>
                                        <a:pt x="35" y="139"/>
                                      </a:cubicBezTo>
                                      <a:cubicBezTo>
                                        <a:pt x="35" y="139"/>
                                        <a:pt x="35" y="139"/>
                                        <a:pt x="35" y="139"/>
                                      </a:cubicBezTo>
                                      <a:cubicBezTo>
                                        <a:pt x="35" y="139"/>
                                        <a:pt x="35" y="139"/>
                                        <a:pt x="35" y="139"/>
                                      </a:cubicBezTo>
                                      <a:cubicBezTo>
                                        <a:pt x="35" y="118"/>
                                        <a:pt x="35" y="118"/>
                                        <a:pt x="35" y="118"/>
                                      </a:cubicBezTo>
                                      <a:cubicBezTo>
                                        <a:pt x="35" y="115"/>
                                        <a:pt x="37" y="112"/>
                                        <a:pt x="39" y="109"/>
                                      </a:cubicBezTo>
                                      <a:cubicBezTo>
                                        <a:pt x="67" y="86"/>
                                        <a:pt x="67" y="86"/>
                                        <a:pt x="67" y="86"/>
                                      </a:cubicBezTo>
                                      <a:cubicBezTo>
                                        <a:pt x="71" y="82"/>
                                        <a:pt x="74" y="77"/>
                                        <a:pt x="75" y="71"/>
                                      </a:cubicBezTo>
                                      <a:cubicBezTo>
                                        <a:pt x="80" y="9"/>
                                        <a:pt x="80" y="9"/>
                                        <a:pt x="80" y="9"/>
                                      </a:cubicBezTo>
                                      <a:cubicBezTo>
                                        <a:pt x="80" y="5"/>
                                        <a:pt x="78" y="1"/>
                                        <a:pt x="73" y="1"/>
                                      </a:cubicBezTo>
                                      <a:cubicBezTo>
                                        <a:pt x="69" y="0"/>
                                        <a:pt x="65" y="2"/>
                                        <a:pt x="64" y="6"/>
                                      </a:cubicBezTo>
                                      <a:cubicBezTo>
                                        <a:pt x="64" y="6"/>
                                        <a:pt x="64" y="6"/>
                                        <a:pt x="64" y="6"/>
                                      </a:cubicBezTo>
                                      <a:cubicBezTo>
                                        <a:pt x="49" y="62"/>
                                        <a:pt x="49" y="62"/>
                                        <a:pt x="49" y="62"/>
                                      </a:cubicBezTo>
                                      <a:cubicBezTo>
                                        <a:pt x="49" y="64"/>
                                        <a:pt x="50" y="66"/>
                                        <a:pt x="51" y="66"/>
                                      </a:cubicBezTo>
                                      <a:cubicBezTo>
                                        <a:pt x="53" y="66"/>
                                        <a:pt x="55" y="65"/>
                                        <a:pt x="55" y="64"/>
                                      </a:cubicBezTo>
                                      <a:cubicBezTo>
                                        <a:pt x="69" y="8"/>
                                        <a:pt x="69" y="8"/>
                                        <a:pt x="69" y="8"/>
                                      </a:cubicBezTo>
                                      <a:cubicBezTo>
                                        <a:pt x="70" y="6"/>
                                        <a:pt x="72" y="6"/>
                                        <a:pt x="72" y="6"/>
                                      </a:cubicBezTo>
                                      <a:cubicBezTo>
                                        <a:pt x="73" y="6"/>
                                        <a:pt x="75" y="7"/>
                                        <a:pt x="74" y="9"/>
                                      </a:cubicBezTo>
                                      <a:cubicBezTo>
                                        <a:pt x="69" y="71"/>
                                        <a:pt x="69" y="71"/>
                                        <a:pt x="69" y="71"/>
                                      </a:cubicBezTo>
                                      <a:cubicBezTo>
                                        <a:pt x="69" y="75"/>
                                        <a:pt x="67" y="79"/>
                                        <a:pt x="63" y="82"/>
                                      </a:cubicBezTo>
                                      <a:cubicBezTo>
                                        <a:pt x="35" y="105"/>
                                        <a:pt x="35" y="105"/>
                                        <a:pt x="35" y="105"/>
                                      </a:cubicBezTo>
                                      <a:cubicBezTo>
                                        <a:pt x="32" y="108"/>
                                        <a:pt x="29" y="113"/>
                                        <a:pt x="29" y="118"/>
                                      </a:cubicBezTo>
                                      <a:cubicBezTo>
                                        <a:pt x="8" y="114"/>
                                        <a:pt x="8" y="114"/>
                                        <a:pt x="8" y="114"/>
                                      </a:cubicBezTo>
                                      <a:cubicBezTo>
                                        <a:pt x="10" y="97"/>
                                        <a:pt x="10" y="97"/>
                                        <a:pt x="10" y="97"/>
                                      </a:cubicBezTo>
                                      <a:cubicBezTo>
                                        <a:pt x="10" y="95"/>
                                        <a:pt x="14" y="83"/>
                                        <a:pt x="22" y="78"/>
                                      </a:cubicBezTo>
                                      <a:cubicBezTo>
                                        <a:pt x="22" y="78"/>
                                        <a:pt x="22" y="78"/>
                                        <a:pt x="22" y="78"/>
                                      </a:cubicBezTo>
                                      <a:cubicBezTo>
                                        <a:pt x="45" y="61"/>
                                        <a:pt x="45" y="61"/>
                                        <a:pt x="45" y="61"/>
                                      </a:cubicBezTo>
                                      <a:cubicBezTo>
                                        <a:pt x="46" y="61"/>
                                        <a:pt x="47" y="61"/>
                                        <a:pt x="48" y="62"/>
                                      </a:cubicBezTo>
                                      <a:cubicBezTo>
                                        <a:pt x="48" y="62"/>
                                        <a:pt x="50" y="64"/>
                                        <a:pt x="49" y="65"/>
                                      </a:cubicBezTo>
                                      <a:cubicBezTo>
                                        <a:pt x="48" y="66"/>
                                        <a:pt x="44" y="71"/>
                                        <a:pt x="41" y="76"/>
                                      </a:cubicBezTo>
                                      <a:cubicBezTo>
                                        <a:pt x="34" y="84"/>
                                        <a:pt x="34" y="84"/>
                                        <a:pt x="34" y="84"/>
                                      </a:cubicBezTo>
                                      <a:cubicBezTo>
                                        <a:pt x="33" y="86"/>
                                        <a:pt x="34" y="88"/>
                                        <a:pt x="35" y="88"/>
                                      </a:cubicBezTo>
                                      <a:cubicBezTo>
                                        <a:pt x="36" y="89"/>
                                        <a:pt x="38" y="89"/>
                                        <a:pt x="39" y="88"/>
                                      </a:cubicBezTo>
                                      <a:cubicBezTo>
                                        <a:pt x="39" y="87"/>
                                        <a:pt x="42" y="83"/>
                                        <a:pt x="45" y="79"/>
                                      </a:cubicBezTo>
                                      <a:cubicBezTo>
                                        <a:pt x="53" y="70"/>
                                        <a:pt x="53" y="69"/>
                                        <a:pt x="53" y="68"/>
                                      </a:cubicBezTo>
                                      <a:cubicBezTo>
                                        <a:pt x="53" y="68"/>
                                        <a:pt x="53" y="68"/>
                                        <a:pt x="53" y="68"/>
                                      </a:cubicBezTo>
                                      <a:cubicBezTo>
                                        <a:pt x="55" y="65"/>
                                        <a:pt x="55" y="61"/>
                                        <a:pt x="52" y="58"/>
                                      </a:cubicBezTo>
                                      <a:cubicBezTo>
                                        <a:pt x="49" y="55"/>
                                        <a:pt x="45" y="54"/>
                                        <a:pt x="41" y="57"/>
                                      </a:cubicBezTo>
                                      <a:cubicBezTo>
                                        <a:pt x="41" y="57"/>
                                        <a:pt x="41" y="57"/>
                                        <a:pt x="41" y="57"/>
                                      </a:cubicBezTo>
                                      <a:cubicBezTo>
                                        <a:pt x="19" y="73"/>
                                        <a:pt x="19" y="73"/>
                                        <a:pt x="19" y="73"/>
                                      </a:cubicBezTo>
                                      <a:cubicBezTo>
                                        <a:pt x="8" y="80"/>
                                        <a:pt x="5" y="95"/>
                                        <a:pt x="4" y="95"/>
                                      </a:cubicBezTo>
                                      <a:cubicBezTo>
                                        <a:pt x="4" y="96"/>
                                        <a:pt x="4" y="96"/>
                                        <a:pt x="4" y="96"/>
                                      </a:cubicBezTo>
                                      <a:cubicBezTo>
                                        <a:pt x="0" y="134"/>
                                        <a:pt x="0" y="134"/>
                                        <a:pt x="0" y="134"/>
                                      </a:cubicBezTo>
                                      <a:cubicBezTo>
                                        <a:pt x="0" y="134"/>
                                        <a:pt x="0" y="134"/>
                                        <a:pt x="0" y="135"/>
                                      </a:cubicBezTo>
                                      <a:cubicBezTo>
                                        <a:pt x="0" y="135"/>
                                        <a:pt x="0" y="135"/>
                                        <a:pt x="0" y="135"/>
                                      </a:cubicBezTo>
                                      <a:cubicBezTo>
                                        <a:pt x="0" y="135"/>
                                        <a:pt x="0" y="135"/>
                                        <a:pt x="0" y="135"/>
                                      </a:cubicBezTo>
                                      <a:cubicBezTo>
                                        <a:pt x="0" y="135"/>
                                        <a:pt x="0" y="135"/>
                                        <a:pt x="0" y="135"/>
                                      </a:cubicBezTo>
                                      <a:cubicBezTo>
                                        <a:pt x="0" y="135"/>
                                        <a:pt x="0" y="136"/>
                                        <a:pt x="0" y="136"/>
                                      </a:cubicBezTo>
                                      <a:cubicBezTo>
                                        <a:pt x="0" y="136"/>
                                        <a:pt x="0" y="136"/>
                                        <a:pt x="0" y="136"/>
                                      </a:cubicBezTo>
                                      <a:cubicBezTo>
                                        <a:pt x="0" y="136"/>
                                        <a:pt x="0" y="136"/>
                                        <a:pt x="0" y="136"/>
                                      </a:cubicBezTo>
                                      <a:cubicBezTo>
                                        <a:pt x="0" y="136"/>
                                        <a:pt x="0" y="136"/>
                                        <a:pt x="0" y="136"/>
                                      </a:cubicBezTo>
                                      <a:cubicBezTo>
                                        <a:pt x="0" y="136"/>
                                        <a:pt x="0" y="136"/>
                                        <a:pt x="0" y="137"/>
                                      </a:cubicBezTo>
                                      <a:cubicBezTo>
                                        <a:pt x="0" y="137"/>
                                        <a:pt x="0" y="137"/>
                                        <a:pt x="1" y="137"/>
                                      </a:cubicBezTo>
                                      <a:cubicBezTo>
                                        <a:pt x="1" y="137"/>
                                        <a:pt x="1" y="137"/>
                                        <a:pt x="1" y="137"/>
                                      </a:cubicBezTo>
                                      <a:close/>
                                      <a:moveTo>
                                        <a:pt x="7" y="120"/>
                                      </a:moveTo>
                                      <a:cubicBezTo>
                                        <a:pt x="29" y="124"/>
                                        <a:pt x="29" y="124"/>
                                        <a:pt x="29" y="124"/>
                                      </a:cubicBezTo>
                                      <a:cubicBezTo>
                                        <a:pt x="29" y="136"/>
                                        <a:pt x="29" y="136"/>
                                        <a:pt x="29" y="136"/>
                                      </a:cubicBezTo>
                                      <a:cubicBezTo>
                                        <a:pt x="6" y="132"/>
                                        <a:pt x="6" y="132"/>
                                        <a:pt x="6" y="132"/>
                                      </a:cubicBezTo>
                                      <a:lnTo>
                                        <a:pt x="7" y="120"/>
                                      </a:lnTo>
                                      <a:close/>
                                      <a:moveTo>
                                        <a:pt x="6" y="132"/>
                                      </a:moveTo>
                                      <a:cubicBezTo>
                                        <a:pt x="6" y="132"/>
                                        <a:pt x="6" y="132"/>
                                        <a:pt x="6" y="13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7" name="Freeform 3227"/>
                              <wps:cNvSpPr>
                                <a:spLocks noEditPoints="1"/>
                              </wps:cNvSpPr>
                              <wps:spPr bwMode="auto">
                                <a:xfrm>
                                  <a:off x="46038" y="39687"/>
                                  <a:ext cx="101600" cy="103187"/>
                                </a:xfrm>
                                <a:custGeom>
                                  <a:avLst/>
                                  <a:gdLst>
                                    <a:gd name="T0" fmla="*/ 15 w 84"/>
                                    <a:gd name="T1" fmla="*/ 70 h 85"/>
                                    <a:gd name="T2" fmla="*/ 69 w 84"/>
                                    <a:gd name="T3" fmla="*/ 70 h 85"/>
                                    <a:gd name="T4" fmla="*/ 69 w 84"/>
                                    <a:gd name="T5" fmla="*/ 15 h 85"/>
                                    <a:gd name="T6" fmla="*/ 15 w 84"/>
                                    <a:gd name="T7" fmla="*/ 15 h 85"/>
                                    <a:gd name="T8" fmla="*/ 15 w 84"/>
                                    <a:gd name="T9" fmla="*/ 70 h 85"/>
                                    <a:gd name="T10" fmla="*/ 66 w 84"/>
                                    <a:gd name="T11" fmla="*/ 19 h 85"/>
                                    <a:gd name="T12" fmla="*/ 66 w 84"/>
                                    <a:gd name="T13" fmla="*/ 66 h 85"/>
                                    <a:gd name="T14" fmla="*/ 18 w 84"/>
                                    <a:gd name="T15" fmla="*/ 66 h 85"/>
                                    <a:gd name="T16" fmla="*/ 18 w 84"/>
                                    <a:gd name="T17" fmla="*/ 19 h 85"/>
                                    <a:gd name="T18" fmla="*/ 66 w 84"/>
                                    <a:gd name="T19" fmla="*/ 19 h 85"/>
                                    <a:gd name="T20" fmla="*/ 66 w 84"/>
                                    <a:gd name="T21" fmla="*/ 19 h 85"/>
                                    <a:gd name="T22" fmla="*/ 66 w 84"/>
                                    <a:gd name="T23" fmla="*/ 19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85">
                                      <a:moveTo>
                                        <a:pt x="15" y="70"/>
                                      </a:moveTo>
                                      <a:cubicBezTo>
                                        <a:pt x="30" y="85"/>
                                        <a:pt x="54" y="85"/>
                                        <a:pt x="69" y="70"/>
                                      </a:cubicBezTo>
                                      <a:cubicBezTo>
                                        <a:pt x="84" y="55"/>
                                        <a:pt x="84" y="30"/>
                                        <a:pt x="69" y="15"/>
                                      </a:cubicBezTo>
                                      <a:cubicBezTo>
                                        <a:pt x="54" y="0"/>
                                        <a:pt x="30" y="0"/>
                                        <a:pt x="15" y="15"/>
                                      </a:cubicBezTo>
                                      <a:cubicBezTo>
                                        <a:pt x="0" y="30"/>
                                        <a:pt x="0" y="55"/>
                                        <a:pt x="15" y="70"/>
                                      </a:cubicBezTo>
                                      <a:close/>
                                      <a:moveTo>
                                        <a:pt x="66" y="19"/>
                                      </a:moveTo>
                                      <a:cubicBezTo>
                                        <a:pt x="79" y="32"/>
                                        <a:pt x="79" y="53"/>
                                        <a:pt x="66" y="66"/>
                                      </a:cubicBezTo>
                                      <a:cubicBezTo>
                                        <a:pt x="53" y="80"/>
                                        <a:pt x="31" y="80"/>
                                        <a:pt x="18" y="66"/>
                                      </a:cubicBezTo>
                                      <a:cubicBezTo>
                                        <a:pt x="5" y="53"/>
                                        <a:pt x="5" y="32"/>
                                        <a:pt x="18" y="19"/>
                                      </a:cubicBezTo>
                                      <a:cubicBezTo>
                                        <a:pt x="31" y="6"/>
                                        <a:pt x="53" y="6"/>
                                        <a:pt x="66" y="19"/>
                                      </a:cubicBezTo>
                                      <a:close/>
                                      <a:moveTo>
                                        <a:pt x="66" y="19"/>
                                      </a:moveTo>
                                      <a:cubicBezTo>
                                        <a:pt x="66" y="19"/>
                                        <a:pt x="66" y="19"/>
                                        <a:pt x="66" y="1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8" name="Freeform 3228"/>
                              <wps:cNvSpPr>
                                <a:spLocks noEditPoints="1"/>
                              </wps:cNvSpPr>
                              <wps:spPr bwMode="auto">
                                <a:xfrm>
                                  <a:off x="92075" y="39687"/>
                                  <a:ext cx="101600" cy="103187"/>
                                </a:xfrm>
                                <a:custGeom>
                                  <a:avLst/>
                                  <a:gdLst>
                                    <a:gd name="T0" fmla="*/ 15 w 85"/>
                                    <a:gd name="T1" fmla="*/ 70 h 85"/>
                                    <a:gd name="T2" fmla="*/ 70 w 85"/>
                                    <a:gd name="T3" fmla="*/ 70 h 85"/>
                                    <a:gd name="T4" fmla="*/ 70 w 85"/>
                                    <a:gd name="T5" fmla="*/ 15 h 85"/>
                                    <a:gd name="T6" fmla="*/ 15 w 85"/>
                                    <a:gd name="T7" fmla="*/ 15 h 85"/>
                                    <a:gd name="T8" fmla="*/ 15 w 85"/>
                                    <a:gd name="T9" fmla="*/ 70 h 85"/>
                                    <a:gd name="T10" fmla="*/ 66 w 85"/>
                                    <a:gd name="T11" fmla="*/ 19 h 85"/>
                                    <a:gd name="T12" fmla="*/ 66 w 85"/>
                                    <a:gd name="T13" fmla="*/ 66 h 85"/>
                                    <a:gd name="T14" fmla="*/ 19 w 85"/>
                                    <a:gd name="T15" fmla="*/ 66 h 85"/>
                                    <a:gd name="T16" fmla="*/ 19 w 85"/>
                                    <a:gd name="T17" fmla="*/ 19 h 85"/>
                                    <a:gd name="T18" fmla="*/ 66 w 85"/>
                                    <a:gd name="T19" fmla="*/ 19 h 85"/>
                                    <a:gd name="T20" fmla="*/ 66 w 85"/>
                                    <a:gd name="T21" fmla="*/ 19 h 85"/>
                                    <a:gd name="T22" fmla="*/ 66 w 85"/>
                                    <a:gd name="T23" fmla="*/ 19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 h="85">
                                      <a:moveTo>
                                        <a:pt x="15" y="70"/>
                                      </a:moveTo>
                                      <a:cubicBezTo>
                                        <a:pt x="30" y="85"/>
                                        <a:pt x="55" y="85"/>
                                        <a:pt x="70" y="70"/>
                                      </a:cubicBezTo>
                                      <a:cubicBezTo>
                                        <a:pt x="85" y="55"/>
                                        <a:pt x="85" y="30"/>
                                        <a:pt x="70" y="15"/>
                                      </a:cubicBezTo>
                                      <a:cubicBezTo>
                                        <a:pt x="55" y="0"/>
                                        <a:pt x="30" y="0"/>
                                        <a:pt x="15" y="15"/>
                                      </a:cubicBezTo>
                                      <a:cubicBezTo>
                                        <a:pt x="0" y="30"/>
                                        <a:pt x="0" y="55"/>
                                        <a:pt x="15" y="70"/>
                                      </a:cubicBezTo>
                                      <a:close/>
                                      <a:moveTo>
                                        <a:pt x="66" y="19"/>
                                      </a:moveTo>
                                      <a:cubicBezTo>
                                        <a:pt x="79" y="32"/>
                                        <a:pt x="79" y="53"/>
                                        <a:pt x="66" y="66"/>
                                      </a:cubicBezTo>
                                      <a:cubicBezTo>
                                        <a:pt x="53" y="80"/>
                                        <a:pt x="32" y="80"/>
                                        <a:pt x="19" y="66"/>
                                      </a:cubicBezTo>
                                      <a:cubicBezTo>
                                        <a:pt x="5" y="53"/>
                                        <a:pt x="5" y="32"/>
                                        <a:pt x="19" y="19"/>
                                      </a:cubicBezTo>
                                      <a:cubicBezTo>
                                        <a:pt x="32" y="6"/>
                                        <a:pt x="53" y="6"/>
                                        <a:pt x="66" y="19"/>
                                      </a:cubicBezTo>
                                      <a:close/>
                                      <a:moveTo>
                                        <a:pt x="66" y="19"/>
                                      </a:moveTo>
                                      <a:cubicBezTo>
                                        <a:pt x="66" y="19"/>
                                        <a:pt x="66" y="19"/>
                                        <a:pt x="66" y="1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9" name="Freeform 3229"/>
                              <wps:cNvSpPr>
                                <a:spLocks noEditPoints="1"/>
                              </wps:cNvSpPr>
                              <wps:spPr bwMode="auto">
                                <a:xfrm>
                                  <a:off x="66675" y="0"/>
                                  <a:ext cx="103188" cy="101600"/>
                                </a:xfrm>
                                <a:custGeom>
                                  <a:avLst/>
                                  <a:gdLst>
                                    <a:gd name="T0" fmla="*/ 16 w 85"/>
                                    <a:gd name="T1" fmla="*/ 69 h 84"/>
                                    <a:gd name="T2" fmla="*/ 70 w 85"/>
                                    <a:gd name="T3" fmla="*/ 69 h 84"/>
                                    <a:gd name="T4" fmla="*/ 70 w 85"/>
                                    <a:gd name="T5" fmla="*/ 15 h 84"/>
                                    <a:gd name="T6" fmla="*/ 15 w 85"/>
                                    <a:gd name="T7" fmla="*/ 15 h 84"/>
                                    <a:gd name="T8" fmla="*/ 16 w 85"/>
                                    <a:gd name="T9" fmla="*/ 69 h 84"/>
                                    <a:gd name="T10" fmla="*/ 67 w 85"/>
                                    <a:gd name="T11" fmla="*/ 18 h 84"/>
                                    <a:gd name="T12" fmla="*/ 67 w 85"/>
                                    <a:gd name="T13" fmla="*/ 66 h 84"/>
                                    <a:gd name="T14" fmla="*/ 19 w 85"/>
                                    <a:gd name="T15" fmla="*/ 66 h 84"/>
                                    <a:gd name="T16" fmla="*/ 19 w 85"/>
                                    <a:gd name="T17" fmla="*/ 18 h 84"/>
                                    <a:gd name="T18" fmla="*/ 67 w 85"/>
                                    <a:gd name="T19" fmla="*/ 18 h 84"/>
                                    <a:gd name="T20" fmla="*/ 67 w 85"/>
                                    <a:gd name="T21" fmla="*/ 18 h 84"/>
                                    <a:gd name="T22" fmla="*/ 67 w 85"/>
                                    <a:gd name="T23" fmla="*/ 1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 h="84">
                                      <a:moveTo>
                                        <a:pt x="16" y="69"/>
                                      </a:moveTo>
                                      <a:cubicBezTo>
                                        <a:pt x="31" y="84"/>
                                        <a:pt x="55" y="84"/>
                                        <a:pt x="70" y="69"/>
                                      </a:cubicBezTo>
                                      <a:cubicBezTo>
                                        <a:pt x="85" y="54"/>
                                        <a:pt x="85" y="30"/>
                                        <a:pt x="70" y="15"/>
                                      </a:cubicBezTo>
                                      <a:cubicBezTo>
                                        <a:pt x="55" y="0"/>
                                        <a:pt x="30" y="0"/>
                                        <a:pt x="15" y="15"/>
                                      </a:cubicBezTo>
                                      <a:cubicBezTo>
                                        <a:pt x="0" y="30"/>
                                        <a:pt x="0" y="54"/>
                                        <a:pt x="16" y="69"/>
                                      </a:cubicBezTo>
                                      <a:close/>
                                      <a:moveTo>
                                        <a:pt x="67" y="18"/>
                                      </a:moveTo>
                                      <a:cubicBezTo>
                                        <a:pt x="80" y="31"/>
                                        <a:pt x="80" y="53"/>
                                        <a:pt x="67" y="66"/>
                                      </a:cubicBezTo>
                                      <a:cubicBezTo>
                                        <a:pt x="53" y="79"/>
                                        <a:pt x="32" y="79"/>
                                        <a:pt x="19" y="66"/>
                                      </a:cubicBezTo>
                                      <a:cubicBezTo>
                                        <a:pt x="6" y="53"/>
                                        <a:pt x="6" y="31"/>
                                        <a:pt x="19" y="18"/>
                                      </a:cubicBezTo>
                                      <a:cubicBezTo>
                                        <a:pt x="32" y="5"/>
                                        <a:pt x="53" y="5"/>
                                        <a:pt x="67" y="18"/>
                                      </a:cubicBezTo>
                                      <a:close/>
                                      <a:moveTo>
                                        <a:pt x="67" y="18"/>
                                      </a:moveTo>
                                      <a:cubicBezTo>
                                        <a:pt x="67" y="18"/>
                                        <a:pt x="67" y="18"/>
                                        <a:pt x="67" y="1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53DD6AA" id="Group 67" o:spid="_x0000_s1026" style="position:absolute;margin-left:41.15pt;margin-top:2.5pt;width:19.65pt;height:20.7pt;z-index:251650048;mso-width-relative:margin;mso-height-relative:margin" coordsize="236538,249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">
                      <v:shape id="Freeform 3225" o:spid="_x0000_s1027" style="position:absolute;top:76200;width:96838;height:173037;visibility:visible;mso-wrap-style:square;v-text-anchor:top" coordsize="8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" path="m79,137v,,,,,c79,137,80,137,80,137v,-1,,-1,,-1c80,136,80,136,80,136v,,,,,c80,136,80,136,80,136v,,,-1,,-1c80,135,80,135,80,135v,,,,,c80,135,80,135,80,135v,-1,,-1,,-1c76,96,76,96,76,96v,,,,-1,-1c75,95,72,80,61,73,39,57,39,57,39,57v,,,,,c35,54,31,55,28,58v-3,3,-4,7,-1,10c27,68,27,68,27,68v,1,,2,7,11c38,83,41,87,41,88v1,1,3,1,4,c46,88,47,86,46,84v,,,,-7,-8c36,71,32,66,31,65v-1,-1,1,-3,1,-3c33,61,34,61,35,61,57,78,57,78,57,78v1,,1,,1,c66,83,70,95,70,97v2,17,2,17,2,17c51,118,51,118,51,118v-1,-5,-3,-10,-7,-13c17,82,17,82,17,82,13,79,11,75,11,71,6,9,6,9,6,9,5,7,7,6,8,6v,,2,,3,2c25,64,25,64,25,64v,1,2,2,4,2c30,66,31,64,31,62,16,6,16,6,16,6v,,,,,c15,2,11,,7,1,2,1,,5,,9,5,71,5,71,5,71v1,6,3,11,8,15c41,109,41,109,41,109v2,3,4,6,4,9c45,139,45,139,45,139v,,,,,c45,139,45,139,45,139v,,,,,c45,139,45,139,45,139v,1,,1,,1c45,140,45,140,45,140v,,1,,1,c46,140,46,140,46,140v,,,,,c46,141,46,141,46,141v,,,,,c46,141,46,141,46,141v,,,,,c46,141,46,141,47,141v,,,,,c47,141,47,141,47,141v,,,,,c47,142,47,142,47,142v,,,,,c48,142,48,142,48,142v,,,,,c48,142,48,142,48,142v,,,,,c48,142,48,142,48,142v,,,,,c48,142,48,142,49,142v29,-5,29,-5,29,-5c78,137,78,137,78,137v,,,,,c79,137,79,137,79,137v,,,,,c79,137,79,137,79,137xm74,132v-23,4,-23,4,-23,4c51,124,51,124,51,124v22,-4,22,-4,22,-4l74,132xm74,132v,,,,,e" filled="f" stroked="f">
                        <v:path arrowok="t" o:connecttype="custom" o:connectlocs="95628,166944;96838,165726;96838,165726;96838,164507;96838,164507;96838,163288;90786,115764;47209,69459;33893,70677;32683,82863;49629,107234;55682,102360;37525,79207;42367,74333;70208,95048;87154,138917;53261,127950;13315,86519;9684,7311;30262,77989;37525,75551;19368,7311;0,10967;15736,104797;54471,143791;54471,169381;54471,169381;54471,170600;55682,170600;55682,170600;55682,171818;55682,171818;56892,171818;56892,171818;56892,173037;58103,173037;58103,173037;58103,173037;94417,166944;94417,166944;95628,166944;89575,160851;61734,151103;89575,160851;89575,160851" o:connectangles="0,0,0,0,0,0,0,0,0,0,0,0,0,0,0,0,0,0,0,0,0,0,0,0,0,0,0,0,0,0,0,0,0,0,0,0,0,0,0,0,0,0,0,0,0"/>
                        <o:lock v:ext="edit" verticies="t"/>
                      </v:shape>
                      <v:shape id="Freeform 3226" o:spid="_x0000_s1028" style="position:absolute;left:141288;top:76200;width:95250;height:173037;visibility:visible;mso-wrap-style:square;v-text-anchor:top" coordsize="8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" path="m1,137v,,,,,c1,137,1,137,1,137v,,,,1,c2,137,2,137,2,137v,,,,,c31,142,31,142,31,142v,,1,,1,c32,142,32,142,32,142v,,,,,c32,142,32,142,32,142v,,,,,c32,142,32,142,32,142v1,,1,,1,c33,142,33,142,33,142v,,,,,-1c33,141,33,141,33,141v,,,,,c33,141,33,141,33,141v,,1,,1,c34,141,34,141,34,141v,,,,,c34,141,34,141,34,141v,,,,,-1c34,140,34,140,34,140v,,,,,c34,140,34,140,34,140v1,,1,,1,c35,140,35,140,35,139v,,,,,c35,139,35,139,35,139v,,,,,c35,139,35,139,35,139v,-21,,-21,,-21c35,115,37,112,39,109,67,86,67,86,67,86v4,-4,7,-9,8,-15c80,9,80,9,80,9,80,5,78,1,73,1,69,,65,2,64,6v,,,,,c49,62,49,62,49,62v,2,1,4,2,4c53,66,55,65,55,64,69,8,69,8,69,8,70,6,72,6,72,6v1,,3,1,2,3c69,71,69,71,69,71v,4,-2,8,-6,11c35,105,35,105,35,105v-3,3,-6,8,-6,13c8,114,8,114,8,114,10,97,10,97,10,97v,-2,4,-14,12,-19c22,78,22,78,22,78,45,61,45,61,45,61v1,,2,,3,1c48,62,50,64,49,65v-1,1,-5,6,-8,11c34,84,34,84,34,84v-1,2,,4,1,4c36,89,38,89,39,88v,-1,3,-5,6,-9c53,70,53,69,53,68v,,,,,c55,65,55,61,52,58,49,55,45,54,41,57v,,,,,c19,73,19,73,19,73,8,80,5,95,4,95v,1,,1,,1c,134,,134,,134v,,,,,1c,135,,135,,135v,,,,,c,135,,135,,135v,,,1,,1c,136,,136,,136v,,,,,c,136,,136,,136v,,,,,1c,137,,137,1,137v,,,,,xm7,120v22,4,22,4,22,4c29,136,29,136,29,136,6,132,6,132,6,132l7,120xm6,132v,,,,,e" filled="f" stroked="f">
                        <v:path arrowok="t" o:connecttype="custom" o:connectlocs="1191,166944;2381,166944;2381,166944;38100,173037;38100,173037;38100,173037;39291,173037;39291,171818;39291,171818;40481,171818;40481,171818;40481,170600;40481,170600;41672,170600;41672,169381;41672,169381;41672,143791;79772,104797;95250,10967;76200,7311;58341,75551;65484,77989;85725,7311;82153,86519;41672,127950;9525,138917;26194,95048;53578,74333;58341,79207;40481,102360;46434,107234;63103,82863;61913,70677;48816,69459;4763,115764;0,163288;0,164507;0,164507;0,165726;0,165726;1191,166944;8334,146228;34528,165726;8334,146228;7144,160851" o:connectangles="0,0,0,0,0,0,0,0,0,0,0,0,0,0,0,0,0,0,0,0,0,0,0,0,0,0,0,0,0,0,0,0,0,0,0,0,0,0,0,0,0,0,0,0,0"/>
                        <o:lock v:ext="edit" verticies="t"/>
                      </v:shape>
                      <v:shape id="Freeform 3227" o:spid="_x0000_s1029" style="position:absolute;left:46038;top:39687;width:101600;height:103187;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" path="m15,70v15,15,39,15,54,c84,55,84,30,69,15,54,,30,,15,15,,30,,55,15,70xm66,19v13,13,13,34,,47c53,80,31,80,18,66,5,53,5,32,18,19,31,6,53,6,66,19xm66,19v,,,,,e" filled="f" stroked="f">
                        <v:path arrowok="t" o:connecttype="custom" o:connectlocs="18143,84978;83457,84978;83457,18209;18143,18209;18143,84978;79829,23065;79829,80122;21771,80122;21771,23065;79829,23065;79829,23065;79829,23065" o:connectangles="0,0,0,0,0,0,0,0,0,0,0,0"/>
                        <o:lock v:ext="edit" verticies="t"/>
                      </v:shape>
                      <v:shape id="Freeform 3228" o:spid="_x0000_s1030" style="position:absolute;left:92075;top:39687;width:101600;height:103187;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" path="m15,70v15,15,40,15,55,c85,55,85,30,70,15,55,,30,,15,15,,30,,55,15,70xm66,19v13,13,13,34,,47c53,80,32,80,19,66,5,53,5,32,19,19,32,6,53,6,66,19xm66,19v,,,,,e" filled="f" stroked="f">
                        <v:path arrowok="t" o:connecttype="custom" o:connectlocs="17929,84978;83671,84978;83671,18209;17929,18209;17929,84978;78889,23065;78889,80122;22711,80122;22711,23065;78889,23065;78889,23065;78889,23065" o:connectangles="0,0,0,0,0,0,0,0,0,0,0,0"/>
                        <o:lock v:ext="edit" verticies="t"/>
                      </v:shape>
                      <v:shape id="Freeform 3229" o:spid="_x0000_s1031" style="position:absolute;left:66675;width:103188;height:101600;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" path="m16,69v15,15,39,15,54,c85,54,85,30,70,15,55,,30,,15,15,,30,,54,16,69xm67,18v13,13,13,35,,48c53,79,32,79,19,66,6,53,6,31,19,18,32,5,53,5,67,18xm67,18v,,,,,e" filled="f" stroked="f">
                        <v:path arrowok="t" o:connecttype="custom" o:connectlocs="19424,83457;84978,83457;84978,18143;18210,18143;19424,83457;81336,21771;81336,79829;23066,79829;23066,21771;81336,21771;81336,21771;81336,21771" o:connectangles="0,0,0,0,0,0,0,0,0,0,0,0"/>
                        <o:lock v:ext="edit" verticies="t"/>
                      </v:shape>
                    </v:group>
                  </w:pict>
                </mc:Fallback>
              </mc:AlternateContent>
            </w:r>
            <w:r>
              <w:rPr>
                <w:noProof/>
                <w:color w:val="F26A47"/>
                <w:lang w:eastAsia="en-GB"/>
              </w:rPr>
              <mc:AlternateContent>
                <mc:Choice Requires="wpg">
                  <w:drawing>
                    <wp:anchor distT="0" distB="0" distL="114300" distR="114300" simplePos="0" relativeHeight="251649024" behindDoc="0" locked="0" layoutInCell="1" allowOverlap="1">
                      <wp:simplePos x="0" y="0"/>
                      <wp:positionH relativeFrom="column">
                        <wp:posOffset>-2313</wp:posOffset>
                      </wp:positionH>
                      <wp:positionV relativeFrom="paragraph">
                        <wp:posOffset>116576</wp:posOffset>
                      </wp:positionV>
                      <wp:extent cx="307975" cy="118745"/>
                      <wp:effectExtent l="0" t="0" r="0" b="0"/>
                      <wp:wrapNone/>
                      <wp:docPr id="3221" name="Group 924"/>
                      <wp:cNvGraphicFramePr/>
                      <a:graphic xmlns:a="http://schemas.openxmlformats.org/drawingml/2006/main">
                        <a:graphicData uri="http://schemas.microsoft.com/office/word/2010/wordprocessingGroup">
                          <wpg:wgp>
                            <wpg:cNvGrpSpPr/>
                            <wpg:grpSpPr>
                              <a:xfrm>
                                <a:off x="0" y="0"/>
                                <a:ext cx="307975" cy="118745"/>
                                <a:chOff x="0" y="0"/>
                                <a:chExt cx="307975" cy="119063"/>
                              </a:xfrm>
                              <a:solidFill>
                                <a:sysClr val="window" lastClr="FFFFFF"/>
                              </a:solidFill>
                            </wpg:grpSpPr>
                            <wps:wsp>
                              <wps:cNvPr id="3222" name="Freeform 3222"/>
                              <wps:cNvSpPr>
                                <a:spLocks noEditPoints="1"/>
                              </wps:cNvSpPr>
                              <wps:spPr bwMode="auto">
                                <a:xfrm>
                                  <a:off x="0" y="0"/>
                                  <a:ext cx="307975" cy="100013"/>
                                </a:xfrm>
                                <a:custGeom>
                                  <a:avLst/>
                                  <a:gdLst>
                                    <a:gd name="T0" fmla="*/ 4 w 231"/>
                                    <a:gd name="T1" fmla="*/ 23 h 74"/>
                                    <a:gd name="T2" fmla="*/ 110 w 231"/>
                                    <a:gd name="T3" fmla="*/ 37 h 74"/>
                                    <a:gd name="T4" fmla="*/ 111 w 231"/>
                                    <a:gd name="T5" fmla="*/ 37 h 74"/>
                                    <a:gd name="T6" fmla="*/ 111 w 231"/>
                                    <a:gd name="T7" fmla="*/ 37 h 74"/>
                                    <a:gd name="T8" fmla="*/ 213 w 231"/>
                                    <a:gd name="T9" fmla="*/ 24 h 74"/>
                                    <a:gd name="T10" fmla="*/ 213 w 231"/>
                                    <a:gd name="T11" fmla="*/ 40 h 74"/>
                                    <a:gd name="T12" fmla="*/ 203 w 231"/>
                                    <a:gd name="T13" fmla="*/ 60 h 74"/>
                                    <a:gd name="T14" fmla="*/ 217 w 231"/>
                                    <a:gd name="T15" fmla="*/ 74 h 74"/>
                                    <a:gd name="T16" fmla="*/ 231 w 231"/>
                                    <a:gd name="T17" fmla="*/ 60 h 74"/>
                                    <a:gd name="T18" fmla="*/ 222 w 231"/>
                                    <a:gd name="T19" fmla="*/ 40 h 74"/>
                                    <a:gd name="T20" fmla="*/ 222 w 231"/>
                                    <a:gd name="T21" fmla="*/ 19 h 74"/>
                                    <a:gd name="T22" fmla="*/ 222 w 231"/>
                                    <a:gd name="T23" fmla="*/ 17 h 74"/>
                                    <a:gd name="T24" fmla="*/ 221 w 231"/>
                                    <a:gd name="T25" fmla="*/ 17 h 74"/>
                                    <a:gd name="T26" fmla="*/ 221 w 231"/>
                                    <a:gd name="T27" fmla="*/ 16 h 74"/>
                                    <a:gd name="T28" fmla="*/ 220 w 231"/>
                                    <a:gd name="T29" fmla="*/ 15 h 74"/>
                                    <a:gd name="T30" fmla="*/ 219 w 231"/>
                                    <a:gd name="T31" fmla="*/ 15 h 74"/>
                                    <a:gd name="T32" fmla="*/ 219 w 231"/>
                                    <a:gd name="T33" fmla="*/ 14 h 74"/>
                                    <a:gd name="T34" fmla="*/ 218 w 231"/>
                                    <a:gd name="T35" fmla="*/ 14 h 74"/>
                                    <a:gd name="T36" fmla="*/ 111 w 231"/>
                                    <a:gd name="T37" fmla="*/ 0 h 74"/>
                                    <a:gd name="T38" fmla="*/ 110 w 231"/>
                                    <a:gd name="T39" fmla="*/ 0 h 74"/>
                                    <a:gd name="T40" fmla="*/ 4 w 231"/>
                                    <a:gd name="T41" fmla="*/ 14 h 74"/>
                                    <a:gd name="T42" fmla="*/ 0 w 231"/>
                                    <a:gd name="T43" fmla="*/ 19 h 74"/>
                                    <a:gd name="T44" fmla="*/ 4 w 231"/>
                                    <a:gd name="T45" fmla="*/ 23 h 74"/>
                                    <a:gd name="T46" fmla="*/ 222 w 231"/>
                                    <a:gd name="T47" fmla="*/ 60 h 74"/>
                                    <a:gd name="T48" fmla="*/ 217 w 231"/>
                                    <a:gd name="T49" fmla="*/ 65 h 74"/>
                                    <a:gd name="T50" fmla="*/ 213 w 231"/>
                                    <a:gd name="T51" fmla="*/ 60 h 74"/>
                                    <a:gd name="T52" fmla="*/ 217 w 231"/>
                                    <a:gd name="T53" fmla="*/ 49 h 74"/>
                                    <a:gd name="T54" fmla="*/ 222 w 231"/>
                                    <a:gd name="T55" fmla="*/ 60 h 74"/>
                                    <a:gd name="T56" fmla="*/ 111 w 231"/>
                                    <a:gd name="T57" fmla="*/ 10 h 74"/>
                                    <a:gd name="T58" fmla="*/ 181 w 231"/>
                                    <a:gd name="T59" fmla="*/ 19 h 74"/>
                                    <a:gd name="T60" fmla="*/ 111 w 231"/>
                                    <a:gd name="T61" fmla="*/ 28 h 74"/>
                                    <a:gd name="T62" fmla="*/ 40 w 231"/>
                                    <a:gd name="T63" fmla="*/ 19 h 74"/>
                                    <a:gd name="T64" fmla="*/ 111 w 231"/>
                                    <a:gd name="T65" fmla="*/ 10 h 74"/>
                                    <a:gd name="T66" fmla="*/ 111 w 231"/>
                                    <a:gd name="T67" fmla="*/ 10 h 74"/>
                                    <a:gd name="T68" fmla="*/ 111 w 231"/>
                                    <a:gd name="T69" fmla="*/ 1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31" h="74">
                                      <a:moveTo>
                                        <a:pt x="4" y="23"/>
                                      </a:moveTo>
                                      <a:cubicBezTo>
                                        <a:pt x="110" y="37"/>
                                        <a:pt x="110" y="37"/>
                                        <a:pt x="110" y="37"/>
                                      </a:cubicBezTo>
                                      <a:cubicBezTo>
                                        <a:pt x="110" y="37"/>
                                        <a:pt x="111" y="37"/>
                                        <a:pt x="111" y="37"/>
                                      </a:cubicBezTo>
                                      <a:cubicBezTo>
                                        <a:pt x="111" y="37"/>
                                        <a:pt x="111" y="37"/>
                                        <a:pt x="111" y="37"/>
                                      </a:cubicBezTo>
                                      <a:cubicBezTo>
                                        <a:pt x="213" y="24"/>
                                        <a:pt x="213" y="24"/>
                                        <a:pt x="213" y="24"/>
                                      </a:cubicBezTo>
                                      <a:cubicBezTo>
                                        <a:pt x="213" y="40"/>
                                        <a:pt x="213" y="40"/>
                                        <a:pt x="213" y="40"/>
                                      </a:cubicBezTo>
                                      <a:cubicBezTo>
                                        <a:pt x="210" y="43"/>
                                        <a:pt x="203" y="51"/>
                                        <a:pt x="203" y="60"/>
                                      </a:cubicBezTo>
                                      <a:cubicBezTo>
                                        <a:pt x="203" y="71"/>
                                        <a:pt x="212" y="74"/>
                                        <a:pt x="217" y="74"/>
                                      </a:cubicBezTo>
                                      <a:cubicBezTo>
                                        <a:pt x="223" y="74"/>
                                        <a:pt x="231" y="71"/>
                                        <a:pt x="231" y="60"/>
                                      </a:cubicBezTo>
                                      <a:cubicBezTo>
                                        <a:pt x="231" y="51"/>
                                        <a:pt x="225" y="43"/>
                                        <a:pt x="222" y="40"/>
                                      </a:cubicBezTo>
                                      <a:cubicBezTo>
                                        <a:pt x="222" y="19"/>
                                        <a:pt x="222" y="19"/>
                                        <a:pt x="222" y="19"/>
                                      </a:cubicBezTo>
                                      <a:cubicBezTo>
                                        <a:pt x="222" y="18"/>
                                        <a:pt x="222" y="18"/>
                                        <a:pt x="222" y="17"/>
                                      </a:cubicBezTo>
                                      <a:cubicBezTo>
                                        <a:pt x="221" y="17"/>
                                        <a:pt x="221" y="17"/>
                                        <a:pt x="221" y="17"/>
                                      </a:cubicBezTo>
                                      <a:cubicBezTo>
                                        <a:pt x="221" y="16"/>
                                        <a:pt x="221" y="16"/>
                                        <a:pt x="221" y="16"/>
                                      </a:cubicBezTo>
                                      <a:cubicBezTo>
                                        <a:pt x="220" y="15"/>
                                        <a:pt x="220" y="15"/>
                                        <a:pt x="220" y="15"/>
                                      </a:cubicBezTo>
                                      <a:cubicBezTo>
                                        <a:pt x="220" y="15"/>
                                        <a:pt x="220" y="15"/>
                                        <a:pt x="219" y="15"/>
                                      </a:cubicBezTo>
                                      <a:cubicBezTo>
                                        <a:pt x="219" y="15"/>
                                        <a:pt x="219" y="14"/>
                                        <a:pt x="219" y="14"/>
                                      </a:cubicBezTo>
                                      <a:cubicBezTo>
                                        <a:pt x="218" y="14"/>
                                        <a:pt x="218" y="14"/>
                                        <a:pt x="218" y="14"/>
                                      </a:cubicBezTo>
                                      <a:cubicBezTo>
                                        <a:pt x="111" y="0"/>
                                        <a:pt x="111" y="0"/>
                                        <a:pt x="111" y="0"/>
                                      </a:cubicBezTo>
                                      <a:cubicBezTo>
                                        <a:pt x="111" y="0"/>
                                        <a:pt x="111" y="0"/>
                                        <a:pt x="110" y="0"/>
                                      </a:cubicBezTo>
                                      <a:cubicBezTo>
                                        <a:pt x="4" y="14"/>
                                        <a:pt x="4" y="14"/>
                                        <a:pt x="4" y="14"/>
                                      </a:cubicBezTo>
                                      <a:cubicBezTo>
                                        <a:pt x="2" y="14"/>
                                        <a:pt x="0" y="16"/>
                                        <a:pt x="0" y="19"/>
                                      </a:cubicBezTo>
                                      <a:cubicBezTo>
                                        <a:pt x="0" y="21"/>
                                        <a:pt x="2" y="23"/>
                                        <a:pt x="4" y="23"/>
                                      </a:cubicBezTo>
                                      <a:close/>
                                      <a:moveTo>
                                        <a:pt x="222" y="60"/>
                                      </a:moveTo>
                                      <a:cubicBezTo>
                                        <a:pt x="222" y="64"/>
                                        <a:pt x="219" y="65"/>
                                        <a:pt x="217" y="65"/>
                                      </a:cubicBezTo>
                                      <a:cubicBezTo>
                                        <a:pt x="215" y="65"/>
                                        <a:pt x="213" y="64"/>
                                        <a:pt x="213" y="60"/>
                                      </a:cubicBezTo>
                                      <a:cubicBezTo>
                                        <a:pt x="213" y="57"/>
                                        <a:pt x="215" y="52"/>
                                        <a:pt x="217" y="49"/>
                                      </a:cubicBezTo>
                                      <a:cubicBezTo>
                                        <a:pt x="220" y="52"/>
                                        <a:pt x="222" y="57"/>
                                        <a:pt x="222" y="60"/>
                                      </a:cubicBezTo>
                                      <a:close/>
                                      <a:moveTo>
                                        <a:pt x="111" y="10"/>
                                      </a:moveTo>
                                      <a:cubicBezTo>
                                        <a:pt x="181" y="19"/>
                                        <a:pt x="181" y="19"/>
                                        <a:pt x="181" y="19"/>
                                      </a:cubicBezTo>
                                      <a:cubicBezTo>
                                        <a:pt x="111" y="28"/>
                                        <a:pt x="111" y="28"/>
                                        <a:pt x="111" y="28"/>
                                      </a:cubicBezTo>
                                      <a:cubicBezTo>
                                        <a:pt x="40" y="19"/>
                                        <a:pt x="40" y="19"/>
                                        <a:pt x="40" y="19"/>
                                      </a:cubicBezTo>
                                      <a:lnTo>
                                        <a:pt x="111" y="10"/>
                                      </a:lnTo>
                                      <a:close/>
                                      <a:moveTo>
                                        <a:pt x="111" y="10"/>
                                      </a:moveTo>
                                      <a:cubicBezTo>
                                        <a:pt x="111" y="10"/>
                                        <a:pt x="111" y="10"/>
                                        <a:pt x="111" y="1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3" name="Freeform 3223"/>
                              <wps:cNvSpPr>
                                <a:spLocks noEditPoints="1"/>
                              </wps:cNvSpPr>
                              <wps:spPr bwMode="auto">
                                <a:xfrm>
                                  <a:off x="49212" y="44450"/>
                                  <a:ext cx="198438" cy="74613"/>
                                </a:xfrm>
                                <a:custGeom>
                                  <a:avLst/>
                                  <a:gdLst>
                                    <a:gd name="T0" fmla="*/ 148 w 148"/>
                                    <a:gd name="T1" fmla="*/ 37 h 55"/>
                                    <a:gd name="T2" fmla="*/ 148 w 148"/>
                                    <a:gd name="T3" fmla="*/ 4 h 55"/>
                                    <a:gd name="T4" fmla="*/ 143 w 148"/>
                                    <a:gd name="T5" fmla="*/ 0 h 55"/>
                                    <a:gd name="T6" fmla="*/ 139 w 148"/>
                                    <a:gd name="T7" fmla="*/ 4 h 55"/>
                                    <a:gd name="T8" fmla="*/ 139 w 148"/>
                                    <a:gd name="T9" fmla="*/ 34 h 55"/>
                                    <a:gd name="T10" fmla="*/ 74 w 148"/>
                                    <a:gd name="T11" fmla="*/ 46 h 55"/>
                                    <a:gd name="T12" fmla="*/ 9 w 148"/>
                                    <a:gd name="T13" fmla="*/ 34 h 55"/>
                                    <a:gd name="T14" fmla="*/ 9 w 148"/>
                                    <a:gd name="T15" fmla="*/ 4 h 55"/>
                                    <a:gd name="T16" fmla="*/ 4 w 148"/>
                                    <a:gd name="T17" fmla="*/ 0 h 55"/>
                                    <a:gd name="T18" fmla="*/ 0 w 148"/>
                                    <a:gd name="T19" fmla="*/ 4 h 55"/>
                                    <a:gd name="T20" fmla="*/ 0 w 148"/>
                                    <a:gd name="T21" fmla="*/ 37 h 55"/>
                                    <a:gd name="T22" fmla="*/ 2 w 148"/>
                                    <a:gd name="T23" fmla="*/ 41 h 55"/>
                                    <a:gd name="T24" fmla="*/ 74 w 148"/>
                                    <a:gd name="T25" fmla="*/ 55 h 55"/>
                                    <a:gd name="T26" fmla="*/ 145 w 148"/>
                                    <a:gd name="T27" fmla="*/ 41 h 55"/>
                                    <a:gd name="T28" fmla="*/ 148 w 148"/>
                                    <a:gd name="T29" fmla="*/ 37 h 55"/>
                                    <a:gd name="T30" fmla="*/ 148 w 148"/>
                                    <a:gd name="T31" fmla="*/ 37 h 55"/>
                                    <a:gd name="T32" fmla="*/ 148 w 148"/>
                                    <a:gd name="T33" fmla="*/ 3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8" h="55">
                                      <a:moveTo>
                                        <a:pt x="148" y="37"/>
                                      </a:moveTo>
                                      <a:cubicBezTo>
                                        <a:pt x="148" y="4"/>
                                        <a:pt x="148" y="4"/>
                                        <a:pt x="148" y="4"/>
                                      </a:cubicBezTo>
                                      <a:cubicBezTo>
                                        <a:pt x="148" y="2"/>
                                        <a:pt x="146" y="0"/>
                                        <a:pt x="143" y="0"/>
                                      </a:cubicBezTo>
                                      <a:cubicBezTo>
                                        <a:pt x="141" y="0"/>
                                        <a:pt x="139" y="2"/>
                                        <a:pt x="139" y="4"/>
                                      </a:cubicBezTo>
                                      <a:cubicBezTo>
                                        <a:pt x="139" y="34"/>
                                        <a:pt x="139" y="34"/>
                                        <a:pt x="139" y="34"/>
                                      </a:cubicBezTo>
                                      <a:cubicBezTo>
                                        <a:pt x="131" y="37"/>
                                        <a:pt x="107" y="46"/>
                                        <a:pt x="74" y="46"/>
                                      </a:cubicBezTo>
                                      <a:cubicBezTo>
                                        <a:pt x="41" y="46"/>
                                        <a:pt x="17" y="37"/>
                                        <a:pt x="9" y="34"/>
                                      </a:cubicBezTo>
                                      <a:cubicBezTo>
                                        <a:pt x="9" y="4"/>
                                        <a:pt x="9" y="4"/>
                                        <a:pt x="9" y="4"/>
                                      </a:cubicBezTo>
                                      <a:cubicBezTo>
                                        <a:pt x="9" y="2"/>
                                        <a:pt x="7" y="0"/>
                                        <a:pt x="4" y="0"/>
                                      </a:cubicBezTo>
                                      <a:cubicBezTo>
                                        <a:pt x="2" y="0"/>
                                        <a:pt x="0" y="2"/>
                                        <a:pt x="0" y="4"/>
                                      </a:cubicBezTo>
                                      <a:cubicBezTo>
                                        <a:pt x="0" y="37"/>
                                        <a:pt x="0" y="37"/>
                                        <a:pt x="0" y="37"/>
                                      </a:cubicBezTo>
                                      <a:cubicBezTo>
                                        <a:pt x="0" y="38"/>
                                        <a:pt x="1" y="40"/>
                                        <a:pt x="2" y="41"/>
                                      </a:cubicBezTo>
                                      <a:cubicBezTo>
                                        <a:pt x="4" y="41"/>
                                        <a:pt x="32" y="55"/>
                                        <a:pt x="74" y="55"/>
                                      </a:cubicBezTo>
                                      <a:cubicBezTo>
                                        <a:pt x="116" y="55"/>
                                        <a:pt x="144" y="41"/>
                                        <a:pt x="145" y="41"/>
                                      </a:cubicBezTo>
                                      <a:cubicBezTo>
                                        <a:pt x="147" y="40"/>
                                        <a:pt x="148" y="38"/>
                                        <a:pt x="148" y="37"/>
                                      </a:cubicBezTo>
                                      <a:close/>
                                      <a:moveTo>
                                        <a:pt x="148" y="37"/>
                                      </a:moveTo>
                                      <a:cubicBezTo>
                                        <a:pt x="148" y="37"/>
                                        <a:pt x="148" y="37"/>
                                        <a:pt x="148" y="3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899FD63" id="Group 924" o:spid="_x0000_s1026" style="position:absolute;margin-left:-.2pt;margin-top:9.2pt;width:24.25pt;height:9.35pt;z-index:251649024;mso-width-relative:margin;mso-height-relative:margin" coordsize="307975,11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">
                      <v:shape id="Freeform 3222" o:spid="_x0000_s1027" style="position:absolute;width:307975;height:100013;visibility:visible;mso-wrap-style:square;v-text-anchor:top" coordsize="2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" path="m4,23c110,37,110,37,110,37v,,1,,1,c111,37,111,37,111,37,213,24,213,24,213,24v,16,,16,,16c210,43,203,51,203,60v,11,9,14,14,14c223,74,231,71,231,60v,-9,-6,-17,-9,-20c222,19,222,19,222,19v,-1,,-1,,-2c221,17,221,17,221,17v,-1,,-1,,-1c220,15,220,15,220,15v,,,,-1,c219,15,219,14,219,14v-1,,-1,,-1,c111,,111,,111,v,,,,-1,c4,14,4,14,4,14,2,14,,16,,19v,2,2,4,4,4xm222,60v,4,-3,5,-5,5c215,65,213,64,213,60v,-3,2,-8,4,-11c220,52,222,57,222,60xm111,10v70,9,70,9,70,9c111,28,111,28,111,28,40,19,40,19,40,19r71,-9xm111,10v,,,,,e" filled="f" stroked="f">
                        <v:path arrowok="t" o:connecttype="custom" o:connectlocs="5333,31085;146655,50007;147988,50007;147988,50007;283977,32437;283977,54061;270645,81092;289310,100013;307975,81092;295976,54061;295976,25679;295976,22976;294643,22976;294643,21624;293310,20273;291976,20273;291976,18921;290643,18921;147988,0;146655,0;5333,18921;0,25679;5333,31085;295976,81092;289310,87849;283977,81092;289310,66225;295976,81092;147988,13515;241314,25679;147988,37843;53329,25679;147988,13515;147988,13515;147988,13515" o:connectangles="0,0,0,0,0,0,0,0,0,0,0,0,0,0,0,0,0,0,0,0,0,0,0,0,0,0,0,0,0,0,0,0,0,0,0"/>
                        <o:lock v:ext="edit" verticies="t"/>
                      </v:shape>
                      <v:shape id="Freeform 3223" o:spid="_x0000_s1028" style="position:absolute;left:49212;top:44450;width:198438;height:74613;visibility:visible;mso-wrap-style:square;v-text-anchor:top" coordsize="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" path="m148,37v,-33,,-33,,-33c148,2,146,,143,v-2,,-4,2,-4,4c139,34,139,34,139,34v-8,3,-32,12,-65,12c41,46,17,37,9,34,9,4,9,4,9,4,9,2,7,,4,,2,,,2,,4,,37,,37,,37v,1,1,3,2,4c4,41,32,55,74,55v42,,70,-14,71,-14c147,40,148,38,148,37xm148,37v,,,,,e" filled="f" stroked="f">
                        <v:path arrowok="t" o:connecttype="custom" o:connectlocs="198438,50194;198438,5426;191734,0;186371,5426;186371,46124;99219,62404;12067,46124;12067,5426;5363,0;0,5426;0,50194;2682,55621;99219,74613;194416,55621;198438,50194;198438,50194;198438,50194" o:connectangles="0,0,0,0,0,0,0,0,0,0,0,0,0,0,0,0,0"/>
                        <o:lock v:ext="edit" verticies="t"/>
                      </v:shape>
                    </v:group>
                  </w:pict>
                </mc:Fallback>
              </mc:AlternateContent>
            </w:r>
          </w:p>
        </w:tc>
        <w:tc>
          <w:tcPr>
            <w:tcW w:w="711" w:type="dxa"/>
            <w:vMerge/>
            <w:shd w:val="clear" w:color="auto" w:fill="BFBFBF" w:themeFill="background1" w:themeFillShade="BF"/>
          </w:tcPr>
          <w:p>
            <w:pPr>
              <w:suppressAutoHyphens/>
              <w:rPr>
                <w:noProof/>
                <w:color w:val="F26A47"/>
              </w:rPr>
            </w:pPr>
          </w:p>
        </w:tc>
      </w:tr>
      <w:tr>
        <w:trPr>
          <w:trHeight w:val="545"/>
        </w:trPr>
        <w:tc>
          <w:tcPr>
            <w:tcW w:w="1809" w:type="dxa"/>
            <w:tcBorders>
              <w:top w:val="single" w:sz="6" w:space="0" w:color="FFFFFF" w:themeColor="background1"/>
            </w:tcBorders>
            <w:shd w:val="clear" w:color="auto" w:fill="92D050"/>
          </w:tcPr>
          <w:p>
            <w:pPr>
              <w:suppressAutoHyphens/>
              <w:rPr>
                <w:noProof/>
                <w:color w:val="FFFFFF" w:themeColor="background1"/>
                <w:sz w:val="18"/>
                <w:szCs w:val="18"/>
              </w:rPr>
            </w:pPr>
            <w:r>
              <w:rPr>
                <w:b/>
                <w:bCs/>
                <w:noProof/>
                <w:color w:val="FFFFFF" w:themeColor="background1"/>
                <w:sz w:val="18"/>
                <w:szCs w:val="18"/>
              </w:rPr>
              <w:t>6,2 millions d’exploitations agricoles</w:t>
            </w:r>
            <w:r>
              <w:rPr>
                <w:noProof/>
                <w:color w:val="FFFFFF" w:themeColor="background1"/>
                <w:sz w:val="18"/>
                <w:szCs w:val="18"/>
              </w:rPr>
              <w:t xml:space="preserve"> soutenues sur 10,5 millions</w:t>
            </w:r>
          </w:p>
          <w:p>
            <w:pPr>
              <w:suppressAutoHyphens/>
              <w:rPr>
                <w:noProof/>
                <w:color w:val="FFFFFF" w:themeColor="background1"/>
                <w:sz w:val="18"/>
              </w:rPr>
            </w:pPr>
          </w:p>
          <w:p>
            <w:pPr>
              <w:suppressAutoHyphens/>
              <w:rPr>
                <w:i/>
                <w:noProof/>
                <w:color w:val="FFFFFF" w:themeColor="background1"/>
                <w:sz w:val="18"/>
                <w:szCs w:val="18"/>
              </w:rPr>
            </w:pPr>
          </w:p>
          <w:p>
            <w:pPr>
              <w:suppressAutoHyphens/>
              <w:rPr>
                <w:i/>
                <w:noProof/>
                <w:color w:val="FFFFFF" w:themeColor="background1"/>
                <w:sz w:val="18"/>
                <w:szCs w:val="18"/>
              </w:rPr>
            </w:pPr>
          </w:p>
        </w:tc>
        <w:tc>
          <w:tcPr>
            <w:tcW w:w="1843" w:type="dxa"/>
            <w:tcBorders>
              <w:top w:val="single" w:sz="6" w:space="0" w:color="FFFFFF" w:themeColor="background1"/>
            </w:tcBorders>
            <w:shd w:val="clear" w:color="auto" w:fill="5B9BD5" w:themeFill="accent1"/>
          </w:tcPr>
          <w:p>
            <w:pPr>
              <w:suppressAutoHyphens/>
              <w:rPr>
                <w:noProof/>
                <w:color w:val="FFFFFF" w:themeColor="background1"/>
                <w:sz w:val="18"/>
              </w:rPr>
            </w:pPr>
            <w:r>
              <w:rPr>
                <w:noProof/>
                <w:color w:val="FFFFFF" w:themeColor="background1"/>
                <w:sz w:val="18"/>
              </w:rPr>
              <w:t>Régions et villes</w:t>
            </w:r>
          </w:p>
          <w:p>
            <w:pPr>
              <w:suppressAutoHyphens/>
              <w:rPr>
                <w:noProof/>
                <w:color w:val="FFFFFF" w:themeColor="background1"/>
                <w:sz w:val="18"/>
                <w:lang w:eastAsia="en-GB"/>
              </w:rPr>
            </w:pPr>
          </w:p>
          <w:p>
            <w:pPr>
              <w:suppressAutoHyphens/>
              <w:rPr>
                <w:noProof/>
                <w:color w:val="FFFFFF" w:themeColor="background1"/>
                <w:sz w:val="18"/>
              </w:rPr>
            </w:pPr>
            <w:r>
              <w:rPr>
                <w:noProof/>
                <w:color w:val="FFFFFF" w:themeColor="background1"/>
                <w:sz w:val="18"/>
              </w:rPr>
              <w:t xml:space="preserve">Près de </w:t>
            </w:r>
            <w:r>
              <w:rPr>
                <w:b/>
                <w:noProof/>
                <w:color w:val="FFFFFF" w:themeColor="background1"/>
                <w:sz w:val="18"/>
              </w:rPr>
              <w:t>500 000</w:t>
            </w:r>
            <w:r>
              <w:rPr>
                <w:noProof/>
                <w:color w:val="FFFFFF" w:themeColor="background1"/>
                <w:sz w:val="18"/>
              </w:rPr>
              <w:t> </w:t>
            </w:r>
            <w:r>
              <w:rPr>
                <w:b/>
                <w:noProof/>
                <w:color w:val="FFFFFF" w:themeColor="background1"/>
                <w:sz w:val="18"/>
              </w:rPr>
              <w:t>entreprises</w:t>
            </w:r>
            <w:r>
              <w:rPr>
                <w:noProof/>
                <w:color w:val="FFFFFF" w:themeColor="background1"/>
                <w:sz w:val="18"/>
              </w:rPr>
              <w:t xml:space="preserve"> soutenues depuis 2014</w:t>
            </w:r>
          </w:p>
          <w:p>
            <w:pPr>
              <w:suppressAutoHyphens/>
              <w:rPr>
                <w:i/>
                <w:noProof/>
                <w:color w:val="FFFFFF" w:themeColor="background1"/>
                <w:sz w:val="18"/>
                <w:lang w:eastAsia="en-GB"/>
              </w:rPr>
            </w:pPr>
          </w:p>
        </w:tc>
        <w:tc>
          <w:tcPr>
            <w:tcW w:w="1843" w:type="dxa"/>
            <w:tcBorders>
              <w:top w:val="single" w:sz="6" w:space="0" w:color="FFFFFF" w:themeColor="background1"/>
            </w:tcBorders>
            <w:shd w:val="clear" w:color="auto" w:fill="A5A5A5" w:themeFill="accent3"/>
          </w:tcPr>
          <w:p>
            <w:pPr>
              <w:suppressAutoHyphens/>
              <w:rPr>
                <w:noProof/>
                <w:color w:val="FFFFFF" w:themeColor="background1"/>
                <w:sz w:val="18"/>
                <w:szCs w:val="18"/>
              </w:rPr>
            </w:pPr>
            <w:r>
              <w:rPr>
                <w:noProof/>
                <w:color w:val="FFFFFF" w:themeColor="background1"/>
                <w:sz w:val="18"/>
                <w:szCs w:val="18"/>
              </w:rPr>
              <w:t xml:space="preserve">Plus de </w:t>
            </w:r>
            <w:r>
              <w:rPr>
                <w:b/>
                <w:noProof/>
                <w:color w:val="FFFFFF" w:themeColor="background1"/>
                <w:sz w:val="18"/>
                <w:szCs w:val="18"/>
              </w:rPr>
              <w:t>12 000 petites et moyennes entreprises</w:t>
            </w:r>
            <w:r>
              <w:rPr>
                <w:noProof/>
                <w:color w:val="FFFFFF" w:themeColor="background1"/>
                <w:sz w:val="18"/>
                <w:szCs w:val="18"/>
              </w:rPr>
              <w:t xml:space="preserve"> soutenues,</w:t>
            </w:r>
          </w:p>
          <w:p>
            <w:pPr>
              <w:suppressAutoHyphens/>
              <w:rPr>
                <w:noProof/>
                <w:color w:val="FFFFFF" w:themeColor="background1"/>
                <w:sz w:val="18"/>
                <w:szCs w:val="18"/>
              </w:rPr>
            </w:pPr>
            <w:r>
              <w:rPr>
                <w:noProof/>
                <w:color w:val="FFFFFF" w:themeColor="background1"/>
                <w:sz w:val="18"/>
                <w:szCs w:val="18"/>
              </w:rPr>
              <w:t>ainsi que des chercheurs, des laboratoires et des grandes organisations</w:t>
            </w:r>
          </w:p>
        </w:tc>
        <w:tc>
          <w:tcPr>
            <w:tcW w:w="1701" w:type="dxa"/>
            <w:tcBorders>
              <w:top w:val="single" w:sz="6" w:space="0" w:color="FFFFFF" w:themeColor="background1"/>
            </w:tcBorders>
            <w:shd w:val="clear" w:color="auto" w:fill="FFC000" w:themeFill="accent4"/>
          </w:tcPr>
          <w:p>
            <w:pPr>
              <w:suppressAutoHyphens/>
              <w:rPr>
                <w:noProof/>
                <w:color w:val="FFFFFF" w:themeColor="background1"/>
                <w:sz w:val="18"/>
                <w:szCs w:val="18"/>
              </w:rPr>
            </w:pPr>
            <w:r>
              <w:rPr>
                <w:b/>
                <w:noProof/>
                <w:color w:val="FFFFFF" w:themeColor="background1"/>
                <w:sz w:val="18"/>
                <w:szCs w:val="18"/>
              </w:rPr>
              <w:t>90 pays et territoires tiers</w:t>
            </w:r>
            <w:r>
              <w:rPr>
                <w:noProof/>
                <w:color w:val="FFFFFF" w:themeColor="background1"/>
                <w:sz w:val="18"/>
                <w:szCs w:val="18"/>
              </w:rPr>
              <w:t xml:space="preserve"> ont bénéficié d’un soutien direct, au même titre que de nombreuses organisations internationales et non gouvernementales</w:t>
            </w:r>
          </w:p>
        </w:tc>
        <w:tc>
          <w:tcPr>
            <w:tcW w:w="1699" w:type="dxa"/>
            <w:tcBorders>
              <w:top w:val="single" w:sz="6" w:space="0" w:color="FFFFFF" w:themeColor="background1"/>
            </w:tcBorders>
            <w:shd w:val="clear" w:color="auto" w:fill="70AD47" w:themeFill="accent6"/>
          </w:tcPr>
          <w:p>
            <w:pPr>
              <w:suppressAutoHyphens/>
              <w:rPr>
                <w:noProof/>
                <w:color w:val="FFFFFF" w:themeColor="background1"/>
                <w:sz w:val="18"/>
              </w:rPr>
            </w:pPr>
            <w:r>
              <w:rPr>
                <w:noProof/>
                <w:color w:val="FFFFFF" w:themeColor="background1"/>
                <w:sz w:val="18"/>
              </w:rPr>
              <w:t xml:space="preserve">Erasmus+: près de </w:t>
            </w:r>
            <w:r>
              <w:rPr>
                <w:b/>
                <w:noProof/>
                <w:color w:val="FFFFFF" w:themeColor="background1"/>
                <w:sz w:val="18"/>
              </w:rPr>
              <w:t>360 000 étudiants</w:t>
            </w:r>
            <w:r>
              <w:rPr>
                <w:noProof/>
                <w:color w:val="FFFFFF" w:themeColor="background1"/>
                <w:sz w:val="18"/>
              </w:rPr>
              <w:t xml:space="preserve"> ont bénéficié d’un soutien en 2019</w:t>
            </w:r>
          </w:p>
          <w:p>
            <w:pPr>
              <w:suppressAutoHyphens/>
              <w:rPr>
                <w:noProof/>
                <w:color w:val="FFFFFF" w:themeColor="background1"/>
                <w:sz w:val="18"/>
              </w:rPr>
            </w:pPr>
            <w:r>
              <w:rPr>
                <w:noProof/>
                <w:color w:val="FFFFFF" w:themeColor="background1"/>
                <w:sz w:val="18"/>
              </w:rPr>
              <w:t xml:space="preserve">(plus de </w:t>
            </w:r>
            <w:r>
              <w:rPr>
                <w:b/>
                <w:noProof/>
                <w:color w:val="FFFFFF" w:themeColor="background1"/>
                <w:sz w:val="18"/>
              </w:rPr>
              <w:t>4,6 millions de participants</w:t>
            </w:r>
            <w:r>
              <w:rPr>
                <w:noProof/>
                <w:color w:val="FFFFFF" w:themeColor="background1"/>
                <w:sz w:val="18"/>
              </w:rPr>
              <w:t xml:space="preserve"> depuis 2014)</w:t>
            </w:r>
          </w:p>
        </w:tc>
        <w:tc>
          <w:tcPr>
            <w:tcW w:w="711" w:type="dxa"/>
            <w:vMerge/>
            <w:shd w:val="clear" w:color="auto" w:fill="BFBFBF" w:themeFill="background1" w:themeFillShade="BF"/>
          </w:tcPr>
          <w:p>
            <w:pPr>
              <w:suppressAutoHyphens/>
              <w:rPr>
                <w:noProof/>
                <w:color w:val="FFFFFF" w:themeColor="background1"/>
                <w:sz w:val="18"/>
              </w:rPr>
            </w:pPr>
          </w:p>
        </w:tc>
      </w:tr>
    </w:tbl>
    <w:p>
      <w:pPr>
        <w:pStyle w:val="AMPRCharttitle"/>
        <w:rPr>
          <w:noProof/>
          <w:lang w:val="fr-FR"/>
        </w:rPr>
      </w:pPr>
      <w:r>
        <w:rPr>
          <w:noProof/>
          <w:lang w:val="fr-FR"/>
        </w:rPr>
        <w:t>Dépenses pertinentes du budget de l’UE mises en œuvre par la Commission en 2019, par domaine politique, en % et en milliards d’EUR</w:t>
      </w:r>
    </w:p>
    <w:p>
      <w:pPr>
        <w:pStyle w:val="AMPRSource-Table-Chart-Photo-Caption"/>
        <w:rPr>
          <w:noProof/>
          <w:lang w:val="fr-FR"/>
        </w:rPr>
      </w:pPr>
      <w:r>
        <w:rPr>
          <w:i/>
          <w:noProof/>
          <w:lang w:val="fr-FR"/>
        </w:rPr>
        <w:t xml:space="preserve">Source: </w:t>
      </w:r>
      <w:r>
        <w:rPr>
          <w:noProof/>
          <w:lang w:val="fr-FR"/>
        </w:rPr>
        <w:t>rapports annuels d’activités de la Commission européenne.</w:t>
      </w:r>
    </w:p>
    <w:p>
      <w:pPr>
        <w:pStyle w:val="AMPRBodyText"/>
        <w:rPr>
          <w:noProof/>
          <w:lang w:val="fr-FR"/>
        </w:rPr>
      </w:pPr>
      <w:r>
        <w:rPr>
          <w:noProof/>
          <w:lang w:val="fr-FR"/>
        </w:rPr>
        <w:t>Plus de deux tiers du budget sont exécutés dans le cadre de la gestion partagée. Les États membres ou les organismes qu’ils désignent distribuent les fonds et gèrent les dépenses conformément au droit de l’UE et au droit national (par exemple, dans le cas des dépenses liées à la cohésion et aux ressources naturelles). Le reste du budget est dépensé soit directement par la Commission, soit indirectement en coopération avec des entités chargées de l’exécution. Le tableau ci-dessous décrit les trois modes de gestion.</w:t>
      </w:r>
    </w:p>
    <w:tbl>
      <w:tblPr>
        <w:tblStyle w:val="AMPRTABLEA-Template"/>
        <w:tblW w:w="0" w:type="auto"/>
        <w:tblLayout w:type="fixed"/>
        <w:tblLook w:val="04A0" w:firstRow="1" w:lastRow="0" w:firstColumn="1" w:lastColumn="0" w:noHBand="0" w:noVBand="1"/>
      </w:tblPr>
      <w:tblGrid>
        <w:gridCol w:w="1553"/>
        <w:gridCol w:w="1683"/>
        <w:gridCol w:w="1302"/>
        <w:gridCol w:w="1983"/>
        <w:gridCol w:w="2659"/>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pPr>
              <w:pStyle w:val="AMPRTABLEA-HEADERText-WHITE"/>
              <w:spacing w:before="144" w:after="144"/>
              <w:rPr>
                <w:b w:val="0"/>
                <w:noProof/>
                <w:szCs w:val="20"/>
              </w:rPr>
            </w:pPr>
            <w:r>
              <w:rPr>
                <w:noProof/>
                <w:sz w:val="20"/>
                <w:szCs w:val="20"/>
              </w:rPr>
              <w:t>Mode de gestion</w:t>
            </w:r>
          </w:p>
        </w:tc>
        <w:tc>
          <w:tcPr>
            <w:tcW w:w="1683" w:type="dxa"/>
          </w:tcPr>
          <w:p>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b w:val="0"/>
                <w:noProof/>
                <w:szCs w:val="20"/>
              </w:rPr>
            </w:pPr>
            <w:r>
              <w:rPr>
                <w:noProof/>
                <w:sz w:val="20"/>
                <w:szCs w:val="20"/>
              </w:rPr>
              <w:t>Description</w:t>
            </w:r>
          </w:p>
        </w:tc>
        <w:tc>
          <w:tcPr>
            <w:tcW w:w="1302" w:type="dxa"/>
          </w:tcPr>
          <w:p>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b w:val="0"/>
                <w:noProof/>
                <w:szCs w:val="20"/>
              </w:rPr>
            </w:pPr>
            <w:r>
              <w:rPr>
                <w:noProof/>
                <w:sz w:val="20"/>
                <w:szCs w:val="20"/>
              </w:rPr>
              <w:t>% des dépenses pertinentes en 2019</w:t>
            </w:r>
          </w:p>
        </w:tc>
        <w:tc>
          <w:tcPr>
            <w:tcW w:w="1983" w:type="dxa"/>
          </w:tcPr>
          <w:p>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b w:val="0"/>
                <w:noProof/>
                <w:szCs w:val="20"/>
              </w:rPr>
            </w:pPr>
            <w:r>
              <w:rPr>
                <w:noProof/>
                <w:sz w:val="20"/>
                <w:szCs w:val="20"/>
              </w:rPr>
              <w:t>Exemples de programmes/</w:t>
            </w:r>
            <w:r>
              <w:rPr>
                <w:noProof/>
                <w:sz w:val="20"/>
                <w:szCs w:val="20"/>
              </w:rPr>
              <w:br/>
              <w:t>dépenses</w:t>
            </w:r>
          </w:p>
        </w:tc>
        <w:tc>
          <w:tcPr>
            <w:tcW w:w="2659" w:type="dxa"/>
          </w:tcPr>
          <w:p>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b w:val="0"/>
                <w:noProof/>
                <w:szCs w:val="20"/>
              </w:rPr>
            </w:pPr>
            <w:r>
              <w:rPr>
                <w:noProof/>
                <w:sz w:val="20"/>
                <w:szCs w:val="20"/>
              </w:rPr>
              <w:t>Autres acteurs mobilisés, en coopération avec la Commission</w:t>
            </w:r>
          </w:p>
        </w:tc>
      </w:tr>
      <w:tr>
        <w:tc>
          <w:tcPr>
            <w:cnfStyle w:val="001000000000" w:firstRow="0" w:lastRow="0" w:firstColumn="1" w:lastColumn="0" w:oddVBand="0" w:evenVBand="0" w:oddHBand="0" w:evenHBand="0" w:firstRowFirstColumn="0" w:firstRowLastColumn="0" w:lastRowFirstColumn="0" w:lastRowLastColumn="0"/>
            <w:tcW w:w="1553" w:type="dxa"/>
          </w:tcPr>
          <w:p>
            <w:pPr>
              <w:pStyle w:val="AMPRTABLEA-TextLEFTallignedindented-BLACK"/>
              <w:rPr>
                <w:rStyle w:val="AMPRcharBoldBlue"/>
                <w:noProof/>
                <w:szCs w:val="20"/>
              </w:rPr>
            </w:pPr>
            <w:r>
              <w:rPr>
                <w:rStyle w:val="AMPRcharBoldBlue"/>
                <w:noProof/>
                <w:sz w:val="20"/>
                <w:szCs w:val="20"/>
              </w:rPr>
              <w:t>Gestion directe</w:t>
            </w:r>
          </w:p>
        </w:tc>
        <w:tc>
          <w:tcPr>
            <w:tcW w:w="1683"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Les fonds sont exécutés par la Commission</w:t>
            </w:r>
          </w:p>
        </w:tc>
        <w:tc>
          <w:tcPr>
            <w:tcW w:w="1302" w:type="dxa"/>
          </w:tcPr>
          <w:p>
            <w:pPr>
              <w:pStyle w:val="AMPRTABLEA-TextLEFTallignedindented-BLACK"/>
              <w:jc w:val="center"/>
              <w:cnfStyle w:val="000000000000" w:firstRow="0" w:lastRow="0" w:firstColumn="0" w:lastColumn="0" w:oddVBand="0" w:evenVBand="0" w:oddHBand="0" w:evenHBand="0" w:firstRowFirstColumn="0" w:firstRowLastColumn="0" w:lastRowFirstColumn="0" w:lastRowLastColumn="0"/>
              <w:rPr>
                <w:i/>
                <w:iCs/>
                <w:noProof/>
                <w:szCs w:val="20"/>
              </w:rPr>
            </w:pPr>
            <w:r>
              <w:rPr>
                <w:i/>
                <w:iCs/>
                <w:noProof/>
                <w:sz w:val="20"/>
                <w:szCs w:val="20"/>
              </w:rPr>
              <w:t>22 %</w:t>
            </w:r>
          </w:p>
        </w:tc>
        <w:tc>
          <w:tcPr>
            <w:tcW w:w="1983"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Horizon 2020</w:t>
            </w:r>
          </w:p>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mécanisme pour l’interconnexion en Europe;</w:t>
            </w:r>
          </w:p>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dépenses administratives</w:t>
            </w:r>
          </w:p>
        </w:tc>
        <w:tc>
          <w:tcPr>
            <w:tcW w:w="2659"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i/>
                <w:noProof/>
                <w:szCs w:val="20"/>
              </w:rPr>
            </w:pPr>
            <w:r>
              <w:rPr>
                <w:i/>
                <w:noProof/>
                <w:sz w:val="20"/>
                <w:szCs w:val="20"/>
              </w:rPr>
              <w:t>sans objet (le financement est octroyé directement aux bénéficiaires)</w:t>
            </w:r>
          </w:p>
        </w:tc>
      </w:tr>
      <w:tr>
        <w:tc>
          <w:tcPr>
            <w:cnfStyle w:val="001000000000" w:firstRow="0" w:lastRow="0" w:firstColumn="1" w:lastColumn="0" w:oddVBand="0" w:evenVBand="0" w:oddHBand="0" w:evenHBand="0" w:firstRowFirstColumn="0" w:firstRowLastColumn="0" w:lastRowFirstColumn="0" w:lastRowLastColumn="0"/>
            <w:tcW w:w="1553" w:type="dxa"/>
          </w:tcPr>
          <w:p>
            <w:pPr>
              <w:pStyle w:val="AMPRTABLEA-TextLEFTallignedindented-BLACK"/>
              <w:rPr>
                <w:rStyle w:val="AMPRcharBoldBlue"/>
                <w:noProof/>
                <w:szCs w:val="20"/>
              </w:rPr>
            </w:pPr>
            <w:r>
              <w:rPr>
                <w:rStyle w:val="AMPRcharBoldBlue"/>
                <w:noProof/>
                <w:sz w:val="20"/>
                <w:szCs w:val="20"/>
              </w:rPr>
              <w:t>Gestion indirecte</w:t>
            </w:r>
          </w:p>
        </w:tc>
        <w:tc>
          <w:tcPr>
            <w:tcW w:w="1683"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Les fonds sont exécutés en coopération avec des entités externes</w:t>
            </w:r>
          </w:p>
        </w:tc>
        <w:tc>
          <w:tcPr>
            <w:tcW w:w="1302" w:type="dxa"/>
          </w:tcPr>
          <w:p>
            <w:pPr>
              <w:pStyle w:val="AMPRTABLEA-TextLEFTallignedindented-BLACK"/>
              <w:jc w:val="center"/>
              <w:cnfStyle w:val="000000000000" w:firstRow="0" w:lastRow="0" w:firstColumn="0" w:lastColumn="0" w:oddVBand="0" w:evenVBand="0" w:oddHBand="0" w:evenHBand="0" w:firstRowFirstColumn="0" w:firstRowLastColumn="0" w:lastRowFirstColumn="0" w:lastRowLastColumn="0"/>
              <w:rPr>
                <w:i/>
                <w:iCs/>
                <w:noProof/>
                <w:szCs w:val="20"/>
              </w:rPr>
            </w:pPr>
            <w:r>
              <w:rPr>
                <w:i/>
                <w:iCs/>
                <w:noProof/>
                <w:sz w:val="20"/>
                <w:szCs w:val="20"/>
              </w:rPr>
              <w:t>7 %</w:t>
            </w:r>
          </w:p>
        </w:tc>
        <w:tc>
          <w:tcPr>
            <w:tcW w:w="1983"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 xml:space="preserve">Erasmus+; </w:t>
            </w:r>
          </w:p>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 xml:space="preserve">une partie de l’aide au développement et de l’aide humanitaire; aide de préadhésion </w:t>
            </w:r>
          </w:p>
        </w:tc>
        <w:tc>
          <w:tcPr>
            <w:tcW w:w="2659" w:type="dxa"/>
          </w:tcPr>
          <w:p>
            <w:pPr>
              <w:pStyle w:val="AMPRTABLEA-TextLEFTallignedindented-BLACK"/>
              <w:spacing w:after="0"/>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 xml:space="preserve">agences, </w:t>
            </w:r>
          </w:p>
          <w:p>
            <w:pPr>
              <w:pStyle w:val="AMPRTABLEA-TextLEFTallignedindented-BLACK"/>
              <w:spacing w:before="0" w:after="0"/>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entreprises communes,</w:t>
            </w:r>
          </w:p>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rPr>
              <w:t>Nations unies, Banque mondiale, Banque européenne d’investissement, Banque européenne pour la reconstruction et le développement, pays tiers</w:t>
            </w:r>
          </w:p>
        </w:tc>
      </w:tr>
      <w:tr>
        <w:tc>
          <w:tcPr>
            <w:cnfStyle w:val="001000000000" w:firstRow="0" w:lastRow="0" w:firstColumn="1" w:lastColumn="0" w:oddVBand="0" w:evenVBand="0" w:oddHBand="0" w:evenHBand="0" w:firstRowFirstColumn="0" w:firstRowLastColumn="0" w:lastRowFirstColumn="0" w:lastRowLastColumn="0"/>
            <w:tcW w:w="1553" w:type="dxa"/>
          </w:tcPr>
          <w:p>
            <w:pPr>
              <w:pStyle w:val="AMPRTABLEA-TextLEFTallignedindented-BLACK"/>
              <w:rPr>
                <w:rStyle w:val="AMPRcharBoldBlue"/>
                <w:noProof/>
                <w:szCs w:val="20"/>
              </w:rPr>
            </w:pPr>
            <w:r>
              <w:rPr>
                <w:rStyle w:val="AMPRcharBoldBlue"/>
                <w:noProof/>
                <w:sz w:val="20"/>
                <w:szCs w:val="20"/>
              </w:rPr>
              <w:t>Gestion partagée</w:t>
            </w:r>
          </w:p>
        </w:tc>
        <w:tc>
          <w:tcPr>
            <w:tcW w:w="1683"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Les fonds sont mis en œuvre en coopération avec les autorités nationales et/ou régionales des États membres, qui sont premières responsables</w:t>
            </w:r>
          </w:p>
        </w:tc>
        <w:tc>
          <w:tcPr>
            <w:tcW w:w="1302" w:type="dxa"/>
          </w:tcPr>
          <w:p>
            <w:pPr>
              <w:pStyle w:val="AMPRTABLEA-TextLEFTallignedindented-BLACK"/>
              <w:jc w:val="center"/>
              <w:cnfStyle w:val="000000000000" w:firstRow="0" w:lastRow="0" w:firstColumn="0" w:lastColumn="0" w:oddVBand="0" w:evenVBand="0" w:oddHBand="0" w:evenHBand="0" w:firstRowFirstColumn="0" w:firstRowLastColumn="0" w:lastRowFirstColumn="0" w:lastRowLastColumn="0"/>
              <w:rPr>
                <w:i/>
                <w:iCs/>
                <w:noProof/>
                <w:szCs w:val="20"/>
              </w:rPr>
            </w:pPr>
            <w:r>
              <w:rPr>
                <w:i/>
                <w:iCs/>
                <w:noProof/>
                <w:sz w:val="20"/>
                <w:szCs w:val="20"/>
              </w:rPr>
              <w:t>71 %</w:t>
            </w:r>
          </w:p>
        </w:tc>
        <w:tc>
          <w:tcPr>
            <w:tcW w:w="1983"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Fonds agricoles; Fonds pour les affaires maritimes et la pêche;</w:t>
            </w:r>
          </w:p>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Fonds européen de développement régional; Fonds social européen;</w:t>
            </w:r>
          </w:p>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Fonds Migration et Sécurité</w:t>
            </w:r>
          </w:p>
        </w:tc>
        <w:tc>
          <w:tcPr>
            <w:tcW w:w="2659" w:type="dxa"/>
          </w:tcPr>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 xml:space="preserve">Organismes payeurs pour la politique agricole commune: 76; </w:t>
            </w:r>
          </w:p>
          <w:p>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O</w:t>
            </w:r>
            <w:r>
              <w:rPr>
                <w:noProof/>
              </w:rPr>
              <w:t xml:space="preserve">rganismes de gestion des fonds de cohésion: 492 dans tous les </w:t>
            </w:r>
            <w:r>
              <w:rPr>
                <w:noProof/>
                <w:sz w:val="20"/>
                <w:szCs w:val="20"/>
              </w:rPr>
              <w:t>États membres</w:t>
            </w:r>
          </w:p>
        </w:tc>
      </w:tr>
    </w:tbl>
    <w:p>
      <w:pPr>
        <w:pStyle w:val="BodyText"/>
        <w:rPr>
          <w:noProof/>
          <w:lang w:val="fr-FR"/>
        </w:rPr>
      </w:pPr>
    </w:p>
    <w:p>
      <w:pPr>
        <w:pStyle w:val="AMPRBodyText"/>
        <w:rPr>
          <w:noProof/>
          <w:lang w:val="fr-FR"/>
        </w:rPr>
      </w:pPr>
      <w:r>
        <w:rPr>
          <w:noProof/>
          <w:lang w:val="fr-FR"/>
        </w:rPr>
        <w:t>Étant donné que le budget de l’UE est mis en œuvre de différentes manières, associant différents acteurs, les risques associés varient d'un programme et d’un mode de gestion à un autre (voir annexe</w:t>
      </w:r>
      <w:r>
        <w:rPr>
          <w:rFonts w:ascii="Calibri" w:hAnsi="Calibri"/>
          <w:noProof/>
          <w:lang w:val="fr-FR"/>
        </w:rPr>
        <w:t> </w:t>
      </w:r>
      <w:r>
        <w:rPr>
          <w:noProof/>
          <w:lang w:val="fr-FR"/>
        </w:rPr>
        <w:t>3). Il en est tenu compte lors de l’élaboration des stratégies de contrôle (voir section</w:t>
      </w:r>
      <w:r>
        <w:rPr>
          <w:rFonts w:ascii="Calibri" w:hAnsi="Calibri"/>
          <w:noProof/>
          <w:lang w:val="fr-FR"/>
        </w:rPr>
        <w:t> </w:t>
      </w:r>
      <w:r>
        <w:rPr>
          <w:noProof/>
          <w:lang w:val="fr-FR"/>
        </w:rPr>
        <w:t>2.2).</w:t>
      </w:r>
    </w:p>
    <w:p>
      <w:pPr>
        <w:pStyle w:val="AMPRSec2TITLE3-numbered"/>
        <w:rPr>
          <w:noProof/>
          <w:lang w:val="fr-FR"/>
        </w:rPr>
      </w:pPr>
      <w:r>
        <w:rPr>
          <w:noProof/>
          <w:lang w:val="fr-FR"/>
        </w:rPr>
        <w:t>Gouvernance, obligation de rendre compte et transparence</w:t>
      </w:r>
    </w:p>
    <w:p>
      <w:pPr>
        <w:pStyle w:val="AMPRSec2TITLE4"/>
        <w:rPr>
          <w:noProof/>
          <w:lang w:val="fr-FR"/>
        </w:rPr>
      </w:pPr>
      <w:r>
        <w:rPr>
          <w:noProof/>
          <w:lang w:val="fr-FR"/>
        </w:rPr>
        <w:t>La chaîne de responsabilité</w:t>
      </w:r>
    </w:p>
    <w:p>
      <w:pPr>
        <w:pStyle w:val="AMPRBodyText"/>
        <w:rPr>
          <w:noProof/>
          <w:lang w:val="fr-FR"/>
        </w:rPr>
      </w:pPr>
      <w:r>
        <w:rPr>
          <w:noProof/>
          <w:lang w:val="fr-FR"/>
        </w:rPr>
        <w:t>Le système de gouvernance utilisé par la Commission européenne est adapté à la structure et au rôle uniques de l’institution. Les modalités de gouvernance de la Commission ont été renforcées au fil du temps et adaptées à l’évolution de la situation. Les récents travaux des auditeurs internes et externes ont confirmé la solidité de ces modalités. La Commission von der Leyen, qui a pris ses fonctions en décembre 2019, a continué à placer la responsabilité et la transparence au cœur de ses travaux, comme le confirment les méthodes de travail actualisées</w:t>
      </w:r>
      <w:r>
        <w:rPr>
          <w:rStyle w:val="fnRef"/>
          <w:rFonts w:ascii="Arial" w:hAnsi="Arial"/>
          <w:noProof/>
          <w:lang w:val="fr-FR"/>
        </w:rPr>
        <w:t> </w:t>
      </w:r>
      <w:r>
        <w:rPr>
          <w:rStyle w:val="fnRef"/>
          <w:noProof/>
          <w:lang w:val="fr-FR"/>
        </w:rPr>
        <w:t>(</w:t>
      </w:r>
      <w:r>
        <w:rPr>
          <w:rStyle w:val="fnRefNo"/>
          <w:noProof/>
        </w:rPr>
        <w:footnoteReference w:id="2"/>
      </w:r>
      <w:r>
        <w:rPr>
          <w:rStyle w:val="fnRef"/>
          <w:noProof/>
          <w:lang w:val="fr-FR"/>
        </w:rPr>
        <w:t>)</w:t>
      </w:r>
      <w:r>
        <w:rPr>
          <w:noProof/>
          <w:lang w:val="fr-FR"/>
        </w:rPr>
        <w:t xml:space="preserve"> et les lettres de mission adressées à tous les membres de la Commission. Les dernières évolutions figurent dans la communication actualisée sur la gouvernance au sein de la Commission, publiée en même temps que le présent rapport</w:t>
      </w:r>
      <w:r>
        <w:rPr>
          <w:rStyle w:val="fnRef"/>
          <w:rFonts w:ascii="Arial" w:hAnsi="Arial"/>
          <w:noProof/>
          <w:lang w:val="fr-FR"/>
        </w:rPr>
        <w:t> </w:t>
      </w:r>
      <w:r>
        <w:rPr>
          <w:rStyle w:val="fnRef"/>
          <w:noProof/>
          <w:lang w:val="fr-FR"/>
        </w:rPr>
        <w:t>(</w:t>
      </w:r>
      <w:r>
        <w:rPr>
          <w:rStyle w:val="fnRefNo"/>
          <w:noProof/>
        </w:rPr>
        <w:footnoteReference w:id="3"/>
      </w:r>
      <w:r>
        <w:rPr>
          <w:rStyle w:val="fnRef"/>
          <w:noProof/>
          <w:lang w:val="fr-FR"/>
        </w:rPr>
        <w:t>)</w:t>
      </w:r>
      <w:r>
        <w:rPr>
          <w:noProof/>
          <w:lang w:val="fr-FR"/>
        </w:rPr>
        <w:t>.</w:t>
      </w:r>
    </w:p>
    <w:p>
      <w:pPr>
        <w:pStyle w:val="AMPRBodyText"/>
        <w:rPr>
          <w:noProof/>
          <w:lang w:val="fr-FR"/>
        </w:rPr>
      </w:pPr>
      <w:r>
        <w:rPr>
          <w:noProof/>
          <w:color w:val="auto"/>
          <w:lang w:val="fr-FR"/>
        </w:rPr>
        <w:t>Le</w:t>
      </w:r>
      <w:r>
        <w:rPr>
          <w:rStyle w:val="AMPRcharBoldBlue"/>
          <w:noProof/>
          <w:lang w:val="fr-FR"/>
        </w:rPr>
        <w:t xml:space="preserve"> collège des commissaires est politiquement responsable</w:t>
      </w:r>
      <w:r>
        <w:rPr>
          <w:noProof/>
          <w:color w:val="auto"/>
          <w:lang w:val="fr-FR"/>
        </w:rPr>
        <w:t xml:space="preserve"> de la gestion du</w:t>
      </w:r>
      <w:r>
        <w:rPr>
          <w:rStyle w:val="AMPRcharBoldBlue"/>
          <w:noProof/>
          <w:lang w:val="fr-FR"/>
        </w:rPr>
        <w:t xml:space="preserve"> budget de l’UE</w:t>
      </w:r>
      <w:r>
        <w:rPr>
          <w:noProof/>
          <w:color w:val="auto"/>
          <w:lang w:val="fr-FR"/>
        </w:rPr>
        <w:t xml:space="preserve">. </w:t>
      </w:r>
      <w:r>
        <w:rPr>
          <w:noProof/>
          <w:lang w:val="fr-FR"/>
        </w:rPr>
        <w:t>Les principaux éléments constitutifs de la gouvernance du budget de l’UE, qui s’appuient sur une répartition claire des responsabilités entre les niveaux politique et de gestion, conduisent à une solide chaîne d'obtention de l’assurance et d'obligation de rendre compte. Ils sont présentés dans le graphique qui suit. Au niveau de la Commission, le cadre de la responsabilité repose sur des responsabilités de gestion bien définies et l'établissement de rapports (voir ci-dessous).</w:t>
      </w:r>
    </w:p>
    <w:p>
      <w:pPr>
        <w:pStyle w:val="AMPRBodyText"/>
        <w:rPr>
          <w:noProof/>
          <w:lang w:val="fr-FR"/>
        </w:rPr>
      </w:pPr>
      <w:r>
        <w:rPr>
          <w:noProof/>
          <w:lang w:val="fr-FR"/>
        </w:rPr>
        <w:t>Ces solides modalités de gouvernance permettent au collège des commissaires de réaliser les objectifs de la Commission, d’utiliser les ressources de manière efficiente et efficace, et d’assurer une exécution du budget de l’UE conforme aux principes de bonne gestion financière.</w:t>
      </w:r>
    </w:p>
    <w:p>
      <w:pPr>
        <w:pStyle w:val="BodyText"/>
        <w:jc w:val="center"/>
        <w:rPr>
          <w:noProof/>
          <w:lang w:val="fr-FR"/>
        </w:rPr>
      </w:pPr>
    </w:p>
    <w:p>
      <w:pPr>
        <w:jc w:val="center"/>
        <w:rPr>
          <w:noProof/>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2658524</wp:posOffset>
                </wp:positionH>
                <wp:positionV relativeFrom="paragraph">
                  <wp:posOffset>5106421</wp:posOffset>
                </wp:positionV>
                <wp:extent cx="6686674" cy="463951"/>
                <wp:effectExtent l="6350" t="0" r="6350" b="6350"/>
                <wp:wrapNone/>
                <wp:docPr id="39" name="Text Box 39"/>
                <wp:cNvGraphicFramePr/>
                <a:graphic xmlns:a="http://schemas.openxmlformats.org/drawingml/2006/main">
                  <a:graphicData uri="http://schemas.microsoft.com/office/word/2010/wordprocessingShape">
                    <wps:wsp>
                      <wps:cNvSpPr txBox="1"/>
                      <wps:spPr>
                        <a:xfrm rot="16200000">
                          <a:off x="0" y="0"/>
                          <a:ext cx="6686674" cy="463951"/>
                        </a:xfrm>
                        <a:prstGeom prst="rect">
                          <a:avLst/>
                        </a:prstGeom>
                        <a:solidFill>
                          <a:sysClr val="window" lastClr="FFFFFF"/>
                        </a:solidFill>
                        <a:ln w="6350">
                          <a:noFill/>
                        </a:ln>
                      </wps:spPr>
                      <wps:txbx>
                        <w:txbxContent>
                          <w:p>
                            <w:pPr>
                              <w:pStyle w:val="AMPRCharttitle"/>
                              <w:rPr>
                                <w:lang w:val="fr-FR"/>
                              </w:rPr>
                            </w:pPr>
                            <w:r>
                              <w:rPr>
                                <w:lang w:val="fr-FR"/>
                              </w:rPr>
                              <w:t>La chaîne d'obtention de l’assurance et d'obligation de rendre compte de la Commission: des rôles et des responsabilités clairement définis.</w:t>
                            </w:r>
                          </w:p>
                          <w:p>
                            <w:pPr>
                              <w:rPr>
                                <w:sz w:val="16"/>
                                <w:szCs w:val="16"/>
                              </w:rPr>
                            </w:pPr>
                            <w:r>
                              <w:rPr>
                                <w:i/>
                                <w:sz w:val="16"/>
                                <w:szCs w:val="16"/>
                              </w:rPr>
                              <w:t>Source:</w:t>
                            </w:r>
                            <w:r>
                              <w:rPr>
                                <w:sz w:val="16"/>
                                <w:szCs w:val="16"/>
                              </w:rPr>
                              <w:t xml:space="preserve"> Commission européenne.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209.35pt;margin-top:402.1pt;width:526.5pt;height:36.5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" fillcolor="window" stroked="f" strokeweight=".5pt">
                <v:textbox>
                  <w:txbxContent>
                    <w:p>
                      <w:pPr>
                        <w:pStyle w:val="AMPRCharttitle"/>
                        <w:rPr>
                          <w:lang w:val="fr-FR"/>
                        </w:rPr>
                      </w:pPr>
                      <w:r>
                        <w:rPr>
                          <w:lang w:val="fr-FR"/>
                        </w:rPr>
                        <w:t>La chaîne d'obtention de l’assurance et d'obligation de rendre compte de la Commission: des rôles et des responsabilités clairement définis.</w:t>
                      </w:r>
                    </w:p>
                    <w:p>
                      <w:pPr>
                        <w:rPr>
                          <w:sz w:val="16"/>
                          <w:szCs w:val="16"/>
                        </w:rPr>
                      </w:pPr>
                      <w:r>
                        <w:rPr>
                          <w:i/>
                          <w:sz w:val="16"/>
                          <w:szCs w:val="16"/>
                        </w:rPr>
                        <w:t>Source:</w:t>
                      </w:r>
                      <w:r>
                        <w:rPr>
                          <w:sz w:val="16"/>
                          <w:szCs w:val="16"/>
                        </w:rPr>
                        <w:t xml:space="preserve"> Commission européenne.</w:t>
                      </w:r>
                    </w:p>
                  </w:txbxContent>
                </v:textbox>
              </v:shape>
            </w:pict>
          </mc:Fallback>
        </mc:AlternateContent>
      </w:r>
      <w:r>
        <w:rPr>
          <w:noProof/>
          <w:lang w:eastAsia="en-GB"/>
        </w:rPr>
        <w:drawing>
          <wp:inline distT="0" distB="0" distL="0" distR="0">
            <wp:extent cx="8735766" cy="5686336"/>
            <wp:effectExtent l="953"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8767315" cy="5706872"/>
                    </a:xfrm>
                    <a:prstGeom prst="rect">
                      <a:avLst/>
                    </a:prstGeom>
                    <a:noFill/>
                    <a:ln>
                      <a:noFill/>
                    </a:ln>
                  </pic:spPr>
                </pic:pic>
              </a:graphicData>
            </a:graphic>
          </wp:inline>
        </w:drawing>
      </w:r>
    </w:p>
    <w:p>
      <w:pPr>
        <w:pStyle w:val="BodyText"/>
        <w:spacing w:after="240"/>
        <w:rPr>
          <w:noProof/>
        </w:rPr>
      </w:pPr>
    </w:p>
    <w:p>
      <w:pPr>
        <w:pStyle w:val="AMPRSec2TITLE4"/>
        <w:rPr>
          <w:noProof/>
          <w:lang w:val="fr-FR"/>
        </w:rPr>
      </w:pPr>
      <w:r>
        <w:rPr>
          <w:noProof/>
          <w:lang w:val="fr-FR"/>
        </w:rPr>
        <w:t>Responsabilité et établissement de rapports au niveau des services</w:t>
      </w:r>
    </w:p>
    <w:p>
      <w:pPr>
        <w:pStyle w:val="AMPRBodyText"/>
        <w:rPr>
          <w:noProof/>
          <w:lang w:val="fr-FR"/>
        </w:rPr>
      </w:pPr>
      <w:r>
        <w:rPr>
          <w:noProof/>
          <w:lang w:val="fr-FR"/>
        </w:rPr>
        <w:t>Le collège des commissaires délègue la gestion opérationnelle courante aux 50 directeurs généraux</w:t>
      </w:r>
      <w:r>
        <w:rPr>
          <w:rStyle w:val="fnRef"/>
          <w:rFonts w:ascii="Arial" w:hAnsi="Arial"/>
          <w:noProof/>
          <w:lang w:val="fr-FR"/>
        </w:rPr>
        <w:t> </w:t>
      </w:r>
      <w:r>
        <w:rPr>
          <w:rStyle w:val="fnRef"/>
          <w:noProof/>
          <w:lang w:val="fr-FR"/>
        </w:rPr>
        <w:t>(</w:t>
      </w:r>
      <w:r>
        <w:rPr>
          <w:rStyle w:val="fnRefNo"/>
          <w:noProof/>
        </w:rPr>
        <w:footnoteReference w:id="4"/>
      </w:r>
      <w:r>
        <w:rPr>
          <w:rStyle w:val="fnRef"/>
          <w:noProof/>
          <w:lang w:val="fr-FR"/>
        </w:rPr>
        <w:t>)</w:t>
      </w:r>
      <w:r>
        <w:rPr>
          <w:noProof/>
          <w:lang w:val="fr-FR"/>
        </w:rPr>
        <w:t xml:space="preserve"> ou équivalents</w:t>
      </w:r>
      <w:r>
        <w:rPr>
          <w:rStyle w:val="fnRef"/>
          <w:rFonts w:ascii="Arial" w:hAnsi="Arial"/>
          <w:noProof/>
          <w:lang w:val="fr-FR"/>
        </w:rPr>
        <w:t> </w:t>
      </w:r>
      <w:r>
        <w:rPr>
          <w:rStyle w:val="fnRef"/>
          <w:noProof/>
          <w:lang w:val="fr-FR"/>
        </w:rPr>
        <w:t>(</w:t>
      </w:r>
      <w:r>
        <w:rPr>
          <w:rStyle w:val="fnRefNo"/>
          <w:noProof/>
        </w:rPr>
        <w:footnoteReference w:id="5"/>
      </w:r>
      <w:r>
        <w:rPr>
          <w:rStyle w:val="fnRef"/>
          <w:noProof/>
          <w:lang w:val="fr-FR"/>
        </w:rPr>
        <w:t>)</w:t>
      </w:r>
      <w:r>
        <w:rPr>
          <w:noProof/>
          <w:lang w:val="fr-FR"/>
        </w:rPr>
        <w:t xml:space="preserve"> (ci-après dénommés les directeurs généraux), qui dirigent les structures administratives de la Commission. Conformément aux règles et normes institutionnelles de la Commission, ils gèrent et adaptent leurs services afin d’atteindre leurs objectifs tels que définis dans leurs plans stratégiques et en tenant compte des ressources disponibles. Ils sont responsables de la part du budget de l’UE exécutée dans leurs services. </w:t>
      </w:r>
    </w:p>
    <w:p>
      <w:pPr>
        <w:pStyle w:val="AMPRBodyText"/>
        <w:rPr>
          <w:noProof/>
          <w:lang w:val="fr-FR"/>
        </w:rPr>
      </w:pPr>
      <w:r>
        <w:rPr>
          <w:noProof/>
          <w:lang w:val="fr-FR"/>
        </w:rPr>
        <w:t xml:space="preserve">Dans leurs rapports annuels d’activité, ils rendent compte, de manière transparente, des performances et des résultats obtenus, du fonctionnement de leurs systèmes de contrôle interne et de la gestion financière de leur part du budget de l’UE, en tenant compte de l’assurance fournie par les États membres dans le cadre de la gestion partagée. Dans la déclaration d’assurance, qui fait partie du rapport annuel d’activité, ils déclarent avoir l’assurance raisonnable que: </w:t>
      </w:r>
    </w:p>
    <w:p>
      <w:pPr>
        <w:pStyle w:val="AMPRListOrange-L1"/>
        <w:rPr>
          <w:noProof/>
          <w:lang w:val="fr-FR"/>
        </w:rPr>
      </w:pPr>
      <w:r>
        <w:rPr>
          <w:noProof/>
          <w:lang w:val="fr-FR"/>
        </w:rPr>
        <w:t xml:space="preserve">les informations contenues dans leur rapport donnent une «image fidèle» (c’est-à-dire fiable, exhaustive et correcte) de la situation dans leur direction générale; </w:t>
      </w:r>
    </w:p>
    <w:p>
      <w:pPr>
        <w:pStyle w:val="AMPRListOrange-L1"/>
        <w:rPr>
          <w:noProof/>
          <w:lang w:val="fr-FR"/>
        </w:rPr>
      </w:pPr>
      <w:r>
        <w:rPr>
          <w:noProof/>
          <w:lang w:val="fr-FR"/>
        </w:rPr>
        <w:t xml:space="preserve"> les ressources allouées à leur service ont été utilisées aux fins prévues et conformément au principe de bonne gestion financière; </w:t>
      </w:r>
    </w:p>
    <w:p>
      <w:pPr>
        <w:pStyle w:val="AMPRListOrange-L1"/>
        <w:rPr>
          <w:noProof/>
          <w:lang w:val="fr-FR"/>
        </w:rPr>
      </w:pPr>
      <w:r>
        <w:rPr>
          <w:noProof/>
          <w:lang w:val="fr-FR"/>
        </w:rPr>
        <w:t>les procédures de contrôle mises en place dans leur service offrent les garanties nécessaires quant à la légalité et à la régularité des opérations sous-jacentes.</w:t>
      </w:r>
    </w:p>
    <w:p>
      <w:pPr>
        <w:pStyle w:val="AMPRBodyText"/>
        <w:rPr>
          <w:noProof/>
          <w:lang w:val="fr-FR"/>
        </w:rPr>
      </w:pPr>
      <w:r>
        <w:rPr>
          <w:noProof/>
          <w:lang w:val="fr-FR"/>
        </w:rPr>
        <w:t xml:space="preserve">Pour obtenir cette assurance, les directeurs généraux utilisent toutes les informations disponibles (résumées dans leurs rapports annuels d’activités), à savoir: </w:t>
      </w:r>
    </w:p>
    <w:p>
      <w:pPr>
        <w:pStyle w:val="AMPRListOrange-L1"/>
        <w:rPr>
          <w:noProof/>
          <w:lang w:val="fr-FR"/>
        </w:rPr>
      </w:pPr>
      <w:r>
        <w:rPr>
          <w:noProof/>
          <w:lang w:val="fr-FR"/>
        </w:rPr>
        <w:t xml:space="preserve">les résultats des contrôles effectués par leurs propres services ou en leur nom; </w:t>
      </w:r>
    </w:p>
    <w:p>
      <w:pPr>
        <w:pStyle w:val="AMPRListOrange-L1"/>
        <w:rPr>
          <w:noProof/>
          <w:lang w:val="fr-FR"/>
        </w:rPr>
      </w:pPr>
      <w:r>
        <w:rPr>
          <w:noProof/>
          <w:lang w:val="fr-FR"/>
        </w:rPr>
        <w:t>les informations relatives à la gestion et au contrôle communiquées par les États membres et les autres entités chargées de l’exécution sur la base de leurs propres systèmes de contrôle, en cas de gestion partagée et indirecte;</w:t>
      </w:r>
    </w:p>
    <w:p>
      <w:pPr>
        <w:pStyle w:val="AMPRListOrange-L1"/>
        <w:rPr>
          <w:noProof/>
          <w:lang w:val="fr-FR"/>
        </w:rPr>
      </w:pPr>
      <w:r>
        <w:rPr>
          <w:noProof/>
          <w:lang w:val="fr-FR"/>
        </w:rPr>
        <w:t>les travaux menés par le service d’audit interne (voir annexe</w:t>
      </w:r>
      <w:r>
        <w:rPr>
          <w:rFonts w:ascii="Calibri" w:hAnsi="Calibri"/>
          <w:noProof/>
          <w:lang w:val="fr-FR"/>
        </w:rPr>
        <w:t> </w:t>
      </w:r>
      <w:r>
        <w:rPr>
          <w:noProof/>
          <w:lang w:val="fr-FR"/>
        </w:rPr>
        <w:t>6);</w:t>
      </w:r>
    </w:p>
    <w:p>
      <w:pPr>
        <w:pStyle w:val="AMPRListOrange-L1"/>
        <w:rPr>
          <w:noProof/>
          <w:lang w:val="fr-FR"/>
        </w:rPr>
      </w:pPr>
      <w:r>
        <w:rPr>
          <w:noProof/>
          <w:lang w:val="fr-FR"/>
        </w:rPr>
        <w:t>les audits de la Cour des comptes européenne, l’auditeur externe indépendant de l’UE.</w:t>
      </w:r>
    </w:p>
    <w:p>
      <w:pPr>
        <w:pStyle w:val="AMPRBodyText"/>
        <w:rPr>
          <w:noProof/>
          <w:lang w:val="fr-FR"/>
        </w:rPr>
      </w:pPr>
      <w:r>
        <w:rPr>
          <w:noProof/>
          <w:lang w:val="fr-FR"/>
        </w:rPr>
        <w:t>S’ils constatent des lacunes ayant des répercussions importantes, ils sont tenus d’assortir leur déclaration d’assurance d’une réserve. Parallèlement, ils mettent en place des plans d’action visant à atténuer les risques futurs et à renforcer leurs systèmes de contrôle (voir section</w:t>
      </w:r>
      <w:r>
        <w:rPr>
          <w:rFonts w:ascii="Calibri" w:hAnsi="Calibri"/>
          <w:noProof/>
          <w:lang w:val="fr-FR"/>
        </w:rPr>
        <w:t> </w:t>
      </w:r>
      <w:r>
        <w:rPr>
          <w:noProof/>
          <w:lang w:val="fr-FR"/>
        </w:rPr>
        <w:t>2.3.5 et annexe 4).</w:t>
      </w:r>
    </w:p>
    <w:p>
      <w:pPr>
        <w:pStyle w:val="AMPRSec2TITLE4"/>
        <w:spacing w:before="600"/>
        <w:rPr>
          <w:noProof/>
          <w:lang w:val="fr-FR"/>
        </w:rPr>
      </w:pPr>
      <w:r>
        <w:rPr>
          <w:noProof/>
          <w:lang w:val="fr-FR"/>
        </w:rPr>
        <w:t>Responsabilité et établissement de rapports au niveau institutionnel</w:t>
      </w:r>
    </w:p>
    <w:p>
      <w:pPr>
        <w:pStyle w:val="AMPRBodyText"/>
        <w:rPr>
          <w:noProof/>
          <w:lang w:val="fr-FR"/>
        </w:rPr>
      </w:pPr>
      <w:r>
        <w:rPr>
          <w:noProof/>
          <w:lang w:val="fr-FR"/>
        </w:rPr>
        <w:t>Le rapport annuel sur la gestion et la performance du budget de l’UE présente la situation au niveau de la Commission. Ce rapport fait partie d’un ensemble de rapports financiers et sur la responsabilité intégrés de la Commission</w:t>
      </w:r>
      <w:r>
        <w:rPr>
          <w:rStyle w:val="fnRef"/>
          <w:rFonts w:ascii="Arial" w:hAnsi="Arial"/>
          <w:noProof/>
          <w:lang w:val="fr-FR"/>
        </w:rPr>
        <w:t> </w:t>
      </w:r>
      <w:r>
        <w:rPr>
          <w:rStyle w:val="fnRef"/>
          <w:noProof/>
          <w:lang w:val="fr-FR"/>
        </w:rPr>
        <w:t>(</w:t>
      </w:r>
      <w:r>
        <w:rPr>
          <w:rStyle w:val="fnRefNo"/>
          <w:noProof/>
        </w:rPr>
        <w:footnoteReference w:id="6"/>
      </w:r>
      <w:r>
        <w:rPr>
          <w:rStyle w:val="fnRef"/>
          <w:noProof/>
          <w:lang w:val="fr-FR"/>
        </w:rPr>
        <w:t>)</w:t>
      </w:r>
      <w:r>
        <w:rPr>
          <w:noProof/>
          <w:lang w:val="fr-FR"/>
        </w:rPr>
        <w:t xml:space="preserve">, qui est adopté par le collège et se fonde sur l’assurance et les réserves contenues dans tous les rapports annuels d’activités. </w:t>
      </w:r>
    </w:p>
    <w:p>
      <w:pPr>
        <w:pStyle w:val="AMPRBodyText"/>
        <w:rPr>
          <w:noProof/>
          <w:lang w:val="fr-FR"/>
        </w:rPr>
      </w:pPr>
      <w:r>
        <w:rPr>
          <w:noProof/>
          <w:lang w:val="fr-FR"/>
        </w:rPr>
        <w:t>La procédure de décharge annuelle qui s’en suit permet au Parlement européen et au Conseil de tenir la Commission politiquement responsable de l’exécution du budget de l’UE. La décision du Parlement européen sur la décharge est fondée sur:</w:t>
      </w:r>
    </w:p>
    <w:p>
      <w:pPr>
        <w:pStyle w:val="AMPRListOrange-L1"/>
        <w:rPr>
          <w:noProof/>
          <w:lang w:val="fr-FR"/>
        </w:rPr>
      </w:pPr>
      <w:r>
        <w:rPr>
          <w:noProof/>
          <w:lang w:val="fr-FR"/>
        </w:rPr>
        <w:t>les rapports de la Cour des comptes européenne dans lesquels elle formule un avis sur la fiabilité des comptes annuels et un avis sur la régularité des recettes et des dépenses, et présente les résultats de ses audits portant sur des dépenses ou des domaines d’action spécifiques, ou sur des questions budgétaires ou de gestion;</w:t>
      </w:r>
    </w:p>
    <w:p>
      <w:pPr>
        <w:pStyle w:val="AMPRListOrange-L1"/>
        <w:rPr>
          <w:noProof/>
          <w:lang w:val="fr-FR"/>
        </w:rPr>
      </w:pPr>
      <w:r>
        <w:rPr>
          <w:noProof/>
          <w:lang w:val="fr-FR"/>
        </w:rPr>
        <w:t>les rapports financiers et sur la responsabilité intégrés de la Commission;</w:t>
      </w:r>
    </w:p>
    <w:p>
      <w:pPr>
        <w:pStyle w:val="AMPRListOrange-L1"/>
        <w:rPr>
          <w:noProof/>
          <w:lang w:val="fr-FR"/>
        </w:rPr>
      </w:pPr>
      <w:r>
        <w:rPr>
          <w:noProof/>
          <w:lang w:val="fr-FR"/>
        </w:rPr>
        <w:t>les auditions des commissaires et des directeurs généraux et les réponses aux questions écrites;</w:t>
      </w:r>
    </w:p>
    <w:p>
      <w:pPr>
        <w:pStyle w:val="AMPRListOrange-L1"/>
        <w:rPr>
          <w:noProof/>
        </w:rPr>
      </w:pPr>
      <w:r>
        <w:rPr>
          <w:noProof/>
        </w:rPr>
        <w:t>une recommandation du Conseil.</w:t>
      </w:r>
    </w:p>
    <w:p>
      <w:pPr>
        <w:pStyle w:val="AMPRBodyText"/>
        <w:rPr>
          <w:noProof/>
          <w:lang w:val="fr-FR"/>
        </w:rPr>
      </w:pPr>
      <w:r>
        <w:rPr>
          <w:noProof/>
          <w:lang w:val="fr-FR"/>
        </w:rPr>
        <w:t xml:space="preserve">La Commission fait chaque année rapport sur son suivi des demandes qui lui sont adressées par le Parlement européen et le Conseil au cours de la procédure de décharge.  </w:t>
      </w:r>
    </w:p>
    <w:p>
      <w:pPr>
        <w:pStyle w:val="AMPRSec2TITLE2-numbered"/>
        <w:rPr>
          <w:noProof/>
          <w:lang w:val="fr-FR"/>
        </w:rPr>
      </w:pPr>
      <w:bookmarkStart w:id="20" w:name="_Toc37166572"/>
      <w:bookmarkStart w:id="21" w:name="_Toc37948906"/>
      <w:bookmarkStart w:id="22" w:name="_Toc37955821"/>
      <w:bookmarkStart w:id="23" w:name="_Toc37956055"/>
      <w:r>
        <w:rPr>
          <w:noProof/>
          <w:lang w:val="fr-FR"/>
        </w:rPr>
        <w:t>La Commission s’appuie sur différents instruments pour faire en sorte que l’argent des contribuables soit bien géré</w:t>
      </w:r>
      <w:bookmarkEnd w:id="20"/>
      <w:bookmarkEnd w:id="21"/>
      <w:bookmarkEnd w:id="22"/>
      <w:bookmarkEnd w:id="23"/>
    </w:p>
    <w:p>
      <w:pPr>
        <w:pStyle w:val="AMPRBodyText"/>
        <w:rPr>
          <w:noProof/>
          <w:lang w:val="fr-FR"/>
        </w:rPr>
      </w:pPr>
      <w:r>
        <w:rPr>
          <w:noProof/>
          <w:lang w:val="fr-FR"/>
        </w:rPr>
        <w:t>Pour veiller à ce que le budget soit bien exécuté et protégé contre les lacunes et les irrégularités dans cet environnement complexe, la Commission dispose de plusieurs instruments.</w:t>
      </w:r>
    </w:p>
    <w:p>
      <w:pPr>
        <w:pStyle w:val="AMPRSec2TITLE3-numbered"/>
        <w:rPr>
          <w:noProof/>
          <w:lang w:val="fr-FR"/>
        </w:rPr>
      </w:pPr>
      <w:r>
        <w:rPr>
          <w:noProof/>
          <w:lang w:val="fr-FR"/>
        </w:rPr>
        <w:t>Un solide cadre de contrôle interne</w:t>
      </w:r>
    </w:p>
    <w:p>
      <w:pPr>
        <w:pStyle w:val="AMPRBodyText"/>
        <w:rPr>
          <w:noProof/>
          <w:lang w:val="fr-FR"/>
        </w:rPr>
      </w:pPr>
      <w:r>
        <w:rPr>
          <w:noProof/>
          <w:lang w:val="fr-FR"/>
        </w:rPr>
        <w:t xml:space="preserve">La Commission a mis en place un </w:t>
      </w:r>
      <w:r>
        <w:rPr>
          <w:rStyle w:val="AMPRcharBoldBlue"/>
          <w:noProof/>
          <w:lang w:val="fr-FR"/>
        </w:rPr>
        <w:t>solide cadre institutionnel de contrôle interne</w:t>
      </w:r>
      <w:r>
        <w:rPr>
          <w:noProof/>
          <w:lang w:val="fr-FR"/>
        </w:rPr>
        <w:t>,</w:t>
      </w:r>
      <w:r>
        <w:rPr>
          <w:noProof/>
          <w:color w:val="auto"/>
          <w:lang w:val="fr-FR"/>
        </w:rPr>
        <w:t xml:space="preserve"> </w:t>
      </w:r>
      <w:r>
        <w:rPr>
          <w:noProof/>
          <w:lang w:val="fr-FR"/>
        </w:rPr>
        <w:t>fondé sur les normes internationales les plus élevées</w:t>
      </w:r>
      <w:r>
        <w:rPr>
          <w:rStyle w:val="fnRef"/>
          <w:rFonts w:ascii="Arial" w:hAnsi="Arial"/>
          <w:noProof/>
          <w:lang w:val="fr-FR"/>
        </w:rPr>
        <w:t> </w:t>
      </w:r>
      <w:r>
        <w:rPr>
          <w:rStyle w:val="fnRef"/>
          <w:noProof/>
          <w:lang w:val="fr-FR"/>
        </w:rPr>
        <w:t>(</w:t>
      </w:r>
      <w:r>
        <w:rPr>
          <w:rStyle w:val="fnRefNo"/>
          <w:noProof/>
        </w:rPr>
        <w:footnoteReference w:id="7"/>
      </w:r>
      <w:r>
        <w:rPr>
          <w:rStyle w:val="fnRef"/>
          <w:noProof/>
          <w:lang w:val="fr-FR"/>
        </w:rPr>
        <w:t>)</w:t>
      </w:r>
      <w:r>
        <w:rPr>
          <w:noProof/>
          <w:lang w:val="fr-FR"/>
        </w:rPr>
        <w:t xml:space="preserve">. </w:t>
      </w:r>
    </w:p>
    <w:p>
      <w:pPr>
        <w:pStyle w:val="AMPRBodyText"/>
        <w:rPr>
          <w:noProof/>
          <w:lang w:val="fr-FR"/>
        </w:rPr>
      </w:pPr>
      <w:r>
        <w:rPr>
          <w:noProof/>
          <w:lang w:val="fr-FR"/>
        </w:rPr>
        <w:t>Les directeurs généraux mettent en œuvre ce cadre institutionnel au sein de leurs services au moyen de systèmes de contrôle interne adaptés, en tenant compte de leurs environnements opérationnels, risques et besoins spécifiques. Ils sont aidés dans cette tâche par les services centraux</w:t>
      </w:r>
      <w:r>
        <w:rPr>
          <w:rStyle w:val="fnRef"/>
          <w:rFonts w:ascii="Arial" w:hAnsi="Arial"/>
          <w:noProof/>
          <w:lang w:val="fr-FR"/>
        </w:rPr>
        <w:t> </w:t>
      </w:r>
      <w:r>
        <w:rPr>
          <w:rStyle w:val="fnRef"/>
          <w:noProof/>
          <w:lang w:val="fr-FR"/>
        </w:rPr>
        <w:t>(</w:t>
      </w:r>
      <w:r>
        <w:rPr>
          <w:rStyle w:val="fnRefNo"/>
          <w:noProof/>
        </w:rPr>
        <w:footnoteReference w:id="8"/>
      </w:r>
      <w:r>
        <w:rPr>
          <w:rStyle w:val="fnRef"/>
          <w:noProof/>
          <w:lang w:val="fr-FR"/>
        </w:rPr>
        <w:t>)</w:t>
      </w:r>
      <w:r>
        <w:rPr>
          <w:noProof/>
          <w:lang w:val="fr-FR"/>
        </w:rPr>
        <w:t xml:space="preserve">, qui fournissent des instructions, des orientations et des conseils et facilitent le partage des bonnes pratiques. Chaque année, ils évaluent le fonctionnement de leurs systèmes de contrôle interne selon une méthode commune et résument leurs conclusions dans leur rapport annuel d’activité. </w:t>
      </w:r>
    </w:p>
    <w:p>
      <w:pPr>
        <w:pStyle w:val="AMPRBodyText"/>
        <w:rPr>
          <w:noProof/>
          <w:lang w:val="fr-FR"/>
        </w:rPr>
      </w:pPr>
      <w:r>
        <w:rPr>
          <w:noProof/>
          <w:lang w:val="fr-FR"/>
        </w:rPr>
        <w:t>En outre, le service d’audit interne peut effectuer des missions d’audit sur le fonctionnement des systèmes de contrôle interne et sur l’évaluation de ces systèmes par les services de la Commission (voir annexe</w:t>
      </w:r>
      <w:r>
        <w:rPr>
          <w:rFonts w:ascii="Calibri" w:hAnsi="Calibri"/>
          <w:noProof/>
          <w:lang w:val="fr-FR"/>
        </w:rPr>
        <w:t> </w:t>
      </w:r>
      <w:r>
        <w:rPr>
          <w:noProof/>
          <w:lang w:val="fr-FR"/>
        </w:rPr>
        <w:t xml:space="preserve">6). </w:t>
      </w:r>
    </w:p>
    <w:p>
      <w:pPr>
        <w:pStyle w:val="AMPRBodyText"/>
        <w:rPr>
          <w:noProof/>
          <w:lang w:val="fr-FR"/>
        </w:rPr>
      </w:pPr>
      <w:r>
        <w:rPr>
          <w:rStyle w:val="AMPRcharBoldBlue"/>
          <w:noProof/>
          <w:lang w:val="fr-FR"/>
        </w:rPr>
        <w:t>Pour 2019</w:t>
      </w:r>
      <w:r>
        <w:rPr>
          <w:noProof/>
          <w:lang w:val="fr-FR"/>
        </w:rPr>
        <w:t xml:space="preserve">, la deuxième année de mise en œuvre complète du cadre de contrôle interne actuel, les évaluations effectuées par les services de la Commission indiquent que leurs </w:t>
      </w:r>
      <w:r>
        <w:rPr>
          <w:rStyle w:val="AMPRcharBoldBlue"/>
          <w:noProof/>
          <w:lang w:val="fr-FR"/>
        </w:rPr>
        <w:t>systèmes de contrôle interne restent efficaces</w:t>
      </w:r>
      <w:r>
        <w:rPr>
          <w:noProof/>
          <w:lang w:val="fr-FR"/>
        </w:rPr>
        <w:t xml:space="preserve">. La situation globale est présentée dans le graphique ci-dessous. </w:t>
      </w:r>
    </w:p>
    <w:p>
      <w:pPr>
        <w:pStyle w:val="AMPRBodyText"/>
        <w:rPr>
          <w:noProof/>
          <w:lang w:val="fr-FR"/>
        </w:rPr>
      </w:pPr>
      <w:r>
        <w:rPr>
          <w:noProof/>
          <w:lang w:val="fr-FR"/>
        </w:rPr>
        <w:t xml:space="preserve">L’évaluation confirme les améliorations apportées en ce qui concerne les activités de contrôle, l’incidence positive du renforcement de la surveillance institutionnelle en matière d’identification et de gestion des risques, ainsi que des améliorations dans le domaine des technologies de l’information. </w:t>
      </w:r>
    </w:p>
    <w:p>
      <w:pPr>
        <w:pStyle w:val="AMPRBodyText"/>
        <w:rPr>
          <w:noProof/>
          <w:lang w:val="fr-FR"/>
        </w:rPr>
      </w:pPr>
      <w:r>
        <w:rPr>
          <w:noProof/>
          <w:lang w:val="fr-FR"/>
        </w:rPr>
        <w:t>Ces résultats démontrent que la Commission a atteint un niveau de contrôle interne avancé. Les services centraux continueront de fournir des orientations et de faciliter le partage de bonnes pratiques afin de promouvoir davantage le cadre de contrôle interne en tant qu’outil de gestion qui aide l’organisation à atteindre ses objectifs.</w:t>
      </w:r>
    </w:p>
    <w:p>
      <w:pPr>
        <w:pStyle w:val="BodyText"/>
        <w:rPr>
          <w:noProof/>
          <w:lang w:val="fr-FR" w:eastAsia="zh-CN"/>
        </w:rPr>
      </w:pPr>
    </w:p>
    <w:p>
      <w:pPr>
        <w:rPr>
          <w:noProof/>
          <w:lang w:eastAsia="zh-CN"/>
        </w:rPr>
      </w:pPr>
      <w:r>
        <w:rPr>
          <w:noProof/>
          <w:lang w:val="fr-FR" w:eastAsia="zh-CN"/>
        </w:rPr>
        <w:br w:type="page"/>
      </w:r>
      <w:r>
        <w:rPr>
          <w:noProof/>
          <w:lang w:eastAsia="en-GB"/>
        </w:rPr>
        <w:drawing>
          <wp:inline distT="0" distB="0" distL="0" distR="0">
            <wp:extent cx="5979372" cy="3960056"/>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89353" cy="3966666"/>
                    </a:xfrm>
                    <a:prstGeom prst="rect">
                      <a:avLst/>
                    </a:prstGeom>
                  </pic:spPr>
                </pic:pic>
              </a:graphicData>
            </a:graphic>
          </wp:inline>
        </w:drawing>
      </w:r>
    </w:p>
    <w:p>
      <w:pPr>
        <w:pStyle w:val="AMPRCharttitle"/>
        <w:rPr>
          <w:noProof/>
          <w:lang w:val="fr-FR"/>
        </w:rPr>
      </w:pPr>
      <w:r>
        <w:rPr>
          <w:noProof/>
          <w:lang w:val="fr-FR"/>
        </w:rPr>
        <w:t>Évaluation du fonctionnement des 17 principes de contrôle interne</w:t>
      </w:r>
    </w:p>
    <w:p>
      <w:pPr>
        <w:pStyle w:val="AMPRSource-Table-Chart-Photo-Caption"/>
        <w:rPr>
          <w:i/>
          <w:noProof/>
          <w:lang w:val="fr-FR"/>
        </w:rPr>
      </w:pPr>
      <w:r>
        <w:rPr>
          <w:i/>
          <w:noProof/>
          <w:lang w:val="fr-FR"/>
        </w:rPr>
        <w:t xml:space="preserve">Source: </w:t>
      </w:r>
      <w:r>
        <w:rPr>
          <w:noProof/>
          <w:lang w:val="fr-FR"/>
        </w:rPr>
        <w:t>rapports annuels d’activités de la Commission européenne.</w:t>
      </w:r>
    </w:p>
    <w:p>
      <w:pPr>
        <w:pStyle w:val="AMPRSec2TITLE3-numbered"/>
        <w:rPr>
          <w:noProof/>
          <w:lang w:val="fr-FR"/>
        </w:rPr>
      </w:pPr>
      <w:r>
        <w:rPr>
          <w:noProof/>
          <w:lang w:val="fr-FR"/>
        </w:rPr>
        <w:t>Les stratégies de contrôle pluriannuelles garantissent que l’argent des contribuables est dépensé correctement</w:t>
      </w:r>
    </w:p>
    <w:p>
      <w:pPr>
        <w:pStyle w:val="AMPRBodyText"/>
        <w:rPr>
          <w:noProof/>
          <w:lang w:val="fr-FR"/>
        </w:rPr>
      </w:pPr>
      <w:r>
        <w:rPr>
          <w:noProof/>
          <w:lang w:val="fr-FR"/>
        </w:rPr>
        <w:t>Dans le cadre institutionnel de la Commission, les directeurs généraux, en tant que gestionnaires du budget de l’UE, mettent en place des stratégies de contrôle pluriannuelles destinées à prévenir les erreurs et, si cela n'est pas possible, à les détecter et à les corriger. Pour ce faire, ils doivent obtenir leur assurance en partant de la base et évaluer les erreurs affectant les dépenses de l’UE à un niveau détaillé, c’est-à-dire par programme ou autre segment de dépenses pertinent. Cette démarche permet à la Commission de détecter les faiblesses et de les corriger, ainsi que de déceler les causes profondes des erreurs systémiques (par exemple, la complexité des règles), de prendre des mesures correctives ciblées et de veiller à ce que les enseignements tirés soient pris en considération dans la conception des futurs programmes financiers.</w:t>
      </w:r>
    </w:p>
    <w:p>
      <w:pPr>
        <w:pStyle w:val="AMPRSec2TITLE4"/>
        <w:rPr>
          <w:noProof/>
          <w:lang w:val="fr-FR"/>
        </w:rPr>
      </w:pPr>
      <w:r>
        <w:rPr>
          <w:noProof/>
          <w:lang w:val="fr-FR"/>
        </w:rPr>
        <w:t>De la prévention à la détection et à la correction</w:t>
      </w:r>
    </w:p>
    <w:p>
      <w:pPr>
        <w:pStyle w:val="AMPRBodyText"/>
        <w:rPr>
          <w:noProof/>
          <w:lang w:val="fr-FR"/>
        </w:rPr>
      </w:pPr>
      <w:r>
        <w:rPr>
          <w:noProof/>
          <w:lang w:val="fr-FR"/>
        </w:rPr>
        <w:t xml:space="preserve">Les programmes de dépenses de l’Union revêtant un caractère </w:t>
      </w:r>
      <w:r>
        <w:rPr>
          <w:rStyle w:val="AMPRcharBoldBlue"/>
          <w:noProof/>
          <w:lang w:val="fr-FR"/>
        </w:rPr>
        <w:t>pluriannuel</w:t>
      </w:r>
      <w:r>
        <w:rPr>
          <w:noProof/>
          <w:lang w:val="fr-FR"/>
        </w:rPr>
        <w:t>,</w:t>
      </w:r>
      <w:r>
        <w:rPr>
          <w:noProof/>
          <w:color w:val="auto"/>
          <w:lang w:val="fr-FR"/>
        </w:rPr>
        <w:t xml:space="preserve"> </w:t>
      </w:r>
      <w:r>
        <w:rPr>
          <w:noProof/>
          <w:lang w:val="fr-FR"/>
        </w:rPr>
        <w:t xml:space="preserve">les systèmes de contrôle et les cycles de gestion connexes portent également sur plusieurs années. Cela signifie que si des erreurs peuvent être détectées au cours d’une année donnée, elles sont corrigées au cours de l'année ou des années suivant le paiement, jusqu’au moment de la clôture à la fin du cycle de vie des programmes. En outre, les stratégies de contrôle sont </w:t>
      </w:r>
      <w:r>
        <w:rPr>
          <w:rStyle w:val="AMPRcharBoldBlue"/>
          <w:noProof/>
          <w:lang w:val="fr-FR"/>
        </w:rPr>
        <w:t>différenciées selon les risques</w:t>
      </w:r>
      <w:r>
        <w:rPr>
          <w:noProof/>
          <w:lang w:val="fr-FR"/>
        </w:rPr>
        <w:t xml:space="preserve">, c’est-à-dire qu’elles sont adaptées aux différents modes de gestion, domaines d’action et/ou dispositifs de financement et aux risques qui y sont associés. </w:t>
      </w:r>
    </w:p>
    <w:p>
      <w:pPr>
        <w:rPr>
          <w:noProof/>
          <w:lang w:val="fr-FR"/>
        </w:rPr>
      </w:pPr>
    </w:p>
    <w:p>
      <w:pPr>
        <w:rPr>
          <w:noProof/>
        </w:rPr>
      </w:pPr>
      <w:r>
        <w:rPr>
          <w:noProof/>
          <w:lang w:eastAsia="en-GB"/>
        </w:rPr>
        <w:drawing>
          <wp:inline distT="0" distB="0" distL="0" distR="0">
            <wp:extent cx="5760720" cy="48049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4804908"/>
                    </a:xfrm>
                    <a:prstGeom prst="rect">
                      <a:avLst/>
                    </a:prstGeom>
                  </pic:spPr>
                </pic:pic>
              </a:graphicData>
            </a:graphic>
          </wp:inline>
        </w:drawing>
      </w:r>
    </w:p>
    <w:p>
      <w:pPr>
        <w:pStyle w:val="AMPRCharttitle"/>
        <w:spacing w:before="60"/>
        <w:rPr>
          <w:noProof/>
          <w:lang w:val="fr-FR"/>
        </w:rPr>
      </w:pPr>
      <w:r>
        <w:rPr>
          <w:noProof/>
          <w:lang w:val="fr-FR"/>
        </w:rPr>
        <w:t>Le cycle de contrôle pluriannuel de la Commission (pour les résultats 2019 mentionnés à l’intérieur des cercles, voir section</w:t>
      </w:r>
      <w:r>
        <w:rPr>
          <w:rFonts w:ascii="Calibri" w:hAnsi="Calibri"/>
          <w:noProof/>
          <w:lang w:val="fr-FR"/>
        </w:rPr>
        <w:t> </w:t>
      </w:r>
      <w:r>
        <w:rPr>
          <w:noProof/>
          <w:lang w:val="fr-FR"/>
        </w:rPr>
        <w:t>2.3.1 ci-dessous)</w:t>
      </w:r>
    </w:p>
    <w:p>
      <w:pPr>
        <w:pStyle w:val="AMPRSource-Table-Chart-Photo-Caption"/>
        <w:spacing w:after="120"/>
        <w:rPr>
          <w:noProof/>
          <w:lang w:val="fr-FR"/>
        </w:rPr>
      </w:pPr>
      <w:r>
        <w:rPr>
          <w:i/>
          <w:iCs w:val="0"/>
          <w:noProof/>
          <w:lang w:val="fr-FR"/>
        </w:rPr>
        <w:t>Source:</w:t>
      </w:r>
      <w:r>
        <w:rPr>
          <w:noProof/>
          <w:lang w:val="fr-FR"/>
        </w:rPr>
        <w:t xml:space="preserve"> Commission européenne.</w:t>
      </w:r>
    </w:p>
    <w:p>
      <w:pPr>
        <w:pStyle w:val="AMPRBOXB-bgWHITElnBLUE-BLACKtext"/>
        <w:pBdr>
          <w:bottom w:val="dashSmallGap" w:sz="12" w:space="7" w:color="4E9DD6"/>
        </w:pBdr>
        <w:rPr>
          <w:rStyle w:val="AMPRcharBoldBlue"/>
          <w:rFonts w:eastAsia="Calibri" w:cstheme="minorBidi"/>
          <w:iCs/>
          <w:noProof/>
          <w:sz w:val="16"/>
          <w:szCs w:val="16"/>
          <w:lang w:val="fr-FR"/>
        </w:rPr>
      </w:pPr>
      <w:r>
        <w:rPr>
          <w:rStyle w:val="AMPRcharBoldBlue"/>
          <w:noProof/>
          <w:lang w:val="fr-FR"/>
        </w:rPr>
        <w:t>Prévention des erreurs</w:t>
      </w:r>
    </w:p>
    <w:p>
      <w:pPr>
        <w:pStyle w:val="AMPRBOXB-bgWHITElnBLUE-BLACKtext"/>
        <w:pBdr>
          <w:bottom w:val="dashSmallGap" w:sz="12" w:space="7" w:color="4E9DD6"/>
        </w:pBdr>
        <w:rPr>
          <w:noProof/>
          <w:spacing w:val="-1"/>
          <w:lang w:val="fr-FR"/>
        </w:rPr>
      </w:pPr>
      <w:r>
        <w:rPr>
          <w:noProof/>
          <w:lang w:val="fr-FR"/>
        </w:rPr>
        <w:t>La prévention constitue la première ligne de maîtrise contre les erreurs. Les principaux mécanismes de prévention de la Commission comprennent des vérifications des autorités de gestion des États membres (dans le cadre de la gestion partagée), les contrôles ex ante aboutissant au rejet de montants inéligibles avant que la Commission n’accepte les dépenses et effectue les paiements, des audits de systèmes visant à détecter les faiblesses des systèmes de gestion et de contrôle des partenaires chargés de la mise en œuvre (à titre préventif pour les dépenses futures) et l’interruption et la suspension des paiements jusqu’à ce que les défaillances des systèmes soient corrigées.</w:t>
      </w:r>
    </w:p>
    <w:p>
      <w:pPr>
        <w:pStyle w:val="AMPRBOXB-bgWHITElnBLUE-BLACKtext"/>
        <w:pBdr>
          <w:bottom w:val="dashSmallGap" w:sz="12" w:space="7" w:color="4E9DD6"/>
        </w:pBdr>
        <w:rPr>
          <w:rStyle w:val="AMPRcharBoldBlue"/>
          <w:noProof/>
          <w:spacing w:val="-1"/>
          <w:lang w:val="fr-FR"/>
        </w:rPr>
      </w:pPr>
      <w:r>
        <w:rPr>
          <w:rStyle w:val="AMPRcharBoldBlue"/>
          <w:noProof/>
          <w:lang w:val="fr-FR"/>
        </w:rPr>
        <w:t>Ces mesures incitent également les États membres à corriger les paiements avant de soumettre leurs déclarations de coûts à la Commission. Cela explique pourquoi, dans le cadre de la gestion partagée, le risque au moment du paiement est relativement faible pour les paiements versés par la Commission aux États membres, étant donné que les États membres ont déjà corrigé les erreurs à leur niveau avant de soumettre à la Commission leurs demandes de paiement ou leurs comptes annuels pour apurement.</w:t>
      </w:r>
    </w:p>
    <w:p>
      <w:pPr>
        <w:pStyle w:val="AMPRBOXB-bgWHITElnBLUE-BLACKtext"/>
        <w:pBdr>
          <w:bottom w:val="dashSmallGap" w:sz="12" w:space="7" w:color="4E9DD6"/>
        </w:pBdr>
        <w:rPr>
          <w:rStyle w:val="AMPRcharBoldBlue"/>
          <w:b w:val="0"/>
          <w:noProof/>
          <w:color w:val="auto"/>
          <w:spacing w:val="-1"/>
          <w:lang w:val="fr-FR"/>
        </w:rPr>
      </w:pPr>
      <w:r>
        <w:rPr>
          <w:rStyle w:val="AMPRcharBoldBlue"/>
          <w:b w:val="0"/>
          <w:noProof/>
          <w:color w:val="auto"/>
          <w:lang w:val="fr-FR"/>
        </w:rPr>
        <w:t>En 2019, les mesures préventives confirmées se sont élevées à 416 millions d’EUR. Il s’agit notamment des déductions et autres ajustements effectués avant le paiement/acceptation des comptes par la Commission, des déductions des États membres sur les nouvelles dépenses déclarées à la Commission (déductions à la source) et d’autres ajustements ex ante.</w:t>
      </w:r>
    </w:p>
    <w:p>
      <w:pPr>
        <w:pStyle w:val="AMPRBOXB-bgWHITElnBLUE-BLACKtext"/>
        <w:pBdr>
          <w:bottom w:val="dashSmallGap" w:sz="12" w:space="7" w:color="4E9DD6"/>
        </w:pBdr>
        <w:rPr>
          <w:rStyle w:val="AMPRcharBoldBlue"/>
          <w:b w:val="0"/>
          <w:noProof/>
          <w:color w:val="auto"/>
          <w:spacing w:val="-1"/>
          <w:lang w:val="fr-FR"/>
        </w:rPr>
      </w:pPr>
      <w:r>
        <w:rPr>
          <w:rStyle w:val="AMPRcharBoldBlue"/>
          <w:b w:val="0"/>
          <w:noProof/>
          <w:color w:val="auto"/>
          <w:lang w:val="fr-FR"/>
        </w:rPr>
        <w:t>En outre, pour les fonds de la politique de cohésion, les États membres ont appliqué des corrections d’un montant total de 670 millions d’EUR pour la période 2014-2020. Cette situation résulte du renforcement des dispositions réglementaires qui accroissent la responsabilité des autorités de gestion et renforcent considérablement la capacité de la Commission à protéger le budget de l’UE contre les dépenses irrégulières.</w:t>
      </w:r>
    </w:p>
    <w:p>
      <w:pPr>
        <w:pStyle w:val="AMPRBOXB-bgWHITElnBLUE-BLACKtext"/>
        <w:pBdr>
          <w:bottom w:val="dashSmallGap" w:sz="12" w:space="7" w:color="4E9DD6"/>
        </w:pBdr>
        <w:rPr>
          <w:rStyle w:val="AMPRcharBoldBlue"/>
          <w:b w:val="0"/>
          <w:noProof/>
          <w:color w:val="auto"/>
          <w:spacing w:val="-1"/>
          <w:lang w:val="fr-FR"/>
        </w:rPr>
      </w:pPr>
      <w:r>
        <w:rPr>
          <w:rStyle w:val="AMPRcharBoldBlue"/>
          <w:b w:val="0"/>
          <w:noProof/>
          <w:color w:val="auto"/>
          <w:lang w:val="fr-FR"/>
        </w:rPr>
        <w:t>Outre ces mécanismes, les orientations fournies aux partenaires chargés de la mise en œuvre contribuent également à prévenir les erreurs.</w:t>
      </w:r>
    </w:p>
    <w:p>
      <w:pPr>
        <w:pStyle w:val="AMPRBOXB-bgWHITElnBLUE-BLACKtext"/>
        <w:spacing w:after="100"/>
        <w:rPr>
          <w:rStyle w:val="AMPRcharBoldBlue"/>
          <w:noProof/>
          <w:lang w:val="fr-FR"/>
        </w:rPr>
      </w:pPr>
      <w:r>
        <w:rPr>
          <w:rStyle w:val="AMPRcharBoldBlue"/>
          <w:noProof/>
          <w:lang w:val="fr-FR"/>
        </w:rPr>
        <w:t>Détection et correction des erreurs affectant les dépenses de l’UE</w:t>
      </w:r>
    </w:p>
    <w:p>
      <w:pPr>
        <w:pStyle w:val="AMPRBOXB-bgWHITElnBLUE-BLACKtext"/>
        <w:spacing w:after="100"/>
        <w:rPr>
          <w:noProof/>
          <w:lang w:val="fr-FR"/>
        </w:rPr>
      </w:pPr>
      <w:r>
        <w:rPr>
          <w:noProof/>
          <w:lang w:val="fr-FR"/>
        </w:rPr>
        <w:t xml:space="preserve">Lorsque les mécanismes de prévention n’ont pas été efficaces, il est important que les erreurs affectant les dépenses de l’UE soient </w:t>
      </w:r>
      <w:r>
        <w:rPr>
          <w:rStyle w:val="AMPRcharBoldBlue"/>
          <w:noProof/>
          <w:lang w:val="fr-FR"/>
        </w:rPr>
        <w:t>détectées</w:t>
      </w:r>
      <w:r>
        <w:rPr>
          <w:noProof/>
          <w:lang w:val="fr-FR"/>
        </w:rPr>
        <w:t xml:space="preserve"> a posteriori, grâce à des contrôles des montants acceptés et payés par la Commission (contrôles ex post). </w:t>
      </w:r>
    </w:p>
    <w:p>
      <w:pPr>
        <w:pStyle w:val="AMPRBOXB-bgWHITElnBLUE-BLACKtext"/>
        <w:spacing w:after="100"/>
        <w:rPr>
          <w:noProof/>
          <w:lang w:val="fr-FR"/>
        </w:rPr>
      </w:pPr>
      <w:r>
        <w:rPr>
          <w:noProof/>
          <w:lang w:val="fr-FR"/>
        </w:rPr>
        <w:t xml:space="preserve">Ces erreurs sont </w:t>
      </w:r>
      <w:r>
        <w:rPr>
          <w:rStyle w:val="AMPRcharBoldBlue"/>
          <w:noProof/>
          <w:lang w:val="fr-FR"/>
        </w:rPr>
        <w:t>corrigées</w:t>
      </w:r>
      <w:r>
        <w:rPr>
          <w:noProof/>
          <w:lang w:val="fr-FR"/>
        </w:rPr>
        <w:t xml:space="preserve"> par la Commission au cours de l’année ou des années ultérieures, par des corrections financières ou le remplacement de dépenses inéligibles dans le cadre de la gestion partagée, ainsi que par des recouvrements auprès de bénéficiaires finaux dans le cadre de la gestion directe et indirecte. </w:t>
      </w:r>
    </w:p>
    <w:p>
      <w:pPr>
        <w:pStyle w:val="AMPRBOXB-bgWHITElnBLUE-BLACKtext"/>
        <w:spacing w:after="100"/>
        <w:rPr>
          <w:noProof/>
          <w:lang w:val="fr-FR"/>
        </w:rPr>
      </w:pPr>
      <w:r>
        <w:rPr>
          <w:noProof/>
          <w:lang w:val="fr-FR"/>
        </w:rPr>
        <w:t>En 2019, les mesures correctives confirmées se sont élevées à 1,5</w:t>
      </w:r>
      <w:r>
        <w:rPr>
          <w:rFonts w:ascii="Calibri" w:hAnsi="Calibri"/>
          <w:noProof/>
          <w:lang w:val="fr-FR"/>
        </w:rPr>
        <w:t> </w:t>
      </w:r>
      <w:r>
        <w:rPr>
          <w:noProof/>
          <w:lang w:val="fr-FR"/>
        </w:rPr>
        <w:t xml:space="preserve">milliard d’EUR (25 % de plus qu’en 2018). Il s’agit principalement d’erreurs affectant des paiements effectués au cours des années précédentes. </w:t>
      </w:r>
    </w:p>
    <w:p>
      <w:pPr>
        <w:pStyle w:val="AMPRBOXB-bgWHITElnBLUE-BLACKtext"/>
        <w:spacing w:after="100"/>
        <w:rPr>
          <w:noProof/>
          <w:lang w:val="fr-FR"/>
        </w:rPr>
      </w:pPr>
      <w:r>
        <w:rPr>
          <w:noProof/>
          <w:lang w:val="fr-FR"/>
        </w:rPr>
        <w:t>En parallèle, des lacunes dans les systèmes de contrôle, détectées dans le cadre d’audits de systèmes fondés sur les risques, sont ensuite traitées et les systèmes sont corrigés afin d’éviter que les mêmes erreurs ne se reproduisent à l’avenir. Dans le cadre de la gestion partagée et indirecte, ce sont en premier lieu les États membres et les partenaires chargés de la mise en œuvre qui agissent de la sorte.</w:t>
      </w:r>
    </w:p>
    <w:p>
      <w:pPr>
        <w:pStyle w:val="AMPRBodyText"/>
        <w:rPr>
          <w:noProof/>
          <w:lang w:val="fr-FR"/>
        </w:rPr>
      </w:pPr>
      <w:r>
        <w:rPr>
          <w:noProof/>
          <w:lang w:val="fr-FR"/>
        </w:rPr>
        <w:t>Pour de plus amples informations sur la protection du budget de l’UE, voir l’annexe</w:t>
      </w:r>
      <w:r>
        <w:rPr>
          <w:rFonts w:ascii="Calibri" w:hAnsi="Calibri"/>
          <w:noProof/>
          <w:lang w:val="fr-FR"/>
        </w:rPr>
        <w:t> </w:t>
      </w:r>
      <w:r>
        <w:rPr>
          <w:noProof/>
          <w:lang w:val="fr-FR"/>
        </w:rPr>
        <w:t>5.</w:t>
      </w:r>
    </w:p>
    <w:p>
      <w:pPr>
        <w:pStyle w:val="AMPRSec2TITLE4"/>
        <w:spacing w:before="480"/>
        <w:rPr>
          <w:noProof/>
          <w:lang w:val="fr-FR"/>
        </w:rPr>
      </w:pPr>
      <w:r>
        <w:rPr>
          <w:noProof/>
          <w:lang w:val="fr-FR"/>
        </w:rPr>
        <w:t>Se fonder sur les systèmes de contrôle des partenaires chargés de la mise en œuvre</w:t>
      </w:r>
    </w:p>
    <w:p>
      <w:pPr>
        <w:pStyle w:val="AMPRBodyText"/>
        <w:rPr>
          <w:noProof/>
          <w:lang w:val="fr-FR"/>
        </w:rPr>
      </w:pPr>
      <w:r>
        <w:rPr>
          <w:noProof/>
          <w:lang w:val="fr-FR"/>
        </w:rPr>
        <w:t xml:space="preserve">Près de 80 % du budget est exécuté en </w:t>
      </w:r>
      <w:r>
        <w:rPr>
          <w:rStyle w:val="AMPRcharBoldBlue"/>
          <w:noProof/>
          <w:lang w:val="fr-FR"/>
        </w:rPr>
        <w:t>coopération avec les États membres et les entités chargées de l’exécution en tant que partenaires chargés de la mise en œuvre</w:t>
      </w:r>
      <w:r>
        <w:rPr>
          <w:noProof/>
          <w:lang w:val="fr-FR"/>
        </w:rPr>
        <w:t xml:space="preserve"> (voir le deuxième tableau à la section 2.1.1). Il est donc important de vérifier que ces partenaires démontrent un niveau de protection des intérêts financiers de l’UE équivalent à celui atteint lorsque la Commission gère elle-même le budget. À cette fin, la Commission procède à une évaluation des systèmes, règles et procédures des personnes ou entités qui exécutent les fonds de l’UE. Cela concerne en particulier l’évaluation des systèmes de gestion et de contrôle des États membres et des entités chargées de l’exécution au moyen d’audits des systèmes accompagnés de tests de validation des dépenses et d’autres types de vérifications dénommées «évaluations sur la base de piliers» ou «procédures de désignation» avant que le partenaire ne soit chargé de l’exécution du budget de l’UE au nom de la Commission. </w:t>
      </w:r>
    </w:p>
    <w:p>
      <w:pPr>
        <w:pStyle w:val="AMPRBodyText"/>
        <w:rPr>
          <w:noProof/>
          <w:lang w:val="fr-FR"/>
        </w:rPr>
      </w:pPr>
      <w:r>
        <w:rPr>
          <w:noProof/>
          <w:lang w:val="fr-FR"/>
        </w:rPr>
        <w:t xml:space="preserve">Dans le domaine de la </w:t>
      </w:r>
      <w:r>
        <w:rPr>
          <w:rStyle w:val="AMPRcharBoldBlue"/>
          <w:noProof/>
          <w:lang w:val="fr-FR"/>
        </w:rPr>
        <w:t>gestion indirecte</w:t>
      </w:r>
      <w:r>
        <w:rPr>
          <w:noProof/>
          <w:lang w:val="fr-FR"/>
        </w:rPr>
        <w:t>, chaque année, les partenaires rendent compte de la bonne gestion financière du budget dont ils sont chargés au moyen d’une déclaration de gestion. C’est sur cette base que les services concernés de la Commission sont en mesure d'obtenir une assurance dans cet environnement de gestion et de contrôle.</w:t>
      </w:r>
    </w:p>
    <w:p>
      <w:pPr>
        <w:pStyle w:val="AMPRBodyText"/>
        <w:rPr>
          <w:noProof/>
          <w:lang w:val="fr-FR"/>
        </w:rPr>
      </w:pPr>
      <w:r>
        <w:rPr>
          <w:noProof/>
          <w:lang w:val="fr-FR"/>
        </w:rPr>
        <w:t xml:space="preserve">La Commission travaille actuellement à la mise en place d’une séquence d'opérations automatisée pour les différentes vérifications qui englobe l’ensemble du processus. Un tel outil garantirait que toutes les phases nécessaires permettant à une entité de travailler avec la Commission dans le cadre d’une gestion indirecte se déroulent de manière centralisée, cohérente et coordonnée. </w:t>
      </w:r>
    </w:p>
    <w:p>
      <w:pPr>
        <w:pStyle w:val="AMPRBodyText"/>
        <w:rPr>
          <w:noProof/>
          <w:lang w:val="fr-FR"/>
        </w:rPr>
      </w:pPr>
      <w:r>
        <w:rPr>
          <w:noProof/>
          <w:lang w:val="fr-FR"/>
        </w:rPr>
        <w:t xml:space="preserve">Dans le domaine de la </w:t>
      </w:r>
      <w:r>
        <w:rPr>
          <w:rStyle w:val="AMPRcharBoldBlue"/>
          <w:noProof/>
          <w:lang w:val="fr-FR"/>
        </w:rPr>
        <w:t>gestion partagée</w:t>
      </w:r>
      <w:r>
        <w:rPr>
          <w:noProof/>
          <w:lang w:val="fr-FR"/>
        </w:rPr>
        <w:t>, les États membres rendent compte chaque année de leur contrôle de l’utilisation des fonds de l’UE au niveau national et de la bonne gestion financière de leurs programmes respectifs au moyen d’un dossier «assurance», comprenant une déclaration de gestion, un résumé annuel des vérifications effectuées et un rapport annuel de contrôle comportant un taux d’erreur fondé sur des échantillons représentatifs et un avis d’audit sur la légalité et la régularité des dépenses. La communication de ces informations constitue la base de l’acceptation des comptes des programmes par la Commission et pour permettre aux services de la Commission concernés d'obtenir leur assurance. Elle sert également à déterminer les risques potentiels pour le budget de l’UE, ainsi qu’à recenser les faiblesses et les domaines dans lesquels des contrôles supplémentaires sont nécessaires.</w:t>
      </w:r>
    </w:p>
    <w:p>
      <w:pPr>
        <w:pStyle w:val="AMPRBodyText"/>
        <w:rPr>
          <w:noProof/>
          <w:lang w:val="fr-FR"/>
        </w:rPr>
      </w:pPr>
      <w:r>
        <w:rPr>
          <w:noProof/>
          <w:lang w:val="fr-FR"/>
        </w:rPr>
        <w:t>Les meilleures pratiques en matière de contrôle interne sont partagées avec et entre les États membres dans le cadre des réseaux de fonds structurels et agricoles ainsi que du réseau public de contrôle interne, dirigés par la Commission.</w:t>
      </w:r>
    </w:p>
    <w:p>
      <w:pPr>
        <w:rPr>
          <w:noProof/>
          <w:color w:val="000000"/>
          <w:szCs w:val="20"/>
          <w:lang w:val="fr-FR"/>
        </w:rPr>
      </w:pPr>
      <w:r>
        <w:rPr>
          <w:noProof/>
          <w:lang w:val="fr-FR"/>
        </w:rPr>
        <w:br w:type="page"/>
      </w:r>
    </w:p>
    <w:p>
      <w:pPr>
        <w:pStyle w:val="AMPRBodyText"/>
        <w:rPr>
          <w:noProof/>
          <w:lang w:val="fr-FR"/>
        </w:rPr>
      </w:pPr>
      <w:r>
        <w:rPr>
          <w:noProof/>
          <w:lang w:val="fr-FR"/>
        </w:rPr>
        <w:t>En outre, la Commission a présenté une proposition</w:t>
      </w:r>
      <w:r>
        <w:rPr>
          <w:rStyle w:val="fnRef"/>
          <w:rFonts w:ascii="Arial" w:hAnsi="Arial"/>
          <w:noProof/>
          <w:lang w:val="fr-FR"/>
        </w:rPr>
        <w:t> </w:t>
      </w:r>
      <w:r>
        <w:rPr>
          <w:rStyle w:val="fnRef"/>
          <w:noProof/>
          <w:lang w:val="fr-FR"/>
        </w:rPr>
        <w:t>(</w:t>
      </w:r>
      <w:r>
        <w:rPr>
          <w:rStyle w:val="fnRefNo"/>
          <w:noProof/>
        </w:rPr>
        <w:footnoteReference w:id="9"/>
      </w:r>
      <w:r>
        <w:rPr>
          <w:rStyle w:val="fnRef"/>
          <w:noProof/>
          <w:lang w:val="fr-FR"/>
        </w:rPr>
        <w:t>)</w:t>
      </w:r>
      <w:r>
        <w:rPr>
          <w:noProof/>
          <w:lang w:val="fr-FR"/>
        </w:rPr>
        <w:t xml:space="preserve"> visant à protéger le budget de l’UE en cas de défaillance généralisée de l’état de droit dans les États membres. Cette proposition, qui fait partie intégrante du futur cadre financier pluriannuel, fait actuellement l’objet de négociations au sein du Parlement européen et du Conseil. </w:t>
      </w:r>
    </w:p>
    <w:p>
      <w:pPr>
        <w:pStyle w:val="AMPRBodyText"/>
        <w:rPr>
          <w:noProof/>
          <w:lang w:val="fr-FR"/>
        </w:rPr>
      </w:pPr>
      <w:r>
        <w:rPr>
          <w:noProof/>
          <w:lang w:val="fr-FR"/>
        </w:rPr>
        <w:t>La Commission collabore également avec les États membres pour faciliter la compréhension et la mise en œuvre des règles renforcées en matière de conflits d’intérêts en vigueur depuis l’entrée en application du règlement financier révisé le 2</w:t>
      </w:r>
      <w:r>
        <w:rPr>
          <w:rFonts w:ascii="Calibri" w:hAnsi="Calibri"/>
          <w:noProof/>
          <w:lang w:val="fr-FR"/>
        </w:rPr>
        <w:t> </w:t>
      </w:r>
      <w:r>
        <w:rPr>
          <w:noProof/>
          <w:lang w:val="fr-FR"/>
        </w:rPr>
        <w:t>août</w:t>
      </w:r>
      <w:r>
        <w:rPr>
          <w:rFonts w:ascii="Calibri" w:hAnsi="Calibri"/>
          <w:noProof/>
          <w:lang w:val="fr-FR"/>
        </w:rPr>
        <w:t> </w:t>
      </w:r>
      <w:r>
        <w:rPr>
          <w:noProof/>
          <w:lang w:val="fr-FR"/>
        </w:rPr>
        <w:t>2018. Elle suit également toutes les allégations portées à son attention dans ce contexte.</w:t>
      </w:r>
    </w:p>
    <w:p>
      <w:pPr>
        <w:pStyle w:val="AMPRSec2TITLE4"/>
        <w:spacing w:before="480"/>
        <w:rPr>
          <w:noProof/>
          <w:lang w:val="fr-FR"/>
        </w:rPr>
      </w:pPr>
      <w:r>
        <w:rPr>
          <w:noProof/>
          <w:lang w:val="fr-FR"/>
        </w:rPr>
        <w:t>Rapport coût-efficacité des contrôles</w:t>
      </w:r>
    </w:p>
    <w:p>
      <w:pPr>
        <w:pStyle w:val="AMPRBodyText"/>
        <w:rPr>
          <w:i/>
          <w:iCs/>
          <w:noProof/>
          <w:color w:val="221E1F"/>
          <w:sz w:val="16"/>
          <w:szCs w:val="16"/>
          <w:lang w:val="fr-FR"/>
        </w:rPr>
      </w:pPr>
      <w:r>
        <w:rPr>
          <w:noProof/>
          <w:lang w:eastAsia="en-GB"/>
        </w:rPr>
        <mc:AlternateContent>
          <mc:Choice Requires="wpg">
            <w:drawing>
              <wp:anchor distT="0" distB="0" distL="114300" distR="114300" simplePos="0" relativeHeight="251660288" behindDoc="0" locked="0" layoutInCell="1" allowOverlap="1">
                <wp:simplePos x="0" y="0"/>
                <wp:positionH relativeFrom="column">
                  <wp:posOffset>-2263956</wp:posOffset>
                </wp:positionH>
                <wp:positionV relativeFrom="paragraph">
                  <wp:posOffset>552714</wp:posOffset>
                </wp:positionV>
                <wp:extent cx="1931035" cy="1238151"/>
                <wp:effectExtent l="0" t="0" r="0" b="635"/>
                <wp:wrapNone/>
                <wp:docPr id="227" name="Group 227"/>
                <wp:cNvGraphicFramePr/>
                <a:graphic xmlns:a="http://schemas.openxmlformats.org/drawingml/2006/main">
                  <a:graphicData uri="http://schemas.microsoft.com/office/word/2010/wordprocessingGroup">
                    <wpg:wgp>
                      <wpg:cNvGrpSpPr/>
                      <wpg:grpSpPr>
                        <a:xfrm>
                          <a:off x="0" y="0"/>
                          <a:ext cx="1931035" cy="1238151"/>
                          <a:chOff x="179057" y="72853"/>
                          <a:chExt cx="2351266" cy="1507562"/>
                        </a:xfrm>
                      </wpg:grpSpPr>
                      <wps:wsp>
                        <wps:cNvPr id="228" name="Text Box 228"/>
                        <wps:cNvSpPr txBox="1"/>
                        <wps:spPr>
                          <a:xfrm>
                            <a:off x="1673708" y="1312407"/>
                            <a:ext cx="856615" cy="267970"/>
                          </a:xfrm>
                          <a:prstGeom prst="rect">
                            <a:avLst/>
                          </a:prstGeom>
                          <a:noFill/>
                          <a:ln w="6350">
                            <a:noFill/>
                          </a:ln>
                        </wps:spPr>
                        <wps:txbx>
                          <w:txbxContent>
                            <w:p>
                              <w:pPr>
                                <w:rPr>
                                  <w:rFonts w:cstheme="minorHAnsi"/>
                                  <w:b/>
                                  <w:color w:val="005D95"/>
                                  <w:sz w:val="16"/>
                                  <w:szCs w:val="16"/>
                                </w:rPr>
                              </w:pPr>
                              <w:r>
                                <w:rPr>
                                  <w:b/>
                                  <w:color w:val="005D95"/>
                                  <w:sz w:val="16"/>
                                  <w:szCs w:val="16"/>
                                </w:rPr>
                                <w:t>ÉCONOMIE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818031" y="72853"/>
                            <a:ext cx="1239976" cy="281273"/>
                          </a:xfrm>
                          <a:prstGeom prst="rect">
                            <a:avLst/>
                          </a:prstGeom>
                          <a:noFill/>
                          <a:ln w="6350">
                            <a:noFill/>
                          </a:ln>
                        </wps:spPr>
                        <wps:txbx>
                          <w:txbxContent>
                            <w:p>
                              <w:pPr>
                                <w:rPr>
                                  <w:rFonts w:cstheme="minorHAnsi"/>
                                  <w:b/>
                                  <w:color w:val="005D95"/>
                                  <w:sz w:val="16"/>
                                  <w:szCs w:val="16"/>
                                </w:rPr>
                              </w:pPr>
                              <w:r>
                                <w:rPr>
                                  <w:b/>
                                  <w:color w:val="005D95"/>
                                  <w:sz w:val="16"/>
                                  <w:szCs w:val="16"/>
                                </w:rPr>
                                <w:t>EFFICACITÉ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179057" y="1312445"/>
                            <a:ext cx="1067436" cy="267970"/>
                          </a:xfrm>
                          <a:prstGeom prst="rect">
                            <a:avLst/>
                          </a:prstGeom>
                          <a:noFill/>
                          <a:ln w="6350">
                            <a:noFill/>
                          </a:ln>
                        </wps:spPr>
                        <wps:txbx>
                          <w:txbxContent>
                            <w:p>
                              <w:pPr>
                                <w:rPr>
                                  <w:rFonts w:cstheme="minorHAnsi"/>
                                  <w:b/>
                                  <w:color w:val="005D95"/>
                                  <w:sz w:val="16"/>
                                  <w:szCs w:val="16"/>
                                </w:rPr>
                              </w:pPr>
                              <w:r>
                                <w:rPr>
                                  <w:b/>
                                  <w:color w:val="005D95"/>
                                  <w:sz w:val="16"/>
                                  <w:szCs w:val="16"/>
                                </w:rPr>
                                <w:t>EFFICIENCE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a:off x="983343" y="866376"/>
                            <a:ext cx="855856" cy="646339"/>
                          </a:xfrm>
                          <a:prstGeom prst="rect">
                            <a:avLst/>
                          </a:prstGeom>
                          <a:noFill/>
                          <a:ln w="6350">
                            <a:noFill/>
                          </a:ln>
                        </wps:spPr>
                        <wps:txbx>
                          <w:txbxContent>
                            <w:p>
                              <w:pPr>
                                <w:spacing w:line="200" w:lineRule="exact"/>
                                <w:jc w:val="center"/>
                                <w:rPr>
                                  <w:rFonts w:ascii="EC Square Sans Pro Medium" w:hAnsi="EC Square Sans Pro Medium" w:cstheme="minorHAnsi"/>
                                  <w:color w:val="FFFFFF" w:themeColor="background1"/>
                                  <w:sz w:val="16"/>
                                  <w:szCs w:val="16"/>
                                </w:rPr>
                              </w:pPr>
                              <w:r>
                                <w:rPr>
                                  <w:rFonts w:ascii="EC Square Sans Pro Medium" w:hAnsi="EC Square Sans Pro Medium"/>
                                  <w:color w:val="FFFFFF" w:themeColor="background1"/>
                                  <w:sz w:val="16"/>
                                  <w:szCs w:val="16"/>
                                </w:rPr>
                                <w:t>Rapport coût-efficacité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7" o:spid="_x0000_s1027" style="position:absolute;left:0;text-align:left;margin-left:-178.25pt;margin-top:43.5pt;width:152.05pt;height:97.5pt;z-index:251660288;mso-width-relative:margin;mso-height-relative:margin" coordorigin="1790,728" coordsize="23512,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">
                <v:shape id="Text Box 228" o:spid="_x0000_s1028" type="#_x0000_t202" style="position:absolute;left:16737;top:13124;width:8566;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pPr>
                          <w:rPr>
                            <w:rFonts w:cstheme="minorHAnsi"/>
                            <w:b/>
                            <w:color w:val="005D95"/>
                            <w:sz w:val="16"/>
                            <w:szCs w:val="16"/>
                          </w:rPr>
                        </w:pPr>
                        <w:r>
                          <w:rPr>
                            <w:b/>
                            <w:color w:val="005D95"/>
                            <w:sz w:val="16"/>
                            <w:szCs w:val="16"/>
                          </w:rPr>
                          <w:t>ÉCONOMIE</w:t>
                        </w:r>
                      </w:p>
                    </w:txbxContent>
                  </v:textbox>
                </v:shape>
                <v:shape id="Text Box 229" o:spid="_x0000_s1029" type="#_x0000_t202" style="position:absolute;left:8180;top:728;width:1240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pPr>
                          <w:rPr>
                            <w:rFonts w:cstheme="minorHAnsi"/>
                            <w:b/>
                            <w:color w:val="005D95"/>
                            <w:sz w:val="16"/>
                            <w:szCs w:val="16"/>
                          </w:rPr>
                        </w:pPr>
                        <w:r>
                          <w:rPr>
                            <w:b/>
                            <w:color w:val="005D95"/>
                            <w:sz w:val="16"/>
                            <w:szCs w:val="16"/>
                          </w:rPr>
                          <w:t>EFFICACITÉ</w:t>
                        </w:r>
                      </w:p>
                    </w:txbxContent>
                  </v:textbox>
                </v:shape>
                <v:shape id="Text Box 230" o:spid="_x0000_s1030" type="#_x0000_t202" style="position:absolute;left:1790;top:13124;width:10674;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pPr>
                          <w:rPr>
                            <w:rFonts w:cstheme="minorHAnsi"/>
                            <w:b/>
                            <w:color w:val="005D95"/>
                            <w:sz w:val="16"/>
                            <w:szCs w:val="16"/>
                          </w:rPr>
                        </w:pPr>
                        <w:r>
                          <w:rPr>
                            <w:b/>
                            <w:color w:val="005D95"/>
                            <w:sz w:val="16"/>
                            <w:szCs w:val="16"/>
                          </w:rPr>
                          <w:t>EFFICIENCE</w:t>
                        </w:r>
                      </w:p>
                    </w:txbxContent>
                  </v:textbox>
                </v:shape>
                <v:shape id="Text Box 231" o:spid="_x0000_s1031" type="#_x0000_t202" style="position:absolute;left:9833;top:8663;width:8558;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pPr>
                          <w:spacing w:line="200" w:lineRule="exact"/>
                          <w:jc w:val="center"/>
                          <w:rPr>
                            <w:rFonts w:ascii="EC Square Sans Pro Medium" w:hAnsi="EC Square Sans Pro Medium" w:cstheme="minorHAnsi"/>
                            <w:color w:val="FFFFFF" w:themeColor="background1"/>
                            <w:sz w:val="16"/>
                            <w:szCs w:val="16"/>
                          </w:rPr>
                        </w:pPr>
                        <w:r>
                          <w:rPr>
                            <w:rFonts w:ascii="EC Square Sans Pro Medium" w:hAnsi="EC Square Sans Pro Medium"/>
                            <w:color w:val="FFFFFF" w:themeColor="background1"/>
                            <w:sz w:val="16"/>
                            <w:szCs w:val="16"/>
                          </w:rPr>
                          <w:t>Rapport coût-efficacité</w:t>
                        </w:r>
                      </w:p>
                    </w:txbxContent>
                  </v:textbox>
                </v:shape>
              </v:group>
            </w:pict>
          </mc:Fallback>
        </mc:AlternateContent>
      </w:r>
      <w:r>
        <w:rPr>
          <w:noProof/>
          <w:lang w:eastAsia="en-GB"/>
        </w:rPr>
        <w:drawing>
          <wp:anchor distT="71755" distB="215900" distL="114300" distR="114300" simplePos="0" relativeHeight="251659264" behindDoc="0" locked="0" layoutInCell="1" allowOverlap="1">
            <wp:simplePos x="0" y="0"/>
            <wp:positionH relativeFrom="column">
              <wp:posOffset>-1905</wp:posOffset>
            </wp:positionH>
            <wp:positionV relativeFrom="paragraph">
              <wp:posOffset>152342</wp:posOffset>
            </wp:positionV>
            <wp:extent cx="2296800" cy="2296800"/>
            <wp:effectExtent l="0" t="0" r="0" b="0"/>
            <wp:wrapSquare wrapText="bothSides"/>
            <wp:docPr id="226" name="Picture 226" descr="control-systems_red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rol-systems_reddis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6800" cy="229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t xml:space="preserve">Tous les services de la Commission appliquent les </w:t>
      </w:r>
      <w:r>
        <w:rPr>
          <w:rStyle w:val="AMPRcharBoldBlue"/>
          <w:noProof/>
          <w:lang w:val="fr-FR"/>
        </w:rPr>
        <w:t>critères de contrôles communs</w:t>
      </w:r>
      <w:r>
        <w:rPr>
          <w:noProof/>
          <w:lang w:val="fr-FR"/>
        </w:rPr>
        <w:t xml:space="preserve"> décrits ci-dessus, en vertu desquels des mesures préventives et correctrices sont appliquées sur une base pluriannuelle au niveau de programmes ou d’autres segments de dépenses spécifiques. Toutefois, comme on peut le voir à la section</w:t>
      </w:r>
      <w:r>
        <w:rPr>
          <w:rFonts w:ascii="Calibri" w:hAnsi="Calibri"/>
          <w:noProof/>
          <w:lang w:val="fr-FR"/>
        </w:rPr>
        <w:t> </w:t>
      </w:r>
      <w:r>
        <w:rPr>
          <w:rFonts w:asciiTheme="minorHAnsi" w:hAnsiTheme="minorHAnsi"/>
          <w:noProof/>
          <w:lang w:val="fr-FR"/>
        </w:rPr>
        <w:t>2.</w:t>
      </w:r>
      <w:r>
        <w:rPr>
          <w:noProof/>
          <w:lang w:val="fr-FR"/>
        </w:rPr>
        <w:t xml:space="preserve">1.1, les programmes de dépenses individuels peuvent être très variés et, par conséquent, les </w:t>
      </w:r>
      <w:r>
        <w:rPr>
          <w:rStyle w:val="AMPRcharBoldBlue"/>
          <w:noProof/>
          <w:lang w:val="fr-FR"/>
        </w:rPr>
        <w:t>stratégies de contrôle doivent être adaptées</w:t>
      </w:r>
      <w:r>
        <w:rPr>
          <w:noProof/>
          <w:lang w:val="fr-FR"/>
        </w:rPr>
        <w:t xml:space="preserve"> aux différents modes de gestion, domaines politiques et/ou modalités de financement spécifiques ainsi qu’aux risques qui y sont associés. Une telle différenciation des stratégies de contrôle est nécessaire pour garantir que les contrôles restent </w:t>
      </w:r>
      <w:r>
        <w:rPr>
          <w:rStyle w:val="AMPRcharBoldBlue"/>
          <w:noProof/>
          <w:lang w:val="fr-FR"/>
        </w:rPr>
        <w:t>efficaces au regard des coûts</w:t>
      </w:r>
      <w:r>
        <w:rPr>
          <w:noProof/>
          <w:lang w:val="fr-FR"/>
        </w:rPr>
        <w:t>, c’est-à-dire qu’ils concilient harmonieusement un faible niveau d’erreurs (efficacité), des paiements rapides (efficience) et des coûts raisonnables (économie). Les domaines davantage exposés au risque impliqueront un niveau d’examen et/ou une fréquence des contrôles plus élevé(e), tandis que les domaines à faible risque doivent donner lieu à des contrôles moins poussés, moins coûteux et moins lourds. En outre, le potentiel réel de recouvrement des fonds de l’UE indûment dépensés sera pris en considération lors de la mise en place de la stratégie de contrôle (par exemple, l’analyse coûts-avantages des audits</w:t>
      </w:r>
      <w:r>
        <w:rPr>
          <w:rFonts w:ascii="Calibri" w:hAnsi="Calibri"/>
          <w:noProof/>
          <w:lang w:val="fr-FR"/>
        </w:rPr>
        <w:t xml:space="preserve"> </w:t>
      </w:r>
      <w:r>
        <w:rPr>
          <w:noProof/>
          <w:lang w:val="fr-FR"/>
        </w:rPr>
        <w:t>sur place).</w:t>
      </w:r>
      <w:r>
        <w:rPr>
          <w:noProof/>
          <w:color w:val="FF0000"/>
          <w:lang w:val="fr-FR"/>
        </w:rPr>
        <w:t xml:space="preserve"> </w:t>
      </w:r>
    </w:p>
    <w:p>
      <w:pPr>
        <w:pStyle w:val="AMPRSec2TITLE4"/>
        <w:spacing w:before="480"/>
        <w:rPr>
          <w:noProof/>
          <w:lang w:val="fr-FR"/>
        </w:rPr>
      </w:pPr>
      <w:r>
        <w:rPr>
          <w:noProof/>
          <w:lang w:val="fr-FR"/>
        </w:rPr>
        <w:t>La Commission et la Cour des comptes: des rôles différents conduisent à des approches de contrôle différentes</w:t>
      </w:r>
    </w:p>
    <w:p>
      <w:pPr>
        <w:pStyle w:val="AMPRBodyText"/>
        <w:rPr>
          <w:noProof/>
          <w:lang w:val="fr-FR"/>
        </w:rPr>
      </w:pPr>
      <w:r>
        <w:rPr>
          <w:noProof/>
          <w:lang w:val="fr-FR"/>
        </w:rPr>
        <w:t xml:space="preserve">La Commission et la Cour des comptes jouent des rôles différents dans la chaîne de contrôle du budget de l’UE et leurs approches en matière de contrôle diffèrent donc considérablement. La Commission, en sa qualité de gestionnaire du budget de l’UE, a pour mission d’empêcher et, le cas échéant, de corriger les erreurs et de recouvrer les fonds indûment dépensés. Cela nécessite une évaluation ascendante détaillée des systèmes de contrôle afin d’identifier les points faibles, de manière à ce que des mesures correctives ciblées puissent être prises au niveau du programme, voire au niveau des partenaires chargés de la mise en œuvre. D’autre part, le rôle de la Cour des comptes est de fournir une opinion d’audit annuelle sur la légalité et la régularité des dépenses de l’Union dans son ensemble, qui peut être complétée par des évaluations spécifiques de domaines importants du budget de l’UE (voir le tableau comparatif de la page suivante). Par conséquent, bien que les deux institutions convergent sur plusieurs principes, la méthode de la Commission diffère de celle de la Cour des comptes. </w:t>
      </w:r>
    </w:p>
    <w:p>
      <w:pPr>
        <w:pStyle w:val="AMPRBodyText"/>
        <w:rPr>
          <w:noProof/>
          <w:lang w:val="fr-FR"/>
        </w:rPr>
      </w:pPr>
      <w:r>
        <w:rPr>
          <w:noProof/>
          <w:lang w:val="fr-FR"/>
        </w:rPr>
        <w:t xml:space="preserve">Ces approches peuvent conduire à des différences entre les taux d’erreur communiqués par la Cour des comptes et par la Commission. En particulier, lorsque la Cour des comptes détecte des erreurs dans les procédures de passation de marchés et/ou des retards dans la communication de pièces justificatives pour des subventions, dans une ou plusieurs opérations sélectionnées, elle extrapole l’incidence sur l’ensemble de la rubrique ou du budget de l’UE, ce qui amplifie souvent l’importance de telles erreurs. Compte tenu de sa segmentation plus détaillée des dépenses en fonction des profils de risque et des systèmes de contrôle, la Commission, lorsqu’elle détecte de telles erreurs, est en mesure de les extrapoler plus précisément à la population qui est la plus susceptible d’être touchée. Elle est donc en mesure de donner une vision plus nuancée du niveau d’erreur dans les paiements effectués et d’identifier clairement les domaines où des améliorations sont nécessaires. </w:t>
      </w:r>
      <w:r>
        <w:rPr>
          <w:noProof/>
          <w:lang w:val="fr-FR"/>
        </w:rPr>
        <w:br w:type="page"/>
      </w:r>
    </w:p>
    <w:p>
      <w:pPr>
        <w:pStyle w:val="AMPRBodyText"/>
        <w:rPr>
          <w:noProof/>
          <w:color w:val="auto"/>
          <w:lang w:val="fr-FR"/>
        </w:rPr>
      </w:pPr>
      <w:r>
        <w:rPr>
          <w:noProof/>
          <w:lang w:val="fr-FR"/>
        </w:rPr>
        <w:t>L’encadré ci-dessous donne quelques exemples de ces différences.</w:t>
      </w:r>
    </w:p>
    <w:p>
      <w:pPr>
        <w:pStyle w:val="AMPRBOXA-bgWHITElnORANGE-BLUEHeading"/>
        <w:rPr>
          <w:noProof/>
          <w:color w:val="2F5496" w:themeColor="accent5" w:themeShade="BF"/>
          <w:lang w:val="fr-FR"/>
        </w:rPr>
      </w:pPr>
      <w:r>
        <w:rPr>
          <w:noProof/>
          <w:lang w:val="fr-FR"/>
        </w:rPr>
        <w:t>Ressources naturelles</w:t>
      </w:r>
    </w:p>
    <w:p>
      <w:pPr>
        <w:pStyle w:val="AMPRBOXA-bgWHITElnORANGE-BLUEtext"/>
        <w:rPr>
          <w:noProof/>
          <w:lang w:val="fr-FR"/>
        </w:rPr>
      </w:pPr>
      <w:r>
        <w:rPr>
          <w:noProof/>
          <w:lang w:val="fr-FR"/>
        </w:rPr>
        <w:t xml:space="preserve">En 2018, la Cour des comptes a relevé des erreurs dans trois des six opérations échantillonnées qui sont liées au </w:t>
      </w:r>
      <w:r>
        <w:rPr>
          <w:b/>
          <w:noProof/>
          <w:lang w:val="fr-FR"/>
        </w:rPr>
        <w:t>Fonds européen pour les affaires maritimes et la pêche</w:t>
      </w:r>
      <w:r>
        <w:rPr>
          <w:noProof/>
          <w:lang w:val="fr-FR"/>
        </w:rPr>
        <w:t xml:space="preserve">. Ce fonds étant couvert par la rubrique «Ressources naturelles», la Cour des comptes a extrapolé les erreurs à l’ensemble de la rubrique, bien que la pêche ne représente que </w:t>
      </w:r>
      <w:r>
        <w:rPr>
          <w:b/>
          <w:noProof/>
          <w:lang w:val="fr-FR"/>
        </w:rPr>
        <w:t>1,3 %</w:t>
      </w:r>
      <w:r>
        <w:rPr>
          <w:noProof/>
          <w:lang w:val="fr-FR"/>
        </w:rPr>
        <w:t xml:space="preserve"> des dépenses au titre de cette rubrique, et malgré le fait que </w:t>
      </w:r>
      <w:r>
        <w:rPr>
          <w:rStyle w:val="AMPRcharBoldBlue"/>
          <w:noProof/>
          <w:lang w:val="fr-FR"/>
        </w:rPr>
        <w:t>ses systèmes de gestion et de contrôle diffèrent de ceux relatifs à la politique agricole commune</w:t>
      </w:r>
      <w:r>
        <w:rPr>
          <w:noProof/>
          <w:lang w:val="fr-FR"/>
        </w:rPr>
        <w:t>. La Commission applique un niveau de granularité plus élevé à l’extrapolation des erreurs.</w:t>
      </w:r>
    </w:p>
    <w:p>
      <w:pPr>
        <w:pStyle w:val="AMPRBOXA-bgWHITElnORANGE-BLUEtext"/>
        <w:rPr>
          <w:noProof/>
          <w:color w:val="2F5496" w:themeColor="accent5" w:themeShade="BF"/>
          <w:lang w:val="fr-FR"/>
        </w:rPr>
      </w:pPr>
      <w:r>
        <w:rPr>
          <w:noProof/>
          <w:lang w:val="fr-FR"/>
        </w:rPr>
        <w:t xml:space="preserve">En effet, </w:t>
      </w:r>
      <w:r>
        <w:rPr>
          <w:rStyle w:val="AMPRcharBoldBlue"/>
          <w:noProof/>
          <w:lang w:val="fr-FR"/>
        </w:rPr>
        <w:t>le Fonds européen pour les affaires maritimes et la pêche fait partie des Fonds structurels</w:t>
      </w:r>
      <w:r>
        <w:rPr>
          <w:noProof/>
          <w:lang w:val="fr-FR"/>
        </w:rPr>
        <w:t xml:space="preserve"> et suit un cycle de gestion et de contrôle identique à celui des dépenses dans le cadre de la cohésion. En ce qui concerne la cohésion, la Cour des comptes évalue la légalité et la régularité des opérations après l’apurement annuel des comptes, c’est-à-dire après l’exécution de tous les contrôles ex ante. Cela concorde avec la méthode suivie par la Commission pour toutes les dépenses au titre des Fonds structurels, tandis que pour les opérations auditées dans le cadre de la pêche, les constatations de la Cour des comptes ont été effectuées avant que l’ensemble des contrôles ex ante ne soient terminés et pourraient même avoir été corrigées avant que la Commission n'effectue les paiements.</w:t>
      </w:r>
    </w:p>
    <w:p>
      <w:pPr>
        <w:pStyle w:val="AMPRBOXA-bgWHITElnORANGE-BLUEHeading"/>
        <w:rPr>
          <w:noProof/>
          <w:lang w:val="fr-FR"/>
        </w:rPr>
      </w:pPr>
      <w:r>
        <w:rPr>
          <w:noProof/>
          <w:lang w:val="fr-FR"/>
        </w:rPr>
        <w:t>Cohésion</w:t>
      </w:r>
    </w:p>
    <w:p>
      <w:pPr>
        <w:pStyle w:val="AMPRBOXA-bgWHITElnORANGE-BLUEtext"/>
        <w:rPr>
          <w:noProof/>
          <w:lang w:val="fr-FR"/>
        </w:rPr>
      </w:pPr>
      <w:r>
        <w:rPr>
          <w:noProof/>
          <w:lang w:val="fr-FR"/>
        </w:rPr>
        <w:t xml:space="preserve">La Cour des comptes et la Commission partagent certes le même point de vue sur les principales causes des erreurs affectant les dépenses au titre de la cohésion, mais </w:t>
      </w:r>
      <w:r>
        <w:rPr>
          <w:b/>
          <w:noProof/>
          <w:lang w:val="fr-FR"/>
        </w:rPr>
        <w:t>la Cour des comptes a, dans certains cas, des interprétations divergentes et plus restrictives</w:t>
      </w:r>
      <w:r>
        <w:rPr>
          <w:noProof/>
          <w:lang w:val="fr-FR"/>
        </w:rPr>
        <w:t xml:space="preserve"> des règles nationales ou de l’UE applicables. Cela a une incidence sur le taux d’erreur calculé, qui, une fois extrapolé, amplifie le taux d’erreur pour l’ensemble de la rubrique.</w:t>
      </w:r>
    </w:p>
    <w:p>
      <w:pPr>
        <w:pStyle w:val="AMPRBOXA-bgWHITElnORANGE-BLUEtext"/>
        <w:rPr>
          <w:i/>
          <w:noProof/>
          <w:lang w:val="fr-FR"/>
        </w:rPr>
      </w:pPr>
      <w:r>
        <w:rPr>
          <w:noProof/>
          <w:lang w:val="fr-FR"/>
        </w:rPr>
        <w:t xml:space="preserve">Au-delà de l’interprétation des règles applicables, </w:t>
      </w:r>
      <w:r>
        <w:rPr>
          <w:b/>
          <w:noProof/>
          <w:lang w:val="fr-FR"/>
        </w:rPr>
        <w:t xml:space="preserve">la </w:t>
      </w:r>
      <w:r>
        <w:rPr>
          <w:b/>
          <w:bCs/>
          <w:iCs/>
          <w:noProof/>
          <w:lang w:val="fr-FR"/>
        </w:rPr>
        <w:t>quantification des erreurs</w:t>
      </w:r>
      <w:r>
        <w:rPr>
          <w:b/>
          <w:noProof/>
          <w:lang w:val="fr-FR"/>
        </w:rPr>
        <w:t xml:space="preserve"> par la Cour des comptes peut «[différer]</w:t>
      </w:r>
      <w:r>
        <w:rPr>
          <w:noProof/>
          <w:lang w:val="fr-FR"/>
        </w:rPr>
        <w:t xml:space="preserve"> de celle appliquée par la Commission ou les États membres</w:t>
      </w:r>
      <w:r>
        <w:rPr>
          <w:noProof/>
          <w:color w:val="2F5496" w:themeColor="accent5" w:themeShade="BF"/>
          <w:lang w:val="fr-FR"/>
        </w:rPr>
        <w:t xml:space="preserve"> </w:t>
      </w:r>
      <w:r>
        <w:rPr>
          <w:noProof/>
          <w:lang w:val="fr-FR"/>
        </w:rPr>
        <w:t>dans le cadre de leurs décisions sur les mesures à prendre en cas de mauvaise application des règles en matière de marchés publics»</w:t>
      </w:r>
      <w:r>
        <w:rPr>
          <w:rStyle w:val="fnRef"/>
          <w:rFonts w:ascii="Arial" w:hAnsi="Arial"/>
          <w:noProof/>
          <w:lang w:val="fr-FR"/>
        </w:rPr>
        <w:t> </w:t>
      </w:r>
      <w:r>
        <w:rPr>
          <w:rStyle w:val="fnRef"/>
          <w:noProof/>
          <w:lang w:val="fr-FR"/>
        </w:rPr>
        <w:t>(</w:t>
      </w:r>
      <w:r>
        <w:rPr>
          <w:rStyle w:val="fnRefNo"/>
          <w:noProof/>
        </w:rPr>
        <w:footnoteReference w:id="10"/>
      </w:r>
      <w:r>
        <w:rPr>
          <w:rStyle w:val="fnRef"/>
          <w:noProof/>
          <w:lang w:val="fr-FR"/>
        </w:rPr>
        <w:t>)</w:t>
      </w:r>
      <w:r>
        <w:rPr>
          <w:noProof/>
          <w:lang w:val="fr-FR"/>
        </w:rPr>
        <w:t>.</w:t>
      </w:r>
      <w:r>
        <w:rPr>
          <w:i/>
          <w:iCs/>
          <w:noProof/>
          <w:lang w:val="fr-FR"/>
        </w:rPr>
        <w:t xml:space="preserve"> </w:t>
      </w:r>
      <w:r>
        <w:rPr>
          <w:noProof/>
          <w:lang w:val="fr-FR"/>
        </w:rPr>
        <w:t>La Cour des comptes quantifie systématiquement à 100 % les erreurs dans les procédures de passation de marchés publics. La Commission évaluera toutefois l’incidence financière réelle sur la base de ses interprétations et de ses orientations juridiques</w:t>
      </w:r>
      <w:r>
        <w:rPr>
          <w:rStyle w:val="fnRef"/>
          <w:rFonts w:ascii="Arial" w:hAnsi="Arial"/>
          <w:noProof/>
          <w:lang w:val="fr-FR"/>
        </w:rPr>
        <w:t> </w:t>
      </w:r>
      <w:r>
        <w:rPr>
          <w:rStyle w:val="fnRef"/>
          <w:noProof/>
          <w:lang w:val="fr-FR"/>
        </w:rPr>
        <w:t>(</w:t>
      </w:r>
      <w:r>
        <w:rPr>
          <w:rStyle w:val="fnRefNo"/>
          <w:noProof/>
        </w:rPr>
        <w:footnoteReference w:id="11"/>
      </w:r>
      <w:r>
        <w:rPr>
          <w:rStyle w:val="fnRef"/>
          <w:noProof/>
          <w:lang w:val="fr-FR"/>
        </w:rPr>
        <w:t>)</w:t>
      </w:r>
      <w:r>
        <w:rPr>
          <w:noProof/>
          <w:lang w:val="fr-FR"/>
        </w:rPr>
        <w:t>, ce qui signifie qu’une correction financière de 100 % ne serait pas considérée comme proportionnée par la Commission pour un tel manquement. De même, les lignes directrices applicables de la Commission peuvent prévoir une quantification des erreurs dans les marchés publics de l'ordre de 5 %, 10 % ou 25 % lorsque la Cour des comptes considère qu’une erreur n’est qu’une question de conformité, sans incidence sur son calcul du taux d’erreur.</w:t>
      </w:r>
    </w:p>
    <w:p>
      <w:pPr>
        <w:pStyle w:val="AMPRBOXA-bgWHITElnORANGE-BLUEHeading"/>
        <w:rPr>
          <w:noProof/>
          <w:lang w:val="fr-FR"/>
        </w:rPr>
      </w:pPr>
      <w:r>
        <w:rPr>
          <w:noProof/>
          <w:lang w:val="fr-FR"/>
        </w:rPr>
        <w:t>Relations extérieures</w:t>
      </w:r>
    </w:p>
    <w:p>
      <w:pPr>
        <w:pStyle w:val="AMPRBOXA-bgWHITElnORANGE-BLUEtext"/>
        <w:spacing w:after="360"/>
        <w:rPr>
          <w:noProof/>
          <w:highlight w:val="green"/>
          <w:lang w:val="fr-FR"/>
        </w:rPr>
      </w:pPr>
      <w:r>
        <w:rPr>
          <w:noProof/>
          <w:lang w:val="fr-FR"/>
        </w:rPr>
        <w:t xml:space="preserve">Au cours des années précédentes, l’accès (rapide) aux pièces justificatives des entités chargées de l’exécution, y compris des organisations internationales, était une source d’irrégularités. Cela explique également le niveau d’erreur  relativement élevé estimé par la Cour des comptes pour les Fonds européens de développement (5,2 % pour 2018). Toutefois, ce </w:t>
      </w:r>
      <w:r>
        <w:rPr>
          <w:b/>
          <w:noProof/>
          <w:lang w:val="fr-FR"/>
        </w:rPr>
        <w:t>niveau d’erreur estimé a été</w:t>
      </w:r>
      <w:r>
        <w:rPr>
          <w:noProof/>
          <w:lang w:val="fr-FR"/>
        </w:rPr>
        <w:t xml:space="preserve"> </w:t>
      </w:r>
      <w:r>
        <w:rPr>
          <w:rStyle w:val="AMPRcharBoldBlue"/>
          <w:noProof/>
          <w:lang w:val="fr-FR"/>
        </w:rPr>
        <w:t>calculé avant que tous les contrôles ex ante aient été mis en œuvre</w:t>
      </w:r>
      <w:r>
        <w:rPr>
          <w:noProof/>
          <w:lang w:val="fr-FR"/>
        </w:rPr>
        <w:t xml:space="preserve"> et, en particulier, avant que les pièces justificatives aient été fournies. La Cour des comptes a reconnu que «[s]ur les 39 opérations de paiement comportant des </w:t>
      </w:r>
      <w:r>
        <w:rPr>
          <w:i/>
          <w:noProof/>
          <w:lang w:val="fr-FR"/>
        </w:rPr>
        <w:t>erreurs quantifiables</w:t>
      </w:r>
      <w:r>
        <w:rPr>
          <w:noProof/>
          <w:lang w:val="fr-FR"/>
        </w:rPr>
        <w:t>, 9 (23 %) étaient des opérations finales ordonnancées après la réalisation de l’ensemble des contrôles ex ante»</w:t>
      </w:r>
      <w:r>
        <w:rPr>
          <w:rStyle w:val="fnRef"/>
          <w:rFonts w:ascii="Arial" w:hAnsi="Arial"/>
          <w:noProof/>
          <w:lang w:val="fr-FR"/>
        </w:rPr>
        <w:t> </w:t>
      </w:r>
      <w:r>
        <w:rPr>
          <w:rStyle w:val="fnRef"/>
          <w:noProof/>
          <w:lang w:val="fr-FR"/>
        </w:rPr>
        <w:t>(</w:t>
      </w:r>
      <w:r>
        <w:rPr>
          <w:rStyle w:val="fnRefNo"/>
          <w:noProof/>
        </w:rPr>
        <w:footnoteReference w:id="12"/>
      </w:r>
      <w:r>
        <w:rPr>
          <w:rStyle w:val="fnRef"/>
          <w:noProof/>
          <w:lang w:val="fr-FR"/>
        </w:rPr>
        <w:t>)</w:t>
      </w:r>
      <w:r>
        <w:rPr>
          <w:noProof/>
          <w:lang w:val="fr-FR"/>
        </w:rPr>
        <w:t>. Par conséquent, pour les 30 autres opérations, le niveau d’erreur aurait pu être inférieur si la Cour des comptes les avait contrôlées une fois tous les contrôles ex ante effectués.</w:t>
      </w:r>
    </w:p>
    <w:p>
      <w:pPr>
        <w:rPr>
          <w:noProof/>
          <w:lang w:val="fr-FR"/>
        </w:rPr>
      </w:pPr>
      <w:r>
        <w:rPr>
          <w:noProof/>
          <w:lang w:val="fr-FR"/>
        </w:rPr>
        <w:br w:type="page"/>
      </w:r>
    </w:p>
    <w:p>
      <w:pPr>
        <w:rPr>
          <w:noProof/>
          <w:lang w:val="fr-FR"/>
        </w:rPr>
      </w:pPr>
    </w:p>
    <w:tbl>
      <w:tblPr>
        <w:tblStyle w:val="Simpletab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57"/>
        <w:gridCol w:w="3730"/>
        <w:gridCol w:w="3639"/>
      </w:tblGrid>
      <w:tr>
        <w:trPr>
          <w:jc w:val="center"/>
        </w:trPr>
        <w:tc>
          <w:tcPr>
            <w:tcW w:w="1657" w:type="dxa"/>
            <w:tcBorders>
              <w:top w:val="nil"/>
              <w:left w:val="nil"/>
              <w:bottom w:val="single" w:sz="8" w:space="0" w:color="FFFFFF" w:themeColor="background1"/>
              <w:right w:val="nil"/>
            </w:tcBorders>
          </w:tcPr>
          <w:p>
            <w:pPr>
              <w:autoSpaceDE w:val="0"/>
              <w:autoSpaceDN w:val="0"/>
              <w:adjustRightInd w:val="0"/>
              <w:rPr>
                <w:rFonts w:eastAsia="Calibri"/>
                <w:noProof/>
                <w:szCs w:val="24"/>
                <w:lang w:val="fr-FR"/>
              </w:rPr>
            </w:pPr>
          </w:p>
        </w:tc>
        <w:tc>
          <w:tcPr>
            <w:tcW w:w="3730" w:type="dxa"/>
            <w:tcBorders>
              <w:top w:val="nil"/>
              <w:left w:val="nil"/>
              <w:bottom w:val="single" w:sz="8" w:space="0" w:color="FFFFFF" w:themeColor="background1"/>
              <w:right w:val="nil"/>
            </w:tcBorders>
            <w:shd w:val="clear" w:color="auto" w:fill="5B9BD5" w:themeFill="accent1"/>
            <w:hideMark/>
          </w:tcPr>
          <w:p>
            <w:pPr>
              <w:autoSpaceDE w:val="0"/>
              <w:autoSpaceDN w:val="0"/>
              <w:adjustRightInd w:val="0"/>
              <w:spacing w:before="120"/>
              <w:ind w:left="170" w:right="170"/>
              <w:textAlignment w:val="center"/>
              <w:rPr>
                <w:rFonts w:eastAsia="Calibri" w:cs="EC Square Sans Pro"/>
                <w:noProof/>
                <w:color w:val="FFFFFF" w:themeColor="background1"/>
                <w:lang w:val="fr-FR"/>
              </w:rPr>
            </w:pPr>
            <w:r>
              <w:rPr>
                <w:b/>
                <w:noProof/>
                <w:color w:val="FFFFFF" w:themeColor="background1"/>
                <w:lang w:val="fr-FR"/>
              </w:rPr>
              <w:t>Commission européenne</w:t>
            </w:r>
            <w:r>
              <w:rPr>
                <w:noProof/>
                <w:color w:val="FFFFFF" w:themeColor="background1"/>
                <w:lang w:val="fr-FR"/>
              </w:rPr>
              <w:t xml:space="preserve"> </w:t>
            </w:r>
            <w:r>
              <w:rPr>
                <w:noProof/>
                <w:color w:val="FFFFFF" w:themeColor="background1"/>
                <w:lang w:val="fr-FR"/>
              </w:rPr>
              <w:br/>
              <w:t>sous l’angle de la gestion</w:t>
            </w:r>
          </w:p>
        </w:tc>
        <w:tc>
          <w:tcPr>
            <w:tcW w:w="3639" w:type="dxa"/>
            <w:tcBorders>
              <w:top w:val="nil"/>
              <w:left w:val="nil"/>
              <w:bottom w:val="single" w:sz="8" w:space="0" w:color="FFFFFF" w:themeColor="background1"/>
              <w:right w:val="nil"/>
            </w:tcBorders>
            <w:shd w:val="clear" w:color="auto" w:fill="FFC000" w:themeFill="accent4"/>
            <w:hideMark/>
          </w:tcPr>
          <w:p>
            <w:pPr>
              <w:autoSpaceDE w:val="0"/>
              <w:autoSpaceDN w:val="0"/>
              <w:adjustRightInd w:val="0"/>
              <w:spacing w:before="120"/>
              <w:ind w:left="170" w:right="170"/>
              <w:textAlignment w:val="center"/>
              <w:rPr>
                <w:rFonts w:eastAsia="Calibri" w:cs="EC Square Sans Pro"/>
                <w:b/>
                <w:noProof/>
                <w:color w:val="FFFFFF" w:themeColor="background1"/>
                <w:lang w:val="fr-FR"/>
              </w:rPr>
            </w:pPr>
            <w:r>
              <w:rPr>
                <w:b/>
                <w:noProof/>
                <w:color w:val="FFFFFF" w:themeColor="background1"/>
                <w:lang w:val="fr-FR"/>
              </w:rPr>
              <w:t>Cour des comptes européenne</w:t>
            </w:r>
            <w:r>
              <w:rPr>
                <w:noProof/>
                <w:color w:val="FFFFFF" w:themeColor="background1"/>
                <w:lang w:val="fr-FR"/>
              </w:rPr>
              <w:t xml:space="preserve"> sous l’angle de l’audit</w:t>
            </w:r>
          </w:p>
        </w:tc>
      </w:tr>
      <w:tr>
        <w:trPr>
          <w:jc w:val="center"/>
        </w:trPr>
        <w:tc>
          <w:tcPr>
            <w:tcW w:w="1657" w:type="dxa"/>
            <w:tcBorders>
              <w:top w:val="single" w:sz="8" w:space="0" w:color="FFFFFF" w:themeColor="background1"/>
              <w:left w:val="nil"/>
              <w:bottom w:val="nil"/>
              <w:right w:val="nil"/>
            </w:tcBorders>
            <w:hideMark/>
          </w:tcPr>
          <w:p>
            <w:pPr>
              <w:autoSpaceDE w:val="0"/>
              <w:autoSpaceDN w:val="0"/>
              <w:adjustRightInd w:val="0"/>
              <w:textAlignment w:val="center"/>
              <w:rPr>
                <w:rFonts w:eastAsia="Calibri" w:cs="EC Square Sans Pro"/>
                <w:noProof/>
                <w:color w:val="44546A" w:themeColor="text2"/>
              </w:rPr>
            </w:pPr>
            <w:r>
              <w:rPr>
                <w:b/>
                <w:bCs/>
                <w:noProof/>
                <w:color w:val="203F79"/>
              </w:rPr>
              <w:t>Rôles</w:t>
            </w:r>
          </w:p>
        </w:tc>
        <w:tc>
          <w:tcPr>
            <w:tcW w:w="3730" w:type="dxa"/>
            <w:tcBorders>
              <w:top w:val="single" w:sz="8" w:space="0" w:color="FFFFFF" w:themeColor="background1"/>
              <w:left w:val="nil"/>
              <w:bottom w:val="single" w:sz="8" w:space="0" w:color="FFFFFF" w:themeColor="background1"/>
              <w:right w:val="nil"/>
            </w:tcBorders>
            <w:shd w:val="clear" w:color="auto" w:fill="FAD9C2"/>
            <w:hideMark/>
          </w:tcPr>
          <w:p>
            <w:pPr>
              <w:numPr>
                <w:ilvl w:val="0"/>
                <w:numId w:val="5"/>
              </w:numPr>
              <w:autoSpaceDE w:val="0"/>
              <w:autoSpaceDN w:val="0"/>
              <w:adjustRightInd w:val="0"/>
              <w:spacing w:before="120"/>
              <w:ind w:left="340" w:right="170" w:hanging="170"/>
              <w:textAlignment w:val="center"/>
              <w:rPr>
                <w:rFonts w:eastAsia="Calibri" w:cs="EC Square Sans Pro"/>
                <w:noProof/>
                <w:color w:val="44546A" w:themeColor="text2"/>
                <w:lang w:val="fr-FR"/>
              </w:rPr>
            </w:pPr>
            <w:r>
              <w:rPr>
                <w:noProof/>
                <w:color w:val="203F79"/>
                <w:lang w:val="fr-FR"/>
              </w:rPr>
              <w:t>fournir une assurance de gestion annuelle</w:t>
            </w:r>
          </w:p>
          <w:p>
            <w:pPr>
              <w:numPr>
                <w:ilvl w:val="0"/>
                <w:numId w:val="5"/>
              </w:numPr>
              <w:autoSpaceDE w:val="0"/>
              <w:autoSpaceDN w:val="0"/>
              <w:adjustRightInd w:val="0"/>
              <w:spacing w:before="60" w:after="60"/>
              <w:ind w:left="340" w:right="170" w:hanging="170"/>
              <w:textAlignment w:val="center"/>
              <w:rPr>
                <w:rFonts w:eastAsia="Calibri" w:cs="EC Square Sans Pro"/>
                <w:noProof/>
                <w:color w:val="44546A" w:themeColor="text2"/>
                <w:lang w:val="fr-FR"/>
              </w:rPr>
            </w:pPr>
            <w:r>
              <w:rPr>
                <w:noProof/>
                <w:color w:val="203F79"/>
                <w:lang w:val="fr-FR"/>
              </w:rPr>
              <w:t>recenser les lacunes et prendre des mesures sur une base pluriannuelle</w:t>
            </w:r>
          </w:p>
          <w:p>
            <w:pPr>
              <w:numPr>
                <w:ilvl w:val="0"/>
                <w:numId w:val="5"/>
              </w:numPr>
              <w:autoSpaceDE w:val="0"/>
              <w:autoSpaceDN w:val="0"/>
              <w:adjustRightInd w:val="0"/>
              <w:spacing w:before="60" w:after="60"/>
              <w:ind w:left="340" w:right="170" w:hanging="170"/>
              <w:textAlignment w:val="center"/>
              <w:rPr>
                <w:rFonts w:eastAsia="Calibri" w:cs="EC Square Sans Pro"/>
                <w:noProof/>
                <w:color w:val="44546A" w:themeColor="text2"/>
                <w:lang w:val="fr-FR"/>
              </w:rPr>
            </w:pPr>
            <w:r>
              <w:rPr>
                <w:noProof/>
                <w:color w:val="203F79"/>
                <w:lang w:val="fr-FR"/>
              </w:rPr>
              <w:t xml:space="preserve">protéger le budget de l’UE </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lang w:val="fr-FR"/>
              </w:rPr>
            </w:pPr>
            <w:r>
              <w:rPr>
                <w:noProof/>
                <w:color w:val="203F79"/>
                <w:lang w:val="fr-FR"/>
              </w:rPr>
              <w:t>présenter une opinion d’audit sur la légalité et la régularité des opérations financières pour un exercice donné</w:t>
            </w:r>
          </w:p>
        </w:tc>
      </w:tr>
      <w:tr>
        <w:trPr>
          <w:jc w:val="center"/>
        </w:trPr>
        <w:tc>
          <w:tcPr>
            <w:tcW w:w="1657" w:type="dxa"/>
            <w:hideMark/>
          </w:tcPr>
          <w:p>
            <w:pPr>
              <w:suppressAutoHyphens/>
              <w:autoSpaceDE w:val="0"/>
              <w:autoSpaceDN w:val="0"/>
              <w:adjustRightInd w:val="0"/>
              <w:textAlignment w:val="center"/>
              <w:rPr>
                <w:rFonts w:eastAsia="Calibri" w:cs="EC Square Sans Pro"/>
                <w:noProof/>
                <w:color w:val="44546A" w:themeColor="text2"/>
              </w:rPr>
            </w:pPr>
            <w:r>
              <w:rPr>
                <w:b/>
                <w:bCs/>
                <w:noProof/>
                <w:color w:val="203F79"/>
              </w:rPr>
              <w:t>Niveau de granularité</w:t>
            </w:r>
          </w:p>
        </w:tc>
        <w:tc>
          <w:tcPr>
            <w:tcW w:w="3730" w:type="dxa"/>
            <w:tcBorders>
              <w:top w:val="single" w:sz="8" w:space="0" w:color="FFFFFF" w:themeColor="background1"/>
              <w:left w:val="nil"/>
              <w:bottom w:val="single" w:sz="8" w:space="0" w:color="FFFFFF" w:themeColor="background1"/>
              <w:right w:val="nil"/>
            </w:tcBorders>
            <w:shd w:val="clear" w:color="auto" w:fill="FAD9C2"/>
            <w:hideMark/>
          </w:tcPr>
          <w:p>
            <w:pPr>
              <w:numPr>
                <w:ilvl w:val="0"/>
                <w:numId w:val="5"/>
              </w:numPr>
              <w:tabs>
                <w:tab w:val="left" w:pos="135"/>
              </w:tabs>
              <w:autoSpaceDE w:val="0"/>
              <w:autoSpaceDN w:val="0"/>
              <w:adjustRightInd w:val="0"/>
              <w:spacing w:before="120"/>
              <w:ind w:left="340" w:right="170" w:hanging="170"/>
              <w:textAlignment w:val="center"/>
              <w:rPr>
                <w:rFonts w:eastAsia="Calibri" w:cs="EC Square Sans Pro"/>
                <w:noProof/>
                <w:color w:val="44546A" w:themeColor="text2"/>
                <w:lang w:val="fr-FR"/>
              </w:rPr>
            </w:pPr>
            <w:r>
              <w:rPr>
                <w:noProof/>
                <w:color w:val="203F79"/>
                <w:lang w:val="fr-FR"/>
              </w:rPr>
              <w:t>taux d’erreur pour le budget de l’UE dans son ensemble et divers taux d’erreur pour chaque service et chaque domaine politique des rubriques 1 à 5, ainsi que pour les recettes</w:t>
            </w:r>
          </w:p>
          <w:p>
            <w:pPr>
              <w:keepNext/>
              <w:numPr>
                <w:ilvl w:val="0"/>
                <w:numId w:val="5"/>
              </w:numPr>
              <w:tabs>
                <w:tab w:val="left" w:pos="135"/>
              </w:tabs>
              <w:autoSpaceDE w:val="0"/>
              <w:autoSpaceDN w:val="0"/>
              <w:adjustRightInd w:val="0"/>
              <w:spacing w:before="120"/>
              <w:ind w:left="340" w:right="170" w:hanging="170"/>
              <w:textAlignment w:val="center"/>
              <w:rPr>
                <w:rFonts w:eastAsia="Calibri" w:cs="EC Square Sans Pro"/>
                <w:noProof/>
                <w:color w:val="44546A" w:themeColor="text2"/>
                <w:lang w:val="fr-FR"/>
              </w:rPr>
            </w:pPr>
            <w:r>
              <w:rPr>
                <w:bCs/>
                <w:noProof/>
                <w:color w:val="203F79"/>
                <w:lang w:val="fr-FR"/>
              </w:rPr>
              <w:t>taux d’erreur calculés par domaine politique, programme et/ou (sous-)segments pertinents</w:t>
            </w:r>
          </w:p>
          <w:p>
            <w:pPr>
              <w:numPr>
                <w:ilvl w:val="0"/>
                <w:numId w:val="5"/>
              </w:numPr>
              <w:tabs>
                <w:tab w:val="left" w:pos="135"/>
              </w:tabs>
              <w:autoSpaceDE w:val="0"/>
              <w:autoSpaceDN w:val="0"/>
              <w:adjustRightInd w:val="0"/>
              <w:spacing w:before="120"/>
              <w:ind w:left="340" w:right="170" w:hanging="170"/>
              <w:textAlignment w:val="center"/>
              <w:rPr>
                <w:rFonts w:eastAsia="Calibri" w:cs="EC Square Sans Pro"/>
                <w:noProof/>
                <w:color w:val="44546A" w:themeColor="text2"/>
                <w:lang w:val="fr-FR"/>
              </w:rPr>
            </w:pPr>
            <w:r>
              <w:rPr>
                <w:noProof/>
                <w:color w:val="203F79"/>
                <w:lang w:val="fr-FR"/>
              </w:rPr>
              <w:t>dépenses et recettes de l’année (ou de deux années pour la recherche) dans une perspective pluriannuelle</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lang w:val="fr-FR"/>
              </w:rPr>
            </w:pPr>
            <w:r>
              <w:rPr>
                <w:noProof/>
                <w:color w:val="203F79"/>
                <w:lang w:val="fr-FR"/>
              </w:rPr>
              <w:t>budget de l’UE dans son ensemble et divers taux d’erreur pour les rubriques 1a, 1b, 2 et 5 ainsi que pour les recettes</w:t>
            </w:r>
          </w:p>
          <w:p>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lang w:val="fr-FR"/>
              </w:rPr>
            </w:pPr>
            <w:r>
              <w:rPr>
                <w:noProof/>
                <w:color w:val="203F79"/>
                <w:lang w:val="fr-FR"/>
              </w:rPr>
              <w:t>dépenses et recettes de l’année</w:t>
            </w:r>
          </w:p>
        </w:tc>
      </w:tr>
      <w:tr>
        <w:trPr>
          <w:jc w:val="center"/>
        </w:trPr>
        <w:tc>
          <w:tcPr>
            <w:tcW w:w="1657" w:type="dxa"/>
            <w:hideMark/>
          </w:tcPr>
          <w:p>
            <w:pPr>
              <w:autoSpaceDE w:val="0"/>
              <w:autoSpaceDN w:val="0"/>
              <w:adjustRightInd w:val="0"/>
              <w:textAlignment w:val="center"/>
              <w:rPr>
                <w:rFonts w:eastAsia="Calibri" w:cs="EC Square Sans Pro"/>
                <w:noProof/>
                <w:color w:val="44546A" w:themeColor="text2"/>
              </w:rPr>
            </w:pPr>
            <w:r>
              <w:rPr>
                <w:b/>
                <w:bCs/>
                <w:noProof/>
                <w:color w:val="203F79"/>
              </w:rPr>
              <w:t>Caractère pluriannuel</w:t>
            </w:r>
          </w:p>
        </w:tc>
        <w:tc>
          <w:tcPr>
            <w:tcW w:w="3730" w:type="dxa"/>
            <w:tcBorders>
              <w:top w:val="single" w:sz="8" w:space="0" w:color="FFFFFF" w:themeColor="background1"/>
              <w:left w:val="nil"/>
              <w:bottom w:val="single" w:sz="8" w:space="0" w:color="FFFFFF" w:themeColor="background1"/>
              <w:right w:val="nil"/>
            </w:tcBorders>
            <w:shd w:val="clear" w:color="auto" w:fill="FAD9C2"/>
            <w:hideMark/>
          </w:tcPr>
          <w:p>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lang w:val="fr-FR"/>
              </w:rPr>
            </w:pPr>
            <w:r>
              <w:rPr>
                <w:bCs/>
                <w:noProof/>
                <w:color w:val="203F79"/>
                <w:lang w:val="fr-FR"/>
              </w:rPr>
              <w:t>deux taux d’erreur («risque au moment du paiement» et «risque à la clôture</w:t>
            </w:r>
            <w:r>
              <w:rPr>
                <w:rStyle w:val="fnRef"/>
                <w:rFonts w:ascii="Arial" w:hAnsi="Arial"/>
                <w:noProof/>
                <w:color w:val="44546A" w:themeColor="text2"/>
                <w:lang w:val="fr-FR"/>
              </w:rPr>
              <w:t> </w:t>
            </w:r>
            <w:r>
              <w:rPr>
                <w:rStyle w:val="fnRef"/>
                <w:noProof/>
                <w:color w:val="44546A" w:themeColor="text2"/>
                <w:lang w:val="fr-FR"/>
              </w:rPr>
              <w:t>(</w:t>
            </w:r>
            <w:r>
              <w:rPr>
                <w:rStyle w:val="fnRefNo"/>
                <w:noProof/>
                <w:color w:val="44546A" w:themeColor="text2"/>
              </w:rPr>
              <w:footnoteReference w:id="13"/>
            </w:r>
            <w:r>
              <w:rPr>
                <w:rStyle w:val="fnRef"/>
                <w:noProof/>
                <w:color w:val="44546A" w:themeColor="text2"/>
                <w:lang w:val="fr-FR"/>
              </w:rPr>
              <w:t>))</w:t>
            </w:r>
            <w:r>
              <w:rPr>
                <w:bCs/>
                <w:noProof/>
                <w:color w:val="44546A" w:themeColor="text2"/>
                <w:lang w:val="fr-FR"/>
              </w:rPr>
              <w:t>;</w:t>
            </w:r>
            <w:r>
              <w:rPr>
                <w:noProof/>
                <w:color w:val="203F79"/>
                <w:szCs w:val="18"/>
                <w:lang w:val="fr-FR"/>
              </w:rPr>
              <w:cr/>
            </w:r>
            <w:r>
              <w:rPr>
                <w:noProof/>
                <w:color w:val="203F79"/>
                <w:szCs w:val="18"/>
                <w:lang w:val="fr-FR"/>
              </w:rPr>
              <w:br/>
            </w:r>
            <w:r>
              <w:rPr>
                <w:bCs/>
                <w:noProof/>
                <w:color w:val="203F79"/>
                <w:lang w:val="fr-FR"/>
              </w:rPr>
              <w:t>caractère pluriannuel pris en considération de façon prospective pour le risque à la clôture, au moyen des corrections futures estimées pour tous les programmes</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bCs/>
                <w:noProof/>
                <w:color w:val="203F79"/>
                <w:lang w:val="fr-FR"/>
              </w:rPr>
            </w:pPr>
            <w:r>
              <w:rPr>
                <w:bCs/>
                <w:noProof/>
                <w:color w:val="203F79"/>
                <w:lang w:val="fr-FR"/>
              </w:rPr>
              <w:t>un taux d’erreur («taux d’erreur le plus probable»)</w:t>
            </w:r>
          </w:p>
          <w:p>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lang w:val="fr-FR"/>
              </w:rPr>
            </w:pPr>
            <w:r>
              <w:rPr>
                <w:bCs/>
                <w:noProof/>
                <w:color w:val="203F79"/>
                <w:lang w:val="fr-FR"/>
              </w:rPr>
              <w:t>caractère pluriannuel pris en considération rétroactivement, uniquement au moyen de corrections financières appliquées aux programmes clôturés</w:t>
            </w:r>
          </w:p>
        </w:tc>
      </w:tr>
      <w:tr>
        <w:trPr>
          <w:jc w:val="center"/>
        </w:trPr>
        <w:tc>
          <w:tcPr>
            <w:tcW w:w="1657" w:type="dxa"/>
            <w:hideMark/>
          </w:tcPr>
          <w:p>
            <w:pPr>
              <w:autoSpaceDE w:val="0"/>
              <w:autoSpaceDN w:val="0"/>
              <w:adjustRightInd w:val="0"/>
              <w:textAlignment w:val="center"/>
              <w:rPr>
                <w:rFonts w:eastAsia="Calibri" w:cs="EC Square Sans Pro"/>
                <w:noProof/>
                <w:color w:val="44546A" w:themeColor="text2"/>
              </w:rPr>
            </w:pPr>
            <w:r>
              <w:rPr>
                <w:b/>
                <w:bCs/>
                <w:noProof/>
                <w:color w:val="203F79"/>
              </w:rPr>
              <w:t>Seuil de signification</w:t>
            </w:r>
          </w:p>
        </w:tc>
        <w:tc>
          <w:tcPr>
            <w:tcW w:w="3730" w:type="dxa"/>
            <w:tcBorders>
              <w:top w:val="single" w:sz="8" w:space="0" w:color="FFFFFF" w:themeColor="background1"/>
              <w:left w:val="nil"/>
              <w:bottom w:val="single" w:sz="8" w:space="0" w:color="FFFFFF" w:themeColor="background1"/>
              <w:right w:val="nil"/>
            </w:tcBorders>
            <w:shd w:val="clear" w:color="auto" w:fill="FAD9C2"/>
            <w:hideMark/>
          </w:tcPr>
          <w:p>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noProof/>
                <w:color w:val="203F79"/>
              </w:rPr>
              <w:t xml:space="preserve">2 % </w:t>
            </w:r>
          </w:p>
          <w:p>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lang w:val="fr-FR"/>
              </w:rPr>
            </w:pPr>
            <w:r>
              <w:rPr>
                <w:noProof/>
                <w:color w:val="203F79"/>
                <w:lang w:val="fr-FR"/>
              </w:rPr>
              <w:t>sauf pour les recettes (1 %) et pour Horizon 2020 (entre 2 % et 5 %)</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noProof/>
                <w:color w:val="203F79"/>
              </w:rPr>
              <w:t>2 %</w:t>
            </w:r>
          </w:p>
        </w:tc>
      </w:tr>
      <w:tr>
        <w:trPr>
          <w:jc w:val="center"/>
        </w:trPr>
        <w:tc>
          <w:tcPr>
            <w:tcW w:w="1657" w:type="dxa"/>
            <w:hideMark/>
          </w:tcPr>
          <w:p>
            <w:pPr>
              <w:autoSpaceDE w:val="0"/>
              <w:autoSpaceDN w:val="0"/>
              <w:adjustRightInd w:val="0"/>
              <w:textAlignment w:val="center"/>
              <w:rPr>
                <w:rFonts w:eastAsia="Calibri" w:cs="EC Square Sans Pro"/>
                <w:b/>
                <w:noProof/>
                <w:color w:val="44546A" w:themeColor="text2"/>
              </w:rPr>
            </w:pPr>
            <w:r>
              <w:rPr>
                <w:b/>
                <w:bCs/>
                <w:noProof/>
                <w:color w:val="203F79"/>
              </w:rPr>
              <w:t>Pour en savoir plus</w:t>
            </w:r>
          </w:p>
        </w:tc>
        <w:tc>
          <w:tcPr>
            <w:tcW w:w="3730" w:type="dxa"/>
            <w:tcBorders>
              <w:top w:val="single" w:sz="8" w:space="0" w:color="FFFFFF" w:themeColor="background1"/>
              <w:left w:val="nil"/>
              <w:bottom w:val="nil"/>
              <w:right w:val="nil"/>
            </w:tcBorders>
            <w:shd w:val="clear" w:color="auto" w:fill="FAD9C2"/>
            <w:hideMark/>
          </w:tcPr>
          <w:p>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noProof/>
                <w:color w:val="203F79"/>
              </w:rPr>
              <w:t>annexe 3 du présent rapport</w:t>
            </w:r>
          </w:p>
        </w:tc>
        <w:tc>
          <w:tcPr>
            <w:tcW w:w="3639" w:type="dxa"/>
            <w:tcBorders>
              <w:top w:val="single" w:sz="8" w:space="0" w:color="FFFFFF" w:themeColor="background1"/>
              <w:left w:val="nil"/>
              <w:bottom w:val="nil"/>
              <w:right w:val="nil"/>
            </w:tcBorders>
            <w:shd w:val="clear" w:color="auto" w:fill="E7E6E6" w:themeFill="background2"/>
            <w:hideMark/>
          </w:tcPr>
          <w:p>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lang w:val="fr-FR"/>
              </w:rPr>
            </w:pPr>
            <w:r>
              <w:rPr>
                <w:noProof/>
                <w:color w:val="203F79"/>
                <w:lang w:val="fr-FR"/>
              </w:rPr>
              <w:t>annexe 1.1 du rapport annuel de la Cour des comptes</w:t>
            </w:r>
          </w:p>
        </w:tc>
      </w:tr>
    </w:tbl>
    <w:p>
      <w:pPr>
        <w:pStyle w:val="AMPRCharttitle"/>
        <w:rPr>
          <w:noProof/>
          <w:lang w:val="fr-FR"/>
        </w:rPr>
      </w:pPr>
      <w:r>
        <w:rPr>
          <w:noProof/>
          <w:lang w:val="fr-FR"/>
        </w:rPr>
        <w:t>Comparaison sous l’angle de la Commission et de la Cour des comptes européenne</w:t>
      </w:r>
    </w:p>
    <w:p>
      <w:pPr>
        <w:pStyle w:val="AMPRSec2TITLE3-numbered"/>
        <w:rPr>
          <w:noProof/>
          <w:lang w:val="fr-FR"/>
        </w:rPr>
      </w:pPr>
      <w:r>
        <w:rPr>
          <w:noProof/>
          <w:lang w:val="fr-FR"/>
        </w:rPr>
        <w:t>La fraude au détriment des contribuables est évitée au moyen de stratégies et de contrôles à plusieurs niveaux</w:t>
      </w:r>
    </w:p>
    <w:p>
      <w:pPr>
        <w:pStyle w:val="AMPRBodyText"/>
        <w:rPr>
          <w:noProof/>
          <w:lang w:val="fr-FR"/>
        </w:rPr>
      </w:pPr>
      <w:r>
        <w:rPr>
          <w:noProof/>
          <w:lang w:val="fr-FR"/>
        </w:rPr>
        <w:t>Il convient de souligner que la fraude représente une part très limitée des dépenses illégales ou irrégulières, dont la plupart sont liées à des erreurs. La Commission applique une politique de tolérance zéro face à la fraude.</w:t>
      </w:r>
    </w:p>
    <w:tbl>
      <w:tblPr>
        <w:tblStyle w:val="TableGrid"/>
        <w:tblW w:w="9468" w:type="dxa"/>
        <w:jc w:val="center"/>
        <w:tblBorders>
          <w:top w:val="dashSmallGap" w:sz="12" w:space="0" w:color="5B9BD5" w:themeColor="accent1"/>
          <w:left w:val="dashSmallGap" w:sz="12" w:space="0" w:color="5B9BD5" w:themeColor="accent1"/>
          <w:bottom w:val="dashSmallGap" w:sz="12" w:space="0" w:color="5B9BD5" w:themeColor="accent1"/>
          <w:right w:val="dashSmallGap" w:sz="12" w:space="0" w:color="5B9BD5" w:themeColor="accent1"/>
          <w:insideH w:val="dashSmallGap" w:sz="12" w:space="0" w:color="5B9BD5" w:themeColor="accent1"/>
          <w:insideV w:val="dashSmallGap" w:sz="12" w:space="0" w:color="5B9BD5" w:themeColor="accent1"/>
        </w:tblBorders>
        <w:tblCellMar>
          <w:top w:w="113" w:type="dxa"/>
          <w:left w:w="227" w:type="dxa"/>
          <w:bottom w:w="85" w:type="dxa"/>
          <w:right w:w="227" w:type="dxa"/>
        </w:tblCellMar>
        <w:tblLook w:val="04A0" w:firstRow="1" w:lastRow="0" w:firstColumn="1" w:lastColumn="0" w:noHBand="0" w:noVBand="1"/>
      </w:tblPr>
      <w:tblGrid>
        <w:gridCol w:w="9468"/>
      </w:tblGrid>
      <w:tr>
        <w:trPr>
          <w:trHeight w:val="1701"/>
          <w:jc w:val="center"/>
        </w:trPr>
        <w:tc>
          <w:tcPr>
            <w:tcW w:w="9468" w:type="dxa"/>
            <w:vAlign w:val="center"/>
          </w:tcPr>
          <w:p>
            <w:pPr>
              <w:pStyle w:val="AMPRtableBOXA-bgWHITElnORANGE-BLUEheading"/>
              <w:rPr>
                <w:rStyle w:val="AMPRcharBoldBlue"/>
                <w:rFonts w:eastAsiaTheme="minorHAnsi" w:cstheme="minorBidi"/>
                <w:noProof/>
                <w:szCs w:val="20"/>
                <w:lang w:val="fr-FR"/>
              </w:rPr>
            </w:pPr>
            <w:r>
              <w:rPr>
                <w:rStyle w:val="AMPRcharBoldBlue"/>
                <w:noProof/>
                <w:lang w:val="fr-FR"/>
              </w:rPr>
              <w:t>La stratégie antifraude de la Commission s’enracine</w:t>
            </w:r>
          </w:p>
          <w:p>
            <w:pPr>
              <w:pStyle w:val="AMPRtableBOXA-bgWHITElnORANGE-BLUEText"/>
              <w:rPr>
                <w:noProof/>
                <w:spacing w:val="-2"/>
              </w:rPr>
            </w:pPr>
            <w:r>
              <w:rPr>
                <w:noProof/>
              </w:rPr>
              <w:t>En vertu de l’article 325 du traité sur le fonctionnement de l’Union européenne, la Commission et les États membres protègent le budget de l’UE contre la fraude et les autres activités illégales. À cette fin, la Commission et ses services et agences exécutives ont mis au point chacun une stratégie de lutte contre la fraude, qui décèle les vulnérabilités face à la fraude et détermine les priorités dans la lutte contre la fraude.</w:t>
            </w:r>
          </w:p>
          <w:p>
            <w:pPr>
              <w:pStyle w:val="AMPRtableBOXA-bgWHITElnORANGE-BLUEText"/>
              <w:rPr>
                <w:noProof/>
                <w:spacing w:val="-2"/>
              </w:rPr>
            </w:pPr>
            <w:r>
              <w:rPr>
                <w:noProof/>
              </w:rPr>
              <w:t>En ce qui concerne l’initiative de l’Office européen de lutte antifraude, la Commission a adopté, en avril 2019, une nouvelle stratégie antifraude institutionnelle dont les principaux objectifs sont les suivants:</w:t>
            </w:r>
          </w:p>
          <w:p>
            <w:pPr>
              <w:pStyle w:val="AMPRtableBOXA-bgWHITElnORANGE-BLUEBullet"/>
              <w:rPr>
                <w:noProof/>
                <w:spacing w:val="-2"/>
              </w:rPr>
            </w:pPr>
            <w:r>
              <w:rPr>
                <w:noProof/>
              </w:rPr>
              <w:t>renforcer les connaissances de la Commission en matière de fraude et sa capacité d’analyse pour orienter l’action antifraude;</w:t>
            </w:r>
          </w:p>
          <w:p>
            <w:pPr>
              <w:pStyle w:val="AMPRtableBOXA-bgWHITElnORANGE-BLUEBullet"/>
              <w:rPr>
                <w:noProof/>
                <w:spacing w:val="-2"/>
              </w:rPr>
            </w:pPr>
            <w:r>
              <w:rPr>
                <w:noProof/>
              </w:rPr>
              <w:t>assurer une coopération étroite entre les services de la Commission et les agences exécutives dans la lutte contre la fraude;</w:t>
            </w:r>
          </w:p>
          <w:p>
            <w:pPr>
              <w:pStyle w:val="AMPRtableBOXA-bgWHITElnORANGE-BLUEBullet"/>
              <w:rPr>
                <w:noProof/>
                <w:spacing w:val="-2"/>
              </w:rPr>
            </w:pPr>
            <w:r>
              <w:rPr>
                <w:noProof/>
              </w:rPr>
              <w:t>renforcer la surveillance institutionnelle de la lutte contre la fraude exercée par la Commission.</w:t>
            </w:r>
          </w:p>
          <w:p>
            <w:pPr>
              <w:pStyle w:val="AMPRtableBOXA-bgWHITElnORANGE-BLUEText"/>
              <w:rPr>
                <w:noProof/>
                <w:spacing w:val="-2"/>
              </w:rPr>
            </w:pPr>
            <w:r>
              <w:rPr>
                <w:noProof/>
              </w:rPr>
              <w:t>L’Office européen de lutte antifraude et les autres services de la Commission ont commencé à mettre en œuvre la nouvelle stratégie antifraude de la Commission</w:t>
            </w:r>
            <w:r>
              <w:rPr>
                <w:rStyle w:val="fnRef"/>
                <w:rFonts w:ascii="Arial" w:hAnsi="Arial"/>
                <w:noProof/>
                <w:lang w:val="fr-FR"/>
              </w:rPr>
              <w:t> </w:t>
            </w:r>
            <w:r>
              <w:rPr>
                <w:rStyle w:val="fnRef"/>
                <w:noProof/>
                <w:lang w:val="fr-FR"/>
              </w:rPr>
              <w:t>(</w:t>
            </w:r>
            <w:r>
              <w:rPr>
                <w:rStyle w:val="fnRefNo"/>
                <w:noProof/>
                <w:spacing w:val="-2"/>
              </w:rPr>
              <w:footnoteReference w:id="14"/>
            </w:r>
            <w:r>
              <w:rPr>
                <w:rStyle w:val="fnRef"/>
                <w:noProof/>
                <w:lang w:val="fr-FR"/>
              </w:rPr>
              <w:t>)</w:t>
            </w:r>
            <w:r>
              <w:rPr>
                <w:noProof/>
              </w:rPr>
              <w:t>.</w:t>
            </w:r>
          </w:p>
          <w:p>
            <w:pPr>
              <w:pStyle w:val="AMPRtableBOXA-bgWHITElnORANGE-BLUEText"/>
              <w:rPr>
                <w:noProof/>
                <w:spacing w:val="-2"/>
              </w:rPr>
            </w:pPr>
            <w:r>
              <w:rPr>
                <w:noProof/>
              </w:rPr>
              <w:t>L’élément phare de l’</w:t>
            </w:r>
            <w:r>
              <w:rPr>
                <w:rStyle w:val="AMPRcharBoldBlue"/>
                <w:noProof/>
                <w:lang w:val="fr-FR"/>
              </w:rPr>
              <w:t>analyse stratégique antifraude</w:t>
            </w:r>
            <w:r>
              <w:rPr>
                <w:noProof/>
              </w:rPr>
              <w:t xml:space="preserve"> est le rapport sur la protection des intérêts financiers de l’UE. À l’occasion de sa 30</w:t>
            </w:r>
            <w:r>
              <w:rPr>
                <w:noProof/>
                <w:vertAlign w:val="superscript"/>
              </w:rPr>
              <w:t>e</w:t>
            </w:r>
            <w:r>
              <w:rPr>
                <w:noProof/>
              </w:rPr>
              <w:t> édition, publiée le 11 octobre 2019, l’Office européen de lutte antifraude a publié une brochure contenant les principaux points forts de la lutte contre la fraude et la corruption au cours des 30 dernières années</w:t>
            </w:r>
            <w:r>
              <w:rPr>
                <w:rStyle w:val="fnRef"/>
                <w:rFonts w:ascii="Arial" w:hAnsi="Arial"/>
                <w:noProof/>
                <w:lang w:val="fr-FR"/>
              </w:rPr>
              <w:t> </w:t>
            </w:r>
            <w:r>
              <w:rPr>
                <w:rStyle w:val="fnRef"/>
                <w:noProof/>
                <w:lang w:val="fr-FR"/>
              </w:rPr>
              <w:t>(</w:t>
            </w:r>
            <w:r>
              <w:rPr>
                <w:rStyle w:val="fnRefNo"/>
                <w:noProof/>
                <w:spacing w:val="-2"/>
              </w:rPr>
              <w:footnoteReference w:id="15"/>
            </w:r>
            <w:r>
              <w:rPr>
                <w:rStyle w:val="fnRef"/>
                <w:noProof/>
                <w:lang w:val="fr-FR"/>
              </w:rPr>
              <w:t>)</w:t>
            </w:r>
            <w:r>
              <w:rPr>
                <w:noProof/>
              </w:rPr>
              <w:t xml:space="preserve">. </w:t>
            </w:r>
          </w:p>
          <w:p>
            <w:pPr>
              <w:pStyle w:val="AMPRtableBOXA-bgWHITElnORANGE-BLUEText"/>
              <w:rPr>
                <w:noProof/>
                <w:spacing w:val="-2"/>
              </w:rPr>
            </w:pPr>
            <w:r>
              <w:rPr>
                <w:noProof/>
              </w:rPr>
              <w:t xml:space="preserve">Le système de gestion des irrégularités, par lequel les États membres, les pays candidats et les pays candidats potentiels communiquent à la Commission les cas de fraude et autres irrégularités détectés dans l'exécution des fonds de l’UE, a été étoffé comme le prévoit le plan d’action pour la stratégie antifraude. Les données collectées dans le système permettront aux utilisateurs d’effectuer certaines analyses prédéfinies en temps réel. Cet outil permet aux utilisateurs d’exploiter facilement et intuitivement les données afin de mettre en place des politiques fondées sur des données probantes, renforçant ainsi leur motivation à rendre compte de manière précise et en temps utile. </w:t>
            </w:r>
          </w:p>
          <w:p>
            <w:pPr>
              <w:pStyle w:val="AMPRtableBOXA-bgWHITElnORANGE-BLUEText"/>
              <w:rPr>
                <w:rStyle w:val="BOLDBLUE"/>
                <w:b w:val="0"/>
                <w:noProof/>
                <w:lang w:val="fr-FR"/>
              </w:rPr>
            </w:pPr>
            <w:r>
              <w:rPr>
                <w:noProof/>
              </w:rPr>
              <w:t xml:space="preserve">Afin de promouvoir </w:t>
            </w:r>
            <w:r>
              <w:rPr>
                <w:rStyle w:val="AMPRcharBoldBlue"/>
                <w:noProof/>
                <w:lang w:val="fr-FR"/>
              </w:rPr>
              <w:t>la coopération et la supervision</w:t>
            </w:r>
            <w:r>
              <w:rPr>
                <w:noProof/>
              </w:rPr>
              <w:t>, une structure a été mise en place pour faciliter les échanges pratiques de vues et de bonnes pratiques entre les services de la Commission, y compris l’examen par les pairs de leurs stratégies antifraude. Le renforcement de la surveillance institutionnelle est actuellement centré sur le suivi des suites données aux recommandations de l’Office européen de lutte antifraude par la Commission et ses agences exécutives. Les chefs des services centraux de la Commission</w:t>
            </w:r>
            <w:r>
              <w:rPr>
                <w:rStyle w:val="fnRef"/>
                <w:rFonts w:ascii="Arial" w:hAnsi="Arial"/>
                <w:noProof/>
                <w:lang w:val="fr-FR"/>
              </w:rPr>
              <w:t> </w:t>
            </w:r>
            <w:r>
              <w:rPr>
                <w:rStyle w:val="fnRef"/>
                <w:noProof/>
                <w:lang w:val="fr-FR"/>
              </w:rPr>
              <w:t>(</w:t>
            </w:r>
            <w:r>
              <w:rPr>
                <w:rStyle w:val="fnRefNo"/>
                <w:noProof/>
                <w:spacing w:val="-2"/>
              </w:rPr>
              <w:footnoteReference w:id="16"/>
            </w:r>
            <w:r>
              <w:rPr>
                <w:rStyle w:val="fnRef"/>
                <w:noProof/>
                <w:lang w:val="fr-FR"/>
              </w:rPr>
              <w:t>)</w:t>
            </w:r>
            <w:r>
              <w:rPr>
                <w:noProof/>
              </w:rPr>
              <w:t xml:space="preserve"> examineront régulièrement les conclusions de cet exercice en cours.</w:t>
            </w:r>
          </w:p>
        </w:tc>
      </w:tr>
    </w:tbl>
    <w:p>
      <w:pPr>
        <w:pStyle w:val="AMPRBodyText"/>
        <w:rPr>
          <w:noProof/>
          <w:color w:val="000000" w:themeColor="text1"/>
          <w:lang w:val="fr-FR" w:eastAsia="fr-BE"/>
        </w:rPr>
      </w:pPr>
      <w:r>
        <w:rPr>
          <w:noProof/>
          <w:color w:val="000000" w:themeColor="text1"/>
          <w:lang w:val="fr-FR"/>
        </w:rPr>
        <w:t>L’Office européen de lutte antifraude</w:t>
      </w:r>
      <w:r>
        <w:rPr>
          <w:rStyle w:val="fnRef"/>
          <w:rFonts w:ascii="Arial" w:hAnsi="Arial"/>
          <w:noProof/>
          <w:lang w:val="fr-FR"/>
        </w:rPr>
        <w:t> </w:t>
      </w:r>
      <w:r>
        <w:rPr>
          <w:rStyle w:val="fnRef"/>
          <w:noProof/>
          <w:lang w:val="fr-FR"/>
        </w:rPr>
        <w:t>(</w:t>
      </w:r>
      <w:r>
        <w:rPr>
          <w:rStyle w:val="fnRefNo"/>
          <w:noProof/>
        </w:rPr>
        <w:footnoteReference w:id="17"/>
      </w:r>
      <w:r>
        <w:rPr>
          <w:rStyle w:val="fnRef"/>
          <w:noProof/>
          <w:lang w:val="fr-FR"/>
        </w:rPr>
        <w:t>)</w:t>
      </w:r>
      <w:r>
        <w:rPr>
          <w:noProof/>
          <w:color w:val="000000" w:themeColor="text1"/>
          <w:lang w:val="fr-FR"/>
        </w:rPr>
        <w:t xml:space="preserve"> est essentiel à la lutte contre la fraude, non seulement en tant que service d’élaboration des politiques, mais surtout en tant qu’organe d’enquête indépendant. Les enquêtes administratives de l’Office européen de lutte antifraude (OLAF) sur la fraude, la corruption et d’autres infractions et irrégularités contribuent à amener les fraudeurs à rendre des comptes et à réparer le préjudice occasionné au budget de l’UE. En 2019, l’Office européen de lutte antifraude a clôturé 181 enquêtes et a procédé à 1 174 sélections</w:t>
      </w:r>
      <w:r>
        <w:rPr>
          <w:rStyle w:val="fnRef"/>
          <w:rFonts w:ascii="Arial" w:hAnsi="Arial"/>
          <w:noProof/>
          <w:lang w:val="fr-FR"/>
        </w:rPr>
        <w:t> </w:t>
      </w:r>
      <w:r>
        <w:rPr>
          <w:rStyle w:val="fnRef"/>
          <w:noProof/>
          <w:lang w:val="fr-FR"/>
        </w:rPr>
        <w:t>(</w:t>
      </w:r>
      <w:r>
        <w:rPr>
          <w:rStyle w:val="fnRefNo"/>
          <w:noProof/>
        </w:rPr>
        <w:footnoteReference w:id="18"/>
      </w:r>
      <w:r>
        <w:rPr>
          <w:rStyle w:val="fnRef"/>
          <w:noProof/>
          <w:lang w:val="fr-FR"/>
        </w:rPr>
        <w:t>)</w:t>
      </w:r>
      <w:r>
        <w:rPr>
          <w:noProof/>
          <w:color w:val="000000" w:themeColor="text1"/>
          <w:lang w:val="fr-FR"/>
        </w:rPr>
        <w:t>.</w:t>
      </w:r>
    </w:p>
    <w:p>
      <w:pPr>
        <w:pStyle w:val="AMPRBodyText"/>
        <w:rPr>
          <w:noProof/>
          <w:color w:val="000000" w:themeColor="text1"/>
          <w:lang w:val="fr-FR" w:eastAsia="fr-BE"/>
        </w:rPr>
      </w:pPr>
      <w:r>
        <w:rPr>
          <w:noProof/>
          <w:color w:val="000000" w:themeColor="text1"/>
          <w:lang w:val="fr-FR" w:eastAsia="fr-BE"/>
        </w:rPr>
        <w:br w:type="page"/>
      </w:r>
    </w:p>
    <w:p>
      <w:pPr>
        <w:pStyle w:val="Hidelastparagraphafterthetable"/>
        <w:rPr>
          <w:noProof/>
          <w:lang w:val="fr-FR" w:eastAsia="fr-BE"/>
        </w:rPr>
      </w:pPr>
    </w:p>
    <w:tbl>
      <w:tblPr>
        <w:tblStyle w:val="TableGrid"/>
        <w:tblW w:w="9468" w:type="dxa"/>
        <w:jc w:val="center"/>
        <w:tblBorders>
          <w:top w:val="dashSmallGap" w:sz="12" w:space="0" w:color="5B9BD5" w:themeColor="accent1"/>
          <w:left w:val="dashSmallGap" w:sz="12" w:space="0" w:color="5B9BD5" w:themeColor="accent1"/>
          <w:bottom w:val="dashSmallGap" w:sz="12" w:space="0" w:color="5B9BD5" w:themeColor="accent1"/>
          <w:right w:val="dashSmallGap" w:sz="12" w:space="0" w:color="5B9BD5" w:themeColor="accent1"/>
          <w:insideH w:val="dashSmallGap" w:sz="12" w:space="0" w:color="5B9BD5" w:themeColor="accent1"/>
          <w:insideV w:val="dashSmallGap" w:sz="12" w:space="0" w:color="5B9BD5" w:themeColor="accent1"/>
        </w:tblBorders>
        <w:tblCellMar>
          <w:top w:w="113" w:type="dxa"/>
          <w:left w:w="227" w:type="dxa"/>
          <w:bottom w:w="85" w:type="dxa"/>
          <w:right w:w="227" w:type="dxa"/>
        </w:tblCellMar>
        <w:tblLook w:val="04A0" w:firstRow="1" w:lastRow="0" w:firstColumn="1" w:lastColumn="0" w:noHBand="0" w:noVBand="1"/>
      </w:tblPr>
      <w:tblGrid>
        <w:gridCol w:w="9468"/>
      </w:tblGrid>
      <w:tr>
        <w:trPr>
          <w:trHeight w:val="283"/>
          <w:jc w:val="center"/>
        </w:trPr>
        <w:tc>
          <w:tcPr>
            <w:tcW w:w="9468" w:type="dxa"/>
            <w:vAlign w:val="center"/>
          </w:tcPr>
          <w:p>
            <w:pPr>
              <w:pStyle w:val="AMPRtableBOXA-bgWHITElnORANGE-BLUEheading"/>
              <w:spacing w:after="240"/>
              <w:jc w:val="center"/>
              <w:rPr>
                <w:noProof/>
                <w:sz w:val="22"/>
                <w:szCs w:val="28"/>
              </w:rPr>
            </w:pPr>
            <w:r>
              <w:rPr>
                <w:noProof/>
                <w:sz w:val="22"/>
                <w:szCs w:val="28"/>
              </w:rPr>
              <w:t>Combattre la fraude dans la pratique</w:t>
            </w:r>
          </w:p>
          <w:p>
            <w:pPr>
              <w:pStyle w:val="AMPRtableBOXA-bgWHITElnORANGE-BLUEheading"/>
              <w:rPr>
                <w:noProof/>
              </w:rPr>
            </w:pPr>
            <w:r>
              <w:rPr>
                <w:noProof/>
              </w:rPr>
              <w:t xml:space="preserve">Exemple: enquête sur l'utilisation abusive présumée de fonds de l’UE pour la recherche  </w:t>
            </w:r>
          </w:p>
          <w:p>
            <w:pPr>
              <w:pStyle w:val="AMPRtableBOXA-bgWHITElnORANGE-BLUEText"/>
              <w:rPr>
                <w:noProof/>
                <w:color w:val="4472C4" w:themeColor="accent5"/>
                <w:spacing w:val="-2"/>
              </w:rPr>
            </w:pPr>
            <w:r>
              <w:rPr>
                <w:noProof/>
                <w:color w:val="4472C4" w:themeColor="accent5"/>
              </w:rPr>
              <w:t>Cette enquête se fondait, entre autres, sur des allégations de détournement et d’utilisation abusive de plusieurs millions d’euros de fonds de l’UE pour la recherche par une société qui n’a pas versé, comme prévu contractuellement, les montants dus à ses partenaires du projet de recherche, tout en évitant de manière frauduleuse une procédure d’insolvabilité.</w:t>
            </w:r>
          </w:p>
          <w:p>
            <w:pPr>
              <w:pStyle w:val="AMPRtableBOXA-bgWHITElnORANGE-BLUEText"/>
              <w:rPr>
                <w:noProof/>
                <w:color w:val="4472C4" w:themeColor="accent5"/>
                <w:spacing w:val="-2"/>
              </w:rPr>
            </w:pPr>
            <w:r>
              <w:rPr>
                <w:noProof/>
                <w:color w:val="4472C4" w:themeColor="accent5"/>
              </w:rPr>
              <w:t>Dans le cadre des opérations, et d'emblée en étroite coopération avec l’Office européen de lutte antifraude, les autorités allemandes ont procédé à des perquisitions dans des locaux commerciaux et des domiciles privés de personnes concernées en divers endroits en Allemagne. La police française a également effectué des perquisitions simultanées en France, sur la base d’une demande d’entraide judiciaire émise par les autorités judiciaires allemandes. L’Office européen de lutte antifraude a participé aux recherches, qui avaient été coordonnées au préalable avec l’aide de l’autorité judiciaire de l’UE, l’Agence de l’Union européenne pour la coopération judiciaire en matière pénale.</w:t>
            </w:r>
          </w:p>
          <w:p>
            <w:pPr>
              <w:pStyle w:val="AMPRtableBOXA-bgWHITElnORANGE-BLUEText"/>
              <w:rPr>
                <w:noProof/>
                <w:color w:val="2F5496" w:themeColor="accent5" w:themeShade="BF"/>
                <w:spacing w:val="-2"/>
              </w:rPr>
            </w:pPr>
            <w:r>
              <w:rPr>
                <w:noProof/>
                <w:color w:val="4472C4" w:themeColor="accent5"/>
              </w:rPr>
              <w:t>À la suite de ces perquisitions coordonnées, les autorités allemandes ont saisi d’énormes quantités de preuves essentielles pour l’avancement de l’enquête, qui est en cours.</w:t>
            </w:r>
          </w:p>
          <w:p>
            <w:pPr>
              <w:pStyle w:val="AMPRtableBOXA-bgWHITElnORANGE-BLUEheading"/>
              <w:rPr>
                <w:noProof/>
              </w:rPr>
            </w:pPr>
            <w:r>
              <w:rPr>
                <w:noProof/>
              </w:rPr>
              <w:t>Exemple: opération douanière conjointe «Hygiea»</w:t>
            </w:r>
          </w:p>
          <w:p>
            <w:pPr>
              <w:pStyle w:val="AMPRtableBOXA-bgWHITElnORANGE-BLUEText"/>
              <w:rPr>
                <w:noProof/>
                <w:color w:val="4472C4" w:themeColor="accent5"/>
                <w:spacing w:val="-2"/>
              </w:rPr>
            </w:pPr>
            <w:r>
              <w:rPr>
                <w:noProof/>
                <w:color w:val="4472C4" w:themeColor="accent5"/>
              </w:rPr>
              <w:t>Environ 200 000</w:t>
            </w:r>
            <w:r>
              <w:rPr>
                <w:rFonts w:ascii="Calibri" w:hAnsi="Calibri"/>
                <w:noProof/>
                <w:color w:val="4472C4" w:themeColor="accent5"/>
              </w:rPr>
              <w:t> </w:t>
            </w:r>
            <w:r>
              <w:rPr>
                <w:noProof/>
                <w:color w:val="4472C4" w:themeColor="accent5"/>
              </w:rPr>
              <w:t>contrefaçons de parfums, de dentifrices et de produits cosmétiques, 120 tonnes de détergents, de shampoings et de serviettes de contrefaçon, plus de 4,2 millions d’autres produits contrefaits (cellules de batterie, chaussures, jouets, balles de tennis, rasoirs, appareils électroniques, etc.), 77 millions de cigarettes et 44 tonnes de tabac à pipe à eau contrefait ont été saisies par les autorités douanières asiatiques et de l’UE lors d'une opération coordonnée par l’Office européen de lutte antifraude.</w:t>
            </w:r>
          </w:p>
          <w:p>
            <w:pPr>
              <w:pStyle w:val="AMPRtableBOXA-bgWHITElnORANGE-BLUEText"/>
              <w:rPr>
                <w:rStyle w:val="BOLDBLUE"/>
                <w:rFonts w:cstheme="minorBidi"/>
                <w:b w:val="0"/>
                <w:i/>
                <w:noProof/>
                <w:lang w:val="fr-FR"/>
              </w:rPr>
            </w:pPr>
            <w:r>
              <w:rPr>
                <w:noProof/>
                <w:color w:val="4472C4" w:themeColor="accent5"/>
              </w:rPr>
              <w:t>Au cours de cette opération, les autorités douanières ont procédé à des contrôles ciblés, physiques ou par rayons X, sur plusieurs centaines de cargaisons transportées dans des conteneurs maritimes. L’Office européen de lutte antifraude a facilité la coopération entre les pays participants, avec le soutien d’une équipe de 10 officiers de liaison du Bangladesh, de Chine, du Japon, de Lituanie, de Malaisie, de Malte, du Portugal, d’Espagne, du Viêt Nam et de l’Agence de l’Union européenne pour la coopération des services répressifs, qui travaillent ensemble à Bruxelles. Une unité de coordination opérationnelle virtuelle (un canal de communication sécurisé pour des opérations douanières conjointes de ce type) a été utilisée pour canaliser les flux d’informations entrantes. Cet échange d’informations en temps réel a permis à tous les experts participants de distinguer les flux suspects de marchandises de contrefaçon des opérations ommerciales normales.</w:t>
            </w:r>
          </w:p>
        </w:tc>
      </w:tr>
    </w:tbl>
    <w:p>
      <w:pPr>
        <w:pStyle w:val="AMPRBodyText"/>
        <w:spacing w:before="480"/>
        <w:rPr>
          <w:noProof/>
          <w:lang w:val="fr-FR"/>
        </w:rPr>
      </w:pPr>
      <w:r>
        <w:rPr>
          <w:noProof/>
          <w:lang w:val="fr-FR"/>
        </w:rPr>
        <w:t xml:space="preserve">Parallèlement, et dans une large mesure sur la base des informations recueillies dans le cadre des enquêtes de l’Office européen de lutte antifraude, la prévention de la fraude et l'adoption de sanctions ont lieu dans le cadre du </w:t>
      </w:r>
      <w:r>
        <w:rPr>
          <w:rStyle w:val="AMPRcharBoldBlue"/>
          <w:noProof/>
          <w:lang w:val="fr-FR"/>
        </w:rPr>
        <w:t>système de détection rapide et d’exclusion</w:t>
      </w:r>
      <w:r>
        <w:rPr>
          <w:noProof/>
          <w:lang w:val="fr-FR"/>
        </w:rPr>
        <w:t>, qui permet la détection précoce des opérateurs économiques non fiables et leur exclusion des fonds de l’UE dans le cadre de la mise en œuvre en gestion directe et indirecte. En 2019, la sensibilisation des services de la Commission s’est intensifiée et l’année a été marquée par une augmentation substantielle des cas enregistrés de détection précoce et des cas soumis en vue d’éventuelles sanctions administratives (exclusion et/ou sanctions financières et, le cas échéant, publication de celles-ci). Celles-ci sont déterminées conformément au principe de proportionnalité (en tenant compte de la gravité de la situation, y compris l’incidence sur les intérêts financiers et l’image de l’UE; le temps écoulé depuis la constatation de la conduite en cause; sa durée et sa répétition éventuelle; l’intention ou le degré de négligence; et le montant concerné).</w:t>
      </w:r>
    </w:p>
    <w:p>
      <w:pPr>
        <w:pStyle w:val="AMPRSec2TITLE2-numbered"/>
        <w:rPr>
          <w:noProof/>
          <w:lang w:val="fr-FR"/>
        </w:rPr>
      </w:pPr>
      <w:bookmarkStart w:id="24" w:name="_Toc37937484"/>
      <w:bookmarkStart w:id="25" w:name="_Toc37938097"/>
      <w:bookmarkStart w:id="26" w:name="_Toc37939873"/>
      <w:bookmarkStart w:id="27" w:name="_Toc37940505"/>
      <w:bookmarkStart w:id="28" w:name="_Toc37941790"/>
      <w:bookmarkStart w:id="29" w:name="_Toc37941839"/>
      <w:bookmarkStart w:id="30" w:name="_Toc37942736"/>
      <w:bookmarkStart w:id="31" w:name="_Toc37943103"/>
      <w:bookmarkStart w:id="32" w:name="_Toc37948907"/>
      <w:bookmarkStart w:id="33" w:name="_Toc37951505"/>
      <w:bookmarkStart w:id="34" w:name="_Toc37955822"/>
      <w:bookmarkStart w:id="35" w:name="_Toc37166573"/>
      <w:bookmarkStart w:id="36" w:name="_Toc37948908"/>
      <w:bookmarkStart w:id="37" w:name="_Toc37955823"/>
      <w:bookmarkStart w:id="38" w:name="_Toc37956056"/>
      <w:bookmarkEnd w:id="24"/>
      <w:bookmarkEnd w:id="25"/>
      <w:bookmarkEnd w:id="26"/>
      <w:bookmarkEnd w:id="27"/>
      <w:bookmarkEnd w:id="28"/>
      <w:bookmarkEnd w:id="29"/>
      <w:bookmarkEnd w:id="30"/>
      <w:bookmarkEnd w:id="31"/>
      <w:bookmarkEnd w:id="32"/>
      <w:bookmarkEnd w:id="33"/>
      <w:bookmarkEnd w:id="34"/>
      <w:r>
        <w:rPr>
          <w:noProof/>
          <w:lang w:val="fr-FR"/>
        </w:rPr>
        <w:t>Les résultats des contrôles de la Commission confirment que le budget de l’UE est bien protégé</w:t>
      </w:r>
      <w:bookmarkEnd w:id="35"/>
      <w:bookmarkEnd w:id="36"/>
      <w:bookmarkEnd w:id="37"/>
      <w:bookmarkEnd w:id="38"/>
    </w:p>
    <w:p>
      <w:pPr>
        <w:pStyle w:val="AMPRBodyText"/>
        <w:rPr>
          <w:noProof/>
          <w:lang w:val="fr-FR"/>
        </w:rPr>
      </w:pPr>
      <w:r>
        <w:rPr>
          <w:noProof/>
          <w:lang w:val="fr-FR"/>
        </w:rPr>
        <w:t xml:space="preserve">La Commission considère que le budget est efficacement protégé lorsque le risque à la clôture est inférieur au seuil de signification de 2 % des dépenses pertinentes, qui est également le seuil utilisé par la Cour des comptes. </w:t>
      </w:r>
    </w:p>
    <w:p>
      <w:pPr>
        <w:pStyle w:val="AMPRBodyText"/>
        <w:rPr>
          <w:noProof/>
          <w:lang w:val="fr-FR"/>
        </w:rPr>
      </w:pPr>
      <w:r>
        <w:rPr>
          <w:noProof/>
          <w:lang w:val="fr-FR"/>
        </w:rPr>
        <w:t xml:space="preserve">Si des lacunes ou des erreurs sont détectées au cours du cycle de vie du programme, la Commission prend toutes les mesures qui s’imposent. </w:t>
      </w:r>
    </w:p>
    <w:p>
      <w:pPr>
        <w:pStyle w:val="AMPRBodyText"/>
        <w:rPr>
          <w:noProof/>
          <w:lang w:val="fr-FR"/>
        </w:rPr>
      </w:pPr>
      <w:r>
        <w:rPr>
          <w:noProof/>
          <w:lang w:val="fr-FR"/>
        </w:rPr>
        <w:t>Au plus tard au moment de la clôture du programme, c’est-à-dire lorsque tous les contrôles, corrections, recouvrements, etc. ont été effectués, le risque à la clôture devrait être inférieur à 2 % et est estimé comme tel.</w:t>
      </w:r>
    </w:p>
    <w:p>
      <w:pPr>
        <w:pStyle w:val="AMPRSec2TITLE3-numbered"/>
        <w:rPr>
          <w:noProof/>
          <w:lang w:val="fr-FR"/>
        </w:rPr>
      </w:pPr>
      <w:r>
        <w:rPr>
          <w:noProof/>
          <w:lang w:val="fr-FR"/>
        </w:rPr>
        <w:t>Au terme des cycles de vie des programmes, le risque est inférieur à</w:t>
      </w:r>
      <w:r>
        <w:rPr>
          <w:rFonts w:ascii="Calibri" w:hAnsi="Calibri"/>
          <w:noProof/>
          <w:lang w:val="fr-FR"/>
        </w:rPr>
        <w:t xml:space="preserve"> </w:t>
      </w:r>
      <w:r>
        <w:rPr>
          <w:noProof/>
          <w:lang w:val="fr-FR"/>
        </w:rPr>
        <w:t>2 %</w:t>
      </w:r>
    </w:p>
    <w:p>
      <w:pPr>
        <w:pStyle w:val="AMPRBodyText"/>
        <w:rPr>
          <w:noProof/>
          <w:lang w:val="fr-FR"/>
        </w:rPr>
      </w:pPr>
      <w:r>
        <w:rPr>
          <w:noProof/>
          <w:lang w:eastAsia="en-GB"/>
        </w:rPr>
        <w:drawing>
          <wp:anchor distT="0" distB="0" distL="114300" distR="114300" simplePos="0" relativeHeight="251653120" behindDoc="0" locked="0" layoutInCell="1" allowOverlap="1">
            <wp:simplePos x="0" y="0"/>
            <wp:positionH relativeFrom="column">
              <wp:posOffset>5080</wp:posOffset>
            </wp:positionH>
            <wp:positionV relativeFrom="paragraph">
              <wp:posOffset>29210</wp:posOffset>
            </wp:positionV>
            <wp:extent cx="1600200" cy="340550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3405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t>Sur la base des audits et contrôles décrits ci-dessus, chaque service de la Commission estime, chaque année, le risque pour la légalité et la régularité des dépenses de l’UE à deux stades du cycle de contrôle pluriannuel: au moment du paiement et à la clôture.</w:t>
      </w:r>
    </w:p>
    <w:p>
      <w:pPr>
        <w:pStyle w:val="AMPRBodyText"/>
        <w:rPr>
          <w:noProof/>
          <w:lang w:val="fr-FR"/>
        </w:rPr>
      </w:pPr>
      <w:r>
        <w:rPr>
          <w:noProof/>
          <w:lang w:val="fr-FR"/>
        </w:rPr>
        <w:t xml:space="preserve">Le </w:t>
      </w:r>
      <w:r>
        <w:rPr>
          <w:rStyle w:val="AMPRcharBoldBlue"/>
          <w:noProof/>
          <w:lang w:val="fr-FR"/>
        </w:rPr>
        <w:t>risque au moment du paiement</w:t>
      </w:r>
      <w:r>
        <w:rPr>
          <w:noProof/>
          <w:lang w:val="fr-FR"/>
        </w:rPr>
        <w:t xml:space="preserve"> est une estimation des erreurs qui n’ont pas été évitées et qui peuvent encore affecter les paiements (versés aux États membres, aux organisations intermédiaires, aux bénéficiaires, etc.) malgré les contrôles ex ante. Ils sont détectés au moyen de contrôles ex post et d’audits sur les paiements effectués.</w:t>
      </w:r>
    </w:p>
    <w:p>
      <w:pPr>
        <w:pStyle w:val="AMPRBodyText"/>
        <w:rPr>
          <w:noProof/>
          <w:lang w:val="fr-FR"/>
        </w:rPr>
      </w:pPr>
      <w:r>
        <w:rPr>
          <w:noProof/>
          <w:lang w:val="fr-FR"/>
        </w:rPr>
        <w:t xml:space="preserve">Le </w:t>
      </w:r>
      <w:r>
        <w:rPr>
          <w:rStyle w:val="AMPRcharBoldBlue"/>
          <w:noProof/>
          <w:lang w:val="fr-FR"/>
        </w:rPr>
        <w:t>risque à la clôture</w:t>
      </w:r>
      <w:r>
        <w:rPr>
          <w:noProof/>
          <w:lang w:val="fr-FR"/>
        </w:rPr>
        <w:t xml:space="preserve"> est une estimation des erreurs qui subsisteront à la fin du cycle de vie des programmes, une fois que tous les contrôles ex post et toutes les corrections auront été effectués. Il est égal au risque au moment du paiement, déduction faite d’une estimation prudente des </w:t>
      </w:r>
      <w:r>
        <w:rPr>
          <w:rStyle w:val="AMPRcharBoldBlue"/>
          <w:noProof/>
          <w:lang w:val="fr-FR"/>
        </w:rPr>
        <w:t>corrections futures</w:t>
      </w:r>
      <w:r>
        <w:rPr>
          <w:noProof/>
          <w:lang w:val="fr-FR"/>
        </w:rPr>
        <w:t xml:space="preserve"> dans le cadre des mécanismes de correction pluriannuels — celles qui auront lieu entre le moment de la notification et la fin du cycle de vie du programme.</w:t>
      </w:r>
    </w:p>
    <w:p>
      <w:pPr>
        <w:pStyle w:val="AMPRBodyText"/>
        <w:rPr>
          <w:noProof/>
          <w:color w:val="auto"/>
          <w:lang w:val="fr-FR"/>
        </w:rPr>
      </w:pPr>
      <w:r>
        <w:rPr>
          <w:noProof/>
          <w:lang w:val="fr-FR"/>
        </w:rPr>
        <w:t>Pour de plus amples informations sur ces notions et sur la méthode utilisée pour déterminer ces estimations, ainsi que sur les taux par domaine politique et par service de la Commission,</w:t>
      </w:r>
      <w:r>
        <w:rPr>
          <w:noProof/>
          <w:color w:val="auto"/>
          <w:lang w:val="fr-FR"/>
        </w:rPr>
        <w:t xml:space="preserve"> voir l’annexe</w:t>
      </w:r>
      <w:r>
        <w:rPr>
          <w:rFonts w:ascii="Calibri" w:hAnsi="Calibri"/>
          <w:noProof/>
          <w:color w:val="auto"/>
          <w:lang w:val="fr-FR"/>
        </w:rPr>
        <w:t> </w:t>
      </w:r>
      <w:r>
        <w:rPr>
          <w:noProof/>
          <w:color w:val="auto"/>
          <w:lang w:val="fr-FR"/>
        </w:rPr>
        <w:t>3.</w:t>
      </w:r>
    </w:p>
    <w:p>
      <w:pPr>
        <w:pStyle w:val="AMPRCharttitle"/>
        <w:spacing w:before="0"/>
        <w:rPr>
          <w:noProof/>
          <w:sz w:val="12"/>
          <w:szCs w:val="12"/>
          <w:lang w:val="fr-FR"/>
        </w:rPr>
      </w:pPr>
      <w:r>
        <w:rPr>
          <w:noProof/>
          <w:sz w:val="12"/>
          <w:szCs w:val="12"/>
          <w:lang w:val="fr-FR"/>
        </w:rPr>
        <w:t>Risques au moment du paiement et à la clôture,</w:t>
      </w:r>
    </w:p>
    <w:p>
      <w:pPr>
        <w:pStyle w:val="AMPRCharttitle"/>
        <w:spacing w:before="0"/>
        <w:rPr>
          <w:noProof/>
          <w:sz w:val="12"/>
          <w:szCs w:val="12"/>
          <w:lang w:val="fr-FR"/>
        </w:rPr>
      </w:pPr>
      <w:r>
        <w:rPr>
          <w:noProof/>
          <w:sz w:val="12"/>
          <w:szCs w:val="12"/>
          <w:lang w:val="fr-FR"/>
        </w:rPr>
        <w:t xml:space="preserve">pour l’ensemble de la Commission, </w:t>
      </w:r>
    </w:p>
    <w:p>
      <w:pPr>
        <w:pStyle w:val="AMPRCharttitle"/>
        <w:spacing w:before="0"/>
        <w:rPr>
          <w:noProof/>
          <w:sz w:val="12"/>
          <w:szCs w:val="12"/>
          <w:lang w:val="fr-FR"/>
        </w:rPr>
      </w:pPr>
      <w:r>
        <w:rPr>
          <w:noProof/>
          <w:sz w:val="12"/>
          <w:szCs w:val="12"/>
          <w:lang w:val="fr-FR"/>
        </w:rPr>
        <w:t>pour la période 2017-2019</w:t>
      </w:r>
    </w:p>
    <w:p>
      <w:pPr>
        <w:pStyle w:val="AMPRBodyText"/>
        <w:rPr>
          <w:noProof/>
          <w:lang w:val="fr-FR" w:eastAsia="fr-BE"/>
        </w:rPr>
      </w:pPr>
      <w:r>
        <w:rPr>
          <w:i/>
          <w:iCs/>
          <w:noProof/>
          <w:color w:val="221E1F"/>
          <w:sz w:val="12"/>
          <w:szCs w:val="12"/>
          <w:lang w:val="fr-FR"/>
        </w:rPr>
        <w:t xml:space="preserve">Source: </w:t>
      </w:r>
      <w:r>
        <w:rPr>
          <w:noProof/>
          <w:color w:val="221E1F"/>
          <w:sz w:val="12"/>
          <w:szCs w:val="12"/>
          <w:lang w:val="fr-FR"/>
        </w:rPr>
        <w:t>rapports annuels d’activités de la Commission</w:t>
      </w:r>
      <w:r>
        <w:rPr>
          <w:noProof/>
          <w:lang w:val="fr-FR"/>
        </w:rPr>
        <w:t xml:space="preserve"> </w:t>
      </w:r>
      <w:r>
        <w:rPr>
          <w:noProof/>
          <w:lang w:val="fr-FR"/>
        </w:rPr>
        <w:br w:type="page"/>
      </w:r>
    </w:p>
    <w:bookmarkEnd w:id="14"/>
    <w:bookmarkEnd w:id="15"/>
    <w:bookmarkEnd w:id="16"/>
    <w:bookmarkEnd w:id="17"/>
    <w:bookmarkEnd w:id="18"/>
    <w:bookmarkEnd w:id="19"/>
    <w:p>
      <w:pPr>
        <w:pStyle w:val="AMPRBOXA-bgWHITElnORANGE-BLUEtext"/>
        <w:rPr>
          <w:iCs/>
          <w:noProof/>
          <w:lang w:val="fr-FR"/>
        </w:rPr>
      </w:pPr>
      <w:r>
        <w:rPr>
          <w:noProof/>
          <w:lang w:val="fr-FR"/>
        </w:rPr>
        <w:t xml:space="preserve">Pour 2019, </w:t>
      </w:r>
      <w:r>
        <w:rPr>
          <w:rStyle w:val="AMPRcharBoldBlue"/>
          <w:noProof/>
          <w:lang w:val="fr-FR"/>
        </w:rPr>
        <w:t>le risque global à la clôture est estimé à 0,7 %</w:t>
      </w:r>
      <w:r>
        <w:rPr>
          <w:noProof/>
          <w:lang w:val="fr-FR"/>
        </w:rPr>
        <w:t xml:space="preserve"> des dépenses pertinentes de la Commission (voir graphique). </w:t>
      </w:r>
    </w:p>
    <w:p>
      <w:pPr>
        <w:pStyle w:val="AMPRBOXA-bgWHITElnORANGE-BLUEtext"/>
        <w:rPr>
          <w:noProof/>
          <w:lang w:val="fr-FR"/>
        </w:rPr>
      </w:pPr>
      <w:r>
        <w:rPr>
          <w:noProof/>
          <w:lang w:val="fr-FR"/>
        </w:rPr>
        <w:t>En raison du risque plus élevé au moment du paiement pour les dépenses de cohésion au cours de cette année, le risque global au niveau des paiements est de 2,1 % pour 2019 (1,7 % en 2018). Toutefois, étant donné que les corrections futures correspondantes estimées sont également plus élevées (1,4 %, contre 0,9 % en 2018), il en résulte un risque stable et faible à la clôture, qui s'élève à 0,7 % (0,8 % en 2018).</w:t>
      </w:r>
    </w:p>
    <w:p>
      <w:pPr>
        <w:pStyle w:val="AMPRBOXA-bgWHITElnORANGE-BLUEtext"/>
        <w:rPr>
          <w:noProof/>
          <w:lang w:val="fr-FR"/>
        </w:rPr>
      </w:pPr>
      <w:r>
        <w:rPr>
          <w:noProof/>
          <w:lang w:val="fr-FR"/>
        </w:rPr>
        <w:t xml:space="preserve">Comme ce risque est estimé à </w:t>
      </w:r>
      <w:r>
        <w:rPr>
          <w:rStyle w:val="AMPRcharBoldBlue"/>
          <w:noProof/>
          <w:lang w:val="fr-FR"/>
        </w:rPr>
        <w:t>moins de 2 %, en tenant compte des futures corrections</w:t>
      </w:r>
      <w:r>
        <w:rPr>
          <w:noProof/>
          <w:lang w:val="fr-FR"/>
        </w:rPr>
        <w:t>,</w:t>
      </w:r>
      <w:r>
        <w:rPr>
          <w:b/>
          <w:noProof/>
          <w:lang w:val="fr-FR"/>
        </w:rPr>
        <w:t xml:space="preserve"> </w:t>
      </w:r>
      <w:r>
        <w:rPr>
          <w:noProof/>
          <w:lang w:val="fr-FR"/>
        </w:rPr>
        <w:t xml:space="preserve">cela signifie que, dans l’ensemble, les systèmes de contrôle pluriannuels de la Commission assurent une </w:t>
      </w:r>
      <w:r>
        <w:rPr>
          <w:rStyle w:val="AMPRcharBoldBlue"/>
          <w:noProof/>
          <w:lang w:val="fr-FR"/>
        </w:rPr>
        <w:t>protection efficace du budget de l’UE</w:t>
      </w:r>
      <w:r>
        <w:rPr>
          <w:noProof/>
          <w:lang w:val="fr-FR"/>
        </w:rPr>
        <w:t xml:space="preserve"> en 2019.</w:t>
      </w:r>
    </w:p>
    <w:p>
      <w:pPr>
        <w:pStyle w:val="AMPRBodyText"/>
        <w:spacing w:before="160" w:after="120"/>
        <w:rPr>
          <w:noProof/>
          <w:lang w:val="fr-FR"/>
        </w:rPr>
      </w:pPr>
      <w:r>
        <w:rPr>
          <w:noProof/>
          <w:lang w:val="fr-FR"/>
        </w:rPr>
        <w:t>La situation concernant les risques au moment du paiement et à la clôture, par domaine politique, est décrite ci-après pour 2019, et leur évolution pour la période 2017-2019 est présentée sous forme de graphique. Pour de plus amples informations, y compris sur les services couverts dans chaque domaine politique, voir l’annexe 3.</w:t>
      </w:r>
    </w:p>
    <w:p>
      <w:pPr>
        <w:pStyle w:val="AMPRSec2TITLE4"/>
        <w:spacing w:before="280" w:after="80"/>
        <w:rPr>
          <w:noProof/>
          <w:lang w:val="fr-FR"/>
        </w:rPr>
      </w:pPr>
      <w:r>
        <w:rPr>
          <w:noProof/>
          <w:lang w:val="fr-FR"/>
        </w:rPr>
        <w:t>Ressources naturelles</w:t>
      </w:r>
    </w:p>
    <w:p>
      <w:pPr>
        <w:pStyle w:val="AMPRBodyText"/>
        <w:spacing w:before="180"/>
        <w:rPr>
          <w:noProof/>
          <w:lang w:val="fr-FR"/>
        </w:rPr>
      </w:pPr>
      <w:r>
        <w:rPr>
          <w:noProof/>
          <w:lang w:eastAsia="en-GB"/>
        </w:rPr>
        <w:drawing>
          <wp:anchor distT="0" distB="0" distL="114300" distR="114300" simplePos="0" relativeHeight="251662336" behindDoc="0" locked="0" layoutInCell="1" allowOverlap="1">
            <wp:simplePos x="0" y="0"/>
            <wp:positionH relativeFrom="column">
              <wp:posOffset>635</wp:posOffset>
            </wp:positionH>
            <wp:positionV relativeFrom="paragraph">
              <wp:posOffset>58420</wp:posOffset>
            </wp:positionV>
            <wp:extent cx="1510665" cy="327533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0665" cy="3275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t xml:space="preserve">En ce qui concerne les </w:t>
      </w:r>
      <w:r>
        <w:rPr>
          <w:rStyle w:val="AMPRcharBoldBlue"/>
          <w:noProof/>
          <w:lang w:val="fr-FR"/>
        </w:rPr>
        <w:t>ressources naturelles</w:t>
      </w:r>
      <w:r>
        <w:rPr>
          <w:noProof/>
          <w:lang w:val="fr-FR"/>
        </w:rPr>
        <w:t xml:space="preserve">, le risque au moment du paiement poursuit sa tendance à la baisse, passant de 2,1 % en 2018 à </w:t>
      </w:r>
      <w:r>
        <w:rPr>
          <w:rStyle w:val="AMPRcharOrange"/>
          <w:noProof/>
          <w:color w:val="auto"/>
          <w:lang w:val="fr-FR"/>
        </w:rPr>
        <w:t>1,9 % en 2019, ce qui est inférieur au seuil de signification.</w:t>
      </w:r>
      <w:r>
        <w:rPr>
          <w:noProof/>
          <w:color w:val="auto"/>
          <w:lang w:val="fr-FR"/>
        </w:rPr>
        <w:t xml:space="preserve"> Cela correspond au risque au moment du paiement pour les dépenses agricoles, étant donné que cela représente la majeure partie des dépenses relevant de ce domaine politique (</w:t>
      </w:r>
      <w:r>
        <w:rPr>
          <w:rStyle w:val="AMPRcharOrange"/>
          <w:noProof/>
          <w:color w:val="auto"/>
          <w:lang w:val="fr-FR"/>
        </w:rPr>
        <w:t>98 %</w:t>
      </w:r>
      <w:r>
        <w:rPr>
          <w:noProof/>
          <w:color w:val="auto"/>
          <w:lang w:val="fr-FR"/>
        </w:rPr>
        <w:t>), par rapport aux</w:t>
      </w:r>
      <w:r>
        <w:rPr>
          <w:noProof/>
          <w:lang w:val="fr-FR"/>
        </w:rPr>
        <w:t xml:space="preserve"> dépenses liées aux affaires maritimes et à la pêche</w:t>
      </w:r>
      <w:r>
        <w:rPr>
          <w:rStyle w:val="fnRef"/>
          <w:rFonts w:ascii="Arial" w:hAnsi="Arial"/>
          <w:noProof/>
          <w:lang w:val="fr-FR"/>
        </w:rPr>
        <w:t> </w:t>
      </w:r>
      <w:r>
        <w:rPr>
          <w:rStyle w:val="fnRef"/>
          <w:noProof/>
          <w:lang w:val="fr-FR"/>
        </w:rPr>
        <w:t>(</w:t>
      </w:r>
      <w:r>
        <w:rPr>
          <w:rStyle w:val="fnRefNo"/>
          <w:noProof/>
        </w:rPr>
        <w:footnoteReference w:id="19"/>
      </w:r>
      <w:r>
        <w:rPr>
          <w:rStyle w:val="fnRef"/>
          <w:noProof/>
          <w:lang w:val="fr-FR"/>
        </w:rPr>
        <w:t>)</w:t>
      </w:r>
      <w:r>
        <w:rPr>
          <w:noProof/>
          <w:lang w:val="fr-FR"/>
        </w:rPr>
        <w:t>, à l’environnement et au climat.</w:t>
      </w:r>
    </w:p>
    <w:p>
      <w:pPr>
        <w:pStyle w:val="AMPRBodyText"/>
        <w:rPr>
          <w:noProof/>
          <w:lang w:val="fr-FR"/>
        </w:rPr>
      </w:pPr>
      <w:r>
        <w:rPr>
          <w:noProof/>
          <w:lang w:val="fr-FR"/>
        </w:rPr>
        <w:t xml:space="preserve">Dans le cadre de la </w:t>
      </w:r>
      <w:r>
        <w:rPr>
          <w:rStyle w:val="AMPRcharBoldBlue"/>
          <w:noProof/>
          <w:lang w:val="fr-FR"/>
        </w:rPr>
        <w:t>politique agricole commune</w:t>
      </w:r>
      <w:r>
        <w:rPr>
          <w:noProof/>
          <w:lang w:val="fr-FR"/>
        </w:rPr>
        <w:t xml:space="preserve">, premièrement, le risque au moment du paiement est le plus faible </w:t>
      </w:r>
      <w:r>
        <w:rPr>
          <w:noProof/>
          <w:color w:val="auto"/>
          <w:lang w:val="fr-FR"/>
        </w:rPr>
        <w:t>pour les paiements directs au titre du Fonds de garantie (</w:t>
      </w:r>
      <w:r>
        <w:rPr>
          <w:rStyle w:val="AMPRcharOrange"/>
          <w:noProof/>
          <w:color w:val="auto"/>
          <w:lang w:val="fr-FR"/>
        </w:rPr>
        <w:t>1,6 %</w:t>
      </w:r>
      <w:r>
        <w:rPr>
          <w:noProof/>
          <w:color w:val="auto"/>
          <w:lang w:val="fr-FR"/>
        </w:rPr>
        <w:t>) et inférieur au seuil de signification pour la troisième année consécutive. Ces dépenses, qui appartiennent au premier pilier de la politique agricole commune, sont intrinsèquement peu risquées en raison du mécanisme de remboursement fondé sur des droits (voir section</w:t>
      </w:r>
      <w:r>
        <w:rPr>
          <w:rFonts w:ascii="Calibri" w:hAnsi="Calibri"/>
          <w:noProof/>
          <w:color w:val="auto"/>
          <w:lang w:val="fr-FR"/>
        </w:rPr>
        <w:t> </w:t>
      </w:r>
      <w:r>
        <w:rPr>
          <w:noProof/>
          <w:color w:val="auto"/>
          <w:lang w:val="fr-FR"/>
        </w:rPr>
        <w:t>2.3.2). Deuxièmement, toujours dans le cadre du premier pilier de la politique agricole commune, le risque au moment du paiement reste plus élevé pour les interventions sur le marché relevant du Fonds de garantie (</w:t>
      </w:r>
      <w:r>
        <w:rPr>
          <w:rStyle w:val="AMPRcharOrange"/>
          <w:noProof/>
          <w:color w:val="auto"/>
          <w:lang w:val="fr-FR"/>
        </w:rPr>
        <w:t>2,8 %)</w:t>
      </w:r>
      <w:r>
        <w:rPr>
          <w:noProof/>
          <w:color w:val="auto"/>
          <w:lang w:val="fr-FR"/>
        </w:rPr>
        <w:t>. Troisièmement,</w:t>
      </w:r>
      <w:r>
        <w:rPr>
          <w:noProof/>
          <w:lang w:val="fr-FR"/>
        </w:rPr>
        <w:t xml:space="preserve"> au titre du deuxième</w:t>
      </w:r>
      <w:r>
        <w:rPr>
          <w:rFonts w:ascii="Calibri" w:hAnsi="Calibri"/>
          <w:noProof/>
          <w:lang w:val="fr-FR"/>
        </w:rPr>
        <w:t xml:space="preserve"> </w:t>
      </w:r>
      <w:r>
        <w:rPr>
          <w:noProof/>
          <w:lang w:val="fr-FR"/>
        </w:rPr>
        <w:t xml:space="preserve">pilier de la politique agricole commune, le risque au moment du paiement dans le domaine du développement </w:t>
      </w:r>
      <w:r>
        <w:rPr>
          <w:noProof/>
          <w:color w:val="auto"/>
          <w:lang w:val="fr-FR"/>
        </w:rPr>
        <w:t>rural</w:t>
      </w:r>
      <w:r>
        <w:rPr>
          <w:noProof/>
          <w:lang w:val="fr-FR"/>
        </w:rPr>
        <w:t xml:space="preserve"> est également plus élevé (</w:t>
      </w:r>
      <w:r>
        <w:rPr>
          <w:rStyle w:val="AMPRcharOrange"/>
          <w:noProof/>
          <w:color w:val="auto"/>
          <w:lang w:val="fr-FR"/>
        </w:rPr>
        <w:t>2,7 %</w:t>
      </w:r>
      <w:r>
        <w:rPr>
          <w:noProof/>
          <w:color w:val="auto"/>
          <w:lang w:val="fr-FR"/>
        </w:rPr>
        <w:t>), mais</w:t>
      </w:r>
      <w:r>
        <w:rPr>
          <w:noProof/>
          <w:lang w:val="fr-FR"/>
        </w:rPr>
        <w:t xml:space="preserve"> n’a cessé de diminuer au cours des dernières années. </w:t>
      </w:r>
    </w:p>
    <w:p>
      <w:pPr>
        <w:pStyle w:val="AMPRBodyText"/>
        <w:rPr>
          <w:noProof/>
          <w:lang w:val="fr-FR"/>
        </w:rPr>
      </w:pPr>
      <w:r>
        <w:rPr>
          <w:noProof/>
          <w:lang w:val="fr-FR"/>
        </w:rPr>
        <w:t>Pour les deux piliers, la diminution constante des taux d’erreur s’explique par l’efficacité des systèmes de gestion et de contrôle appliqués, en particulier le système intégré de gestion et de contrôle, y compris le système d’identification des parcelles agricoles, et la coopération fructueuse entre la Commission et les États membres, dans le cadre de laquelle les plans d’action établis par les États membres se sont révélés être un outil efficace pour remédier aux faiblesses constatées pour certains organismes payeurs.</w:t>
      </w:r>
    </w:p>
    <w:p>
      <w:pPr>
        <w:pStyle w:val="AMPRBodyText"/>
        <w:spacing w:before="220" w:after="220"/>
        <w:rPr>
          <w:noProof/>
          <w:color w:val="auto"/>
          <w:lang w:val="fr-FR"/>
        </w:rPr>
      </w:pPr>
      <w:r>
        <w:rPr>
          <w:noProof/>
          <w:lang w:val="fr-FR"/>
        </w:rPr>
        <w:t xml:space="preserve">En raison de la conception des systèmes de contrôle et de gestion dans ce domaine politique, la quasi-totalité des erreurs en matière de paiements n’ayant pas été détectées à la fin de l’année devraient être couvertes par des recouvrements ultérieurs (effectués par les États membres), d’où le niveau élevé de </w:t>
      </w:r>
      <w:r>
        <w:rPr>
          <w:noProof/>
          <w:color w:val="auto"/>
          <w:lang w:val="fr-FR"/>
        </w:rPr>
        <w:t>corrections futures estimées (</w:t>
      </w:r>
      <w:r>
        <w:rPr>
          <w:rStyle w:val="AMPRcharOrange"/>
          <w:noProof/>
          <w:color w:val="auto"/>
          <w:lang w:val="fr-FR"/>
        </w:rPr>
        <w:t>1,8 %</w:t>
      </w:r>
      <w:r>
        <w:rPr>
          <w:noProof/>
          <w:color w:val="auto"/>
          <w:lang w:val="fr-FR"/>
        </w:rPr>
        <w:t xml:space="preserve">). Le risque estimé à la clôture </w:t>
      </w:r>
      <w:r>
        <w:rPr>
          <w:rStyle w:val="fnRef"/>
          <w:noProof/>
          <w:lang w:val="fr-FR"/>
        </w:rPr>
        <w:t>(</w:t>
      </w:r>
      <w:r>
        <w:rPr>
          <w:rStyle w:val="fnRefNo"/>
          <w:noProof/>
        </w:rPr>
        <w:footnoteReference w:id="20"/>
      </w:r>
      <w:r>
        <w:rPr>
          <w:rStyle w:val="fnRef"/>
          <w:noProof/>
          <w:lang w:val="fr-FR"/>
        </w:rPr>
        <w:t>)</w:t>
      </w:r>
      <w:r>
        <w:rPr>
          <w:noProof/>
          <w:color w:val="auto"/>
          <w:lang w:val="fr-FR"/>
        </w:rPr>
        <w:t xml:space="preserve"> reste donc très faible (</w:t>
      </w:r>
      <w:r>
        <w:rPr>
          <w:rStyle w:val="AMPRcharOrange"/>
          <w:noProof/>
          <w:color w:val="auto"/>
          <w:lang w:val="fr-FR"/>
        </w:rPr>
        <w:t>0,1 %</w:t>
      </w:r>
      <w:r>
        <w:rPr>
          <w:noProof/>
          <w:color w:val="auto"/>
          <w:lang w:val="fr-FR"/>
        </w:rPr>
        <w:t xml:space="preserve">). </w:t>
      </w:r>
    </w:p>
    <w:p>
      <w:pPr>
        <w:pStyle w:val="AMPRBodyText"/>
        <w:keepNext/>
        <w:spacing w:before="200" w:after="120"/>
        <w:rPr>
          <w:noProof/>
          <w:lang w:val="fr-FR"/>
        </w:rPr>
      </w:pPr>
      <w:r>
        <w:rPr>
          <w:noProof/>
          <w:lang w:val="fr-FR"/>
        </w:rPr>
        <w:t>À la fin de 2019, il y avait cinq réserves pour des segments de dépenses ou des programmes pour lesquels des faiblesses au niveau du contrôle et/ou des taux d’erreur supérieurs à 2 % avaient été identifiés (voir section</w:t>
      </w:r>
      <w:r>
        <w:rPr>
          <w:rFonts w:ascii="Calibri" w:hAnsi="Calibri"/>
          <w:noProof/>
          <w:lang w:val="fr-FR"/>
        </w:rPr>
        <w:t> </w:t>
      </w:r>
      <w:r>
        <w:rPr>
          <w:noProof/>
          <w:lang w:val="fr-FR"/>
        </w:rPr>
        <w:t>2.3.5 et l’annexe</w:t>
      </w:r>
      <w:r>
        <w:rPr>
          <w:rFonts w:ascii="Calibri" w:hAnsi="Calibri"/>
          <w:noProof/>
          <w:lang w:val="fr-FR"/>
        </w:rPr>
        <w:t> </w:t>
      </w:r>
      <w:r>
        <w:rPr>
          <w:noProof/>
          <w:lang w:val="fr-FR"/>
        </w:rPr>
        <w:t>4 pour plus de détails), à savoir:</w:t>
      </w:r>
    </w:p>
    <w:p>
      <w:pPr>
        <w:pStyle w:val="AMPRListOrange-L1"/>
        <w:rPr>
          <w:noProof/>
          <w:lang w:val="fr-FR"/>
        </w:rPr>
      </w:pPr>
      <w:r>
        <w:rPr>
          <w:noProof/>
          <w:lang w:val="fr-FR"/>
        </w:rPr>
        <w:t xml:space="preserve">trois réserves pour l’agriculture: les mesures de marché et les paiements directs relevant du Fonds européen agricole de garantie, ainsi que les mesures relevant du Fonds européen agricole pour le développement rural, correspondant aux États membres et aux organismes payeurs qui (à titre temporaire) sont confrontés à des faiblesses au niveau du contrôle et/ou à des taux d’erreur élevés; </w:t>
      </w:r>
    </w:p>
    <w:p>
      <w:pPr>
        <w:pStyle w:val="AMPRListOrange-L1"/>
        <w:rPr>
          <w:noProof/>
          <w:lang w:val="fr-FR"/>
        </w:rPr>
      </w:pPr>
      <w:r>
        <w:rPr>
          <w:noProof/>
          <w:lang w:val="fr-FR"/>
        </w:rPr>
        <w:t xml:space="preserve">une réserve récurrente non quantifiée pour le registre du système d’échange de quotas d’émission de l’UE; </w:t>
      </w:r>
    </w:p>
    <w:p>
      <w:pPr>
        <w:pStyle w:val="AMPRListOrange-L1"/>
        <w:rPr>
          <w:noProof/>
          <w:lang w:val="fr-FR"/>
        </w:rPr>
      </w:pPr>
      <w:r>
        <w:rPr>
          <w:noProof/>
          <w:lang w:val="fr-FR"/>
        </w:rPr>
        <w:t>une nouvelle réserve a été émise en 2019 pour le Fonds européen pour les affaires maritimes et la pêche, correspondant à un État membre et un programme opérationnel comportant un taux d’erreur significatif.</w:t>
      </w:r>
    </w:p>
    <w:p>
      <w:pPr>
        <w:pStyle w:val="AMPRSec2TITLE4"/>
        <w:spacing w:before="320" w:after="200"/>
        <w:rPr>
          <w:noProof/>
          <w:lang w:val="fr-FR"/>
        </w:rPr>
      </w:pPr>
      <w:r>
        <w:rPr>
          <w:noProof/>
          <w:lang w:val="fr-FR"/>
        </w:rPr>
        <w:t>Cohésion</w:t>
      </w:r>
    </w:p>
    <w:p>
      <w:pPr>
        <w:pStyle w:val="AMPRBodyText"/>
        <w:spacing w:before="200"/>
        <w:rPr>
          <w:noProof/>
          <w:lang w:val="fr-FR"/>
        </w:rPr>
      </w:pPr>
      <w:r>
        <w:rPr>
          <w:noProof/>
          <w:lang w:eastAsia="en-GB"/>
        </w:rPr>
        <w:drawing>
          <wp:anchor distT="0" distB="0" distL="114300" distR="114300" simplePos="0" relativeHeight="251663360" behindDoc="0" locked="0" layoutInCell="1" allowOverlap="1">
            <wp:simplePos x="0" y="0"/>
            <wp:positionH relativeFrom="column">
              <wp:posOffset>635</wp:posOffset>
            </wp:positionH>
            <wp:positionV relativeFrom="paragraph">
              <wp:posOffset>24765</wp:posOffset>
            </wp:positionV>
            <wp:extent cx="1603375" cy="346329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3375" cy="3463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t xml:space="preserve">Dans le domaine de la </w:t>
      </w:r>
      <w:r>
        <w:rPr>
          <w:rStyle w:val="AMPRcharBoldBlue"/>
          <w:noProof/>
          <w:lang w:val="fr-FR"/>
        </w:rPr>
        <w:t>cohésion</w:t>
      </w:r>
      <w:r>
        <w:rPr>
          <w:noProof/>
          <w:lang w:val="fr-FR"/>
        </w:rPr>
        <w:t xml:space="preserve">, les programmes en cours sont mis en œuvre à plein régime. Le risque à la clôture, estimé à 1,1 %, correspond à celui de 2018 (1,3 %). Bien que le risque au moment du paiement se soit accru, passant de 1,7 % en 2018 à une fourchette allant de 2,2 % à 3,1 % en 2019, les corrections futures estimées ont elles aussi augmenté (entre 1,1 % et 2 %). </w:t>
      </w:r>
    </w:p>
    <w:p>
      <w:pPr>
        <w:pStyle w:val="AMPRBodyText"/>
        <w:rPr>
          <w:noProof/>
          <w:lang w:val="fr-FR"/>
        </w:rPr>
      </w:pPr>
      <w:r>
        <w:rPr>
          <w:noProof/>
          <w:lang w:val="fr-FR"/>
        </w:rPr>
        <w:t>L’estimation de la future capacité de correction découle du système de contrôle lui-même: en effet, au titre de la politique de cohésion</w:t>
      </w:r>
      <w:r>
        <w:rPr>
          <w:rStyle w:val="fnRef"/>
          <w:rFonts w:ascii="Arial" w:hAnsi="Arial"/>
          <w:noProof/>
          <w:lang w:val="fr-FR"/>
        </w:rPr>
        <w:t> </w:t>
      </w:r>
      <w:r>
        <w:rPr>
          <w:rStyle w:val="fnRef"/>
          <w:noProof/>
          <w:lang w:val="fr-FR"/>
        </w:rPr>
        <w:t>(</w:t>
      </w:r>
      <w:r>
        <w:rPr>
          <w:rStyle w:val="fnRefNo"/>
          <w:noProof/>
        </w:rPr>
        <w:footnoteReference w:id="21"/>
      </w:r>
      <w:r>
        <w:rPr>
          <w:rStyle w:val="fnRef"/>
          <w:noProof/>
          <w:lang w:val="fr-FR"/>
        </w:rPr>
        <w:t>)</w:t>
      </w:r>
      <w:r>
        <w:rPr>
          <w:noProof/>
          <w:lang w:val="fr-FR"/>
        </w:rPr>
        <w:t>, les erreurs détectées par les États membres, la Commission ou la Cour des comptes dans le cadre de leurs audits respectifs font systématiquement l’objet de corrections financières. Les différents programmes concernés font l’objet d’une transparence totale dans les rapports annuels d’activité, qui contiennent également des informations sur les mesures prises par la suite pour mettre en œuvre les corrections requises. Dans le cadre de la gestion partagée, la Commission applique chaque année de nouvelles corrections financières lorsque le niveau d’erreur (déclaré ou recalculé) reste supérieur à 2 % dans les comptes annuels du programme. À la fin du cycle de vie du programme dans le cadre de la politique de cohésion, les programmes ne sont pas clôturés tant que toutes les corrections financières requises n’ont pas été mises en œuvre.</w:t>
      </w:r>
    </w:p>
    <w:p>
      <w:pPr>
        <w:pStyle w:val="AMPRBodyText"/>
        <w:rPr>
          <w:noProof/>
          <w:lang w:val="fr-FR"/>
        </w:rPr>
      </w:pPr>
      <w:r>
        <w:rPr>
          <w:noProof/>
          <w:lang w:val="fr-FR"/>
        </w:rPr>
        <w:t xml:space="preserve">Dans le domaine de la cohésion, les premiers paiements ont été opérés en 2018 et 2019 pour un certain nombre de programmes opérationnels dans les États membres. Les auditeurs ont donc eu la possibilité d’examiner l’intégralité du processus pour un plus grand nombre de programmes et pour un nombre plus élevé de paiements. Cela a entraîné une augmentation du nombre d’erreurs détectées, ainsi qu’un taux d’erreur plus élevé. En ce qui concerne en particulier le </w:t>
      </w:r>
      <w:r>
        <w:rPr>
          <w:rStyle w:val="AMPRcharBoldBlue"/>
          <w:noProof/>
          <w:lang w:val="fr-FR"/>
        </w:rPr>
        <w:t>Fonds européen de développement régional</w:t>
      </w:r>
      <w:r>
        <w:rPr>
          <w:noProof/>
          <w:lang w:val="fr-FR"/>
        </w:rPr>
        <w:t xml:space="preserve">, qui concentre la plus grande part des dépenses relevant de ce domaine politique, le risque au moment du paiement est passé de 2 % en 2018 à un niveau situé dans une fourchette comprise, compte tenu de tous les risques possibles, entre 2,7 % et 3,8 % en 2019. Pour le </w:t>
      </w:r>
      <w:r>
        <w:rPr>
          <w:rStyle w:val="AMPRcharBoldBlue"/>
          <w:noProof/>
          <w:lang w:val="fr-FR"/>
        </w:rPr>
        <w:t>Fonds social européen</w:t>
      </w:r>
      <w:r>
        <w:rPr>
          <w:noProof/>
          <w:lang w:val="fr-FR"/>
        </w:rPr>
        <w:t>, le risque au moment du paiement est de l’ordre de 1,7 % à 2,4 %.</w:t>
      </w:r>
    </w:p>
    <w:p>
      <w:pPr>
        <w:pStyle w:val="AMPRBodyText"/>
        <w:rPr>
          <w:noProof/>
          <w:lang w:val="fr-FR"/>
        </w:rPr>
      </w:pPr>
      <w:r>
        <w:rPr>
          <w:noProof/>
          <w:lang w:val="fr-FR"/>
        </w:rPr>
        <w:t xml:space="preserve">En 2019, les autorités d’audit des États membres ont signalé des irrégularités se rapportant à une typologie commune convenue avec la Commission et recommandée par celle-ci. Les dépenses non admissibles, les irrégularités dans le domaine des marchés publics et les problèmes liés à la piste d’audit sont les principales sources des constatations d'audit et des irrégularités qui ont été constatées tant par les autorités d’audit que par la Commission dans le cadre de leurs audits. </w:t>
      </w:r>
    </w:p>
    <w:p>
      <w:pPr>
        <w:pStyle w:val="AMPRBodyText"/>
        <w:rPr>
          <w:noProof/>
          <w:lang w:val="fr-FR"/>
        </w:rPr>
      </w:pPr>
      <w:r>
        <w:rPr>
          <w:noProof/>
          <w:lang w:val="fr-FR"/>
        </w:rPr>
        <w:t xml:space="preserve">Afin de s’attaquer aux erreurs les plus fréquentes, en plus des corrections financières pour les dépenses antérieures et des mesures correctrices s’appliquant au système pour tous les cas à venir, les services de la Commission incitent les autorités d’audit des États membres à faire rapport à leurs autorités de gestion et de certification au sujet des principales sources à l’origine des irrégularités recensées. Les autorités responsables des programmes pourront ainsi adapter leurs contrôles internes, renforcer leurs listes de vérification et approfondir la formation de leur personnel et des bénéficiaires. La Commission organise également des événements de renforcement des capacités et des ateliers conjoints avec les autorités responsables des programmes, notamment les autorités de gestion et d’audit. Elle fournit des recommandations détaillées en matière d’audit et exige des plans d’actions correctives détaillés pour les cas où des défaillances du système sont constatées. </w:t>
      </w:r>
    </w:p>
    <w:p>
      <w:pPr>
        <w:pStyle w:val="AMPRBodyText"/>
        <w:rPr>
          <w:noProof/>
          <w:lang w:val="fr-FR"/>
        </w:rPr>
      </w:pPr>
      <w:r>
        <w:rPr>
          <w:noProof/>
          <w:lang w:val="fr-FR"/>
        </w:rPr>
        <w:t>Compte tenu de l’importance des marchés publics pour la politique de cohésion, la Commission continue de mettre en œuvre son plan d’action mis à jour sur les marchés publics afin d’améliorer le respect des procédures en la matière dans ce domaine politique. Une attention particulière est accordée aux actions visant à aider les États membres à professionnaliser davantage les acheteurs publics, dans le droit fil du paquet «marchés publics» adopté par la Commission en octobre 2017. La Commission fournit des orientations détaillées, des exemples de bonnes pratiques et des explications disponibles en ligne. Les échanges entre pairs sont encouragés afin d’aider les pouvoirs adjudicateurs et les autorités chargées des programmes à gérer ces aspects et à réduire les erreurs.</w:t>
      </w:r>
    </w:p>
    <w:p>
      <w:pPr>
        <w:pStyle w:val="AMPRBodyText"/>
        <w:rPr>
          <w:noProof/>
          <w:lang w:val="fr-FR"/>
        </w:rPr>
      </w:pPr>
      <w:r>
        <w:rPr>
          <w:noProof/>
          <w:lang w:val="fr-FR"/>
        </w:rPr>
        <w:t>Les deux services de cohésion ont émis des réserves pour les programmes opérationnels 2014-2020, avec des erreurs dépassant le seuil de signification en 2019. En outre, pour la période 2007-2013, il existe encore quelques programmes opérationnels assortis d’une réserve non quantifiée (voir section</w:t>
      </w:r>
      <w:r>
        <w:rPr>
          <w:rFonts w:ascii="Calibri" w:hAnsi="Calibri"/>
          <w:noProof/>
          <w:lang w:val="fr-FR"/>
        </w:rPr>
        <w:t> </w:t>
      </w:r>
      <w:r>
        <w:rPr>
          <w:noProof/>
          <w:lang w:val="fr-FR"/>
        </w:rPr>
        <w:t>2.3.5 et plus de détails à l’annexe</w:t>
      </w:r>
      <w:r>
        <w:rPr>
          <w:rFonts w:ascii="Calibri" w:hAnsi="Calibri"/>
          <w:noProof/>
          <w:lang w:val="fr-FR"/>
        </w:rPr>
        <w:t> </w:t>
      </w:r>
      <w:r>
        <w:rPr>
          <w:noProof/>
          <w:lang w:val="fr-FR"/>
        </w:rPr>
        <w:t>4).</w:t>
      </w:r>
    </w:p>
    <w:p>
      <w:pPr>
        <w:pStyle w:val="AMPRSec2TITLE4"/>
        <w:spacing w:before="240" w:after="160"/>
        <w:rPr>
          <w:noProof/>
          <w:lang w:val="fr-FR"/>
        </w:rPr>
      </w:pPr>
      <w:r>
        <w:rPr>
          <w:noProof/>
          <w:lang w:val="fr-FR"/>
        </w:rPr>
        <w:t>Relations extérieures</w:t>
      </w:r>
    </w:p>
    <w:p>
      <w:pPr>
        <w:pStyle w:val="AMPRBodyText"/>
        <w:spacing w:before="120"/>
        <w:rPr>
          <w:noProof/>
          <w:lang w:val="fr-FR"/>
        </w:rPr>
      </w:pPr>
      <w:r>
        <w:rPr>
          <w:noProof/>
          <w:lang w:eastAsia="en-GB"/>
        </w:rPr>
        <w:drawing>
          <wp:anchor distT="0" distB="0" distL="114300" distR="114300" simplePos="0" relativeHeight="251664384" behindDoc="0" locked="0" layoutInCell="1" allowOverlap="1">
            <wp:simplePos x="0" y="0"/>
            <wp:positionH relativeFrom="column">
              <wp:posOffset>635</wp:posOffset>
            </wp:positionH>
            <wp:positionV relativeFrom="paragraph">
              <wp:posOffset>70485</wp:posOffset>
            </wp:positionV>
            <wp:extent cx="1514475" cy="3298190"/>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4475" cy="3298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t xml:space="preserve">En ce qui concerne les </w:t>
      </w:r>
      <w:r>
        <w:rPr>
          <w:rStyle w:val="AMPRcharBoldBlue"/>
          <w:noProof/>
          <w:lang w:val="fr-FR"/>
        </w:rPr>
        <w:t>relations extérieures</w:t>
      </w:r>
      <w:r>
        <w:rPr>
          <w:noProof/>
          <w:lang w:val="fr-FR"/>
        </w:rPr>
        <w:t xml:space="preserve">, les risques au moment du </w:t>
      </w:r>
      <w:r>
        <w:rPr>
          <w:noProof/>
          <w:color w:val="auto"/>
          <w:lang w:val="fr-FR"/>
        </w:rPr>
        <w:t>paiement (</w:t>
      </w:r>
      <w:r>
        <w:rPr>
          <w:rStyle w:val="AMPRcharOrange"/>
          <w:noProof/>
          <w:color w:val="auto"/>
          <w:lang w:val="fr-FR"/>
        </w:rPr>
        <w:t>1 %</w:t>
      </w:r>
      <w:r>
        <w:rPr>
          <w:noProof/>
          <w:color w:val="auto"/>
          <w:lang w:val="fr-FR"/>
        </w:rPr>
        <w:t>) et à la clôture (</w:t>
      </w:r>
      <w:r>
        <w:rPr>
          <w:rStyle w:val="AMPRcharOrange"/>
          <w:noProof/>
          <w:color w:val="auto"/>
          <w:lang w:val="fr-FR"/>
        </w:rPr>
        <w:t>0,7 %</w:t>
      </w:r>
      <w:r>
        <w:rPr>
          <w:noProof/>
          <w:color w:val="auto"/>
          <w:lang w:val="fr-FR"/>
        </w:rPr>
        <w:t>)</w:t>
      </w:r>
      <w:r>
        <w:rPr>
          <w:noProof/>
          <w:lang w:val="fr-FR"/>
        </w:rPr>
        <w:t xml:space="preserve"> sont restés stables et sont nettement inférieurs à 2 %. </w:t>
      </w:r>
    </w:p>
    <w:p>
      <w:pPr>
        <w:pStyle w:val="AMPRBodyText"/>
        <w:rPr>
          <w:noProof/>
          <w:lang w:val="fr-FR"/>
        </w:rPr>
      </w:pPr>
      <w:r>
        <w:rPr>
          <w:noProof/>
          <w:lang w:val="fr-FR"/>
        </w:rPr>
        <w:t>En 2019, la Commission a poursuivi ses efforts en vue d’améliorer les stratégies de contrôle différenciées en fonction des risques pour ses dépenses en matière de développement et de voisinage, ce qui permettrait de mieux cibler les actions spécifiques sur les segments à plus haut risque. Les deux services responsables ont également accru la transparence de leurs études sur le taux d’erreur résiduel (voir annexe</w:t>
      </w:r>
      <w:r>
        <w:rPr>
          <w:rFonts w:ascii="Calibri" w:hAnsi="Calibri"/>
          <w:noProof/>
          <w:lang w:val="fr-FR"/>
        </w:rPr>
        <w:t> </w:t>
      </w:r>
      <w:r>
        <w:rPr>
          <w:noProof/>
          <w:lang w:val="fr-FR"/>
        </w:rPr>
        <w:t xml:space="preserve">3). Par exemple, en ce qui concerne les dépenses de développement, le taux global (1,13 %) est désormais scindé: un pour le budget de l’UE (1,14 %) et un pour le Fonds européen de développement (1,13 %), ce qui montre clairement leurs profils de risque similaires. </w:t>
      </w:r>
    </w:p>
    <w:p>
      <w:pPr>
        <w:pStyle w:val="AMPRBodyText"/>
        <w:rPr>
          <w:noProof/>
          <w:lang w:val="fr-FR"/>
        </w:rPr>
      </w:pPr>
      <w:r>
        <w:rPr>
          <w:noProof/>
          <w:lang w:val="fr-FR"/>
        </w:rPr>
        <w:t xml:space="preserve">Parmi les problèmes de non-conformité, l’accès (rapide) aux pièces justificatives des entités chargées de l’exécution, y compris les organisations internationales, demeure une source d’irrégularités. Cela explique également le niveau d’erreur relativement élevé estimé par la Cour pour le Fonds européen de développement (5,2 % pour 2018), qui est déterminé avant la mise en œuvre de tous les contrôles (capacité de correction de </w:t>
      </w:r>
      <w:r>
        <w:rPr>
          <w:rStyle w:val="AMPRcharOrange"/>
          <w:noProof/>
          <w:color w:val="auto"/>
          <w:lang w:val="fr-FR"/>
        </w:rPr>
        <w:t>0,3 %</w:t>
      </w:r>
      <w:r>
        <w:rPr>
          <w:noProof/>
          <w:color w:val="auto"/>
          <w:lang w:val="fr-FR"/>
        </w:rPr>
        <w:t>) et</w:t>
      </w:r>
      <w:r>
        <w:rPr>
          <w:noProof/>
          <w:lang w:val="fr-FR"/>
        </w:rPr>
        <w:t xml:space="preserve"> en particulier avant que les pièces justificatives aient été fournies. Par conséquent, un plan d’action a été mis en place afin de fluidifier le flux d’informations entre les entités chargées de l’exécution, la Commission et/ou la Cour des comptes.</w:t>
      </w:r>
    </w:p>
    <w:p>
      <w:pPr>
        <w:pStyle w:val="AMPRBodyText"/>
        <w:rPr>
          <w:noProof/>
          <w:lang w:val="fr-FR"/>
        </w:rPr>
      </w:pPr>
      <w:r>
        <w:rPr>
          <w:noProof/>
          <w:lang w:val="fr-FR"/>
        </w:rPr>
        <w:t>Fin 2019, la DG Voisinage et négociations d’élargissement a maintenu ses deux réserves: une pour les «subventions en gestion directe» (niveau d’erreur de 2,65 %) et une pour les «projets en Libye et en Syrie» (obtention de l’assurance impossible pour des raisons de sécurité) (voir section</w:t>
      </w:r>
      <w:r>
        <w:rPr>
          <w:rFonts w:ascii="Calibri" w:hAnsi="Calibri"/>
          <w:noProof/>
          <w:lang w:val="fr-FR"/>
        </w:rPr>
        <w:t> </w:t>
      </w:r>
      <w:r>
        <w:rPr>
          <w:noProof/>
          <w:lang w:val="fr-FR"/>
        </w:rPr>
        <w:t>2.3.5 et plus de détails à l’annexe</w:t>
      </w:r>
      <w:r>
        <w:rPr>
          <w:rFonts w:ascii="Calibri" w:hAnsi="Calibri"/>
          <w:noProof/>
          <w:lang w:val="fr-FR"/>
        </w:rPr>
        <w:t> </w:t>
      </w:r>
      <w:r>
        <w:rPr>
          <w:noProof/>
          <w:lang w:val="fr-FR"/>
        </w:rPr>
        <w:t>4).</w:t>
      </w:r>
    </w:p>
    <w:p>
      <w:pPr>
        <w:pStyle w:val="AMPRSec2TITLE4"/>
        <w:spacing w:before="240" w:after="120"/>
        <w:rPr>
          <w:noProof/>
          <w:lang w:val="fr-FR"/>
        </w:rPr>
      </w:pPr>
      <w:r>
        <w:rPr>
          <w:noProof/>
          <w:lang w:val="fr-FR"/>
        </w:rPr>
        <w:t>Recherche, industrie, espace, énergie et transports</w:t>
      </w:r>
    </w:p>
    <w:p>
      <w:pPr>
        <w:pStyle w:val="AMPRBodyText"/>
        <w:spacing w:before="120"/>
        <w:rPr>
          <w:noProof/>
          <w:color w:val="auto"/>
          <w:lang w:val="fr-FR"/>
        </w:rPr>
      </w:pPr>
      <w:r>
        <w:rPr>
          <w:noProof/>
          <w:lang w:eastAsia="en-GB"/>
        </w:rPr>
        <w:drawing>
          <wp:anchor distT="0" distB="0" distL="114300" distR="114300" simplePos="0" relativeHeight="251665408" behindDoc="0" locked="0" layoutInCell="1" allowOverlap="1">
            <wp:simplePos x="0" y="0"/>
            <wp:positionH relativeFrom="column">
              <wp:posOffset>957</wp:posOffset>
            </wp:positionH>
            <wp:positionV relativeFrom="paragraph">
              <wp:posOffset>1166</wp:posOffset>
            </wp:positionV>
            <wp:extent cx="1378585" cy="312547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8585" cy="3125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t xml:space="preserve">Globalement, pour </w:t>
      </w:r>
      <w:r>
        <w:rPr>
          <w:rStyle w:val="AMPRcharBoldBlue"/>
          <w:noProof/>
          <w:lang w:val="fr-FR"/>
        </w:rPr>
        <w:t>la recherche, l’industrie, l’espace, l’énergie et les transports</w:t>
      </w:r>
      <w:r>
        <w:rPr>
          <w:noProof/>
          <w:lang w:val="fr-FR"/>
        </w:rPr>
        <w:t xml:space="preserve">, les risques au moment du </w:t>
      </w:r>
      <w:r>
        <w:rPr>
          <w:noProof/>
          <w:color w:val="auto"/>
          <w:lang w:val="fr-FR"/>
        </w:rPr>
        <w:t xml:space="preserve">paiement </w:t>
      </w:r>
      <w:r>
        <w:rPr>
          <w:rStyle w:val="AMPRcharOrange"/>
          <w:noProof/>
          <w:color w:val="auto"/>
          <w:lang w:val="fr-FR"/>
        </w:rPr>
        <w:t>(2 %)</w:t>
      </w:r>
      <w:r>
        <w:rPr>
          <w:noProof/>
          <w:color w:val="auto"/>
          <w:lang w:val="fr-FR"/>
        </w:rPr>
        <w:t xml:space="preserve"> et à la clôture </w:t>
      </w:r>
      <w:r>
        <w:rPr>
          <w:rStyle w:val="AMPRcharOrange"/>
          <w:noProof/>
          <w:color w:val="auto"/>
          <w:lang w:val="fr-FR"/>
        </w:rPr>
        <w:t>(1,5 %)</w:t>
      </w:r>
      <w:r>
        <w:rPr>
          <w:noProof/>
          <w:color w:val="auto"/>
          <w:lang w:val="fr-FR"/>
        </w:rPr>
        <w:t xml:space="preserve"> sont restés stables.</w:t>
      </w:r>
    </w:p>
    <w:p>
      <w:pPr>
        <w:pStyle w:val="AMPRBodyText"/>
        <w:rPr>
          <w:noProof/>
          <w:lang w:val="fr-FR"/>
        </w:rPr>
      </w:pPr>
      <w:r>
        <w:rPr>
          <w:noProof/>
          <w:lang w:val="fr-FR"/>
        </w:rPr>
        <w:t xml:space="preserve">Au sein de ce domaine, le risque au moment du paiement pour le programme de recherche </w:t>
      </w:r>
      <w:r>
        <w:rPr>
          <w:rStyle w:val="AMPRcharBoldBlue"/>
          <w:noProof/>
          <w:lang w:val="fr-FR"/>
        </w:rPr>
        <w:t>Horizon 2020</w:t>
      </w:r>
      <w:r>
        <w:rPr>
          <w:noProof/>
          <w:color w:val="auto"/>
          <w:lang w:val="fr-FR"/>
        </w:rPr>
        <w:t xml:space="preserve"> </w:t>
      </w:r>
      <w:r>
        <w:rPr>
          <w:rStyle w:val="AMPRcharOrange"/>
          <w:noProof/>
          <w:color w:val="auto"/>
          <w:lang w:val="fr-FR"/>
        </w:rPr>
        <w:t>(3,3 %) reste supérieur à 2 %.</w:t>
      </w:r>
      <w:r>
        <w:rPr>
          <w:noProof/>
          <w:color w:val="auto"/>
          <w:lang w:val="fr-FR"/>
        </w:rPr>
        <w:t xml:space="preserve"> </w:t>
      </w:r>
      <w:r>
        <w:rPr>
          <w:noProof/>
          <w:lang w:val="fr-FR"/>
        </w:rPr>
        <w:t>Ce risque accru est inhérent aux subventions fondées sur le remboursement des coûts éligibles réels (voir section</w:t>
      </w:r>
      <w:r>
        <w:rPr>
          <w:rFonts w:ascii="Calibri" w:hAnsi="Calibri"/>
          <w:noProof/>
          <w:lang w:val="fr-FR"/>
        </w:rPr>
        <w:t> </w:t>
      </w:r>
      <w:r>
        <w:rPr>
          <w:noProof/>
          <w:lang w:val="fr-FR"/>
        </w:rPr>
        <w:t>2.3.2) utilisées dans le cadre d’Horizon 2020 et du programme en faveur de la compétitivité pour les petites et moyennes entreprises, conformément aux bases juridiques correspondantes. La détermination des coûts exacts pouvant être imputés aux projets est une opération complexe qui entraîne des erreurs dans les déclarations de coûts et les paiements correspondants.</w:t>
      </w:r>
    </w:p>
    <w:p>
      <w:pPr>
        <w:pStyle w:val="AMPRBodyText"/>
        <w:rPr>
          <w:noProof/>
          <w:spacing w:val="-2"/>
          <w:lang w:val="fr-FR"/>
        </w:rPr>
      </w:pPr>
      <w:r>
        <w:rPr>
          <w:noProof/>
          <w:lang w:val="fr-FR"/>
        </w:rPr>
        <w:t>Pour atténuer les conséquences de cette situation, la stratégie de contrôle ex post bien établie pour le programme Horizon 2020, commune à tous les services concernés par sa mise en œuvre, a conduit à d’importantes corrections ex post au fil des ans — ces corrections servent également de base pour les corrections futures estimées.</w:t>
      </w:r>
    </w:p>
    <w:p>
      <w:pPr>
        <w:pStyle w:val="AMPRBodyText"/>
        <w:rPr>
          <w:noProof/>
          <w:lang w:val="fr-FR"/>
        </w:rPr>
      </w:pPr>
      <w:r>
        <w:rPr>
          <w:noProof/>
          <w:lang w:val="fr-FR"/>
        </w:rPr>
        <w:t>Néanmoins, les services chargés de la recherche s’efforcent constamment de réduire le risque au moment du paiement: par exemple, au moyen d’une simplification accrue de la convention de subvention type, d’une communication plus claire sur les règles d’éligibilité et d’un recours plus large aux financements forfaitaires. En outre, la proposition de la Commission relative au prochain programme de recherche (Horizon Europe à compter de 2021) élargit encore le recours aux options simplifiées en matière de coûts.</w:t>
      </w:r>
    </w:p>
    <w:p>
      <w:pPr>
        <w:pStyle w:val="AMPRBodyText"/>
        <w:rPr>
          <w:noProof/>
          <w:lang w:val="fr-FR"/>
        </w:rPr>
      </w:pPr>
      <w:r>
        <w:rPr>
          <w:noProof/>
          <w:lang w:val="fr-FR"/>
        </w:rPr>
        <w:t xml:space="preserve">En ce qui concerne les autres programmes, les risques au moment du paiement et à la clôture concernant le </w:t>
      </w:r>
      <w:r>
        <w:rPr>
          <w:rStyle w:val="AMPRcharBoldBlue"/>
          <w:noProof/>
          <w:lang w:val="fr-FR"/>
        </w:rPr>
        <w:t>mécanisme pour l’interconnexion en Europe</w:t>
      </w:r>
      <w:r>
        <w:rPr>
          <w:noProof/>
          <w:lang w:val="fr-FR"/>
        </w:rPr>
        <w:t xml:space="preserve"> (transports, énergie et télécommunications) mis en œuvre par l’Agence exécutive pour l’innovation et les réseaux sont </w:t>
      </w:r>
      <w:r>
        <w:rPr>
          <w:rStyle w:val="AMPRcharOrange"/>
          <w:noProof/>
          <w:color w:val="auto"/>
          <w:lang w:val="fr-FR"/>
        </w:rPr>
        <w:t>globalement inférieurs à 2 %</w:t>
      </w:r>
      <w:r>
        <w:rPr>
          <w:noProof/>
          <w:color w:val="auto"/>
          <w:lang w:val="fr-FR"/>
        </w:rPr>
        <w:t xml:space="preserve">. </w:t>
      </w:r>
      <w:r>
        <w:rPr>
          <w:noProof/>
          <w:lang w:val="fr-FR"/>
        </w:rPr>
        <w:t xml:space="preserve">Les programmes </w:t>
      </w:r>
      <w:r>
        <w:rPr>
          <w:rStyle w:val="AMPRcharBoldBlue"/>
          <w:noProof/>
          <w:lang w:val="fr-FR"/>
        </w:rPr>
        <w:t>spatiaux</w:t>
      </w:r>
      <w:r>
        <w:rPr>
          <w:noProof/>
          <w:lang w:val="fr-FR"/>
        </w:rPr>
        <w:t xml:space="preserve"> de l’UE</w:t>
      </w:r>
      <w:r>
        <w:rPr>
          <w:rStyle w:val="fnRef"/>
          <w:rFonts w:ascii="Arial" w:hAnsi="Arial"/>
          <w:noProof/>
          <w:lang w:val="fr-FR"/>
        </w:rPr>
        <w:t> </w:t>
      </w:r>
      <w:r>
        <w:rPr>
          <w:rStyle w:val="fnRef"/>
          <w:noProof/>
          <w:lang w:val="fr-FR"/>
        </w:rPr>
        <w:t>(</w:t>
      </w:r>
      <w:r>
        <w:rPr>
          <w:rStyle w:val="fnRefNo"/>
          <w:noProof/>
        </w:rPr>
        <w:footnoteReference w:id="22"/>
      </w:r>
      <w:r>
        <w:rPr>
          <w:rStyle w:val="fnRef"/>
          <w:noProof/>
          <w:lang w:val="fr-FR"/>
        </w:rPr>
        <w:t>)</w:t>
      </w:r>
      <w:r>
        <w:rPr>
          <w:noProof/>
          <w:lang w:val="fr-FR"/>
        </w:rPr>
        <w:t xml:space="preserve">, mis en œuvre par l’Agence spatiale européenne et l’Agence du GNSS européen, présentent également des risques intrinsèquement plus faibles au moment du paiement et à la clôture grâce au type de financement et au niveau des audits réalisés. Ils ont néanmoins été fixés, </w:t>
      </w:r>
      <w:r>
        <w:rPr>
          <w:noProof/>
          <w:color w:val="auto"/>
          <w:lang w:val="fr-FR"/>
        </w:rPr>
        <w:t xml:space="preserve">de façon prudente, </w:t>
      </w:r>
      <w:r>
        <w:rPr>
          <w:rStyle w:val="AMPRcharOrange"/>
          <w:noProof/>
          <w:color w:val="auto"/>
          <w:lang w:val="fr-FR"/>
        </w:rPr>
        <w:t>à 0,5 %.</w:t>
      </w:r>
      <w:r>
        <w:rPr>
          <w:noProof/>
          <w:color w:val="auto"/>
          <w:lang w:val="fr-FR"/>
        </w:rPr>
        <w:t xml:space="preserve"> </w:t>
      </w:r>
    </w:p>
    <w:p>
      <w:pPr>
        <w:pStyle w:val="AMPRBodyText"/>
        <w:rPr>
          <w:noProof/>
          <w:lang w:val="fr-FR"/>
        </w:rPr>
      </w:pPr>
      <w:r>
        <w:rPr>
          <w:noProof/>
          <w:lang w:val="fr-FR"/>
        </w:rPr>
        <w:t xml:space="preserve">Comme les années précédentes, les services et agences exécutives chargés de la </w:t>
      </w:r>
      <w:r>
        <w:rPr>
          <w:rStyle w:val="AMPRcharBoldBlue"/>
          <w:noProof/>
          <w:lang w:val="fr-FR"/>
        </w:rPr>
        <w:t>recherche</w:t>
      </w:r>
      <w:r>
        <w:rPr>
          <w:noProof/>
          <w:lang w:val="fr-FR"/>
        </w:rPr>
        <w:t xml:space="preserve"> n’ont pas assorti leurs déclarations d’assurance de réserves en lien avec le </w:t>
      </w:r>
      <w:r>
        <w:rPr>
          <w:rStyle w:val="AMPRcharBoldBlue"/>
          <w:noProof/>
          <w:lang w:val="fr-FR"/>
        </w:rPr>
        <w:t>programme Horizon 2020</w:t>
      </w:r>
      <w:r>
        <w:rPr>
          <w:noProof/>
          <w:lang w:val="fr-FR"/>
        </w:rPr>
        <w:t xml:space="preserve">, malgré un taux d’erreur actuel de </w:t>
      </w:r>
      <w:r>
        <w:rPr>
          <w:rStyle w:val="AMPRcharOrange"/>
          <w:noProof/>
          <w:color w:val="auto"/>
          <w:lang w:val="fr-FR"/>
        </w:rPr>
        <w:t>2,3 %</w:t>
      </w:r>
      <w:r>
        <w:rPr>
          <w:noProof/>
          <w:color w:val="auto"/>
          <w:lang w:val="fr-FR"/>
        </w:rPr>
        <w:t xml:space="preserve">. </w:t>
      </w:r>
      <w:r>
        <w:rPr>
          <w:noProof/>
          <w:lang w:val="fr-FR"/>
        </w:rPr>
        <w:t>Cela est dû au fait qu’ils appliquent le seuil de signification spécifique du programme compris entre 2 % et 5 % afin de tenir compte des risques inhérents à ce dernier ainsi que des limitations en matière de contrôle</w:t>
      </w:r>
      <w:r>
        <w:rPr>
          <w:rStyle w:val="fnRef"/>
          <w:rFonts w:ascii="Arial" w:hAnsi="Arial"/>
          <w:noProof/>
          <w:lang w:val="fr-FR"/>
        </w:rPr>
        <w:t> </w:t>
      </w:r>
      <w:r>
        <w:rPr>
          <w:rStyle w:val="fnRef"/>
          <w:noProof/>
          <w:lang w:val="fr-FR"/>
        </w:rPr>
        <w:t>(</w:t>
      </w:r>
      <w:r>
        <w:rPr>
          <w:rStyle w:val="fnRefNo"/>
          <w:noProof/>
        </w:rPr>
        <w:footnoteReference w:id="23"/>
      </w:r>
      <w:r>
        <w:rPr>
          <w:rStyle w:val="fnRef"/>
          <w:noProof/>
          <w:lang w:val="fr-FR"/>
        </w:rPr>
        <w:t>)</w:t>
      </w:r>
      <w:r>
        <w:rPr>
          <w:noProof/>
          <w:lang w:val="fr-FR"/>
        </w:rPr>
        <w:t>.</w:t>
      </w:r>
    </w:p>
    <w:p>
      <w:pPr>
        <w:pStyle w:val="AMPRBodyText"/>
        <w:rPr>
          <w:noProof/>
          <w:lang w:val="fr-FR"/>
        </w:rPr>
      </w:pPr>
      <w:r>
        <w:rPr>
          <w:noProof/>
          <w:lang w:val="fr-FR"/>
        </w:rPr>
        <w:t>Pour 2019, une seule réserve a été émise, concernant le septième programme-cadre de recherche et de développement technologique précédent (voir section</w:t>
      </w:r>
      <w:r>
        <w:rPr>
          <w:rFonts w:ascii="Calibri" w:hAnsi="Calibri"/>
          <w:noProof/>
          <w:lang w:val="fr-FR"/>
        </w:rPr>
        <w:t> </w:t>
      </w:r>
      <w:r>
        <w:rPr>
          <w:noProof/>
          <w:lang w:val="fr-FR"/>
        </w:rPr>
        <w:t>2.3.5 et plus de détails à l’annexe</w:t>
      </w:r>
      <w:r>
        <w:rPr>
          <w:rFonts w:ascii="Calibri" w:hAnsi="Calibri"/>
          <w:noProof/>
          <w:lang w:val="fr-FR"/>
        </w:rPr>
        <w:t> </w:t>
      </w:r>
      <w:r>
        <w:rPr>
          <w:noProof/>
          <w:lang w:val="fr-FR"/>
        </w:rPr>
        <w:t>4).</w:t>
      </w:r>
    </w:p>
    <w:p>
      <w:pPr>
        <w:pStyle w:val="AMPRSec2TITLE4"/>
        <w:rPr>
          <w:noProof/>
          <w:lang w:val="fr-FR"/>
        </w:rPr>
      </w:pPr>
      <w:r>
        <w:rPr>
          <w:noProof/>
          <w:lang w:val="fr-FR"/>
        </w:rPr>
        <w:t>Autres politiques internes</w:t>
      </w:r>
      <w:r>
        <w:rPr>
          <w:noProof/>
          <w:lang w:val="fr-FR" w:eastAsia="en-GB"/>
        </w:rPr>
        <w:t xml:space="preserve"> </w:t>
      </w:r>
    </w:p>
    <w:p>
      <w:pPr>
        <w:pStyle w:val="AMPRBodyText"/>
        <w:rPr>
          <w:noProof/>
          <w:lang w:val="fr-FR"/>
        </w:rPr>
      </w:pPr>
      <w:r>
        <w:rPr>
          <w:noProof/>
          <w:lang w:eastAsia="en-GB"/>
        </w:rPr>
        <w:drawing>
          <wp:anchor distT="0" distB="0" distL="114300" distR="114300" simplePos="0" relativeHeight="251655168" behindDoc="0" locked="0" layoutInCell="1" allowOverlap="1">
            <wp:simplePos x="0" y="0"/>
            <wp:positionH relativeFrom="column">
              <wp:posOffset>635</wp:posOffset>
            </wp:positionH>
            <wp:positionV relativeFrom="paragraph">
              <wp:posOffset>6056</wp:posOffset>
            </wp:positionV>
            <wp:extent cx="1473835" cy="315912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3835" cy="315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t xml:space="preserve">Pour les </w:t>
      </w:r>
      <w:r>
        <w:rPr>
          <w:rStyle w:val="AMPRcharBoldBlue"/>
          <w:noProof/>
          <w:lang w:val="fr-FR"/>
        </w:rPr>
        <w:t>autres politiques internes</w:t>
      </w:r>
      <w:r>
        <w:rPr>
          <w:noProof/>
          <w:lang w:val="fr-FR"/>
        </w:rPr>
        <w:t xml:space="preserve">, notamment l’éducation et la culture, la migration et les affaires intérieures et les affaires économiques et financières, les risques au moment du paiement et à la clôture sont restés </w:t>
      </w:r>
      <w:r>
        <w:rPr>
          <w:noProof/>
          <w:color w:val="auto"/>
          <w:lang w:val="fr-FR"/>
        </w:rPr>
        <w:t xml:space="preserve">stables, </w:t>
      </w:r>
      <w:r>
        <w:rPr>
          <w:rStyle w:val="AMPRcharOrange"/>
          <w:noProof/>
          <w:color w:val="auto"/>
          <w:lang w:val="fr-FR"/>
        </w:rPr>
        <w:t>à 1,0 % et 0,8 %</w:t>
      </w:r>
      <w:r>
        <w:rPr>
          <w:noProof/>
          <w:color w:val="auto"/>
          <w:lang w:val="fr-FR"/>
        </w:rPr>
        <w:t xml:space="preserve"> respectivement</w:t>
      </w:r>
      <w:r>
        <w:rPr>
          <w:noProof/>
          <w:lang w:val="fr-FR"/>
        </w:rPr>
        <w:t xml:space="preserve">, et sont nettement inférieurs à 2 %. </w:t>
      </w:r>
    </w:p>
    <w:p>
      <w:pPr>
        <w:pStyle w:val="AMPRBodyText"/>
        <w:rPr>
          <w:noProof/>
          <w:lang w:val="fr-FR"/>
        </w:rPr>
      </w:pPr>
      <w:r>
        <w:rPr>
          <w:noProof/>
          <w:lang w:val="fr-FR"/>
        </w:rPr>
        <w:t>Même si certains programmes d’éducation et de culture présentent un profil de risque plus élevé, qui est également lié à la complexité des programmes de remboursement, leurs systèmes de contrôle atténuent ces risques.</w:t>
      </w:r>
    </w:p>
    <w:p>
      <w:pPr>
        <w:pStyle w:val="AMPRBodyText"/>
        <w:rPr>
          <w:noProof/>
          <w:lang w:val="fr-FR" w:eastAsia="zh-CN"/>
        </w:rPr>
      </w:pPr>
      <w:r>
        <w:rPr>
          <w:noProof/>
          <w:lang w:val="fr-FR"/>
        </w:rPr>
        <w:t>La DG Justice et consommateurs a maintenu sa réserve concernant un taux d’erreur significatif pour les subventions en gestion directe. La DG Migration et affaires intérieures a maintenu deux réserves en matière de gestion partagée (pour le Fonds «Asile, migration et intégration» et le Fonds pour la sécurité intérieure, et pour le programme «Solidarité et gestion des flux migratoires», qui font l’objet d’une réserve dans quelques États membres) et d’une réserve dans le domaine des subventions en gestion directe en raison d’un niveau significatif d’erreur (voir également section</w:t>
      </w:r>
      <w:r>
        <w:rPr>
          <w:rFonts w:ascii="Calibri" w:hAnsi="Calibri"/>
          <w:noProof/>
          <w:lang w:val="fr-FR"/>
        </w:rPr>
        <w:t> </w:t>
      </w:r>
      <w:r>
        <w:rPr>
          <w:noProof/>
          <w:lang w:val="fr-FR"/>
        </w:rPr>
        <w:t>2.3.5 et plus de détails à l’annexe</w:t>
      </w:r>
      <w:r>
        <w:rPr>
          <w:rFonts w:ascii="Calibri" w:hAnsi="Calibri"/>
          <w:noProof/>
          <w:lang w:val="fr-FR"/>
        </w:rPr>
        <w:t> </w:t>
      </w:r>
      <w:r>
        <w:rPr>
          <w:noProof/>
          <w:lang w:val="fr-FR"/>
        </w:rPr>
        <w:t>4).</w:t>
      </w:r>
      <w:r>
        <w:rPr>
          <w:noProof/>
          <w:lang w:val="fr-FR"/>
        </w:rPr>
        <w:br w:type="page"/>
      </w:r>
    </w:p>
    <w:p>
      <w:pPr>
        <w:pStyle w:val="AMPRSec2TITLE4"/>
        <w:rPr>
          <w:noProof/>
          <w:lang w:val="fr-FR"/>
        </w:rPr>
      </w:pPr>
      <w:r>
        <w:rPr>
          <w:noProof/>
          <w:lang w:val="fr-FR"/>
        </w:rPr>
        <w:t xml:space="preserve"> Autres services et administration</w:t>
      </w:r>
    </w:p>
    <w:p>
      <w:pPr>
        <w:pStyle w:val="AMPRBodyText"/>
        <w:rPr>
          <w:rStyle w:val="AMPRcharOrange"/>
          <w:noProof/>
          <w:color w:val="auto"/>
          <w:lang w:val="fr-FR"/>
        </w:rPr>
      </w:pPr>
      <w:r>
        <w:rPr>
          <w:noProof/>
          <w:lang w:eastAsia="en-GB"/>
        </w:rPr>
        <w:drawing>
          <wp:anchor distT="0" distB="0" distL="114300" distR="114300" simplePos="0" relativeHeight="251666432" behindDoc="0" locked="0" layoutInCell="1" allowOverlap="1">
            <wp:simplePos x="0" y="0"/>
            <wp:positionH relativeFrom="column">
              <wp:posOffset>67995</wp:posOffset>
            </wp:positionH>
            <wp:positionV relativeFrom="paragraph">
              <wp:posOffset>6985</wp:posOffset>
            </wp:positionV>
            <wp:extent cx="1453515" cy="3084195"/>
            <wp:effectExtent l="0" t="0" r="0" b="19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3515" cy="3084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t xml:space="preserve">Enfin, les </w:t>
      </w:r>
      <w:r>
        <w:rPr>
          <w:rStyle w:val="AMPRcharBoldBlue"/>
          <w:noProof/>
          <w:lang w:val="fr-FR"/>
        </w:rPr>
        <w:t>autres services et l’administration</w:t>
      </w:r>
      <w:r>
        <w:rPr>
          <w:noProof/>
          <w:lang w:val="fr-FR"/>
        </w:rPr>
        <w:t xml:space="preserve"> de la Commission couvrent principalement des types de dépenses à faible risque, tels que les dépenses administratives par l’Office de gestion et de liquidation des droits individuels. Néanmoins, le risque au moment du paiement</w:t>
      </w:r>
      <w:r>
        <w:rPr>
          <w:noProof/>
          <w:color w:val="auto"/>
          <w:lang w:val="fr-FR"/>
        </w:rPr>
        <w:t xml:space="preserve"> </w:t>
      </w:r>
      <w:r>
        <w:rPr>
          <w:rStyle w:val="AMPRcharOrange"/>
          <w:noProof/>
          <w:color w:val="auto"/>
          <w:lang w:val="fr-FR"/>
        </w:rPr>
        <w:t>est fixé de façon prudente à 0,5 %</w:t>
      </w:r>
      <w:r>
        <w:rPr>
          <w:noProof/>
          <w:color w:val="auto"/>
          <w:lang w:val="fr-FR"/>
        </w:rPr>
        <w:t>.</w:t>
      </w:r>
      <w:r>
        <w:rPr>
          <w:rStyle w:val="AMPRcharOrange"/>
          <w:noProof/>
          <w:color w:val="auto"/>
          <w:lang w:val="fr-FR"/>
        </w:rPr>
        <w:t xml:space="preserve"> </w:t>
      </w:r>
      <w:r>
        <w:rPr>
          <w:noProof/>
          <w:color w:val="auto"/>
          <w:lang w:val="fr-FR"/>
        </w:rPr>
        <w:t xml:space="preserve">Étant donné que la plupart des systèmes de contrôle correspondants comportent principalement des contrôles ex ante, les corrections futures estimées sont </w:t>
      </w:r>
      <w:r>
        <w:rPr>
          <w:rStyle w:val="AMPRcharOrange"/>
          <w:noProof/>
          <w:color w:val="auto"/>
          <w:lang w:val="fr-FR"/>
        </w:rPr>
        <w:t>souvent fixées à un niveau prudent de 0,0 %</w:t>
      </w:r>
      <w:r>
        <w:rPr>
          <w:noProof/>
          <w:color w:val="auto"/>
          <w:lang w:val="fr-FR"/>
        </w:rPr>
        <w:t>.</w:t>
      </w:r>
      <w:r>
        <w:rPr>
          <w:rStyle w:val="AMPRcharOrange"/>
          <w:noProof/>
          <w:color w:val="auto"/>
          <w:lang w:val="fr-FR"/>
        </w:rPr>
        <w:t xml:space="preserve"> </w:t>
      </w:r>
      <w:r>
        <w:rPr>
          <w:noProof/>
          <w:color w:val="auto"/>
          <w:lang w:val="fr-FR"/>
        </w:rPr>
        <w:t xml:space="preserve">Le risque à la clôture, qui est presque équivalent au risque au moment du paiement, reste ainsi très faible, à hauteur de </w:t>
      </w:r>
      <w:r>
        <w:rPr>
          <w:rStyle w:val="AMPRcharOrange"/>
          <w:noProof/>
          <w:color w:val="auto"/>
          <w:lang w:val="fr-FR"/>
        </w:rPr>
        <w:t>0,5 %</w:t>
      </w:r>
      <w:r>
        <w:rPr>
          <w:noProof/>
          <w:color w:val="auto"/>
          <w:lang w:val="fr-FR"/>
        </w:rPr>
        <w:t>.</w:t>
      </w:r>
      <w:r>
        <w:rPr>
          <w:rStyle w:val="AMPRcharOrange"/>
          <w:noProof/>
          <w:color w:val="auto"/>
          <w:lang w:val="fr-FR"/>
        </w:rPr>
        <w:t xml:space="preserve"> </w:t>
      </w:r>
    </w:p>
    <w:p>
      <w:pPr>
        <w:pStyle w:val="AMPRBodyText"/>
        <w:rPr>
          <w:noProof/>
          <w:lang w:val="fr-FR"/>
        </w:rPr>
      </w:pPr>
      <w:r>
        <w:rPr>
          <w:noProof/>
          <w:lang w:val="fr-FR"/>
        </w:rPr>
        <w:t>Dans ce domaine politique, la DG Appui à la réforme structurelle a maintenu sa réserve concernant un niveau significatif d’erreur dans un segment des subventions en gestion directe (voir section</w:t>
      </w:r>
      <w:r>
        <w:rPr>
          <w:rFonts w:ascii="Calibri" w:hAnsi="Calibri"/>
          <w:noProof/>
          <w:lang w:val="fr-FR"/>
        </w:rPr>
        <w:t> </w:t>
      </w:r>
      <w:r>
        <w:rPr>
          <w:noProof/>
          <w:lang w:val="fr-FR"/>
        </w:rPr>
        <w:t>2.3.5 et plus de détails à l’annexe</w:t>
      </w:r>
      <w:r>
        <w:rPr>
          <w:rFonts w:ascii="Calibri" w:hAnsi="Calibri"/>
          <w:noProof/>
          <w:lang w:val="fr-FR"/>
        </w:rPr>
        <w:t> </w:t>
      </w:r>
      <w:r>
        <w:rPr>
          <w:noProof/>
          <w:lang w:val="fr-FR"/>
        </w:rPr>
        <w:t>4).</w:t>
      </w:r>
    </w:p>
    <w:p>
      <w:pPr>
        <w:pStyle w:val="AMPRBodyText"/>
        <w:rPr>
          <w:noProof/>
          <w:lang w:val="fr-FR"/>
        </w:rPr>
      </w:pPr>
    </w:p>
    <w:p>
      <w:pPr>
        <w:pStyle w:val="AMPRBodyText"/>
        <w:rPr>
          <w:noProof/>
          <w:lang w:val="fr-FR"/>
        </w:rPr>
      </w:pPr>
    </w:p>
    <w:p>
      <w:pPr>
        <w:pStyle w:val="AMPRBodyText"/>
        <w:rPr>
          <w:noProof/>
          <w:lang w:val="fr-FR"/>
        </w:rPr>
      </w:pPr>
    </w:p>
    <w:p>
      <w:pPr>
        <w:pStyle w:val="AMPRBodyText"/>
        <w:rPr>
          <w:noProof/>
          <w:lang w:val="fr-FR"/>
        </w:rPr>
      </w:pPr>
    </w:p>
    <w:p>
      <w:pPr>
        <w:pStyle w:val="AMPRBodyText"/>
        <w:rPr>
          <w:noProof/>
          <w:lang w:val="fr-FR"/>
        </w:rPr>
      </w:pPr>
    </w:p>
    <w:p>
      <w:pPr>
        <w:pStyle w:val="AMPRBodyText"/>
        <w:rPr>
          <w:noProof/>
          <w:lang w:val="fr-FR"/>
        </w:rPr>
      </w:pPr>
    </w:p>
    <w:p>
      <w:pPr>
        <w:pStyle w:val="AMPRBodyText"/>
        <w:rPr>
          <w:noProof/>
          <w:lang w:val="fr-FR"/>
        </w:rPr>
      </w:pPr>
    </w:p>
    <w:p>
      <w:pPr>
        <w:pStyle w:val="AMPRSec2TITLE3-numbered"/>
        <w:rPr>
          <w:noProof/>
          <w:lang w:val="fr-FR"/>
        </w:rPr>
      </w:pPr>
      <w:r>
        <w:rPr>
          <w:noProof/>
          <w:lang w:val="fr-FR"/>
        </w:rPr>
        <w:t>Programmes aux risques relativement plus faibles et plus élevés</w:t>
      </w:r>
    </w:p>
    <w:p>
      <w:pPr>
        <w:pStyle w:val="AMPRBodyText"/>
        <w:spacing w:before="0" w:after="120"/>
        <w:rPr>
          <w:noProof/>
          <w:lang w:val="fr-FR"/>
        </w:rPr>
      </w:pPr>
      <w:r>
        <w:rPr>
          <w:noProof/>
          <w:lang w:val="fr-FR"/>
        </w:rPr>
        <w:t>Il ressort de ce qui précède que certains programmes ou segments de dépenses présentent des niveaux d’erreur relativement faibles et d’autres présentent des niveaux relativement plus élevés. Cela est étroitement lié à la nature du financement, notamment à la différence entre, d’une part, les dispositifs complexes fondés sur les remboursements et, d’autre part, les dispositifs assez simples des paiements fondés sur des droits</w:t>
      </w:r>
      <w:r>
        <w:rPr>
          <w:rStyle w:val="fnRef"/>
          <w:rFonts w:ascii="Arial" w:hAnsi="Arial"/>
          <w:noProof/>
          <w:lang w:val="fr-FR"/>
        </w:rPr>
        <w:t> </w:t>
      </w:r>
      <w:r>
        <w:rPr>
          <w:rStyle w:val="fnRef"/>
          <w:noProof/>
          <w:lang w:val="fr-FR"/>
        </w:rPr>
        <w:t>(</w:t>
      </w:r>
      <w:r>
        <w:rPr>
          <w:rStyle w:val="fnRefNo"/>
          <w:noProof/>
        </w:rPr>
        <w:footnoteReference w:id="24"/>
      </w:r>
      <w:r>
        <w:rPr>
          <w:rStyle w:val="fnRef"/>
          <w:noProof/>
          <w:lang w:val="fr-FR"/>
        </w:rPr>
        <w:t>)</w:t>
      </w:r>
      <w:r>
        <w:rPr>
          <w:noProof/>
          <w:lang w:val="fr-FR"/>
        </w:rPr>
        <w:t xml:space="preserve"> . </w:t>
      </w:r>
    </w:p>
    <w:p>
      <w:pPr>
        <w:pStyle w:val="AMPRBodyText"/>
        <w:spacing w:before="0" w:after="120"/>
        <w:rPr>
          <w:noProof/>
          <w:color w:val="1B5076"/>
          <w:lang w:val="fr-FR"/>
        </w:rPr>
      </w:pPr>
      <w:r>
        <w:rPr>
          <w:noProof/>
          <w:lang w:val="fr-FR"/>
        </w:rPr>
        <w:t xml:space="preserve">Sur cette base, le </w:t>
      </w:r>
      <w:r>
        <w:rPr>
          <w:noProof/>
          <w:color w:val="auto"/>
          <w:lang w:val="fr-FR"/>
        </w:rPr>
        <w:t>portefeuille de la Commission peut être subdivisé en strates plus ou moins risquées</w:t>
      </w:r>
      <w:r>
        <w:rPr>
          <w:noProof/>
          <w:lang w:val="fr-FR"/>
        </w:rPr>
        <w:t xml:space="preserve"> (voir graphique ci-dessous), comme expliqué ci-après.</w:t>
      </w:r>
    </w:p>
    <w:p>
      <w:pPr>
        <w:pStyle w:val="AMPRtableBOXA-bgWHITElnORANGE-BLUEBullet"/>
        <w:jc w:val="both"/>
        <w:rPr>
          <w:noProof/>
          <w:color w:val="auto"/>
          <w:lang w:val="fr-FR"/>
        </w:rPr>
      </w:pPr>
      <w:r>
        <w:rPr>
          <w:b/>
          <w:noProof/>
          <w:color w:val="auto"/>
          <w:lang w:val="fr-FR"/>
        </w:rPr>
        <w:t>Risque moins élevé.</w:t>
      </w:r>
      <w:r>
        <w:rPr>
          <w:noProof/>
          <w:color w:val="auto"/>
          <w:lang w:val="fr-FR"/>
        </w:rPr>
        <w:t xml:space="preserve"> Les dépenses comportant un risque au moment du paiement inférieur à 2 % s’élèvent à 80</w:t>
      </w:r>
      <w:r>
        <w:rPr>
          <w:rFonts w:ascii="Calibri" w:hAnsi="Calibri"/>
          <w:noProof/>
          <w:color w:val="auto"/>
          <w:lang w:val="fr-FR"/>
        </w:rPr>
        <w:t> </w:t>
      </w:r>
      <w:r>
        <w:rPr>
          <w:noProof/>
          <w:color w:val="auto"/>
          <w:lang w:val="fr-FR"/>
        </w:rPr>
        <w:t xml:space="preserve">milliards d’EUR (54 %); </w:t>
      </w:r>
      <w:r>
        <w:rPr>
          <w:noProof/>
          <w:color w:val="auto"/>
          <w:lang w:val="fr-FR"/>
        </w:rPr>
        <w:cr/>
      </w:r>
      <w:r>
        <w:rPr>
          <w:noProof/>
          <w:color w:val="auto"/>
          <w:lang w:val="fr-FR"/>
        </w:rPr>
        <w:br/>
        <w:t>cela comprend: l’agriculture – paiements directs; le Fonds pour les affaires maritimes et la pêche; les actions Marie Skłodowska-Curie; les subventions du Conseil de la recherche; l’Agence spatiale européenne et l’Agence du GNSS européen; le mécanisme pour l’interconnexion en Europe; Erasmus+; le Fonds «Asile, migration et intégration»; l’appui budgétaire, les subventions, les dépenses administratives, etc.</w:t>
      </w:r>
    </w:p>
    <w:p>
      <w:pPr>
        <w:pStyle w:val="AMPRtableBOXA-bgWHITElnORANGE-BLUEBullet"/>
        <w:jc w:val="both"/>
        <w:rPr>
          <w:noProof/>
          <w:color w:val="auto"/>
          <w:lang w:val="fr-FR"/>
        </w:rPr>
      </w:pPr>
      <w:r>
        <w:rPr>
          <w:b/>
          <w:noProof/>
          <w:color w:val="auto"/>
          <w:lang w:val="fr-FR"/>
        </w:rPr>
        <w:t>Risque plus élevé.</w:t>
      </w:r>
      <w:r>
        <w:rPr>
          <w:noProof/>
          <w:color w:val="auto"/>
          <w:lang w:val="fr-FR"/>
        </w:rPr>
        <w:t xml:space="preserve"> Les dépenses comportant un risque au moment du paiement supérieur à 2 % s’élèvent à 67</w:t>
      </w:r>
      <w:r>
        <w:rPr>
          <w:rFonts w:ascii="Calibri" w:hAnsi="Calibri"/>
          <w:noProof/>
          <w:color w:val="auto"/>
          <w:lang w:val="fr-FR"/>
        </w:rPr>
        <w:t> </w:t>
      </w:r>
      <w:r>
        <w:rPr>
          <w:noProof/>
          <w:color w:val="auto"/>
          <w:lang w:val="fr-FR"/>
        </w:rPr>
        <w:t xml:space="preserve">milliards d’EUR (46 %); </w:t>
      </w:r>
      <w:r>
        <w:rPr>
          <w:noProof/>
          <w:color w:val="auto"/>
          <w:lang w:val="fr-FR"/>
        </w:rPr>
        <w:cr/>
      </w:r>
      <w:r>
        <w:rPr>
          <w:noProof/>
          <w:color w:val="auto"/>
          <w:lang w:val="fr-FR"/>
        </w:rPr>
        <w:br/>
        <w:t>cela comprend: l’agriculture – mesures de marché et développement rural; le Fonds de développement régional; le Fonds social; les subventions de recherche au titre d’«Horizon 2020»; les subventions complexes d’autres services, etc.</w:t>
      </w:r>
    </w:p>
    <w:p>
      <w:pPr>
        <w:pStyle w:val="AMPRtableBOXA-bgWHITElnORANGE-BLUEText"/>
        <w:rPr>
          <w:noProof/>
          <w:color w:val="auto"/>
          <w:lang w:val="fr-FR"/>
        </w:rPr>
      </w:pPr>
      <w:r>
        <w:rPr>
          <w:noProof/>
          <w:color w:val="auto"/>
          <w:lang w:val="fr-FR"/>
        </w:rPr>
        <w:t>En outre, compte tenu du caractère pluriannuel des systèmes de contrôle, si cette répartition était fondée sur le risque à la clôture, la différence serait encore plus prononcée. Par exemple, les dépenses du Fonds social européen (11,2 milliards d’EUR; risque à la clôture de 1,3 %) seraient alors classées dans la strate à risque moins élevé.</w:t>
      </w:r>
    </w:p>
    <w:p>
      <w:pPr>
        <w:pStyle w:val="AMPRBodyText"/>
        <w:spacing w:before="0" w:after="120"/>
        <w:rPr>
          <w:noProof/>
          <w:color w:val="auto"/>
          <w:lang w:val="fr-FR"/>
        </w:rPr>
      </w:pPr>
    </w:p>
    <w:tbl>
      <w:tblPr>
        <w:tblStyle w:val="TableGrid"/>
        <w:tblW w:w="9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227" w:type="dxa"/>
          <w:bottom w:w="85" w:type="dxa"/>
          <w:right w:w="227" w:type="dxa"/>
        </w:tblCellMar>
        <w:tblLook w:val="04A0" w:firstRow="1" w:lastRow="0" w:firstColumn="1" w:lastColumn="0" w:noHBand="0" w:noVBand="1"/>
      </w:tblPr>
      <w:tblGrid>
        <w:gridCol w:w="9526"/>
      </w:tblGrid>
      <w:tr>
        <w:trPr>
          <w:trHeight w:val="567"/>
          <w:jc w:val="center"/>
        </w:trPr>
        <w:tc>
          <w:tcPr>
            <w:tcW w:w="9526" w:type="dxa"/>
            <w:vAlign w:val="center"/>
          </w:tcPr>
          <w:p>
            <w:pPr>
              <w:pStyle w:val="AMPRSource-Table-Chart-Photo-Caption"/>
              <w:spacing w:after="160"/>
              <w:rPr>
                <w:noProof/>
              </w:rPr>
            </w:pPr>
            <w:r>
              <w:rPr>
                <w:noProof/>
                <w:lang w:eastAsia="en-GB"/>
              </w:rPr>
              <w:drawing>
                <wp:inline distT="0" distB="0" distL="0" distR="0">
                  <wp:extent cx="5852160" cy="284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2160" cy="2841625"/>
                          </a:xfrm>
                          <a:prstGeom prst="rect">
                            <a:avLst/>
                          </a:prstGeom>
                          <a:noFill/>
                          <a:ln>
                            <a:noFill/>
                          </a:ln>
                        </pic:spPr>
                      </pic:pic>
                    </a:graphicData>
                  </a:graphic>
                </wp:inline>
              </w:drawing>
            </w:r>
          </w:p>
          <w:p>
            <w:pPr>
              <w:rPr>
                <w:rFonts w:asciiTheme="minorHAnsi" w:hAnsiTheme="minorHAnsi" w:cstheme="minorHAnsi"/>
                <w:b/>
                <w:noProof/>
                <w:color w:val="000000" w:themeColor="text1"/>
                <w:sz w:val="16"/>
                <w:szCs w:val="16"/>
                <w:lang w:val="fr-FR"/>
              </w:rPr>
            </w:pPr>
            <w:r>
              <w:rPr>
                <w:rFonts w:asciiTheme="minorHAnsi" w:hAnsiTheme="minorHAnsi" w:cstheme="minorHAnsi"/>
                <w:b/>
                <w:noProof/>
                <w:color w:val="000000" w:themeColor="text1"/>
                <w:sz w:val="16"/>
                <w:szCs w:val="16"/>
                <w:lang w:val="fr-FR"/>
              </w:rPr>
              <w:tab/>
              <w:t xml:space="preserve">Les dépenses pertinentes de la Commission pour 2019, segments à risque plus élevé et à risque plus faible, par domaine </w:t>
            </w:r>
            <w:r>
              <w:rPr>
                <w:rFonts w:asciiTheme="minorHAnsi" w:hAnsiTheme="minorHAnsi" w:cstheme="minorHAnsi"/>
                <w:b/>
                <w:noProof/>
                <w:color w:val="000000" w:themeColor="text1"/>
                <w:sz w:val="16"/>
                <w:szCs w:val="16"/>
                <w:lang w:val="fr-FR"/>
              </w:rPr>
              <w:tab/>
              <w:t>politique, en milliards d’EUR</w:t>
            </w:r>
          </w:p>
          <w:p>
            <w:pPr>
              <w:pStyle w:val="AMPRtableBOXA-bgWHITElnORANGE-BLUEText"/>
              <w:keepLines/>
              <w:spacing w:before="100"/>
              <w:rPr>
                <w:rFonts w:asciiTheme="minorHAnsi" w:hAnsiTheme="minorHAnsi" w:cstheme="minorHAnsi"/>
                <w:noProof/>
                <w:color w:val="000000" w:themeColor="text1"/>
                <w:sz w:val="16"/>
                <w:szCs w:val="16"/>
              </w:rPr>
            </w:pPr>
            <w:r>
              <w:rPr>
                <w:rFonts w:asciiTheme="minorHAnsi" w:hAnsiTheme="minorHAnsi" w:cstheme="minorHAnsi"/>
                <w:i/>
                <w:noProof/>
                <w:color w:val="000000" w:themeColor="text1"/>
                <w:sz w:val="16"/>
                <w:szCs w:val="16"/>
                <w:lang w:val="fr-FR"/>
              </w:rPr>
              <w:tab/>
              <w:t>Source</w:t>
            </w:r>
            <w:r>
              <w:rPr>
                <w:rFonts w:asciiTheme="minorHAnsi" w:hAnsiTheme="minorHAnsi" w:cstheme="minorHAnsi"/>
                <w:noProof/>
                <w:color w:val="000000" w:themeColor="text1"/>
                <w:sz w:val="16"/>
                <w:szCs w:val="16"/>
                <w:lang w:val="fr-FR"/>
              </w:rPr>
              <w:t>: rapports annuels d’activités de la Commission européenne</w:t>
            </w:r>
          </w:p>
          <w:p>
            <w:pPr>
              <w:pStyle w:val="AMPRtableBOXA-bgWHITElnORANGE-BLUEText"/>
              <w:keepLines/>
              <w:spacing w:before="100"/>
              <w:rPr>
                <w:noProof/>
                <w:color w:val="auto"/>
              </w:rPr>
            </w:pPr>
          </w:p>
          <w:p>
            <w:pPr>
              <w:pStyle w:val="AMPRtableBOXA-bgWHITElnORANGE-BLUEText"/>
              <w:keepLines/>
              <w:spacing w:before="100"/>
              <w:rPr>
                <w:noProof/>
                <w:color w:val="auto"/>
              </w:rPr>
            </w:pPr>
            <w:r>
              <w:rPr>
                <w:noProof/>
                <w:color w:val="auto"/>
              </w:rPr>
              <w:t>Il est important de souligner que cette estimation résulte d’une analyse des taux d’erreur au niveau des programmes et d’autres segments de dépenses pertinents. Cette répartition est différente de celle de la Cour des comptes, qui est fondée sur le type de remboursements effectués, autrement dit, les droits considérés à risque intrinsèquement faible et les remboursements considérés à risque intrinsèquement élevé, quel que soit le taux d’erreur effectivement constaté. Du point de vue de la gestion, grâce aux résultats des contrôles en place, le niveau d’erreur réel peut être inférieur au seuil de signification et les programmes considérés comme présentant un risque élevé par la Cour des comptes peuvent en réalité présenter un risque assez faible.</w:t>
            </w:r>
          </w:p>
          <w:p>
            <w:pPr>
              <w:pStyle w:val="AMPRtableBOXA-bgWHITElnORANGE-BLUEText"/>
              <w:rPr>
                <w:rStyle w:val="BOLDBLUE"/>
                <w:b w:val="0"/>
                <w:noProof/>
                <w:lang w:val="fr-FR"/>
              </w:rPr>
            </w:pPr>
            <w:r>
              <w:rPr>
                <w:noProof/>
                <w:color w:val="auto"/>
              </w:rPr>
              <w:t>Par conséquent, la question de la complexité et celle de savoir si quelque chose est considéré comme présentant un risque plus élevé et/ou un taux d’erreur plus élevé ont également été examinées dans le cadre des propositions de simplification présentées par la Commission dans les prochains programmes-cadres financiers pluriannuels (voir section</w:t>
            </w:r>
            <w:r>
              <w:rPr>
                <w:rFonts w:ascii="Calibri" w:hAnsi="Calibri"/>
                <w:noProof/>
                <w:color w:val="auto"/>
              </w:rPr>
              <w:t> </w:t>
            </w:r>
            <w:r>
              <w:rPr>
                <w:noProof/>
                <w:color w:val="auto"/>
              </w:rPr>
              <w:t>2.4.2 ci-dessous).</w:t>
            </w:r>
          </w:p>
        </w:tc>
      </w:tr>
      <w:tr>
        <w:trPr>
          <w:trHeight w:val="567"/>
          <w:jc w:val="center"/>
        </w:trPr>
        <w:tc>
          <w:tcPr>
            <w:tcW w:w="9526" w:type="dxa"/>
            <w:vAlign w:val="center"/>
          </w:tcPr>
          <w:p>
            <w:pPr>
              <w:pStyle w:val="AMPRSource-Table-Chart-Photo-Caption"/>
              <w:spacing w:after="160"/>
              <w:rPr>
                <w:noProof/>
                <w:lang w:val="fr-FR" w:eastAsia="en-US"/>
              </w:rPr>
            </w:pPr>
          </w:p>
        </w:tc>
      </w:tr>
    </w:tbl>
    <w:p>
      <w:pPr>
        <w:pStyle w:val="AMPRSec2TITLE3-numbered"/>
        <w:spacing w:before="600" w:after="360"/>
        <w:rPr>
          <w:noProof/>
          <w:lang w:val="fr-FR"/>
        </w:rPr>
      </w:pPr>
      <w:r>
        <w:rPr>
          <w:noProof/>
          <w:lang w:val="fr-FR"/>
        </w:rPr>
        <w:t>La Commission continue d’améliorer l’efficience de ses opérations</w:t>
      </w:r>
    </w:p>
    <w:p>
      <w:pPr>
        <w:pStyle w:val="AMPRBodyText"/>
        <w:rPr>
          <w:noProof/>
          <w:lang w:val="fr-FR"/>
        </w:rPr>
      </w:pPr>
      <w:r>
        <w:rPr>
          <w:noProof/>
          <w:lang w:val="fr-FR"/>
        </w:rPr>
        <w:t xml:space="preserve">Dans un contexte de contraintes budgétaires strictes, la Commission s’efforce d’améliorer l’efficience dans tous les domaines de son activité, tout en maintenant un niveau élevé de mise en œuvre. Le conseil d’administration guide les travaux dans l'ensemble de la Commission dans des domaines tels que la gestion des ressources humaines, la gestion financière, les technologies de l’information et la gestion, la communication, la logistique et la gestion des événements. Les méthodes et processus de travail sont en train d’être rationalisés pour garantir l’utilisation la plus efficiente possible des ressources limitées. Ces travaux se poursuivront afin de garantir une allocation optimale des ressources et un niveau élevé de performance face à une augmentation de la charge de travail dans de nombreux domaines, y compris dernièrement en ce qui concerne la réaction à la pandémie de COVID-19. </w:t>
      </w:r>
    </w:p>
    <w:p>
      <w:pPr>
        <w:pStyle w:val="AMPRBOXA-bgWHITElnORANGE-BLUEtext"/>
        <w:rPr>
          <w:noProof/>
          <w:lang w:val="fr-FR"/>
        </w:rPr>
      </w:pPr>
      <w:r>
        <w:rPr>
          <w:noProof/>
          <w:lang w:val="fr-FR"/>
        </w:rPr>
        <w:t>Dans sa communication intitulée «</w:t>
      </w:r>
      <w:r>
        <w:rPr>
          <w:rStyle w:val="AMPRcharBoldBlue"/>
          <w:noProof/>
          <w:lang w:val="fr-FR"/>
        </w:rPr>
        <w:t>Initiative «Synergies et gains d’efficience»: état des lieux et marche à suivre»</w:t>
      </w:r>
      <w:r>
        <w:rPr>
          <w:noProof/>
          <w:lang w:val="fr-FR"/>
        </w:rPr>
        <w:t xml:space="preserve"> (mars 2019), la Commission a désigné la DG Budget chef de file pour la gestion financière et le cadre de contrôle interne. L’objectif est d’améliorer en permanence la bonne gestion financière grâce à une professionnalisation accrue du domaine, en tenant mieux compte de l’évolution récente de la gestion du budget de l’UE. Dans le système décentralisé actuel, les actions sont menées selon deux axes: améliorer la gouvernance et la surveillance centralisées et renforcer la coordination et la modernisation de la gestion financière au sein de la Commission. En 2019, des mesures supplémentaires ont été prises pour harmoniser, normaliser et simplifier la gestion financière au sein de la Commission, en plus de promouvoir la bonne gestion financière. L’accent a été mis sur la mise en place de programmes de financement plus interopérables et plus flexibles pour l’après-2020. </w:t>
      </w:r>
    </w:p>
    <w:p>
      <w:pPr>
        <w:pStyle w:val="AMPRBodyText"/>
        <w:rPr>
          <w:noProof/>
          <w:lang w:val="fr-FR"/>
        </w:rPr>
      </w:pPr>
      <w:r>
        <w:rPr>
          <w:noProof/>
          <w:lang w:val="fr-FR"/>
        </w:rPr>
        <w:t xml:space="preserve">Une </w:t>
      </w:r>
      <w:r>
        <w:rPr>
          <w:rStyle w:val="AMPRcharBoldBlue"/>
          <w:noProof/>
          <w:lang w:val="fr-FR"/>
        </w:rPr>
        <w:t>simplification</w:t>
      </w:r>
      <w:r>
        <w:rPr>
          <w:noProof/>
          <w:lang w:val="fr-FR"/>
        </w:rPr>
        <w:t xml:space="preserve"> est réalisable grâce à la simplification des règles; à des modèles institutionnels harmonisés et, dans la mesure du possible, standardisés pour les instruments juridiques et des outils modernes d’information financière institutionnels; et à la cohérence des relations avec les partenaires chargés de la mise en œuvre des fonds de l’UE dans le cadre de la gestion indirecte. </w:t>
      </w:r>
    </w:p>
    <w:p>
      <w:pPr>
        <w:pStyle w:val="AMPRBodyText"/>
        <w:rPr>
          <w:noProof/>
          <w:lang w:val="fr-FR"/>
        </w:rPr>
      </w:pPr>
      <w:r>
        <w:rPr>
          <w:noProof/>
          <w:lang w:val="fr-FR"/>
        </w:rPr>
        <w:t xml:space="preserve">Les actions entreprises </w:t>
      </w:r>
      <w:r>
        <w:rPr>
          <w:rStyle w:val="AMPRcharBoldBlue"/>
          <w:noProof/>
          <w:lang w:val="fr-FR"/>
        </w:rPr>
        <w:t>au niveau institutionnel</w:t>
      </w:r>
      <w:r>
        <w:rPr>
          <w:noProof/>
          <w:lang w:val="fr-FR"/>
        </w:rPr>
        <w:t xml:space="preserve"> en 2019 comprennent la mise en place de flux de travail institutionnels plus efficients (pour les subventions, les marchés publics et les instruments financiers) au moyen de modèles et de procédures institutionnels simplifiés (s’appuyant sur l’espace unique d’échange de données informatisées). En outre, la Commission a intensifié l’orientation et la coordination à l’égard des États membres et des autres services de la Commission dans les domaines présentant un intérêt pour l’exécution du budget de l’UE (par exemple, les systèmes de contrôle interne dans les États membres, les conflits d’intérêts, l’état de droit et les mesures de lutte contre la fraude). D’autres initiatives dans le domaine des technologies de l’information sont la cohésion électronique dans le cadre de la gestion partagée et le système géospatial utilisé pour l’agriculture.</w:t>
      </w:r>
    </w:p>
    <w:p>
      <w:pPr>
        <w:pStyle w:val="AMPRBodyText"/>
        <w:rPr>
          <w:noProof/>
          <w:lang w:val="fr-FR"/>
        </w:rPr>
      </w:pPr>
      <w:r>
        <w:rPr>
          <w:noProof/>
          <w:lang w:val="fr-FR"/>
        </w:rPr>
        <w:t xml:space="preserve">Des initiatives visant à accroître encore l’efficience de la gestion financière ont également été prises </w:t>
      </w:r>
      <w:r>
        <w:rPr>
          <w:rStyle w:val="AMPRcharBoldBlue"/>
          <w:noProof/>
          <w:lang w:val="fr-FR"/>
        </w:rPr>
        <w:t>au niveau des services de la Commission</w:t>
      </w:r>
      <w:r>
        <w:rPr>
          <w:noProof/>
          <w:lang w:val="fr-FR"/>
        </w:rPr>
        <w:t>.</w:t>
      </w:r>
    </w:p>
    <w:p>
      <w:pPr>
        <w:pStyle w:val="AMPRListOrange-L1"/>
        <w:rPr>
          <w:noProof/>
          <w:lang w:val="fr-FR"/>
        </w:rPr>
      </w:pPr>
      <w:r>
        <w:rPr>
          <w:noProof/>
          <w:lang w:val="fr-FR"/>
        </w:rPr>
        <w:t>Tout d’abord, un certain nombre de services de la Commission ont poursuivi la numérisation de leurs processus financiers. Cette démarche contribue à rendre la Commission plus économe, moins bureaucratique, mieux intégrée et plus flexible. En conséquence, les ressources sont de plus en plus concentrées sur les activités de première ligne. En outre, des outils de tableaux de bord automatisés améliorent le processus de surveillance et facilitent une meilleure gestion et une meilleure utilisation des données, tout en réduisant les risques de laisser passer des occasions de réagir rapidement.</w:t>
      </w:r>
    </w:p>
    <w:p>
      <w:pPr>
        <w:pStyle w:val="AMPRListOrange-L1"/>
        <w:rPr>
          <w:noProof/>
          <w:lang w:val="fr-FR"/>
        </w:rPr>
      </w:pPr>
      <w:r>
        <w:rPr>
          <w:noProof/>
          <w:lang w:val="fr-FR"/>
        </w:rPr>
        <w:t xml:space="preserve">Deuxièmement, plusieurs services de la Commission ont également indiqué avoir revu leurs stratégies de contrôle et/ou leurs flux financiers, en vue de simplifier les procédures et d’aligner davantage la fréquence et l’intensité des contrôles sur le risque des opérations. </w:t>
      </w:r>
    </w:p>
    <w:p>
      <w:pPr>
        <w:pStyle w:val="AMPRBodyText"/>
        <w:rPr>
          <w:noProof/>
        </w:rPr>
      </w:pPr>
      <w:r>
        <w:rPr>
          <w:noProof/>
          <w:lang w:val="fr-FR"/>
        </w:rPr>
        <w:t xml:space="preserve">Les initiatives susmentionnées garantissent la protection efficace du budget de l’UE, tout en réduisant le temps nécessaire pour mener à bien les processus financiers. En particulier, les indicateurs relatifs au «délai de paiement» ont poursuivi leur tendance à la baisse très favorable. En 2019, le </w:t>
      </w:r>
      <w:r>
        <w:rPr>
          <w:rStyle w:val="AMPRcharBoldBlue"/>
          <w:noProof/>
          <w:lang w:val="fr-FR"/>
        </w:rPr>
        <w:t>délai moyen des paiements</w:t>
      </w:r>
      <w:r>
        <w:rPr>
          <w:noProof/>
          <w:lang w:val="fr-FR"/>
        </w:rPr>
        <w:t xml:space="preserve"> nets de la Commission était de 16 jours (il était respectivement de 20 et de 18 jours les deux</w:t>
      </w:r>
      <w:r>
        <w:rPr>
          <w:rFonts w:ascii="Calibri" w:hAnsi="Calibri"/>
          <w:noProof/>
          <w:lang w:val="fr-FR"/>
        </w:rPr>
        <w:t xml:space="preserve"> </w:t>
      </w:r>
      <w:r>
        <w:rPr>
          <w:noProof/>
          <w:lang w:val="fr-FR"/>
        </w:rPr>
        <w:t>années précédentes), bien en dessous de la limite légale des 30</w:t>
      </w:r>
      <w:r>
        <w:rPr>
          <w:rFonts w:ascii="Calibri" w:hAnsi="Calibri"/>
          <w:noProof/>
          <w:lang w:val="fr-FR"/>
        </w:rPr>
        <w:t> </w:t>
      </w:r>
      <w:r>
        <w:rPr>
          <w:noProof/>
          <w:lang w:val="fr-FR"/>
        </w:rPr>
        <w:t xml:space="preserve">jours. La Commission a effectué 95 % de ses </w:t>
      </w:r>
      <w:r>
        <w:rPr>
          <w:rStyle w:val="AMPRcharBoldBlue"/>
          <w:noProof/>
          <w:lang w:val="fr-FR"/>
        </w:rPr>
        <w:t>paiements à temps</w:t>
      </w:r>
      <w:r>
        <w:rPr>
          <w:noProof/>
          <w:lang w:val="fr-FR"/>
        </w:rPr>
        <w:t xml:space="preserve"> (le nombre de paiements concernés par des retards était de 10 % et 8 % au cours des deux</w:t>
      </w:r>
      <w:r>
        <w:rPr>
          <w:rFonts w:ascii="Calibri" w:hAnsi="Calibri"/>
          <w:noProof/>
          <w:lang w:val="fr-FR"/>
        </w:rPr>
        <w:t xml:space="preserve"> </w:t>
      </w:r>
      <w:r>
        <w:rPr>
          <w:noProof/>
          <w:lang w:val="fr-FR"/>
        </w:rPr>
        <w:t xml:space="preserve">années précédentes). Néanmoins, l’objectif reste de respecter le délai légal de paiement dans tous les cas. </w:t>
      </w:r>
      <w:r>
        <w:rPr>
          <w:noProof/>
        </w:rPr>
        <w:t>Voir détails à l’annexe</w:t>
      </w:r>
      <w:r>
        <w:rPr>
          <w:rFonts w:ascii="Calibri" w:hAnsi="Calibri"/>
          <w:noProof/>
        </w:rPr>
        <w:t> </w:t>
      </w:r>
      <w:r>
        <w:rPr>
          <w:noProof/>
        </w:rPr>
        <w:t>8.</w:t>
      </w:r>
    </w:p>
    <w:p>
      <w:pPr>
        <w:pStyle w:val="AMPRSec2TITLE3-numbered"/>
        <w:spacing w:before="720" w:after="360"/>
        <w:rPr>
          <w:noProof/>
          <w:lang w:val="fr-FR"/>
        </w:rPr>
      </w:pPr>
      <w:r>
        <w:rPr>
          <w:noProof/>
          <w:lang w:val="fr-FR"/>
        </w:rPr>
        <w:t>Le coût des contrôles reste proportionné aux risques associés</w:t>
      </w:r>
    </w:p>
    <w:p>
      <w:pPr>
        <w:pStyle w:val="AMPRBodyText"/>
        <w:rPr>
          <w:noProof/>
          <w:lang w:val="fr-FR"/>
        </w:rPr>
      </w:pPr>
      <w:r>
        <w:rPr>
          <w:noProof/>
          <w:lang w:val="fr-FR"/>
        </w:rPr>
        <w:t xml:space="preserve">Dans l’ensemble, les coûts estimés du contrôle sont </w:t>
      </w:r>
      <w:r>
        <w:rPr>
          <w:rStyle w:val="AMPRcharBoldBlue"/>
          <w:noProof/>
          <w:lang w:val="fr-FR"/>
        </w:rPr>
        <w:t>raisonnables</w:t>
      </w:r>
      <w:r>
        <w:rPr>
          <w:noProof/>
          <w:lang w:val="fr-FR"/>
        </w:rPr>
        <w:t xml:space="preserve"> compte tenu de la nature des programmes et/ou des environnements de contrôle. Par ailleurs, ils restent </w:t>
      </w:r>
      <w:r>
        <w:rPr>
          <w:rStyle w:val="AMPRcharBoldBlue"/>
          <w:noProof/>
          <w:lang w:val="fr-FR"/>
        </w:rPr>
        <w:t>stables</w:t>
      </w:r>
      <w:r>
        <w:rPr>
          <w:noProof/>
          <w:lang w:val="fr-FR"/>
        </w:rPr>
        <w:t xml:space="preserve"> du fait que les environnements de contrôle et les stratégies en place concernant les programmes actuels n’ont pas changé. </w:t>
      </w:r>
    </w:p>
    <w:p>
      <w:pPr>
        <w:pStyle w:val="AMPRBodyText"/>
        <w:spacing w:after="360"/>
        <w:rPr>
          <w:noProof/>
          <w:lang w:val="fr-FR"/>
        </w:rPr>
      </w:pPr>
      <w:r>
        <w:rPr>
          <w:noProof/>
          <w:lang w:val="fr-FR"/>
        </w:rPr>
        <w:t>Il n’est souvent pas possible d’effectuer une comparaison directe entre les programmes en raison de leurs caractéristiques et de leurs facteurs de coût différents, dont des exemples figurent dans l’encadré ci-dessous</w:t>
      </w:r>
      <w:r>
        <w:rPr>
          <w:rFonts w:eastAsia="EC Square Sans Pro"/>
          <w:noProof/>
          <w:lang w:val="fr-FR" w:eastAsia="en-GB"/>
        </w:rPr>
        <w:t>.</w:t>
      </w:r>
    </w:p>
    <w:tbl>
      <w:tblPr>
        <w:tblStyle w:val="TableGrid"/>
        <w:tblW w:w="9468" w:type="dxa"/>
        <w:jc w:val="center"/>
        <w:tblBorders>
          <w:top w:val="dashSmallGap" w:sz="12" w:space="0" w:color="5B9BD5" w:themeColor="accent1"/>
          <w:left w:val="dashSmallGap" w:sz="12" w:space="0" w:color="5B9BD5" w:themeColor="accent1"/>
          <w:bottom w:val="dashSmallGap" w:sz="12" w:space="0" w:color="5B9BD5" w:themeColor="accent1"/>
          <w:right w:val="dashSmallGap" w:sz="12" w:space="0" w:color="5B9BD5" w:themeColor="accent1"/>
          <w:insideH w:val="dashSmallGap" w:sz="12" w:space="0" w:color="5B9BD5" w:themeColor="accent1"/>
          <w:insideV w:val="dashSmallGap" w:sz="12" w:space="0" w:color="5B9BD5" w:themeColor="accent1"/>
        </w:tblBorders>
        <w:tblCellMar>
          <w:top w:w="113" w:type="dxa"/>
          <w:left w:w="227" w:type="dxa"/>
          <w:bottom w:w="85" w:type="dxa"/>
          <w:right w:w="227" w:type="dxa"/>
        </w:tblCellMar>
        <w:tblLook w:val="04A0" w:firstRow="1" w:lastRow="0" w:firstColumn="1" w:lastColumn="0" w:noHBand="0" w:noVBand="1"/>
      </w:tblPr>
      <w:tblGrid>
        <w:gridCol w:w="9468"/>
      </w:tblGrid>
      <w:tr>
        <w:trPr>
          <w:trHeight w:val="1701"/>
          <w:jc w:val="center"/>
        </w:trPr>
        <w:tc>
          <w:tcPr>
            <w:tcW w:w="9468" w:type="dxa"/>
            <w:vAlign w:val="center"/>
          </w:tcPr>
          <w:p>
            <w:pPr>
              <w:pStyle w:val="AMPRtableBOXA-bgWHITElnORANGE-BLUEheading"/>
              <w:rPr>
                <w:noProof/>
              </w:rPr>
            </w:pPr>
            <w:r>
              <w:rPr>
                <w:noProof/>
              </w:rPr>
              <w:t>Exemples de facteurs de coûts communs</w:t>
            </w:r>
          </w:p>
          <w:p>
            <w:pPr>
              <w:pStyle w:val="AMPRtableBOXA-bgWHITElnORANGE-BLUEBullet"/>
              <w:jc w:val="both"/>
              <w:rPr>
                <w:noProof/>
              </w:rPr>
            </w:pPr>
            <w:r>
              <w:rPr>
                <w:noProof/>
              </w:rPr>
              <w:t xml:space="preserve">Le degré de complexité des programmes gérés. </w:t>
            </w:r>
          </w:p>
          <w:p>
            <w:pPr>
              <w:pStyle w:val="AMPRtableBOXA-bgWHITElnORANGE-BLUEBullet"/>
              <w:jc w:val="both"/>
              <w:rPr>
                <w:noProof/>
              </w:rPr>
            </w:pPr>
            <w:r>
              <w:rPr>
                <w:noProof/>
              </w:rPr>
              <w:t xml:space="preserve">Les volumes et les montants à traiter: le traitement d’un grand nombre d’opérations de faible valeur nécessite davantage de main-d’œuvre que le traitement d’un nombre peu élevé d’opérations à forte valeur. </w:t>
            </w:r>
          </w:p>
          <w:p>
            <w:pPr>
              <w:pStyle w:val="AMPRtableBOXA-bgWHITElnORANGE-BLUEBullet"/>
              <w:jc w:val="both"/>
              <w:rPr>
                <w:noProof/>
              </w:rPr>
            </w:pPr>
            <w:r>
              <w:rPr>
                <w:noProof/>
              </w:rPr>
              <w:t>Les profils de risque spécifiques des programmes gérés: par exemple, les programmes dans le domaine des relations extérieures pour lesquels les fonds sont pour la plupart dépensés dans des pays tiers.</w:t>
            </w:r>
          </w:p>
          <w:p>
            <w:pPr>
              <w:pStyle w:val="AMPRtableBOXA-bgWHITElnORANGE-BLUEBullet"/>
              <w:jc w:val="both"/>
              <w:rPr>
                <w:noProof/>
              </w:rPr>
            </w:pPr>
            <w:r>
              <w:rPr>
                <w:noProof/>
              </w:rPr>
              <w:t xml:space="preserve">Les déséconomies d’échelle possibles pour certains «petits» programmes, du point de vue du montant du financement, ainsi que les programmes qui sont progressivement supprimés, ou pour des fonds gérés par des entités chargées de l’exécution lorsqu’elles sont de moindre envergure, ou les services de la Commission gérant des montants de fonds inférieurs, étant donné qu’il y a toujours un nombre incompressible de contrôles à effectuer quels que soient les montants des financements concernés. </w:t>
            </w:r>
          </w:p>
          <w:p>
            <w:pPr>
              <w:pStyle w:val="AMPRtableBOXA-bgWHITElnORANGE-BLUEBullet"/>
              <w:jc w:val="both"/>
              <w:rPr>
                <w:rStyle w:val="BOLDBLUE"/>
                <w:rFonts w:eastAsiaTheme="minorHAnsi"/>
                <w:b w:val="0"/>
                <w:noProof/>
                <w:szCs w:val="22"/>
                <w:lang w:val="fr-FR"/>
              </w:rPr>
            </w:pPr>
            <w:r>
              <w:rPr>
                <w:noProof/>
              </w:rPr>
              <w:t>Le type de gestion: la gestion partagée et la gestion indirecte supposent que les coûts des contrôles sont partagés entre la Commission et ses partenaires chargés de la mise en œuvre, les autorités nationales ou les entités chargées de l’exécution, de sorte que les coûts au niveau de la Commission peuvent être nettement inférieurs pour ces programmes par rapport à d’autres qui sont directement gérés par la Commission.</w:t>
            </w:r>
          </w:p>
        </w:tc>
      </w:tr>
    </w:tbl>
    <w:p>
      <w:pPr>
        <w:pStyle w:val="AMPRBodyText"/>
        <w:rPr>
          <w:noProof/>
          <w:lang w:val="fr-FR"/>
        </w:rPr>
      </w:pPr>
      <w:r>
        <w:rPr>
          <w:noProof/>
          <w:lang w:val="fr-FR"/>
        </w:rPr>
        <w:t>Dans un souci de transparence et d’exhaustivité, les services intervenant dans la gestion partagée et/ou indirecte ont également rendu compte dans leur rapport annuel des coûts des contrôles dans les États membres et les entités chargées de l’exécution en les distinguant bien des coûts de contrôle propres à la Commission. Par exemple, en ce qui concerne la politique agricole commune, les coûts déclarés par les États membres pour la mise en œuvre représentaient 3,5 % des dépenses pour 2019.</w:t>
      </w:r>
    </w:p>
    <w:p>
      <w:pPr>
        <w:pStyle w:val="AMPRBodyText"/>
        <w:rPr>
          <w:noProof/>
          <w:lang w:val="fr-FR"/>
        </w:rPr>
      </w:pPr>
      <w:r>
        <w:rPr>
          <w:noProof/>
          <w:lang w:val="fr-FR"/>
        </w:rPr>
        <w:t>Dans un récent rapport d'audit sur le coût de la mise en œuvre des fonds de cohésion</w:t>
      </w:r>
      <w:r>
        <w:rPr>
          <w:rStyle w:val="fnRef"/>
          <w:rFonts w:ascii="Arial" w:hAnsi="Arial"/>
          <w:noProof/>
          <w:lang w:val="fr-FR"/>
        </w:rPr>
        <w:t> </w:t>
      </w:r>
      <w:r>
        <w:rPr>
          <w:rStyle w:val="fnRef"/>
          <w:noProof/>
          <w:lang w:val="fr-FR"/>
        </w:rPr>
        <w:t>(</w:t>
      </w:r>
      <w:r>
        <w:rPr>
          <w:rStyle w:val="fnRefNo"/>
          <w:noProof/>
        </w:rPr>
        <w:footnoteReference w:id="25"/>
      </w:r>
      <w:r>
        <w:rPr>
          <w:rStyle w:val="fnRef"/>
          <w:noProof/>
          <w:lang w:val="fr-FR"/>
        </w:rPr>
        <w:t>)</w:t>
      </w:r>
      <w:r>
        <w:rPr>
          <w:noProof/>
          <w:lang w:val="fr-FR"/>
        </w:rPr>
        <w:t>, la Cour des comptes a conclu que le coût global de la mise en œuvre des fonds de la politique de cohésion présenté par la Commission dans ses rapports annuels d’activité était relativement faible par rapport aux autres fonds de l’UE et aux programmes financés au niveau international. Ces coûts représentaient, en pourcentage des paiements effectués en 2018, 2,87 % pour le Fonds social européen, 2,45 % pour le Fonds européen de développement régional et 2,03 % pour le Fonds de cohésion, respectivement.</w:t>
      </w:r>
    </w:p>
    <w:p>
      <w:pPr>
        <w:pStyle w:val="AMPRBodyText"/>
        <w:rPr>
          <w:noProof/>
          <w:lang w:val="fr-FR"/>
        </w:rPr>
      </w:pPr>
      <w:r>
        <w:rPr>
          <w:noProof/>
          <w:lang w:val="fr-FR"/>
        </w:rPr>
        <w:t xml:space="preserve">En 2019, après l’évaluation combinée de leur efficacité, de leur efficience et de leur économie, </w:t>
      </w:r>
      <w:r>
        <w:rPr>
          <w:rStyle w:val="AMPRcharBoldBlue"/>
          <w:noProof/>
          <w:lang w:val="fr-FR"/>
        </w:rPr>
        <w:t>tous</w:t>
      </w:r>
      <w:r>
        <w:rPr>
          <w:noProof/>
          <w:lang w:val="fr-FR"/>
        </w:rPr>
        <w:t xml:space="preserve"> les services de la Commission ont conclu que, dans l’ensemble, leurs </w:t>
      </w:r>
      <w:r>
        <w:rPr>
          <w:rStyle w:val="AMPRcharBoldBlue"/>
          <w:noProof/>
          <w:lang w:val="fr-FR"/>
        </w:rPr>
        <w:t>contrôles étaient efficaces au regard des coûts</w:t>
      </w:r>
      <w:r>
        <w:rPr>
          <w:noProof/>
          <w:lang w:val="fr-FR"/>
        </w:rPr>
        <w:t>.</w:t>
      </w:r>
    </w:p>
    <w:p>
      <w:pPr>
        <w:pStyle w:val="AMPRSec2TITLE3-numbered"/>
        <w:spacing w:before="720" w:after="360"/>
        <w:rPr>
          <w:noProof/>
          <w:lang w:val="fr-FR"/>
        </w:rPr>
      </w:pPr>
      <w:r>
        <w:rPr>
          <w:noProof/>
          <w:lang w:val="fr-FR"/>
        </w:rPr>
        <w:t>Assurance de gestion, opinions d’audit et autorité de décharge</w:t>
      </w:r>
    </w:p>
    <w:p>
      <w:pPr>
        <w:pStyle w:val="AMPRSec2TITLE4"/>
        <w:rPr>
          <w:noProof/>
          <w:lang w:val="fr-FR"/>
        </w:rPr>
      </w:pPr>
      <w:r>
        <w:rPr>
          <w:noProof/>
          <w:lang w:val="fr-FR"/>
        </w:rPr>
        <w:t>Évaluations, assurance et réserves des directeurs généraux</w:t>
      </w:r>
    </w:p>
    <w:p>
      <w:pPr>
        <w:pStyle w:val="AMPRBodyText"/>
        <w:rPr>
          <w:noProof/>
          <w:lang w:val="fr-FR"/>
        </w:rPr>
      </w:pPr>
      <w:r>
        <w:rPr>
          <w:noProof/>
          <w:lang w:val="fr-FR"/>
        </w:rPr>
        <w:t>Dans leurs déclarations d’assurance 2019</w:t>
      </w:r>
      <w:r>
        <w:rPr>
          <w:rStyle w:val="fnRef"/>
          <w:rFonts w:ascii="Arial" w:hAnsi="Arial"/>
          <w:noProof/>
          <w:lang w:val="fr-FR"/>
        </w:rPr>
        <w:t> </w:t>
      </w:r>
      <w:r>
        <w:rPr>
          <w:rStyle w:val="fnRef"/>
          <w:noProof/>
          <w:lang w:val="fr-FR"/>
        </w:rPr>
        <w:t>(</w:t>
      </w:r>
      <w:r>
        <w:rPr>
          <w:rStyle w:val="fnRefNo"/>
          <w:noProof/>
        </w:rPr>
        <w:footnoteReference w:id="26"/>
      </w:r>
      <w:r>
        <w:rPr>
          <w:rStyle w:val="fnRef"/>
          <w:noProof/>
          <w:lang w:val="fr-FR"/>
        </w:rPr>
        <w:t>)</w:t>
      </w:r>
      <w:r>
        <w:rPr>
          <w:noProof/>
          <w:color w:val="auto"/>
          <w:lang w:val="fr-FR"/>
        </w:rPr>
        <w:t>,</w:t>
      </w:r>
      <w:r>
        <w:rPr>
          <w:rStyle w:val="AMPRcharBoldBlue"/>
          <w:noProof/>
          <w:lang w:val="fr-FR"/>
        </w:rPr>
        <w:t xml:space="preserve"> les 50 directeurs généraux (ou équivalents) ont tous déclaré avoir l’assurance raisonnable</w:t>
      </w:r>
      <w:r>
        <w:rPr>
          <w:noProof/>
          <w:lang w:val="fr-FR"/>
        </w:rPr>
        <w:t xml:space="preserve"> </w:t>
      </w:r>
      <w:r>
        <w:rPr>
          <w:noProof/>
          <w:color w:val="auto"/>
          <w:lang w:val="fr-FR"/>
        </w:rPr>
        <w:t>que</w:t>
      </w:r>
      <w:r>
        <w:rPr>
          <w:noProof/>
          <w:lang w:val="fr-FR"/>
        </w:rPr>
        <w:t>: (i)</w:t>
      </w:r>
      <w:r>
        <w:rPr>
          <w:rFonts w:ascii="Calibri" w:hAnsi="Calibri"/>
          <w:noProof/>
          <w:lang w:val="fr-FR"/>
        </w:rPr>
        <w:t> </w:t>
      </w:r>
      <w:r>
        <w:rPr>
          <w:noProof/>
          <w:lang w:val="fr-FR"/>
        </w:rPr>
        <w:t>les informations contenues dans leur rapport donnent une «image fidèle» (c’est-à-dire fiable, exhaustive et correcte) de la situation dans leur direction générale; (ii)</w:t>
      </w:r>
      <w:r>
        <w:rPr>
          <w:rFonts w:ascii="Calibri" w:hAnsi="Calibri"/>
          <w:noProof/>
          <w:lang w:val="fr-FR"/>
        </w:rPr>
        <w:t> </w:t>
      </w:r>
      <w:r>
        <w:rPr>
          <w:noProof/>
          <w:lang w:val="fr-FR"/>
        </w:rPr>
        <w:t>les ressources allouées à leurs activités ont été utilisées aux fins prévues et conformément au principe de bonne gestion financière et et (iii) que les procédures de contrôle mises en place donnent les garanties nécessaires quant à la légalité et la régularité des opérations sous-jacentes.</w:t>
      </w:r>
    </w:p>
    <w:p>
      <w:pPr>
        <w:pStyle w:val="AMPRBodyText"/>
        <w:rPr>
          <w:rFonts w:asciiTheme="minorHAnsi" w:hAnsiTheme="minorHAnsi"/>
          <w:strike/>
          <w:noProof/>
          <w:lang w:val="fr-FR"/>
        </w:rPr>
      </w:pPr>
      <w:r>
        <w:rPr>
          <w:noProof/>
          <w:lang w:val="fr-FR"/>
        </w:rPr>
        <w:t>Dans le contexte de leur processus global d’obtention de l’assurance et sous l’angle de leur gestion, les directeurs généraux procèdent en outre à une analyse plus détaillée pour chaque programme ou segment de leur portefeuille. Ils s’appuient sur toutes les informations disponibles, en particulier les résultats de leurs contrôles, afin de détecter d’éventuelles lacunes importantes sur le plan quantitatif ou qualitatif. À la fin de chaque exercice, ils déterminent si l’incidence financière risque de dépasser le seuil de signification de 2 % et/ou si l’incidence sur la réputation est significative. Si tel est le cas</w:t>
      </w:r>
      <w:r>
        <w:rPr>
          <w:noProof/>
          <w:color w:val="auto"/>
          <w:lang w:val="fr-FR"/>
        </w:rPr>
        <w:t xml:space="preserve">, </w:t>
      </w:r>
      <w:r>
        <w:rPr>
          <w:rStyle w:val="BOLDLIGHTBLUEReport"/>
          <w:rFonts w:eastAsiaTheme="minorHAnsi"/>
          <w:noProof/>
          <w:color w:val="auto"/>
          <w:lang w:val="fr-FR"/>
        </w:rPr>
        <w:t xml:space="preserve">ils accompagnent leur déclaration d’assurance </w:t>
      </w:r>
      <w:r>
        <w:rPr>
          <w:rStyle w:val="BOLDLIGHTBLUEReport"/>
          <w:rFonts w:asciiTheme="minorHAnsi" w:eastAsiaTheme="minorHAnsi" w:hAnsiTheme="minorHAnsi"/>
          <w:noProof/>
          <w:color w:val="auto"/>
          <w:lang w:val="fr-FR"/>
        </w:rPr>
        <w:t>de réserves</w:t>
      </w:r>
      <w:r>
        <w:rPr>
          <w:noProof/>
          <w:color w:val="auto"/>
          <w:lang w:val="fr-FR"/>
        </w:rPr>
        <w:t xml:space="preserve"> pour</w:t>
      </w:r>
      <w:r>
        <w:rPr>
          <w:rFonts w:asciiTheme="minorHAnsi" w:hAnsiTheme="minorHAnsi"/>
          <w:noProof/>
          <w:lang w:val="fr-FR"/>
        </w:rPr>
        <w:t xml:space="preserve"> le segment du portefeuille concerné</w:t>
      </w:r>
      <w:r>
        <w:rPr>
          <w:noProof/>
          <w:lang w:val="fr-FR"/>
        </w:rPr>
        <w:t>.</w:t>
      </w:r>
    </w:p>
    <w:p>
      <w:pPr>
        <w:rPr>
          <w:noProof/>
          <w:color w:val="000000"/>
          <w:szCs w:val="20"/>
          <w:lang w:val="fr-FR"/>
        </w:rPr>
      </w:pPr>
      <w:r>
        <w:rPr>
          <w:noProof/>
          <w:lang w:val="fr-FR"/>
        </w:rPr>
        <w:br w:type="page"/>
      </w:r>
    </w:p>
    <w:p>
      <w:pPr>
        <w:pStyle w:val="AMPRBodyText"/>
        <w:rPr>
          <w:noProof/>
          <w:lang w:val="fr-FR"/>
        </w:rPr>
      </w:pPr>
      <w:r>
        <w:rPr>
          <w:noProof/>
          <w:lang w:val="fr-FR"/>
        </w:rPr>
        <w:t xml:space="preserve">Pour 2019, </w:t>
      </w:r>
      <w:r>
        <w:rPr>
          <w:rStyle w:val="AMPRcharOrange"/>
          <w:noProof/>
          <w:color w:val="auto"/>
          <w:lang w:val="fr-FR"/>
        </w:rPr>
        <w:t>11</w:t>
      </w:r>
      <w:r>
        <w:rPr>
          <w:noProof/>
          <w:color w:val="auto"/>
          <w:lang w:val="fr-FR"/>
        </w:rPr>
        <w:t xml:space="preserve"> des 50 directeurs généraux ont émis une déclaration accompagnée d’un total de </w:t>
      </w:r>
      <w:r>
        <w:rPr>
          <w:rStyle w:val="AMPRcharOrange"/>
          <w:noProof/>
          <w:color w:val="auto"/>
          <w:lang w:val="fr-FR"/>
        </w:rPr>
        <w:t>18</w:t>
      </w:r>
      <w:r>
        <w:rPr>
          <w:noProof/>
          <w:color w:val="auto"/>
          <w:lang w:val="fr-FR"/>
        </w:rPr>
        <w:t> réserves.</w:t>
      </w:r>
      <w:r>
        <w:rPr>
          <w:noProof/>
          <w:lang w:val="fr-FR"/>
        </w:rPr>
        <w:t xml:space="preserve"> Cette baisse significative par rapport à 2018 (40 réserves avaient été émises par 20 services), s’explique de la manière suivante.</w:t>
      </w:r>
    </w:p>
    <w:p>
      <w:pPr>
        <w:pStyle w:val="AMPRListOrange-L1"/>
        <w:rPr>
          <w:noProof/>
          <w:lang w:val="fr-FR"/>
        </w:rPr>
      </w:pPr>
      <w:r>
        <w:rPr>
          <w:rStyle w:val="AMPRcharOrange"/>
          <w:noProof/>
          <w:color w:val="auto"/>
          <w:lang w:val="fr-FR"/>
        </w:rPr>
        <w:t>Six</w:t>
      </w:r>
      <w:r>
        <w:rPr>
          <w:noProof/>
          <w:color w:val="auto"/>
          <w:lang w:val="fr-FR"/>
        </w:rPr>
        <w:t xml:space="preserve"> réserves</w:t>
      </w:r>
      <w:r>
        <w:rPr>
          <w:noProof/>
          <w:lang w:val="fr-FR"/>
        </w:rPr>
        <w:t xml:space="preserve"> ont été </w:t>
      </w:r>
      <w:r>
        <w:rPr>
          <w:rStyle w:val="AMPRcharBoldBlue"/>
          <w:noProof/>
          <w:lang w:val="fr-FR"/>
        </w:rPr>
        <w:t>levées</w:t>
      </w:r>
      <w:r>
        <w:rPr>
          <w:noProof/>
          <w:lang w:val="fr-FR"/>
        </w:rPr>
        <w:t xml:space="preserve"> parce qu'il a été remédié aux faiblesses sous-jacentes </w:t>
      </w:r>
    </w:p>
    <w:p>
      <w:pPr>
        <w:pStyle w:val="AMPRListOrange-L1"/>
        <w:rPr>
          <w:noProof/>
          <w:lang w:val="fr-FR"/>
        </w:rPr>
      </w:pPr>
      <w:r>
        <w:rPr>
          <w:noProof/>
          <w:lang w:val="fr-FR"/>
        </w:rPr>
        <w:t xml:space="preserve">Pour </w:t>
      </w:r>
      <w:r>
        <w:rPr>
          <w:rStyle w:val="AMPRcharOrange"/>
          <w:noProof/>
          <w:color w:val="auto"/>
          <w:lang w:val="fr-FR"/>
        </w:rPr>
        <w:t>17</w:t>
      </w:r>
      <w:r>
        <w:rPr>
          <w:noProof/>
          <w:color w:val="auto"/>
          <w:lang w:val="fr-FR"/>
        </w:rPr>
        <w:t> </w:t>
      </w:r>
      <w:r>
        <w:rPr>
          <w:noProof/>
          <w:lang w:val="fr-FR"/>
        </w:rPr>
        <w:t xml:space="preserve">réserves, la </w:t>
      </w:r>
      <w:r>
        <w:rPr>
          <w:rStyle w:val="AMPRcharBoldBlue"/>
          <w:noProof/>
          <w:lang w:val="fr-FR"/>
        </w:rPr>
        <w:t>règle «de minimis»</w:t>
      </w:r>
      <w:r>
        <w:rPr>
          <w:noProof/>
          <w:lang w:val="fr-FR"/>
        </w:rPr>
        <w:t xml:space="preserve"> a été appliquée, en vertu de laquelle les réserves ne sont plus considérées comme significatives sous certaines conditions, à savoir les dépenses limitées en cause (moins de 5 % des paiements du service) et la faible incidence financière y afférente (moins de 5</w:t>
      </w:r>
      <w:r>
        <w:rPr>
          <w:rFonts w:ascii="Calibri" w:hAnsi="Calibri"/>
          <w:noProof/>
          <w:lang w:val="fr-FR"/>
        </w:rPr>
        <w:t> </w:t>
      </w:r>
      <w:r>
        <w:rPr>
          <w:noProof/>
          <w:lang w:val="fr-FR"/>
        </w:rPr>
        <w:t>millions d’EUR). Cela concernait principalement des programmes hérités de la période 2007-2013 dans les domaines de la recherche, de la compétitivité, de l’éducation et de la culture, ainsi que des relations extérieures.</w:t>
      </w:r>
    </w:p>
    <w:p>
      <w:pPr>
        <w:pStyle w:val="AMPRListOrange-L1"/>
        <w:rPr>
          <w:noProof/>
          <w:lang w:val="fr-FR"/>
        </w:rPr>
      </w:pPr>
      <w:r>
        <w:rPr>
          <w:noProof/>
          <w:lang w:val="fr-FR"/>
        </w:rPr>
        <w:t xml:space="preserve">Au total, </w:t>
      </w:r>
      <w:r>
        <w:rPr>
          <w:rStyle w:val="AMPRcharOrange"/>
          <w:noProof/>
          <w:color w:val="auto"/>
          <w:lang w:val="fr-FR"/>
        </w:rPr>
        <w:t>17</w:t>
      </w:r>
      <w:r>
        <w:rPr>
          <w:noProof/>
          <w:lang w:val="fr-FR"/>
        </w:rPr>
        <w:t xml:space="preserve"> réserves sont </w:t>
      </w:r>
      <w:r>
        <w:rPr>
          <w:rStyle w:val="AMPRcharBoldBlue"/>
          <w:noProof/>
          <w:lang w:val="fr-FR"/>
        </w:rPr>
        <w:t>récurrentes</w:t>
      </w:r>
      <w:r>
        <w:rPr>
          <w:noProof/>
          <w:lang w:val="fr-FR"/>
        </w:rPr>
        <w:t xml:space="preserve"> par rapport aux années précédentes, et </w:t>
      </w:r>
      <w:r>
        <w:rPr>
          <w:rStyle w:val="AMPRcharOrange"/>
          <w:noProof/>
          <w:color w:val="auto"/>
          <w:lang w:val="fr-FR"/>
        </w:rPr>
        <w:t>une seule</w:t>
      </w:r>
      <w:r>
        <w:rPr>
          <w:noProof/>
          <w:lang w:val="fr-FR"/>
        </w:rPr>
        <w:t xml:space="preserve"> est </w:t>
      </w:r>
      <w:r>
        <w:rPr>
          <w:rStyle w:val="AMPRcharBoldBlue"/>
          <w:noProof/>
          <w:lang w:val="fr-FR"/>
        </w:rPr>
        <w:t>nouvelle</w:t>
      </w:r>
      <w:r>
        <w:rPr>
          <w:noProof/>
          <w:lang w:val="fr-FR"/>
        </w:rPr>
        <w:t xml:space="preserve"> en 2019, principalement parce que les causes profondes du niveau significatif d’erreur peuvent être partiellement atténuées, mais pas totalement éradiquées dans les cadres juridiques actuels des programmes. Pour plus de détails, voir la section</w:t>
      </w:r>
      <w:r>
        <w:rPr>
          <w:rFonts w:ascii="Calibri" w:hAnsi="Calibri"/>
          <w:noProof/>
          <w:lang w:val="fr-FR"/>
        </w:rPr>
        <w:t> </w:t>
      </w:r>
      <w:r>
        <w:rPr>
          <w:noProof/>
          <w:lang w:val="fr-FR"/>
        </w:rPr>
        <w:t>2.3.1 et les notions figurant à l’annexe</w:t>
      </w:r>
      <w:r>
        <w:rPr>
          <w:rFonts w:ascii="Calibri" w:hAnsi="Calibri"/>
          <w:noProof/>
          <w:lang w:val="fr-FR"/>
        </w:rPr>
        <w:t> </w:t>
      </w:r>
      <w:r>
        <w:rPr>
          <w:noProof/>
          <w:lang w:val="fr-FR"/>
        </w:rPr>
        <w:t>4.</w:t>
      </w:r>
    </w:p>
    <w:p>
      <w:pPr>
        <w:pStyle w:val="AMPRBodyText"/>
        <w:rPr>
          <w:noProof/>
          <w:lang w:val="fr-FR"/>
        </w:rPr>
      </w:pPr>
      <w:r>
        <w:rPr>
          <w:noProof/>
          <w:lang w:val="fr-FR"/>
        </w:rPr>
        <w:t>L’incidence financière totale de toutes les réserves (1</w:t>
      </w:r>
      <w:r>
        <w:rPr>
          <w:rFonts w:ascii="Calibri" w:hAnsi="Calibri"/>
          <w:noProof/>
          <w:lang w:val="fr-FR"/>
        </w:rPr>
        <w:t> </w:t>
      </w:r>
      <w:r>
        <w:rPr>
          <w:noProof/>
          <w:lang w:val="fr-FR"/>
        </w:rPr>
        <w:t>053</w:t>
      </w:r>
      <w:r>
        <w:rPr>
          <w:rFonts w:ascii="Calibri" w:hAnsi="Calibri"/>
          <w:noProof/>
          <w:lang w:val="fr-FR"/>
        </w:rPr>
        <w:t> </w:t>
      </w:r>
      <w:r>
        <w:rPr>
          <w:noProof/>
          <w:lang w:val="fr-FR"/>
        </w:rPr>
        <w:t>millions d’EUR pour</w:t>
      </w:r>
      <w:r>
        <w:rPr>
          <w:rFonts w:ascii="Calibri" w:hAnsi="Calibri"/>
          <w:noProof/>
          <w:lang w:val="fr-FR"/>
        </w:rPr>
        <w:t xml:space="preserve"> </w:t>
      </w:r>
      <w:r>
        <w:rPr>
          <w:noProof/>
          <w:lang w:val="fr-FR"/>
        </w:rPr>
        <w:t>2019; soit 2 % de moins que les 1</w:t>
      </w:r>
      <w:r>
        <w:rPr>
          <w:rFonts w:ascii="Calibri" w:hAnsi="Calibri"/>
          <w:noProof/>
          <w:lang w:val="fr-FR"/>
        </w:rPr>
        <w:t> </w:t>
      </w:r>
      <w:r>
        <w:rPr>
          <w:noProof/>
          <w:lang w:val="fr-FR"/>
        </w:rPr>
        <w:t>078</w:t>
      </w:r>
      <w:r>
        <w:rPr>
          <w:rFonts w:ascii="Calibri" w:hAnsi="Calibri"/>
          <w:noProof/>
          <w:lang w:val="fr-FR"/>
        </w:rPr>
        <w:t> </w:t>
      </w:r>
      <w:r>
        <w:rPr>
          <w:noProof/>
          <w:lang w:val="fr-FR"/>
        </w:rPr>
        <w:t xml:space="preserve">millions d’EUR en 2018) est comparable au niveau enregistré au cours des deux années précédentes. Pour chaque réserve, le directeur général concerné a mis en place des mesures d’atténuation afin de remédier aux faiblesses sous-jacentes et d’atténuer les risques qui en découlent. </w:t>
      </w:r>
    </w:p>
    <w:p>
      <w:pPr>
        <w:pStyle w:val="AMPRBodyText"/>
        <w:rPr>
          <w:noProof/>
          <w:lang w:val="fr-FR"/>
        </w:rPr>
      </w:pPr>
      <w:r>
        <w:rPr>
          <w:noProof/>
          <w:lang w:val="fr-FR"/>
        </w:rPr>
        <w:t>L’annexe</w:t>
      </w:r>
      <w:r>
        <w:rPr>
          <w:rFonts w:ascii="Calibri" w:hAnsi="Calibri"/>
          <w:noProof/>
          <w:lang w:val="fr-FR"/>
        </w:rPr>
        <w:t> </w:t>
      </w:r>
      <w:r>
        <w:rPr>
          <w:noProof/>
          <w:lang w:val="fr-FR"/>
        </w:rPr>
        <w:t>4 fournit la liste complète des réserves pour 2019 ainsi que des explications et précisions complémentaires.</w:t>
      </w:r>
    </w:p>
    <w:p>
      <w:pPr>
        <w:pStyle w:val="AMPRSec2TITLE4"/>
        <w:rPr>
          <w:noProof/>
          <w:lang w:val="fr-FR"/>
        </w:rPr>
      </w:pPr>
      <w:r>
        <w:rPr>
          <w:noProof/>
          <w:lang w:val="fr-FR"/>
        </w:rPr>
        <w:t>Travaux du service d’audit interne et opinion globale</w:t>
      </w:r>
    </w:p>
    <w:p>
      <w:pPr>
        <w:pStyle w:val="AMPRBodyText"/>
        <w:rPr>
          <w:noProof/>
          <w:lang w:val="fr-FR"/>
        </w:rPr>
      </w:pPr>
      <w:r>
        <w:rPr>
          <w:noProof/>
          <w:lang w:val="fr-FR"/>
        </w:rPr>
        <w:t xml:space="preserve">Les directions générales de la Commission ont également fondé leur assurance sur les travaux réalisés par le service d’audit interne. Le service d’audit interne </w:t>
      </w:r>
      <w:r>
        <w:rPr>
          <w:rStyle w:val="AMPRcharBoldBlue"/>
          <w:noProof/>
          <w:lang w:val="fr-FR"/>
        </w:rPr>
        <w:t>examine les systèmes de gestion et de contrôle</w:t>
      </w:r>
      <w:r>
        <w:rPr>
          <w:noProof/>
          <w:lang w:val="fr-FR"/>
        </w:rPr>
        <w:t xml:space="preserve"> au sein de la Commission et des agences exécutives, en fournissant une </w:t>
      </w:r>
      <w:r>
        <w:rPr>
          <w:rStyle w:val="AMPRcharBoldBlue"/>
          <w:noProof/>
          <w:lang w:val="fr-FR"/>
        </w:rPr>
        <w:t>assurance indépendante et objective quant à leur adéquation et à leur efficacité</w:t>
      </w:r>
      <w:r>
        <w:rPr>
          <w:noProof/>
          <w:lang w:val="fr-FR"/>
        </w:rPr>
        <w:t>.</w:t>
      </w:r>
    </w:p>
    <w:p>
      <w:pPr>
        <w:pStyle w:val="AMPRBodyText"/>
        <w:rPr>
          <w:noProof/>
          <w:lang w:val="fr-FR"/>
        </w:rPr>
      </w:pPr>
      <w:r>
        <w:rPr>
          <w:noProof/>
          <w:lang w:val="fr-FR"/>
        </w:rPr>
        <w:t>Conformément à sa charte de mission</w:t>
      </w:r>
      <w:r>
        <w:rPr>
          <w:rStyle w:val="fnRef"/>
          <w:rFonts w:ascii="Arial" w:hAnsi="Arial"/>
          <w:noProof/>
          <w:lang w:val="fr-FR"/>
        </w:rPr>
        <w:t> </w:t>
      </w:r>
      <w:r>
        <w:rPr>
          <w:rStyle w:val="fnRef"/>
          <w:noProof/>
          <w:lang w:val="fr-FR"/>
        </w:rPr>
        <w:t>(</w:t>
      </w:r>
      <w:r>
        <w:rPr>
          <w:rStyle w:val="fnRefNo"/>
          <w:noProof/>
        </w:rPr>
        <w:footnoteReference w:id="27"/>
      </w:r>
      <w:r>
        <w:rPr>
          <w:rStyle w:val="fnRef"/>
          <w:noProof/>
          <w:lang w:val="fr-FR"/>
        </w:rPr>
        <w:t>)</w:t>
      </w:r>
      <w:r>
        <w:rPr>
          <w:noProof/>
          <w:lang w:val="fr-FR"/>
        </w:rPr>
        <w:t xml:space="preserve">, le service d’audit interne a rendu, comme chaque année, une </w:t>
      </w:r>
      <w:r>
        <w:rPr>
          <w:rStyle w:val="AMPRcharBoldBlue"/>
          <w:noProof/>
          <w:lang w:val="fr-FR"/>
        </w:rPr>
        <w:t>opinion globale sur la gestion financière de la Commission</w:t>
      </w:r>
      <w:r>
        <w:rPr>
          <w:noProof/>
          <w:lang w:val="fr-FR"/>
        </w:rPr>
        <w:t>, qui repose sur les travaux d’audit réalisés dans le domaine de la gestion financière à la Commission au cours des trois</w:t>
      </w:r>
      <w:r>
        <w:rPr>
          <w:rFonts w:ascii="Calibri" w:hAnsi="Calibri"/>
          <w:noProof/>
          <w:lang w:val="fr-FR"/>
        </w:rPr>
        <w:t> </w:t>
      </w:r>
      <w:r>
        <w:rPr>
          <w:noProof/>
          <w:lang w:val="fr-FR"/>
        </w:rPr>
        <w:t>dernières années (2017-2019). L’opinion globale tient compte également d’informations provenant d’autres sources, à savoir des rapports de la Cour des comptes européenne. Sur la base de ces informations d’audit, l’auditeur interne a considéré qu’</w:t>
      </w:r>
      <w:r>
        <w:rPr>
          <w:rStyle w:val="AMPRcharBoldBlue"/>
          <w:noProof/>
          <w:lang w:val="fr-FR"/>
        </w:rPr>
        <w:t>en 2019, la Commission avait mis en place des procédures de gouvernance, de gestion du risque et de contrôle interne qui, dans l’ensemble, sont appropriées pour donner une assurance raisonnable quant à la réalisation de ses objectifs financiers</w:t>
      </w:r>
      <w:r>
        <w:rPr>
          <w:noProof/>
          <w:lang w:val="fr-FR"/>
        </w:rPr>
        <w:t xml:space="preserve">. Toutefois, l’opinion globale est </w:t>
      </w:r>
      <w:r>
        <w:rPr>
          <w:rStyle w:val="AMPRcharBoldBlue"/>
          <w:noProof/>
          <w:lang w:val="fr-FR"/>
        </w:rPr>
        <w:t>nuancée par les réserves formulées par les ordonnateurs délégués dans leurs déclarations d’assurance émises dans leurs rapports annuels d’activité respectifs</w:t>
      </w:r>
      <w:r>
        <w:rPr>
          <w:noProof/>
          <w:lang w:val="fr-FR"/>
        </w:rPr>
        <w:t xml:space="preserve">. </w:t>
      </w:r>
    </w:p>
    <w:p>
      <w:pPr>
        <w:pStyle w:val="AMPRBodyText"/>
        <w:rPr>
          <w:noProof/>
          <w:lang w:val="fr-FR"/>
        </w:rPr>
      </w:pPr>
      <w:r>
        <w:rPr>
          <w:noProof/>
          <w:lang w:val="fr-FR"/>
        </w:rPr>
        <w:t>Pour forger son opinion globale, l’auditeur interne a aussi examiné l’incidence cumulée de i)</w:t>
      </w:r>
      <w:r>
        <w:rPr>
          <w:rFonts w:ascii="Calibri" w:hAnsi="Calibri"/>
          <w:noProof/>
          <w:lang w:val="fr-FR"/>
        </w:rPr>
        <w:t> </w:t>
      </w:r>
      <w:r>
        <w:rPr>
          <w:noProof/>
          <w:lang w:val="fr-FR"/>
        </w:rPr>
        <w:t>tous les montants jugés à risque au moment du paiement, étant donné qu’ils vont au-delà des montants faisant l’objet d’une réserve et ii)</w:t>
      </w:r>
      <w:r>
        <w:rPr>
          <w:rFonts w:ascii="Calibri" w:hAnsi="Calibri"/>
          <w:noProof/>
          <w:lang w:val="fr-FR"/>
        </w:rPr>
        <w:t> </w:t>
      </w:r>
      <w:r>
        <w:rPr>
          <w:noProof/>
          <w:lang w:val="fr-FR"/>
        </w:rPr>
        <w:t xml:space="preserve">des corrections financières et recouvrements éventuels liés aux défaillances et aux erreurs que les services de la Commission détecteront et corrigeront au cours des prochaines années grâce aux mécanismes correctifs pluriannuels intégrés dans les systèmes de contrôle interne de la Commission. Compte tenu de ces éléments, le service d’audit interne considère que le budget de l’UE est suffisamment protégé dans son ensemble et dans le temps. </w:t>
      </w:r>
    </w:p>
    <w:p>
      <w:pPr>
        <w:pStyle w:val="AMPRBodyText"/>
        <w:rPr>
          <w:noProof/>
          <w:lang w:val="fr-FR"/>
        </w:rPr>
      </w:pPr>
      <w:r>
        <w:rPr>
          <w:noProof/>
          <w:lang w:val="fr-FR"/>
        </w:rPr>
        <w:t>L’épidémie de COVID-19 et la réaction de la Commission n’ont pas affecté la capacité de celle-ci à protéger le budget de l’UE en 2019. Cette capacité pourrait toutefois être affectée en 2020 et les années suivantes car les mesures correctives ex post qui ont jusqu’à présent donné lieu à des corrections pourraient être moins efficaces (affectant la capacité de correction). Une telle situation pourrait résulter d’un allégement de certaines procédures régissant les dépenses et de difficultés liées au recouvrement de dépenses illégales ou irrégulières auprès de bénéficiaires finaux confrontés à des difficultés financières et économiques découlant de la crise du coronavirus. Sans nuancer davantage son opinion, l’auditeur interne a ajouté deux «paragraphes d’observation» décrits à l’annexe</w:t>
      </w:r>
      <w:r>
        <w:rPr>
          <w:rFonts w:ascii="Calibri" w:hAnsi="Calibri"/>
          <w:noProof/>
          <w:lang w:val="fr-FR"/>
        </w:rPr>
        <w:t> </w:t>
      </w:r>
      <w:r>
        <w:rPr>
          <w:noProof/>
          <w:lang w:val="fr-FR"/>
        </w:rPr>
        <w:t>6 du présent rapport, concernant:</w:t>
      </w:r>
    </w:p>
    <w:p>
      <w:pPr>
        <w:pStyle w:val="AMPRListOrange-L1"/>
        <w:rPr>
          <w:noProof/>
          <w:lang w:val="fr-FR"/>
        </w:rPr>
      </w:pPr>
      <w:r>
        <w:rPr>
          <w:noProof/>
          <w:lang w:val="fr-FR"/>
        </w:rPr>
        <w:t>l’exécution du budget de l’UE dans le contexte de la crise actuelle liée à la pandémie de COVID-19, notamment la nécessité de procéder à une évaluation détaillée des risques émergents et de définir et mettre en œuvre des mesures d’atténuation connexes; et,</w:t>
      </w:r>
    </w:p>
    <w:p>
      <w:pPr>
        <w:pStyle w:val="AMPRListOrange-L1"/>
        <w:rPr>
          <w:noProof/>
          <w:lang w:val="fr-FR"/>
        </w:rPr>
      </w:pPr>
      <w:r>
        <w:rPr>
          <w:noProof/>
          <w:lang w:val="fr-FR"/>
        </w:rPr>
        <w:t>les stratégies de supervision pour les tiers chargés de la mise en œuvre des politiques et des programmes.</w:t>
      </w:r>
    </w:p>
    <w:p>
      <w:pPr>
        <w:pStyle w:val="AMPRBodyText"/>
        <w:rPr>
          <w:noProof/>
          <w:lang w:val="fr-FR"/>
        </w:rPr>
      </w:pPr>
      <w:r>
        <w:rPr>
          <w:noProof/>
          <w:lang w:val="fr-FR"/>
        </w:rPr>
        <w:t>En vue de contribuer à la culture axée sur la performance de la Commission et à l’importance accrue que celle-ci accorde à la rentabilité, le service d’audit interne a aussi réalisé, en 2019, des</w:t>
      </w:r>
      <w:r>
        <w:rPr>
          <w:rStyle w:val="AMPRcharBoldBlue"/>
          <w:noProof/>
          <w:lang w:val="fr-FR"/>
        </w:rPr>
        <w:t xml:space="preserve"> audits de performance</w:t>
      </w:r>
      <w:r>
        <w:rPr>
          <w:noProof/>
          <w:lang w:val="fr-FR"/>
        </w:rPr>
        <w:t xml:space="preserve"> dans le cadre de son plan d’audit stratégique 2019-2021. Ces audits ont débouché sur des recommandations, toutes acceptées par les entités auditées, en ce qui concerne les points suivants: les stratégies de supervision concernant la mise en œuvre des programmes par des tiers; les stratégies de contrôle des services sélectionnés; les processus de gestion des ressources humaines et des technologies de l’information; et les aspects de la mise en œuvre des opérations et des programmes par les services qui sont liés à la performance. Pour l’ensemble des recommandations, les entités auditées ont élaboré des plans d’action qui ont été communiqués au service d’audit interne, lequel les a jugés satisfaisants.</w:t>
      </w:r>
    </w:p>
    <w:p>
      <w:pPr>
        <w:pStyle w:val="AMPRBodyText"/>
        <w:rPr>
          <w:noProof/>
          <w:lang w:val="fr-FR"/>
        </w:rPr>
      </w:pPr>
      <w:r>
        <w:rPr>
          <w:noProof/>
          <w:lang w:val="fr-FR"/>
        </w:rPr>
        <w:t xml:space="preserve">Enfin, conformément à sa </w:t>
      </w:r>
      <w:r>
        <w:rPr>
          <w:rStyle w:val="AMPRcharBoldBlue"/>
          <w:noProof/>
          <w:lang w:val="fr-FR"/>
        </w:rPr>
        <w:t>politique de suivi</w:t>
      </w:r>
      <w:r>
        <w:rPr>
          <w:noProof/>
          <w:lang w:val="fr-FR"/>
        </w:rPr>
        <w:t xml:space="preserve"> rigoureuse, le service d’audit interne a régulièrement évalué la mise en œuvre effective de ses recommandations par les services de la Commission et les agences exécutives. Les travaux ont confirmé que 98 % des recommandations émises au cours de la période 2015-2019 ont été correctement et effectivement mises en œuvre par les entités auditées. Ce résultat indique que les services de la Commission mettent en œuvre les recommandations et atténuent les risques recensés par le service d’audit interne.</w:t>
      </w:r>
    </w:p>
    <w:p>
      <w:pPr>
        <w:pStyle w:val="AMPRBodyText"/>
        <w:rPr>
          <w:noProof/>
          <w:lang w:val="fr-FR"/>
        </w:rPr>
      </w:pPr>
      <w:r>
        <w:rPr>
          <w:noProof/>
          <w:lang w:val="fr-FR"/>
        </w:rPr>
        <w:t>L’annexe</w:t>
      </w:r>
      <w:r>
        <w:rPr>
          <w:rFonts w:ascii="Calibri" w:hAnsi="Calibri"/>
          <w:noProof/>
          <w:lang w:val="fr-FR"/>
        </w:rPr>
        <w:t> </w:t>
      </w:r>
      <w:r>
        <w:rPr>
          <w:noProof/>
          <w:lang w:val="fr-FR"/>
        </w:rPr>
        <w:t>6 comprend davantage d’informations sur l’assurance fournie par le SAI. En outre, la Commission transmet à l’autorité de décharge, en application de l’article 118, paragraphe 8, du règlement financier, un rapport résumant les travaux de l’auditeur interne dans le cadre d’un ensemble de rapports financiers et sur la responsabilité intégrés.</w:t>
      </w:r>
    </w:p>
    <w:p>
      <w:pPr>
        <w:pStyle w:val="AMPRSec2TITLE4"/>
        <w:rPr>
          <w:noProof/>
          <w:lang w:val="fr-FR"/>
        </w:rPr>
      </w:pPr>
      <w:r>
        <w:rPr>
          <w:noProof/>
          <w:lang w:val="fr-FR"/>
        </w:rPr>
        <w:t>Travaux du comité de suivi des audits</w:t>
      </w:r>
    </w:p>
    <w:p>
      <w:pPr>
        <w:pStyle w:val="AMPRBodyText"/>
        <w:rPr>
          <w:noProof/>
          <w:lang w:val="fr-FR"/>
        </w:rPr>
      </w:pPr>
      <w:r>
        <w:rPr>
          <w:noProof/>
          <w:lang w:val="fr-FR"/>
        </w:rPr>
        <w:t>Le comité de suivi des audits</w:t>
      </w:r>
      <w:r>
        <w:rPr>
          <w:rStyle w:val="fnRef"/>
          <w:rFonts w:ascii="Arial" w:hAnsi="Arial"/>
          <w:noProof/>
          <w:lang w:val="fr-FR"/>
        </w:rPr>
        <w:t> </w:t>
      </w:r>
      <w:r>
        <w:rPr>
          <w:rStyle w:val="fnRef"/>
          <w:noProof/>
          <w:lang w:val="fr-FR"/>
        </w:rPr>
        <w:t>(</w:t>
      </w:r>
      <w:r>
        <w:rPr>
          <w:rStyle w:val="fnRefNo"/>
          <w:noProof/>
        </w:rPr>
        <w:footnoteReference w:id="28"/>
      </w:r>
      <w:r>
        <w:rPr>
          <w:rStyle w:val="fnRef"/>
          <w:noProof/>
          <w:lang w:val="fr-FR"/>
        </w:rPr>
        <w:t>)</w:t>
      </w:r>
      <w:r>
        <w:rPr>
          <w:noProof/>
          <w:lang w:val="fr-FR"/>
        </w:rPr>
        <w:t xml:space="preserve"> supervise les questions d’audit au sein de la Commission et rend compte chaque année au Collège. Pour ce faire, il veille à l’indépendance du service d’audit interne, contrôle la qualité des travaux d’audit interne et veille à ce que les recommandations d’audit interne et externe (du service d’audit interne) (pour ces dernières, il s’agit de celles émanant de la Cour des comptes européenne) soient dûment prises en considération par les services de la Commission et fassent l’objet d’un suivi approprié. </w:t>
      </w:r>
    </w:p>
    <w:p>
      <w:pPr>
        <w:pStyle w:val="AMPRBodyText"/>
        <w:rPr>
          <w:noProof/>
          <w:lang w:val="fr-FR"/>
        </w:rPr>
      </w:pPr>
      <w:r>
        <w:rPr>
          <w:noProof/>
          <w:lang w:val="fr-FR"/>
        </w:rPr>
        <w:t>Au cours de l’année de référence, le comité de suivi des audits a continué de jouer son rôle important dans l’amélioration de la gouvernance, des performances organisationnelles et de la responsabilité dans l’ensemble de l’organisation. Il a tenu trois séries de réunions tout en axant ses travaux sur quatre objectifs clés énoncés dans ses programmes de travail de 2019 et 2020. Le comité de suivi des audits s’est montré satisfait quant à l’indépendance et à la qualité des travaux d’audit interne et il se félicite du fait que la planification de l’auditeur interne couvre de manière adéquate la sphère de l’audit et continue de couvrir les principaux secteurs à risque. Le comité a jugé encourageant le fait que le taux de mise en œuvre effectif des recommandations de l’auditeur interne restait élevé (à savoir 98 % pour les recommandations émises entre 2015 et 2019) et que seulement six recommandations d’audit très importantes présentaient un retard de plus de 6</w:t>
      </w:r>
      <w:r>
        <w:rPr>
          <w:rFonts w:ascii="Calibri" w:hAnsi="Calibri"/>
          <w:noProof/>
          <w:lang w:val="fr-FR"/>
        </w:rPr>
        <w:t> </w:t>
      </w:r>
      <w:r>
        <w:rPr>
          <w:noProof/>
          <w:lang w:val="fr-FR"/>
        </w:rPr>
        <w:t>mois en janvier 2020. Les progrès accomplis dans la mise en œuvre des recommandations de la Cour des comptes européenne ont également été satisfaisants. Une seule recommandation émise entre 2001 et 2014 n'était toujours pas mise en œuvre en février 2020. Enfin, le comité de suivi des audits se satisfaisait du fait que, pour la 12</w:t>
      </w:r>
      <w:r>
        <w:rPr>
          <w:noProof/>
          <w:vertAlign w:val="superscript"/>
          <w:lang w:val="fr-FR"/>
        </w:rPr>
        <w:t>e</w:t>
      </w:r>
      <w:r>
        <w:rPr>
          <w:noProof/>
          <w:lang w:val="fr-FR"/>
        </w:rPr>
        <w:t> fois consécutive, la Cour des comptes a émis un avis favorable sur la fiabilité des comptes consolidés de l’UE.</w:t>
      </w:r>
    </w:p>
    <w:p>
      <w:pPr>
        <w:pStyle w:val="AMPRBodyText"/>
        <w:rPr>
          <w:noProof/>
          <w:lang w:val="fr-FR"/>
        </w:rPr>
      </w:pPr>
      <w:r>
        <w:rPr>
          <w:noProof/>
          <w:lang w:val="fr-FR"/>
        </w:rPr>
        <w:t>L’annexe</w:t>
      </w:r>
      <w:r>
        <w:rPr>
          <w:rFonts w:ascii="Calibri" w:hAnsi="Calibri"/>
          <w:noProof/>
          <w:lang w:val="fr-FR"/>
        </w:rPr>
        <w:t> </w:t>
      </w:r>
      <w:r>
        <w:rPr>
          <w:noProof/>
          <w:lang w:val="fr-FR"/>
        </w:rPr>
        <w:t>7 contient davantage d’informations sur les travaux et les conclusions de la commission.</w:t>
      </w:r>
    </w:p>
    <w:p>
      <w:pPr>
        <w:pStyle w:val="AMPRSec2TITLE4"/>
        <w:rPr>
          <w:noProof/>
          <w:lang w:val="fr-FR"/>
        </w:rPr>
      </w:pPr>
      <w:r>
        <w:rPr>
          <w:noProof/>
          <w:lang w:val="fr-FR"/>
        </w:rPr>
        <w:t>Avis de la Cour des comptes sur les comptes 2018 et sur la légalité et la régularité des opérations</w:t>
      </w:r>
    </w:p>
    <w:p>
      <w:pPr>
        <w:pStyle w:val="AMPRBodyText"/>
        <w:rPr>
          <w:noProof/>
          <w:lang w:val="fr-FR"/>
        </w:rPr>
      </w:pPr>
      <w:r>
        <w:rPr>
          <w:noProof/>
          <w:lang w:val="fr-FR"/>
        </w:rPr>
        <w:t xml:space="preserve">En 2019, la Cour des comptes européenne a rendu une </w:t>
      </w:r>
      <w:r>
        <w:rPr>
          <w:rStyle w:val="AMPRcharBoldBlue"/>
          <w:noProof/>
          <w:lang w:val="fr-FR"/>
        </w:rPr>
        <w:t>opinion positive (favorable)</w:t>
      </w:r>
      <w:r>
        <w:rPr>
          <w:noProof/>
          <w:lang w:val="fr-FR"/>
        </w:rPr>
        <w:t xml:space="preserve"> sur les </w:t>
      </w:r>
      <w:r>
        <w:rPr>
          <w:rStyle w:val="AMPRcharBoldBlue"/>
          <w:noProof/>
          <w:lang w:val="fr-FR"/>
        </w:rPr>
        <w:t>comptes annuels de l’UE</w:t>
      </w:r>
      <w:r>
        <w:rPr>
          <w:noProof/>
          <w:lang w:val="fr-FR"/>
        </w:rPr>
        <w:t xml:space="preserve"> pour l’exercice 2018, pour la 12</w:t>
      </w:r>
      <w:r>
        <w:rPr>
          <w:noProof/>
          <w:vertAlign w:val="superscript"/>
          <w:lang w:val="fr-FR"/>
        </w:rPr>
        <w:t>e</w:t>
      </w:r>
      <w:r>
        <w:rPr>
          <w:noProof/>
          <w:lang w:val="fr-FR"/>
        </w:rPr>
        <w:t> année consécutive.</w:t>
      </w:r>
    </w:p>
    <w:p>
      <w:pPr>
        <w:pStyle w:val="AMPRBOXA-bgWHITElnORANGE-BLUEHeading"/>
        <w:rPr>
          <w:noProof/>
          <w:lang w:val="fr-FR"/>
        </w:rPr>
      </w:pPr>
      <w:r>
        <w:rPr>
          <w:noProof/>
          <w:lang w:val="fr-FR"/>
        </w:rPr>
        <w:t>Validation des systèmes locaux</w:t>
      </w:r>
    </w:p>
    <w:p>
      <w:pPr>
        <w:pStyle w:val="AMPRBOXA-bgWHITElnORANGE-BLUEtext"/>
        <w:rPr>
          <w:noProof/>
          <w:lang w:val="fr-FR"/>
        </w:rPr>
      </w:pPr>
      <w:r>
        <w:rPr>
          <w:noProof/>
          <w:lang w:val="fr-FR"/>
        </w:rPr>
        <w:t>Le comptable est tenu de signer les comptes annuels, en certifiant qu’il a une assurance raisonnable quant au fait qu'ils présentent une image fidèle de la situation financière de la Commission. La validation de systèmes locaux consiste en un certain nombre de contrôles de surveillance et de supervision visant à donner l’assurance qu’il peut s’appuyer sur les informations introduites par les différents services de la Commission dans les systèmes comptables. Ce processus s'ajoute aux propres évaluations réalisées par les services de la Commission sur la gestion des systèmes de contrôle interne.</w:t>
      </w:r>
    </w:p>
    <w:p>
      <w:pPr>
        <w:pStyle w:val="AMPRBOXA-bgWHITElnORANGE-BLUEtext"/>
        <w:rPr>
          <w:noProof/>
          <w:lang w:val="fr-FR"/>
        </w:rPr>
      </w:pPr>
      <w:r>
        <w:rPr>
          <w:noProof/>
          <w:lang w:val="fr-FR"/>
        </w:rPr>
        <w:t>Les travaux réalisés en 2019 ont mis en évidence des points forts ainsi qu’un certain nombre de faiblesses et de problèmes, ce qui a donné lieu à des recommandations visant à améliorer l’environnement de contrôle et la qualité de la comptabilité dans les services</w:t>
      </w:r>
      <w:r>
        <w:rPr>
          <w:rStyle w:val="fnRef"/>
          <w:rFonts w:ascii="Arial" w:hAnsi="Arial"/>
          <w:noProof/>
          <w:lang w:val="fr-FR"/>
        </w:rPr>
        <w:t> </w:t>
      </w:r>
      <w:r>
        <w:rPr>
          <w:rStyle w:val="fnRef"/>
          <w:noProof/>
          <w:lang w:val="fr-FR"/>
        </w:rPr>
        <w:t>(</w:t>
      </w:r>
      <w:r>
        <w:rPr>
          <w:rStyle w:val="fnRefNo"/>
          <w:noProof/>
        </w:rPr>
        <w:footnoteReference w:id="29"/>
      </w:r>
      <w:r>
        <w:rPr>
          <w:rStyle w:val="fnRef"/>
          <w:noProof/>
          <w:lang w:val="fr-FR"/>
        </w:rPr>
        <w:t>)</w:t>
      </w:r>
      <w:r>
        <w:rPr>
          <w:noProof/>
          <w:lang w:val="fr-FR"/>
        </w:rPr>
        <w:t>, en atténuant les risques qui pèsent sur l’exactitude des rapports sur la gestion financière et réglementaire</w:t>
      </w:r>
      <w:r>
        <w:rPr>
          <w:rStyle w:val="fnRef"/>
          <w:rFonts w:ascii="Arial" w:hAnsi="Arial"/>
          <w:noProof/>
          <w:lang w:val="fr-FR"/>
        </w:rPr>
        <w:t> </w:t>
      </w:r>
      <w:r>
        <w:rPr>
          <w:rStyle w:val="fnRef"/>
          <w:noProof/>
          <w:lang w:val="fr-FR"/>
        </w:rPr>
        <w:t>(</w:t>
      </w:r>
      <w:r>
        <w:rPr>
          <w:rStyle w:val="fnRefNo"/>
          <w:noProof/>
        </w:rPr>
        <w:footnoteReference w:id="30"/>
      </w:r>
      <w:r>
        <w:rPr>
          <w:rStyle w:val="fnRef"/>
          <w:noProof/>
          <w:lang w:val="fr-FR"/>
        </w:rPr>
        <w:t>)</w:t>
      </w:r>
      <w:r>
        <w:rPr>
          <w:noProof/>
          <w:lang w:val="fr-FR"/>
        </w:rPr>
        <w:t>. Aucune des lacunes détectées n’est susceptible d’avoir une incidence significative sur les comptes annuels.</w:t>
      </w:r>
    </w:p>
    <w:p>
      <w:pPr>
        <w:pStyle w:val="AMPRBodyText"/>
        <w:rPr>
          <w:noProof/>
          <w:lang w:val="fr-FR"/>
        </w:rPr>
      </w:pPr>
      <w:r>
        <w:rPr>
          <w:noProof/>
          <w:lang w:val="fr-FR"/>
        </w:rPr>
        <w:t xml:space="preserve">En ce qui concerne la </w:t>
      </w:r>
      <w:r>
        <w:rPr>
          <w:rStyle w:val="AMPRcharBoldBlue"/>
          <w:noProof/>
          <w:lang w:val="fr-FR"/>
        </w:rPr>
        <w:t>légalité et la régularité des opérations sous-jacentes</w:t>
      </w:r>
      <w:r>
        <w:rPr>
          <w:noProof/>
          <w:lang w:val="fr-FR"/>
        </w:rPr>
        <w:t xml:space="preserve">, la Cour des comptes a rendu une </w:t>
      </w:r>
      <w:r>
        <w:rPr>
          <w:rStyle w:val="AMPRcharBoldBlue"/>
          <w:noProof/>
          <w:lang w:val="fr-FR"/>
        </w:rPr>
        <w:t>opinion avec réserve (favorable mais assorti d’observations)</w:t>
      </w:r>
      <w:r>
        <w:rPr>
          <w:noProof/>
          <w:lang w:val="fr-FR"/>
        </w:rPr>
        <w:t xml:space="preserve"> pour le </w:t>
      </w:r>
      <w:r>
        <w:rPr>
          <w:rStyle w:val="AMPRcharBoldBlue"/>
          <w:noProof/>
          <w:lang w:val="fr-FR"/>
        </w:rPr>
        <w:t>budget de l’UE</w:t>
      </w:r>
      <w:r>
        <w:rPr>
          <w:noProof/>
          <w:lang w:val="fr-FR"/>
        </w:rPr>
        <w:t>, mais une opinion défavorable (négative) pour le Fonds européen de développement.</w:t>
      </w:r>
    </w:p>
    <w:p>
      <w:pPr>
        <w:pStyle w:val="AMPRBodyText"/>
        <w:rPr>
          <w:noProof/>
          <w:lang w:val="fr-FR"/>
        </w:rPr>
      </w:pPr>
      <w:r>
        <w:rPr>
          <w:noProof/>
          <w:lang w:val="fr-FR"/>
        </w:rPr>
        <w:t>La Commission donne suite aux recommandations de la Cour des comptes et rend compte des mesures prises dans les rapports annuels d’activités. En outre, la Commission rend régulièrement compte de la mise en œuvre des recommandations au comité de suivi des audits, qui exerce certaines activités de suivi à cet égard dans le cadre de son mandat actualisé</w:t>
      </w:r>
      <w:r>
        <w:rPr>
          <w:rStyle w:val="fnRef"/>
          <w:rFonts w:ascii="Arial" w:hAnsi="Arial"/>
          <w:noProof/>
          <w:lang w:val="fr-FR"/>
        </w:rPr>
        <w:t> </w:t>
      </w:r>
      <w:r>
        <w:rPr>
          <w:rStyle w:val="fnRef"/>
          <w:noProof/>
          <w:lang w:val="fr-FR"/>
        </w:rPr>
        <w:t>(</w:t>
      </w:r>
      <w:r>
        <w:rPr>
          <w:rStyle w:val="fnRefNo"/>
          <w:noProof/>
        </w:rPr>
        <w:footnoteReference w:id="31"/>
      </w:r>
      <w:r>
        <w:rPr>
          <w:rStyle w:val="fnRef"/>
          <w:noProof/>
          <w:lang w:val="fr-FR"/>
        </w:rPr>
        <w:t>)</w:t>
      </w:r>
      <w:r>
        <w:rPr>
          <w:noProof/>
          <w:lang w:val="fr-FR"/>
        </w:rPr>
        <w:t>.</w:t>
      </w:r>
    </w:p>
    <w:p>
      <w:pPr>
        <w:pStyle w:val="AMPRBodyText"/>
        <w:rPr>
          <w:noProof/>
          <w:lang w:val="fr-FR"/>
        </w:rPr>
      </w:pPr>
      <w:r>
        <w:rPr>
          <w:noProof/>
          <w:lang w:val="fr-FR"/>
        </w:rPr>
        <w:t xml:space="preserve">La Cour des comptes surveille la </w:t>
      </w:r>
      <w:r>
        <w:rPr>
          <w:rStyle w:val="AMPRcharBoldBlue"/>
          <w:noProof/>
          <w:lang w:val="fr-FR"/>
        </w:rPr>
        <w:t>mise en œuvre par la Commission des recommandations</w:t>
      </w:r>
      <w:r>
        <w:rPr>
          <w:noProof/>
          <w:lang w:val="fr-FR"/>
        </w:rPr>
        <w:t xml:space="preserve"> et assure un retour d’informations qui aide la Commission à renforcer ses activités de suivi. Dans son rapport annuel 2018, elle a évalué la qualité du suivi par la Commission de 184 recommandations d’audit formulées dans 25 rapports spéciaux publiés en 2015. La Cour des comptes a noté que la Commission avait mis en œuvre, en tout ou à pratiquement tous égards, environ trois quarts des recommandations, et un peu moins d’un cinquième à certains égards. Les autres recommandations n’ont pas été acceptées par la Commission et n’ont donc pas été mises en œuvre. Ces résultats sont globalement similaires à ceux des années précédentes.</w:t>
      </w:r>
    </w:p>
    <w:p>
      <w:pPr>
        <w:pStyle w:val="AMPRSec2TITLE4"/>
        <w:spacing w:before="340" w:after="200"/>
        <w:rPr>
          <w:noProof/>
          <w:lang w:val="fr-FR"/>
        </w:rPr>
      </w:pPr>
      <w:r>
        <w:rPr>
          <w:noProof/>
          <w:lang w:val="fr-FR"/>
        </w:rPr>
        <w:t>Décharge 2018</w:t>
      </w:r>
    </w:p>
    <w:p>
      <w:pPr>
        <w:pStyle w:val="AMPRBodyText"/>
        <w:rPr>
          <w:noProof/>
          <w:lang w:val="fr-FR"/>
        </w:rPr>
      </w:pPr>
      <w:r>
        <w:rPr>
          <w:noProof/>
          <w:lang w:val="fr-FR"/>
        </w:rPr>
        <w:t>Le Parlement européen a donné décharge à la Commission pour l’exercice 2018 par une nette majorité le 14 mai 2020, après avoir examiné les rapports de la Cour des comptes européenne, le paquet d’information financière intégrée de la Commission et la recommandation du Conseil concernant la décharge à donner. La commission du contrôle budgétaire du Parlement européen a également invité certains commissaires et directeurs généraux à des échanges de vues au cours de la procédure de décharge. La résolution du Parlement européen sur la décharge pour l’exercice 2018 contient des recommandations visant à améliorer l’exécution du budget, ainsi que des recommandations liées à des domaines d’action spécifiques et à des situations concernant, par exemple, l’état de droit et des conflits d’intérêts présumés. Comme d’habitude,</w:t>
      </w:r>
      <w:r>
        <w:rPr>
          <w:rStyle w:val="AMPRcharBoldBlue"/>
          <w:noProof/>
          <w:lang w:val="fr-FR"/>
        </w:rPr>
        <w:t xml:space="preserve"> la Commission prend les mesures nécessaires pour mettre en œuvre ces recommandations</w:t>
      </w:r>
      <w:r>
        <w:rPr>
          <w:noProof/>
          <w:lang w:val="fr-FR"/>
        </w:rPr>
        <w:t xml:space="preserve"> et y donnera suite dans un rapport spécifique</w:t>
      </w:r>
      <w:r>
        <w:rPr>
          <w:rStyle w:val="fnRef"/>
          <w:rFonts w:ascii="Arial" w:hAnsi="Arial"/>
          <w:noProof/>
          <w:lang w:val="fr-FR"/>
        </w:rPr>
        <w:t> </w:t>
      </w:r>
      <w:r>
        <w:rPr>
          <w:rStyle w:val="fnRef"/>
          <w:noProof/>
          <w:lang w:val="fr-FR"/>
        </w:rPr>
        <w:t>(</w:t>
      </w:r>
      <w:r>
        <w:rPr>
          <w:rStyle w:val="fnRefNo"/>
          <w:noProof/>
        </w:rPr>
        <w:footnoteReference w:id="32"/>
      </w:r>
      <w:r>
        <w:rPr>
          <w:rStyle w:val="fnRef"/>
          <w:noProof/>
          <w:lang w:val="fr-FR"/>
        </w:rPr>
        <w:t>)</w:t>
      </w:r>
      <w:r>
        <w:rPr>
          <w:noProof/>
          <w:lang w:val="fr-FR"/>
        </w:rPr>
        <w:t>.</w:t>
      </w:r>
    </w:p>
    <w:p>
      <w:pPr>
        <w:pStyle w:val="AMPRSec2TITLE2-numbered"/>
        <w:rPr>
          <w:noProof/>
          <w:lang w:val="fr-FR"/>
        </w:rPr>
      </w:pPr>
      <w:bookmarkStart w:id="39" w:name="_Toc37166574"/>
      <w:bookmarkStart w:id="40" w:name="_Toc37948909"/>
      <w:bookmarkStart w:id="41" w:name="_Toc37955824"/>
      <w:bookmarkStart w:id="42" w:name="_Toc37956057"/>
      <w:r>
        <w:rPr>
          <w:noProof/>
          <w:lang w:val="fr-FR"/>
        </w:rPr>
        <w:t>Développements ultérieurs: perspectives pour 2020 et pour la période 2021-2027</w:t>
      </w:r>
      <w:bookmarkEnd w:id="39"/>
      <w:bookmarkEnd w:id="40"/>
      <w:bookmarkEnd w:id="41"/>
      <w:bookmarkEnd w:id="42"/>
    </w:p>
    <w:p>
      <w:pPr>
        <w:pStyle w:val="AMPRSec2TITLE3-numbered"/>
        <w:spacing w:before="600" w:after="360"/>
        <w:rPr>
          <w:noProof/>
          <w:lang w:val="fr-FR"/>
        </w:rPr>
      </w:pPr>
      <w:r>
        <w:rPr>
          <w:noProof/>
          <w:lang w:val="fr-FR"/>
        </w:rPr>
        <w:t>Effet de la crise sanitaire du coronavirus sur la bonne gestion financière en 2020</w:t>
      </w:r>
    </w:p>
    <w:p>
      <w:pPr>
        <w:pStyle w:val="AMPRBodyText"/>
        <w:rPr>
          <w:noProof/>
          <w:lang w:val="fr-FR"/>
        </w:rPr>
      </w:pPr>
      <w:r>
        <w:rPr>
          <w:noProof/>
          <w:lang w:val="fr-FR"/>
        </w:rPr>
        <w:t>La Commission a pris une série de mesures pour faire face à la crise provoquée par la pandémie de COVID-19, telles que les initiatives d’investissement en réaction au coronavirus pour en atténuer les incidences socio-économiques. La pandémie elle-même, du fait de ses répercussions considérables sur les bénéficiaires de l’UE, les autorités nationales et les services de la Commission, et les mesures prises auront une incidence sur la performance du budget de l’UE, mais présenteront également des défis potentiels pour l’obtention de l’assurance de la Commission.</w:t>
      </w:r>
    </w:p>
    <w:p>
      <w:pPr>
        <w:pStyle w:val="AMPRBodyText"/>
        <w:rPr>
          <w:noProof/>
          <w:lang w:val="fr-FR"/>
        </w:rPr>
      </w:pPr>
      <w:r>
        <w:rPr>
          <w:noProof/>
          <w:lang w:val="fr-FR"/>
        </w:rPr>
        <w:t xml:space="preserve">Par exemple, le contexte spécifique de la crise a nécessité des ajustements des procédures de contrôle et une plus grande souplesse dans la gestion des fonds (par exemple, les Fonds structurels et d’investissement européens) afin de permettre le déploiement rapide des fonds là où ils sont le plus nécessaires. Ces ajustements spécifiques ont été intégrés dans la législation modifiée, au regard de laquelle la conformité sera évaluée pour la période concernée par la crise. </w:t>
      </w:r>
    </w:p>
    <w:p>
      <w:pPr>
        <w:pStyle w:val="AMPRBodyText"/>
        <w:rPr>
          <w:noProof/>
          <w:lang w:val="fr-FR"/>
        </w:rPr>
      </w:pPr>
      <w:r>
        <w:rPr>
          <w:noProof/>
          <w:lang w:val="fr-FR"/>
        </w:rPr>
        <w:t xml:space="preserve">La Commission travaille actuellement à un recensement détaillé de ces nouveaux risques et défis, à l’évaluation de leur incidence et à la mise en place de mesures d’atténuation visant à établir un équilibre entre, d'une part, la flexibilité requise pour mettre des fonds à la disposition des États membres et d’autres partenaires chargés de la mise en œuvre et des bénéficiaires pour lutter contre la crise et, d'autre part, la nécessité de respecter le principe de bonne gestion financière. </w:t>
      </w:r>
    </w:p>
    <w:p>
      <w:pPr>
        <w:pStyle w:val="AMPRSec2TITLE3-numbered"/>
        <w:spacing w:before="600" w:after="360"/>
        <w:rPr>
          <w:noProof/>
          <w:lang w:val="fr-FR"/>
        </w:rPr>
      </w:pPr>
      <w:r>
        <w:rPr>
          <w:noProof/>
          <w:lang w:val="fr-FR"/>
        </w:rPr>
        <w:t>Les efforts visant à assurer une bonne gestion financière sont maintenus dans le prochain cadre financier pluriannuel</w:t>
      </w:r>
    </w:p>
    <w:p>
      <w:pPr>
        <w:pStyle w:val="AMPRBodyText"/>
        <w:rPr>
          <w:noProof/>
          <w:lang w:val="fr-FR"/>
        </w:rPr>
      </w:pPr>
      <w:r>
        <w:rPr>
          <w:noProof/>
          <w:lang w:val="fr-FR"/>
        </w:rPr>
        <w:t xml:space="preserve">La Commission cherche constamment à faire en sorte que le budget de l’UE soit géré conformément aux normes les plus rigoureuses en matière de bonne gestion financière. Dans les circonstances actuelles, ce principe est plus nécessaire que jamais. En mai 2018, la Commission a adopté ses propositions révisées relatives au cadre financier pluriannuel pour la période 2021-2027. Ces propositions réaffirment l’engagement de la Commission en faveur d’une bonne gestion financière, en accordant une attention particulière à l’optimisation de la </w:t>
      </w:r>
      <w:r>
        <w:rPr>
          <w:rStyle w:val="AMPRcharBoldBlue"/>
          <w:noProof/>
          <w:lang w:val="fr-FR"/>
        </w:rPr>
        <w:t>simplification, des synergies et des gains d’efficacité</w:t>
      </w:r>
      <w:r>
        <w:rPr>
          <w:noProof/>
          <w:lang w:val="fr-FR"/>
        </w:rPr>
        <w:t xml:space="preserve">, ainsi qu’à la mise en œuvre de </w:t>
      </w:r>
      <w:r>
        <w:rPr>
          <w:rStyle w:val="AMPRcharBoldBlue"/>
          <w:noProof/>
          <w:lang w:val="fr-FR"/>
        </w:rPr>
        <w:t>systèmes de contrôle qui soient différenciés en fonction des risques et qui présentent un bon rapport coût-efficacité</w:t>
      </w:r>
      <w:r>
        <w:rPr>
          <w:noProof/>
          <w:lang w:val="fr-FR"/>
        </w:rPr>
        <w:t xml:space="preserve">. </w:t>
      </w:r>
    </w:p>
    <w:p>
      <w:pPr>
        <w:pStyle w:val="AMPRBodyText"/>
        <w:rPr>
          <w:noProof/>
          <w:lang w:val="fr-FR"/>
        </w:rPr>
      </w:pPr>
      <w:r>
        <w:rPr>
          <w:noProof/>
          <w:lang w:val="fr-FR"/>
        </w:rPr>
        <w:t>Le but est de réaliser tant les objectifs des stratégies/programmes que les objectifs du contrôle interne, à savoir des paiements rapides, un faible taux d’erreurs et des coûts économiques de contrôle faibles. Parmi les exemples pouvant contribuer à ces trois objectifs, citons l’utilisation accrue des subventions à base de montants forfaitaires (ce qui réduit en outre la nécessité de tenir des registres détaillés) et la possibilité d’octroyer des financements en fonction des réalisations ou des résultats (permettant par exemple de ne plus devoir faire un relevé des heures de travail ni soumettre des factures détaillées pour les coûts encourus).</w:t>
      </w:r>
    </w:p>
    <w:p>
      <w:pPr>
        <w:pStyle w:val="AMPRBodyText"/>
        <w:rPr>
          <w:noProof/>
          <w:lang w:val="fr-FR"/>
        </w:rPr>
      </w:pPr>
      <w:r>
        <w:rPr>
          <w:noProof/>
          <w:lang w:val="fr-FR"/>
        </w:rPr>
        <w:t xml:space="preserve">La bonne gestion financière du budget de l’UE sera également facilitée au moyen de modèles d’acte constitutif et d'instruments de délégation pour les </w:t>
      </w:r>
      <w:r>
        <w:rPr>
          <w:rStyle w:val="AMPRcharBoldBlue"/>
          <w:noProof/>
          <w:lang w:val="fr-FR"/>
        </w:rPr>
        <w:t>futures délégations de programmes aux agences exécutives</w:t>
      </w:r>
      <w:r>
        <w:rPr>
          <w:noProof/>
          <w:lang w:val="fr-FR"/>
        </w:rPr>
        <w:t xml:space="preserve"> au cours du prochain cadre financier pluriannuel, ainsi que des lignes directrices pour la création et le fonctionnement des agences exécutives.</w:t>
      </w:r>
    </w:p>
    <w:p>
      <w:pPr>
        <w:pStyle w:val="AMPRSec2TITLE3-numbered"/>
        <w:spacing w:before="600" w:after="360"/>
        <w:rPr>
          <w:noProof/>
          <w:lang w:val="fr-FR"/>
        </w:rPr>
      </w:pPr>
      <w:r>
        <w:rPr>
          <w:noProof/>
          <w:lang w:val="fr-FR"/>
        </w:rPr>
        <w:t>Renforcement et consolidation de la collaboration avec les États membres</w:t>
      </w:r>
    </w:p>
    <w:p>
      <w:pPr>
        <w:pStyle w:val="AMPRBodyText"/>
        <w:rPr>
          <w:noProof/>
          <w:lang w:val="fr-FR"/>
        </w:rPr>
      </w:pPr>
      <w:r>
        <w:rPr>
          <w:noProof/>
          <w:lang w:val="fr-FR"/>
        </w:rPr>
        <w:t xml:space="preserve">Dans le cadre de l’initiative globale de la Commission visant à renforcer et à </w:t>
      </w:r>
      <w:r>
        <w:rPr>
          <w:rStyle w:val="AMPRcharBoldBlue"/>
          <w:noProof/>
          <w:lang w:val="fr-FR"/>
        </w:rPr>
        <w:t>consolider sa collaboration avec les États membres</w:t>
      </w:r>
      <w:r>
        <w:rPr>
          <w:noProof/>
          <w:lang w:val="fr-FR"/>
        </w:rPr>
        <w:t>, le réseau «Better Spending Network» (composé de représentants des États membres et de la Commission) devrait faciliter l’échange de bonnes pratiques, le partage de connaissances et d’informations, l’identification des faiblesses et la recherche de solutions précoces à des questions liées aux dépenses publiques, y compris dans des domaines tels que les conflits d’intérêts, l’état de droit, la fraude et la corruption. Les contacts avec les États membres auront lieu à un haut niveau (conférence annuelle du groupe de haut niveau du réseau «Better Spending Network») et au niveau technique, avec l’organisation d’ateliers sur des sujets spécifiques.</w:t>
      </w:r>
    </w:p>
    <w:p>
      <w:pPr>
        <w:pStyle w:val="AMPRBodyText"/>
        <w:rPr>
          <w:noProof/>
          <w:lang w:val="fr-FR"/>
        </w:rPr>
      </w:pPr>
      <w:r>
        <w:rPr>
          <w:noProof/>
          <w:lang w:val="fr-FR"/>
        </w:rPr>
        <w:t xml:space="preserve">La question des conflits d’intérêts figure au premier rang des priorités de la Commission et a souvent fait l’objet de discussions et d’appels à l’action, notamment de la part de la commission du contrôle budgétaire du Parlement européen. En guise de réponse, et à la suite de la révision des règles visant à éviter les conflits d’intérêts dans le règlement financier de 2018 qui ont explicitement étendu leur application à la gestion partagée, la Commission élabore actuellement une </w:t>
      </w:r>
      <w:r>
        <w:rPr>
          <w:rStyle w:val="AMPRcharBoldBlue"/>
          <w:noProof/>
          <w:lang w:val="fr-FR"/>
        </w:rPr>
        <w:t>note d’orientation sur la prévention des conflits d’intérêts</w:t>
      </w:r>
      <w:r>
        <w:rPr>
          <w:noProof/>
          <w:lang w:val="fr-FR"/>
        </w:rPr>
        <w:t xml:space="preserve"> couvrant tous les modes de gestion (gestion directe/indirecte/partagée). Son objectif est de faciliter la compréhension des règles en matière de conflits d’intérêts par les différentes parties prenantes qui utilisent les fonds de l’UE, au sein des institutions de l’UE et dans les États membres, et de sensibiliser ces parties prenantes à ces règles . Sa publication est prévue pour la fin de l’année.</w:t>
      </w:r>
    </w:p>
    <w:p>
      <w:pPr>
        <w:pStyle w:val="AMPRBodyText"/>
        <w:spacing w:after="480"/>
        <w:rPr>
          <w:noProof/>
          <w:lang w:val="fr-FR"/>
        </w:rPr>
      </w:pPr>
      <w:r>
        <w:rPr>
          <w:noProof/>
          <w:lang w:val="fr-FR"/>
        </w:rPr>
        <w:t>La Commission envisage également d’autres actions visant à répondre à des préoccupations spécifiques soulevées par le Parlement européen, ainsi qu’aux problèmes ou aux lacunes potentiels recensés au cours de l’année écoulée. Ces actions peuvent comprendre des propositions visant à améliorer la qualité et l’interopérabilité des données relatives aux bénéficiaires de l’UE qui sont mises à la disposition de la Commission et à garantir le recouvrement des fonds de l’UE.</w:t>
      </w:r>
    </w:p>
    <w:p>
      <w:pPr>
        <w:pStyle w:val="AMPRBOXD-bgORANGEWHITEtext-Largefont"/>
        <w:rPr>
          <w:noProof/>
          <w:lang w:val="fr-FR"/>
        </w:rPr>
      </w:pPr>
      <w:r>
        <w:rPr>
          <w:b/>
          <w:bCs/>
          <w:noProof/>
          <w:lang w:val="fr-FR"/>
        </w:rPr>
        <w:t>Sur la base des assurances et des réserves formulées dans les rapports annuels d’activités</w:t>
      </w:r>
      <w:r>
        <w:rPr>
          <w:rStyle w:val="fnRef"/>
          <w:rFonts w:ascii="Arial" w:hAnsi="Arial"/>
          <w:noProof/>
          <w:lang w:val="fr-FR"/>
        </w:rPr>
        <w:t> </w:t>
      </w:r>
      <w:r>
        <w:rPr>
          <w:noProof/>
          <w:lang w:val="fr-FR"/>
        </w:rPr>
        <w:t>(</w:t>
      </w:r>
      <w:r>
        <w:rPr>
          <w:rStyle w:val="fnRefNo"/>
          <w:noProof/>
        </w:rPr>
        <w:footnoteReference w:id="33"/>
      </w:r>
      <w:r>
        <w:rPr>
          <w:rStyle w:val="fnRef"/>
          <w:noProof/>
          <w:lang w:val="fr-FR"/>
        </w:rPr>
        <w:t>)</w:t>
      </w:r>
      <w:r>
        <w:rPr>
          <w:noProof/>
          <w:lang w:val="fr-FR"/>
        </w:rPr>
        <w:t xml:space="preserve">, le collège adopte le présent </w:t>
      </w:r>
      <w:r>
        <w:rPr>
          <w:i/>
          <w:iCs/>
          <w:noProof/>
          <w:lang w:val="fr-FR"/>
        </w:rPr>
        <w:t>Rapport annuel sur la gestion et la performance du budget de l’UE – Exercice 2019</w:t>
      </w:r>
      <w:r>
        <w:rPr>
          <w:noProof/>
          <w:lang w:val="fr-FR"/>
        </w:rPr>
        <w:t xml:space="preserve"> et assume la responsabilité politique générale de la gestion du budget de l’UE.</w:t>
      </w:r>
    </w:p>
    <w:p>
      <w:pPr>
        <w:rPr>
          <w:noProof/>
          <w:lang w:val="fr-FR"/>
        </w:rPr>
        <w:sectPr>
          <w:headerReference w:type="even" r:id="rId39"/>
          <w:headerReference w:type="default" r:id="rId40"/>
          <w:footerReference w:type="even" r:id="rId41"/>
          <w:footerReference w:type="default" r:id="rId42"/>
          <w:headerReference w:type="first" r:id="rId43"/>
          <w:footerReference w:type="first" r:id="rId44"/>
          <w:footnotePr>
            <w:numStart w:val="55"/>
          </w:footnotePr>
          <w:pgSz w:w="11906" w:h="16838"/>
          <w:pgMar w:top="1417" w:right="1417" w:bottom="1134" w:left="1417" w:header="567" w:footer="454" w:gutter="0"/>
          <w:cols w:space="720"/>
          <w:docGrid w:linePitch="360"/>
        </w:sectPr>
      </w:pPr>
    </w:p>
    <w:p>
      <w:pPr>
        <w:rPr>
          <w:noProof/>
          <w:lang w:val="fr-FR"/>
        </w:rPr>
      </w:pPr>
    </w:p>
    <w:p>
      <w:pPr>
        <w:rPr>
          <w:noProof/>
          <w:lang w:val="fr-FR"/>
        </w:rPr>
      </w:pPr>
    </w:p>
    <w:sectPr>
      <w:headerReference w:type="even" r:id="rId45"/>
      <w:headerReference w:type="default" r:id="rId46"/>
      <w:footerReference w:type="even" r:id="rId47"/>
      <w:footerReference w:type="default" r:id="rId48"/>
      <w:headerReference w:type="first" r:id="rId49"/>
      <w:footerReference w:type="first" r:id="rId50"/>
      <w:footnotePr>
        <w:numStart w:val="47"/>
      </w:footnotePr>
      <w:pgSz w:w="11906" w:h="16838"/>
      <w:pgMar w:top="1417" w:right="1417" w:bottom="1134" w:left="1417" w:header="567"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altName w:val="Bahnschrift Light"/>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EC Square Sans Pro Light">
    <w:altName w:val="Corbel"/>
    <w:panose1 w:val="020B0506000000020004"/>
    <w:charset w:val="00"/>
    <w:family w:val="swiss"/>
    <w:pitch w:val="variable"/>
    <w:sig w:usb0="A00002BF" w:usb1="5000E0FB" w:usb2="00000000" w:usb3="00000000" w:csb0="0000019F" w:csb1="00000000"/>
  </w:font>
  <w:font w:name="EC Square Sans Cond Pro Medium">
    <w:altName w:val="Arial"/>
    <w:panose1 w:val="020B0606000000020004"/>
    <w:charset w:val="00"/>
    <w:family w:val="swiss"/>
    <w:pitch w:val="variable"/>
    <w:sig w:usb0="A00002BF" w:usb1="500000D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Arial">
    <w:panose1 w:val="020B0604020202020204"/>
    <w:charset w:val="00"/>
    <w:family w:val="swiss"/>
    <w:pitch w:val="variable"/>
    <w:sig w:usb0="E0002AFF" w:usb1="C0007843" w:usb2="00000009" w:usb3="00000000" w:csb0="000001FF" w:csb1="00000000"/>
  </w:font>
  <w:font w:name="EC Square Sans Pro Medium">
    <w:altName w:val="Corbel"/>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r>
      <w:fldChar w:fldCharType="begin"/>
    </w:r>
    <w:r>
      <w:instrText xml:space="preserve"> PAGE   \* MERGEFORMAT </w:instrText>
    </w:r>
    <w:r>
      <w:fldChar w:fldCharType="separate"/>
    </w:r>
    <w:r>
      <w:t>58</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75</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76</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42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42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Le montant des dépenses pertinentes de la Commission correspond aux paiements effectués en 2019, minorés des préfinancements versés en 2019 et majorés des préfinancements versés les années précédentes et apurés en 2019 (voir l’annexe</w:t>
      </w:r>
      <w:r>
        <w:rPr>
          <w:rFonts w:ascii="Calibri" w:hAnsi="Calibri"/>
          <w:lang w:val="fr-FR"/>
        </w:rPr>
        <w:t> </w:t>
      </w:r>
      <w:r>
        <w:rPr>
          <w:lang w:val="fr-FR"/>
        </w:rPr>
        <w:t>3 pour les définitions et plus de détails).</w:t>
      </w:r>
    </w:p>
  </w:footnote>
  <w:footnote w:id="2">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Communication de la présidente à la Commission: Les méthodes de travail de la Commission européenne, 1.12.2019, p. 3.</w:t>
      </w:r>
    </w:p>
  </w:footnote>
  <w:footnote w:id="3">
    <w:p>
      <w:pPr>
        <w:pStyle w:val="FootnoteText"/>
        <w:tabs>
          <w:tab w:val="left" w:pos="720"/>
          <w:tab w:val="left" w:pos="1440"/>
          <w:tab w:val="left" w:pos="2160"/>
          <w:tab w:val="left" w:pos="2880"/>
          <w:tab w:val="left" w:pos="3600"/>
          <w:tab w:val="left" w:pos="4320"/>
          <w:tab w:val="left" w:pos="5040"/>
          <w:tab w:val="left" w:pos="5760"/>
          <w:tab w:val="left" w:pos="6480"/>
          <w:tab w:val="left" w:pos="7767"/>
        </w:tabs>
        <w:rPr>
          <w:lang w:val="fr-FR"/>
        </w:rPr>
      </w:pPr>
      <w:r>
        <w:rPr>
          <w:rStyle w:val="fnRef"/>
          <w:lang w:val="fr-FR"/>
        </w:rPr>
        <w:t>(</w:t>
      </w:r>
      <w:r>
        <w:rPr>
          <w:rStyle w:val="fnRefNo"/>
        </w:rPr>
        <w:footnoteRef/>
      </w:r>
      <w:r>
        <w:rPr>
          <w:rStyle w:val="fnRef"/>
          <w:lang w:val="fr-FR"/>
        </w:rPr>
        <w:t>)</w:t>
      </w:r>
      <w:r>
        <w:rPr>
          <w:lang w:val="fr-FR"/>
        </w:rPr>
        <w:tab/>
        <w:t>Communication à la Commission: La gouvernance au sein de la Commission européenne, 24.6.2020, C (2020) 4240.</w:t>
      </w:r>
    </w:p>
  </w:footnote>
  <w:footnote w:id="4">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Ils sont formellement dénommés ordonnateurs délégués. Selon l’article 74, paragraphe 1, du règlement financier, «L’ordonnateur est chargé dans l’institution de l’Union concernée d’exécuter les recettes et les dépenses conformément au principe de bonne gestion financière, notamment en faisant rapport sur la performance, et d’en assurer la légalité et la régularité ainsi que de veiller à l’égalité de traitement entre destinataires.»</w:t>
      </w:r>
    </w:p>
  </w:footnote>
  <w:footnote w:id="5">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Directeurs d’agences exécutives, d'offices, de services, de task forces, etc.</w:t>
      </w:r>
    </w:p>
  </w:footnote>
  <w:footnote w:id="6">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 xml:space="preserve">Conformément à l’article 247 du règlement financier, </w:t>
      </w:r>
      <w:r>
        <w:rPr>
          <w:rStyle w:val="FootnoteReference"/>
          <w:lang w:val="fr-FR"/>
        </w:rPr>
        <w:t>l’ensemble de rapports financiers et sur la responsabilité intégrés comprend également: les comptes annuels consolidés de l’Union européenne</w:t>
      </w:r>
      <w:r>
        <w:rPr>
          <w:lang w:val="fr-FR"/>
        </w:rPr>
        <w:t>;</w:t>
      </w:r>
      <w:r>
        <w:rPr>
          <w:rStyle w:val="FootnoteReference"/>
          <w:lang w:val="fr-FR"/>
        </w:rPr>
        <w:t xml:space="preserve"> le rapport sur le suivi de la décharge pour l’exercice précédent</w:t>
      </w:r>
      <w:r>
        <w:rPr>
          <w:lang w:val="fr-FR"/>
        </w:rPr>
        <w:t>;</w:t>
      </w:r>
      <w:r>
        <w:rPr>
          <w:rStyle w:val="FootnoteReference"/>
          <w:lang w:val="fr-FR"/>
        </w:rPr>
        <w:t xml:space="preserve"> le rapport annuel à l’autorité de décharge concernant les audits internes réalisés</w:t>
      </w:r>
      <w:r>
        <w:rPr>
          <w:lang w:val="fr-FR"/>
        </w:rPr>
        <w:t>;</w:t>
      </w:r>
      <w:r>
        <w:rPr>
          <w:rStyle w:val="FootnoteReference"/>
          <w:lang w:val="fr-FR"/>
        </w:rPr>
        <w:t xml:space="preserve"> et les prévisions à long terme concernant les entrées et les sorties futures du budget de l’UE.</w:t>
      </w:r>
    </w:p>
  </w:footnote>
  <w:footnote w:id="7">
    <w:p>
      <w:pPr>
        <w:pStyle w:val="FootnoteText"/>
        <w:rPr>
          <w:lang w:val="en-US"/>
        </w:rPr>
      </w:pPr>
      <w:r>
        <w:rPr>
          <w:rStyle w:val="fnRef"/>
          <w:lang w:val="en-US"/>
        </w:rPr>
        <w:t>(</w:t>
      </w:r>
      <w:r>
        <w:rPr>
          <w:rStyle w:val="fnRefNo"/>
        </w:rPr>
        <w:footnoteRef/>
      </w:r>
      <w:r>
        <w:rPr>
          <w:rStyle w:val="fnRef"/>
          <w:lang w:val="en-US"/>
        </w:rPr>
        <w:t>)</w:t>
      </w:r>
      <w:r>
        <w:rPr>
          <w:lang w:val="en-US"/>
        </w:rPr>
        <w:tab/>
        <w:t>Committee of Sponsoring Organisations of the Treadway Commission.</w:t>
      </w:r>
    </w:p>
  </w:footnote>
  <w:footnote w:id="8">
    <w:p>
      <w:pPr>
        <w:pStyle w:val="FootnoteText"/>
        <w:rPr>
          <w:lang w:val="fr-FR"/>
        </w:rPr>
      </w:pPr>
      <w:r>
        <w:rPr>
          <w:rStyle w:val="fnRef"/>
          <w:lang w:val="fr-FR"/>
        </w:rPr>
        <w:t>(</w:t>
      </w:r>
      <w:r>
        <w:rPr>
          <w:rStyle w:val="fnRefNo"/>
        </w:rPr>
        <w:footnoteRef/>
      </w:r>
      <w:r>
        <w:rPr>
          <w:rStyle w:val="fnRef"/>
          <w:lang w:val="fr-FR"/>
        </w:rPr>
        <w:t>)</w:t>
      </w:r>
      <w:r>
        <w:rPr>
          <w:lang w:val="fr-FR"/>
        </w:rPr>
        <w:tab/>
        <w:t>La DG Budget, en coopération avec le secrétariat général, la DG Ressources humaines et sécurité, la DG Communication et l’Office européen de lutte antifraude.</w:t>
      </w:r>
    </w:p>
  </w:footnote>
  <w:footnote w:id="9">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COM(2018) 324 final</w:t>
      </w:r>
    </w:p>
  </w:footnote>
  <w:footnote w:id="10">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Cour des comptes européenne, rapport annuel relatif à l’exercice 2018, annexe méthodologique</w:t>
      </w:r>
      <w:r>
        <w:rPr>
          <w:rFonts w:ascii="Calibri" w:hAnsi="Calibri"/>
          <w:lang w:val="fr-FR"/>
        </w:rPr>
        <w:t> </w:t>
      </w:r>
      <w:r>
        <w:rPr>
          <w:lang w:val="fr-FR"/>
        </w:rPr>
        <w:t>1.1, points 18 et 19.</w:t>
      </w:r>
    </w:p>
  </w:footnote>
  <w:footnote w:id="11">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Lignes directrices de 2019 de la Commission sur les corrections financières en cas d’irrégularités dans les marchés publics figurant à l’annexe de la décision de la Commission du 14 mai 2019 établissant les lignes directrices pour la détermination des corrections financières à appliquer aux dépenses financées par l’Union en cas de non-respect des règles applicables en matière de marchés publics, C (2019) 3452.</w:t>
      </w:r>
    </w:p>
  </w:footnote>
  <w:footnote w:id="12">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Cour des comptes européenne, rapport annuel relatif à l’exercice 2018, section relative au Fonds européens de développement, point 17.</w:t>
      </w:r>
    </w:p>
  </w:footnote>
  <w:footnote w:id="13">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Pour les dépenses liées à la politique agricole commune, le terme «montant à risque final» est utilisé, étant donné que les mesures du Fonds européen agricole de garantie ne sont pas «clôturées».</w:t>
      </w:r>
    </w:p>
  </w:footnote>
  <w:footnote w:id="14">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Communication de la Commission au Parlement européen, au Conseil, au Comité économique et social européen, au Comité des régions et à la Cour des comptes [COM(2019) 196 final].</w:t>
      </w:r>
    </w:p>
  </w:footnote>
  <w:footnote w:id="15">
    <w:p>
      <w:pPr>
        <w:pStyle w:val="FootnoteText"/>
        <w:rPr>
          <w:lang w:val="fr-FR"/>
        </w:rPr>
      </w:pPr>
      <w:r>
        <w:rPr>
          <w:rStyle w:val="fnRef"/>
          <w:lang w:val="fr-FR"/>
        </w:rPr>
        <w:t>(</w:t>
      </w:r>
      <w:r>
        <w:rPr>
          <w:rStyle w:val="fnRefNo"/>
        </w:rPr>
        <w:footnoteRef/>
      </w:r>
      <w:r>
        <w:rPr>
          <w:rStyle w:val="fnRef"/>
          <w:lang w:val="fr-FR"/>
        </w:rPr>
        <w:t>)</w:t>
      </w:r>
      <w:r>
        <w:rPr>
          <w:rStyle w:val="fnRef"/>
          <w:lang w:val="fr-FR"/>
        </w:rPr>
        <w:tab/>
      </w:r>
      <w:hyperlink r:id="rId1" w:history="1">
        <w:r>
          <w:rPr>
            <w:rStyle w:val="Hyperlink"/>
            <w:lang w:val="fr-FR"/>
          </w:rPr>
          <w:t>https://ec.europa.eu/anti-fraud/sites/antifraud/files/pif_2018_30_years_brochure_en.pdf</w:t>
        </w:r>
      </w:hyperlink>
    </w:p>
  </w:footnote>
  <w:footnote w:id="16">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Le secrétariat général, le service juridique, la DG Ressources humaines et sécurité et la DG Budget.</w:t>
      </w:r>
    </w:p>
  </w:footnote>
  <w:footnote w:id="17">
    <w:p>
      <w:pPr>
        <w:pStyle w:val="FootnoteText"/>
        <w:rPr>
          <w:rStyle w:val="FootnoteReference"/>
          <w:szCs w:val="16"/>
          <w:lang w:val="fr-FR"/>
        </w:rPr>
      </w:pPr>
      <w:r>
        <w:rPr>
          <w:rStyle w:val="fnRef"/>
          <w:lang w:val="fr-FR"/>
        </w:rPr>
        <w:t>(</w:t>
      </w:r>
      <w:r>
        <w:rPr>
          <w:rStyle w:val="fnRefNo"/>
        </w:rPr>
        <w:footnoteRef/>
      </w:r>
      <w:r>
        <w:rPr>
          <w:rStyle w:val="fnRef"/>
          <w:lang w:val="fr-FR"/>
        </w:rPr>
        <w:t>)</w:t>
      </w:r>
      <w:r>
        <w:rPr>
          <w:rStyle w:val="fnRef"/>
          <w:lang w:val="fr-FR"/>
        </w:rPr>
        <w:tab/>
      </w:r>
      <w:r>
        <w:rPr>
          <w:rStyle w:val="FootnoteReference"/>
          <w:szCs w:val="16"/>
          <w:lang w:val="fr-FR"/>
        </w:rPr>
        <w:t>Pour de plus amples informations, consultez</w:t>
      </w:r>
      <w:r>
        <w:rPr>
          <w:lang w:val="fr-FR"/>
        </w:rPr>
        <w:t xml:space="preserve"> les rapports a</w:t>
      </w:r>
      <w:r>
        <w:rPr>
          <w:rStyle w:val="FootnoteReference"/>
          <w:szCs w:val="16"/>
          <w:lang w:val="fr-FR"/>
        </w:rPr>
        <w:t>nnuels</w:t>
      </w:r>
      <w:r>
        <w:rPr>
          <w:lang w:val="fr-FR"/>
        </w:rPr>
        <w:t xml:space="preserve"> de l’</w:t>
      </w:r>
      <w:r>
        <w:rPr>
          <w:rStyle w:val="FootnoteReference"/>
          <w:szCs w:val="16"/>
          <w:lang w:val="fr-FR"/>
        </w:rPr>
        <w:t>Office européen</w:t>
      </w:r>
      <w:r>
        <w:rPr>
          <w:lang w:val="fr-FR"/>
        </w:rPr>
        <w:t xml:space="preserve"> de lutte antifraude à l’adresse suivante: </w:t>
      </w:r>
      <w:hyperlink r:id="rId2" w:history="1">
        <w:r>
          <w:rPr>
            <w:rStyle w:val="AMPRcharHyperlink"/>
            <w:lang w:val="fr-FR"/>
          </w:rPr>
          <w:t>https://ec.europa.eu/anti-fraud/about-us/reports/olaf-report_fr</w:t>
        </w:r>
      </w:hyperlink>
    </w:p>
  </w:footnote>
  <w:footnote w:id="18">
    <w:p>
      <w:pPr>
        <w:pStyle w:val="FootnoteText"/>
        <w:rPr>
          <w:rStyle w:val="FootnoteReference"/>
          <w:szCs w:val="16"/>
          <w:lang w:val="fr-FR"/>
        </w:rPr>
      </w:pPr>
      <w:r>
        <w:rPr>
          <w:rStyle w:val="fnRef"/>
          <w:lang w:val="fr-FR"/>
        </w:rPr>
        <w:t>(</w:t>
      </w:r>
      <w:r>
        <w:rPr>
          <w:rStyle w:val="fnRefNo"/>
        </w:rPr>
        <w:footnoteRef/>
      </w:r>
      <w:r>
        <w:rPr>
          <w:rStyle w:val="fnRef"/>
          <w:lang w:val="fr-FR"/>
        </w:rPr>
        <w:t>)</w:t>
      </w:r>
      <w:r>
        <w:rPr>
          <w:rStyle w:val="fnRef"/>
          <w:lang w:val="fr-FR"/>
        </w:rPr>
        <w:tab/>
      </w:r>
      <w:r>
        <w:rPr>
          <w:rStyle w:val="FootnoteReference"/>
          <w:szCs w:val="16"/>
          <w:lang w:val="fr-FR"/>
        </w:rPr>
        <w:t>La sélection est le processus</w:t>
      </w:r>
      <w:r>
        <w:rPr>
          <w:lang w:val="fr-FR"/>
        </w:rPr>
        <w:t xml:space="preserve"> consistant à </w:t>
      </w:r>
      <w:r>
        <w:rPr>
          <w:rStyle w:val="FootnoteReference"/>
          <w:szCs w:val="16"/>
          <w:lang w:val="fr-FR"/>
        </w:rPr>
        <w:t>examiner les informations entrantes et</w:t>
      </w:r>
      <w:r>
        <w:rPr>
          <w:lang w:val="fr-FR"/>
        </w:rPr>
        <w:t xml:space="preserve"> à élaborer la </w:t>
      </w:r>
      <w:r>
        <w:rPr>
          <w:rStyle w:val="FootnoteReference"/>
          <w:szCs w:val="16"/>
          <w:lang w:val="fr-FR"/>
        </w:rPr>
        <w:t>décision</w:t>
      </w:r>
      <w:r>
        <w:rPr>
          <w:lang w:val="fr-FR"/>
        </w:rPr>
        <w:t xml:space="preserve"> </w:t>
      </w:r>
      <w:r>
        <w:rPr>
          <w:rStyle w:val="FootnoteReference"/>
          <w:szCs w:val="16"/>
          <w:lang w:val="fr-FR"/>
        </w:rPr>
        <w:t>du</w:t>
      </w:r>
      <w:r>
        <w:rPr>
          <w:lang w:val="fr-FR"/>
        </w:rPr>
        <w:t xml:space="preserve"> directeur général de l’Office européen de lutte antifraude</w:t>
      </w:r>
      <w:r>
        <w:rPr>
          <w:rStyle w:val="FootnoteReference"/>
          <w:szCs w:val="16"/>
          <w:lang w:val="fr-FR"/>
        </w:rPr>
        <w:t xml:space="preserve"> sur la question de savoir</w:t>
      </w:r>
      <w:r>
        <w:rPr>
          <w:lang w:val="fr-FR"/>
        </w:rPr>
        <w:t xml:space="preserve"> </w:t>
      </w:r>
      <w:r>
        <w:rPr>
          <w:rStyle w:val="FootnoteReference"/>
          <w:szCs w:val="16"/>
          <w:lang w:val="fr-FR"/>
        </w:rPr>
        <w:t>si une enquête doit être ouverte</w:t>
      </w:r>
      <w:r>
        <w:rPr>
          <w:lang w:val="fr-FR"/>
        </w:rPr>
        <w:t xml:space="preserve"> ou non</w:t>
      </w:r>
      <w:r>
        <w:rPr>
          <w:rStyle w:val="FootnoteReference"/>
          <w:szCs w:val="16"/>
          <w:lang w:val="fr-FR"/>
        </w:rPr>
        <w:t>.</w:t>
      </w:r>
    </w:p>
  </w:footnote>
  <w:footnote w:id="19">
    <w:p>
      <w:pPr>
        <w:pStyle w:val="FootnoteText"/>
        <w:rPr>
          <w:strike/>
          <w:lang w:val="fr-FR"/>
        </w:rPr>
      </w:pPr>
      <w:r>
        <w:rPr>
          <w:rStyle w:val="fnRef"/>
          <w:lang w:val="fr-FR"/>
        </w:rPr>
        <w:t>(</w:t>
      </w:r>
      <w:r>
        <w:rPr>
          <w:rStyle w:val="fnRefNo"/>
        </w:rPr>
        <w:footnoteRef/>
      </w:r>
      <w:r>
        <w:rPr>
          <w:rStyle w:val="fnRef"/>
          <w:lang w:val="fr-FR"/>
        </w:rPr>
        <w:t>)</w:t>
      </w:r>
      <w:r>
        <w:rPr>
          <w:rStyle w:val="fnRef"/>
          <w:lang w:val="fr-FR"/>
        </w:rPr>
        <w:tab/>
      </w:r>
      <w:r>
        <w:rPr>
          <w:lang w:val="fr-FR"/>
        </w:rPr>
        <w:t>Les dépenses du Fonds européen pour les affaires maritimes et la pêche, bien qu’incluses sous la rubrique «Ressources naturelles», suivent le même mécanisme de mise en œuvre que les dépenses de cohésion.</w:t>
      </w:r>
    </w:p>
  </w:footnote>
  <w:footnote w:id="20">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Étant donné qu’il n’y a pas de clôture des mesures du Fonds européen agricole de garantie, dans le domaine des dépenses agricoles, le risque à la clôture est remplacé par le montant final à risque.</w:t>
      </w:r>
    </w:p>
  </w:footnote>
  <w:footnote w:id="21">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Le Fonds européen pour les affaires maritimes et la pêche partage les systèmes de gestion et de contrôle de la politique de cohésion.</w:t>
      </w:r>
    </w:p>
  </w:footnote>
  <w:footnote w:id="22">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Tels que Galileo et le système européen de navigation par recouvrement géostationnaire (système européen de navigation par satellite) et Copernicus (système d’observation de la Terre de l’Union).</w:t>
      </w:r>
    </w:p>
  </w:footnote>
  <w:footnote w:id="23">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La fiche financière législative accompagnant la proposition de la Commission relative au règlement Horizon 2020 indique ce qui suit: «La Commission considère donc que, pour les dépenses de recherche au titre d’“Horizon 2020”, un risque d’erreur, sur une base annuelle, compris entre 2 et 5 % constitue un objectif réaliste tenant compte des coûts du contrôle, des mesures de simplification proposées pour réduire la complexité des règles et du risque inhérent au remboursement des coûts des projets de recherche. Le but ultime en matière de taux d’erreur résiduel à la clôture des programmes pluriannuels, une fois prise en considération l’incidence financière de tous les audits ainsi que des mesures de correction et de recouvrement, est qu’il soit aussi proche que possible de 2 %.»</w:t>
      </w:r>
    </w:p>
  </w:footnote>
  <w:footnote w:id="24">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Cet aspect est également reconnu par la Cour des comptes européenne (dans son rapport annuel 2018, points 1.16-32).</w:t>
      </w:r>
    </w:p>
  </w:footnote>
  <w:footnote w:id="25">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 xml:space="preserve">Cour des comptes européenne, </w:t>
      </w:r>
      <w:r>
        <w:rPr>
          <w:rStyle w:val="AMPRcharItalic"/>
          <w:lang w:val="fr-FR"/>
        </w:rPr>
        <w:t>rapport spécial nº</w:t>
      </w:r>
      <w:r>
        <w:rPr>
          <w:rStyle w:val="AMPRcharItalic"/>
          <w:rFonts w:ascii="Calibri" w:hAnsi="Calibri"/>
          <w:lang w:val="fr-FR"/>
        </w:rPr>
        <w:t> </w:t>
      </w:r>
      <w:r>
        <w:rPr>
          <w:rStyle w:val="AMPRcharItalic"/>
          <w:lang w:val="fr-FR"/>
        </w:rPr>
        <w:t>7/2020, Mise en œuvre de la politique de cohésion: coûts relativement faibles, mais manque d’informations pour pouvoir évaluer les économies liées à la simplification</w:t>
      </w:r>
      <w:r>
        <w:rPr>
          <w:lang w:val="fr-FR"/>
        </w:rPr>
        <w:t>, 16.4.2020</w:t>
      </w:r>
    </w:p>
  </w:footnote>
  <w:footnote w:id="26">
    <w:p>
      <w:pPr>
        <w:pStyle w:val="FootnoteText"/>
        <w:rPr>
          <w:szCs w:val="16"/>
          <w:lang w:val="fr-FR"/>
        </w:rPr>
      </w:pPr>
      <w:r>
        <w:rPr>
          <w:rStyle w:val="fnRef"/>
          <w:lang w:val="fr-FR"/>
        </w:rPr>
        <w:t>(</w:t>
      </w:r>
      <w:r>
        <w:rPr>
          <w:rStyle w:val="fnRefNo"/>
        </w:rPr>
        <w:footnoteRef/>
      </w:r>
      <w:r>
        <w:rPr>
          <w:rStyle w:val="fnRef"/>
          <w:lang w:val="fr-FR"/>
        </w:rPr>
        <w:t>)</w:t>
      </w:r>
      <w:r>
        <w:rPr>
          <w:rStyle w:val="fnRef"/>
          <w:lang w:val="fr-FR"/>
        </w:rPr>
        <w:tab/>
      </w:r>
      <w:hyperlink r:id="rId3" w:history="1">
        <w:r>
          <w:rPr>
            <w:rStyle w:val="AMPRcharHyperlink"/>
            <w:lang w:val="fr-FR"/>
          </w:rPr>
          <w:t>https://ec.europa.eu/info/publications/annual-activity-reports_fr</w:t>
        </w:r>
      </w:hyperlink>
    </w:p>
  </w:footnote>
  <w:footnote w:id="27">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Dernière édition: C(2020) 1760 final</w:t>
      </w:r>
    </w:p>
  </w:footnote>
  <w:footnote w:id="28">
    <w:p>
      <w:pPr>
        <w:pStyle w:val="FootnoteText"/>
        <w:rPr>
          <w:lang w:val="fr-FR"/>
        </w:rPr>
      </w:pPr>
      <w:r>
        <w:rPr>
          <w:rStyle w:val="fnRef"/>
          <w:lang w:val="fr-FR"/>
        </w:rPr>
        <w:t>(</w:t>
      </w:r>
      <w:r>
        <w:rPr>
          <w:rStyle w:val="fnRefNo"/>
        </w:rPr>
        <w:footnoteRef/>
      </w:r>
      <w:r>
        <w:rPr>
          <w:rStyle w:val="fnRef"/>
          <w:lang w:val="fr-FR"/>
        </w:rPr>
        <w:t>)</w:t>
      </w:r>
      <w:r>
        <w:rPr>
          <w:rStyle w:val="fnRef"/>
          <w:lang w:val="fr-FR"/>
        </w:rPr>
        <w:tab/>
        <w:t>Le comité de suivi des audits compte neuf membres. Six au maximum sont membres de la Commission, et au moins trois sont des personnes extérieures disposant d’une expertise professionnelle avérée en audit et dans des matières connexes.</w:t>
      </w:r>
      <w:r>
        <w:rPr>
          <w:lang w:val="fr-FR"/>
        </w:rPr>
        <w:t xml:space="preserve"> La moitié des membres du comité de suivi des audits issus de la Commission est renouvelée à la moitié du mandat. Les contrats avec les membres extérieurs sont établis chaque année.</w:t>
      </w:r>
    </w:p>
  </w:footnote>
  <w:footnote w:id="29">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Principalement en ce qui concerne six services (DG Agriculture et développement rural, DG Protection civile et opérations d’aide humanitaire européennes, DG Ressources humaines et sécurité, DG Voisinage et négociations d’élargissement, DG Recherche et innovation et Agence exécutive pour la recherche).</w:t>
      </w:r>
    </w:p>
  </w:footnote>
  <w:footnote w:id="30">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Les principaux risques portaient sur divers problèmes liés à l’environnement de contrôle comptable, à l’enregistrement des remboursements provenant d’instruments financiers, à l'apurement en temps utile des préfinancements, à l’émission en temps utile d’ordres de recouvrement et à des questions liées à la synchronisation de la comptabilité d’exercice avec les systèmes locaux de technologies de l’information.</w:t>
      </w:r>
    </w:p>
  </w:footnote>
  <w:footnote w:id="31">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Communication à la Commission: Actualisation de la charte du comité de suivi des audits de la Commission européenne, 27 février 2020, C(2020)1165.</w:t>
      </w:r>
    </w:p>
  </w:footnote>
  <w:footnote w:id="32">
    <w:p>
      <w:pPr>
        <w:pStyle w:val="FootnoteText"/>
        <w:rPr>
          <w:lang w:val="fr-FR"/>
        </w:rPr>
      </w:pPr>
      <w:r>
        <w:rPr>
          <w:rStyle w:val="fnRef"/>
          <w:lang w:val="fr-FR"/>
        </w:rPr>
        <w:t>(</w:t>
      </w:r>
      <w:r>
        <w:rPr>
          <w:rStyle w:val="fnRefNo"/>
        </w:rPr>
        <w:footnoteRef/>
      </w:r>
      <w:r>
        <w:rPr>
          <w:rStyle w:val="fnRef"/>
          <w:lang w:val="fr-FR"/>
        </w:rPr>
        <w:t>)</w:t>
      </w:r>
      <w:r>
        <w:rPr>
          <w:rStyle w:val="fnRef"/>
          <w:lang w:val="fr-FR"/>
        </w:rPr>
        <w:tab/>
        <w:t>Rapport sur le suivi de la décharge pour l’exercice 2018, qui fera également partie de l’ensemble de rapports financiers et sur la responsabilité intégrés de la Commission.</w:t>
      </w:r>
    </w:p>
  </w:footnote>
  <w:footnote w:id="33">
    <w:p>
      <w:pPr>
        <w:pStyle w:val="FootnoteText"/>
        <w:rPr>
          <w:lang w:val="fr-FR"/>
        </w:rPr>
      </w:pPr>
      <w:r>
        <w:rPr>
          <w:rStyle w:val="fnRef"/>
          <w:lang w:val="fr-FR"/>
        </w:rPr>
        <w:t>(</w:t>
      </w:r>
      <w:r>
        <w:rPr>
          <w:rStyle w:val="fnRefNo"/>
        </w:rPr>
        <w:footnoteRef/>
      </w:r>
      <w:r>
        <w:rPr>
          <w:rStyle w:val="fnRef"/>
          <w:lang w:val="fr-FR"/>
        </w:rPr>
        <w:t>)</w:t>
      </w:r>
      <w:r>
        <w:rPr>
          <w:rStyle w:val="fnRef"/>
          <w:lang w:val="fr-FR"/>
        </w:rPr>
        <w:tab/>
      </w:r>
      <w:r>
        <w:rPr>
          <w:lang w:val="fr-FR"/>
        </w:rPr>
        <w:t>Article</w:t>
      </w:r>
      <w:r>
        <w:rPr>
          <w:rFonts w:ascii="Calibri" w:hAnsi="Calibri"/>
          <w:lang w:val="fr-FR"/>
        </w:rPr>
        <w:t> </w:t>
      </w:r>
      <w:r>
        <w:rPr>
          <w:lang w:val="fr-FR"/>
        </w:rPr>
        <w:t>74, paragraphe 9, du règlement financier.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pPr>
    <w:r>
      <w:rPr>
        <w:lang w:eastAsia="en-GB"/>
      </w:rPr>
      <mc:AlternateContent>
        <mc:Choice Requires="wps">
          <w:drawing>
            <wp:anchor distT="0" distB="0" distL="114300" distR="114300" simplePos="0" relativeHeight="251655168" behindDoc="0" locked="0" layoutInCell="1" allowOverlap="1">
              <wp:simplePos x="0" y="0"/>
              <wp:positionH relativeFrom="page">
                <wp:align>left</wp:align>
              </wp:positionH>
              <wp:positionV relativeFrom="page">
                <wp:align>top</wp:align>
              </wp:positionV>
              <wp:extent cx="7621200" cy="212400"/>
              <wp:effectExtent l="0" t="0" r="0" b="0"/>
              <wp:wrapNone/>
              <wp:docPr id="245" name="Rectangle 24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BF3F9C" id="Rectangle 245" o:spid="_x0000_s1026" style="position:absolute;margin-left:0;margin-top:0;width:600.1pt;height:16.7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CyARoq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572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6" name="Rectangle 24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9F8034" id="Rectangle 246" o:spid="_x0000_s1026" style="position:absolute;margin-left:-3.7pt;margin-top:-116.05pt;width:8.85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DXApGJcCAACIBQAADgAAAAAAAAAAAAAAAAAuAgAAZHJzL2Uyb0Rv&#10;Yy54bWxQSwECLQAUAAYACAAAACEAmVzIut8AAAALAQAADwAAAAAAAAAAAAAAAADxBAAAZHJzL2Rv&#10;d25yZXYueG1sUEsFBgAAAAAEAAQA8wAAAP0FAAAAAA==&#10;" fillcolor="#3fb296" stroked="f" strokeweight="1pt"/>
          </w:pict>
        </mc:Fallback>
      </mc:AlternateContent>
    </w:r>
    <w:r>
      <w:rPr>
        <w:lang w:eastAsia="en-GB"/>
      </w:rPr>
      <w:t>Annual Management and Performance Report for the EU Budget – Financial year 2019</w:t>
    </w:r>
    <w:r>
      <w:rPr>
        <w:lang w:eastAsia="en-GB"/>
      </w:rPr>
      <mc:AlternateContent>
        <mc:Choice Requires="wps">
          <w:drawing>
            <wp:anchor distT="0" distB="0" distL="114300" distR="114300" simplePos="0" relativeHeight="2516531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7" name="Rectangle 24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ECE576" id="Rectangle 247" o:spid="_x0000_s1026" style="position:absolute;margin-left:-3.7pt;margin-top:-116.05pt;width:8.85pt;height:3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RFmQIAAIg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vfRRFmQIAAIgFAAAOAAAAAAAAAAAAAAAAAC4CAABkcnMvZTJv&#10;RG9jLnhtbFBLAQItABQABgAIAAAAIQCZXMi63wAAAAsBAAAPAAAAAAAAAAAAAAAAAPMEAABkcnMv&#10;ZG93bnJldi54bWxQSwUGAAAAAAQABADzAAAA/wUAAAAA&#10;" fillcolor="#3fb296" stroked="f" strokeweight="1pt"/>
          </w:pict>
        </mc:Fallback>
      </mc:AlternateContent>
    </w:r>
    <w:r>
      <w:rPr>
        <w:lang w:eastAsia="en-GB"/>
      </w:rPr>
      <mc:AlternateContent>
        <mc:Choice Requires="wps">
          <w:drawing>
            <wp:anchor distT="0" distB="0" distL="114300" distR="114300" simplePos="0" relativeHeight="25165107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8" name="Rectangle 24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E52475" id="Rectangle 248" o:spid="_x0000_s1026" style="position:absolute;margin-left:-3.7pt;margin-top:-116.05pt;width:8.85pt;height:3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2J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ji&#10;p9K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hxx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TOK2J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rPr>
        <w:lang w:val="fr-FR"/>
      </w:rPr>
    </w:pPr>
    <w:r>
      <w:rPr>
        <w:lang w:eastAsia="en-GB"/>
      </w:rPr>
      <mc:AlternateContent>
        <mc:Choice Requires="wps">
          <w:drawing>
            <wp:anchor distT="0" distB="0" distL="114300" distR="114300" simplePos="0" relativeHeight="251656192" behindDoc="0" locked="0" layoutInCell="1" allowOverlap="1">
              <wp:simplePos x="0" y="0"/>
              <wp:positionH relativeFrom="page">
                <wp:align>left</wp:align>
              </wp:positionH>
              <wp:positionV relativeFrom="page">
                <wp:align>top</wp:align>
              </wp:positionV>
              <wp:extent cx="7621200" cy="212400"/>
              <wp:effectExtent l="0" t="0" r="0" b="0"/>
              <wp:wrapNone/>
              <wp:docPr id="241" name="Rectangle 24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37CDF1" id="Rectangle 241" o:spid="_x0000_s1026" style="position:absolute;margin-left:0;margin-top:0;width:600.1pt;height:16.7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eqLOn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582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2" name="Rectangle 2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53F111" id="Rectangle 242" o:spid="_x0000_s1026" style="position:absolute;margin-left:-3.7pt;margin-top:-116.05pt;width:8.85pt;height:3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y3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gW&#10;lGj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Q46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EQ6y3mQIAAIgFAAAOAAAAAAAAAAAAAAAAAC4CAABkcnMvZTJv&#10;RG9jLnhtbFBLAQItABQABgAIAAAAIQCZXMi63wAAAAsBAAAPAAAAAAAAAAAAAAAAAPMEAABkcnMv&#10;ZG93bnJldi54bWxQSwUGAAAAAAQABADzAAAA/wUAAAAA&#10;" fillcolor="#3fb296" stroked="f" strokeweight="1pt"/>
          </w:pict>
        </mc:Fallback>
      </mc:AlternateContent>
    </w:r>
    <w:r>
      <w:rPr>
        <w:lang w:val="fr-FR"/>
      </w:rPr>
      <w:t xml:space="preserve"> Section 2 – Contrôle interne et gestion financière</w:t>
    </w:r>
    <w:r>
      <w:rPr>
        <w:lang w:val="fr-FR" w:eastAsia="en-US"/>
      </w:rPr>
      <w:t xml:space="preserve"> </w:t>
    </w:r>
    <w:r>
      <w:rPr>
        <w:lang w:eastAsia="en-GB"/>
      </w:rPr>
      <mc:AlternateContent>
        <mc:Choice Requires="wps">
          <w:drawing>
            <wp:anchor distT="0" distB="0" distL="114300" distR="114300" simplePos="0" relativeHeight="2516541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3" name="Rectangle 24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D35E05" id="Rectangle 243" o:spid="_x0000_s1026" style="position:absolute;margin-left:-3.7pt;margin-top:-116.05pt;width:8.85pt;height:3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Hq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mTpHqmQIAAIgFAAAOAAAAAAAAAAAAAAAAAC4CAABkcnMvZTJv&#10;RG9jLnhtbFBLAQItABQABgAIAAAAIQCZXMi63wAAAAsBAAAPAAAAAAAAAAAAAAAAAPMEAABkcnMv&#10;ZG93bnJldi54bWxQSwUGAAAAAAQABADzAAAA/wUAAAAA&#10;" fillcolor="#3fb296" stroked="f" strokeweight="1pt"/>
          </w:pict>
        </mc:Fallback>
      </mc:AlternateContent>
    </w:r>
    <w:r>
      <w:rPr>
        <w:lang w:eastAsia="en-GB"/>
      </w:rPr>
      <mc:AlternateContent>
        <mc:Choice Requires="wps">
          <w:drawing>
            <wp:anchor distT="0" distB="0" distL="114300" distR="114300" simplePos="0" relativeHeight="2516520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4" name="Rectangle 24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1E53DD" id="Rectangle 244" o:spid="_x0000_s1026" style="position:absolute;margin-left:-3.7pt;margin-top:-116.05pt;width:8.85pt;height:3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Oi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hO&#10;KdG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hxx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JalOi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eastAsia="en-GB"/>
      </w:rPr>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560000" cy="10692000"/>
          <wp:effectExtent l="0" t="0" r="3175"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68480" behindDoc="0" locked="0" layoutInCell="1" allowOverlap="1">
              <wp:simplePos x="0" y="0"/>
              <wp:positionH relativeFrom="page">
                <wp:align>left</wp:align>
              </wp:positionH>
              <wp:positionV relativeFrom="page">
                <wp:align>top</wp:align>
              </wp:positionV>
              <wp:extent cx="7621200" cy="212400"/>
              <wp:effectExtent l="0" t="0" r="0" b="0"/>
              <wp:wrapNone/>
              <wp:docPr id="254" name="Rectangle 25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681363" id="Rectangle 254" o:spid="_x0000_s1026" style="position:absolute;margin-left:0;margin-top:0;width:600.1pt;height:16.7pt;z-index:2516684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1ejwIAAIw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q4L1e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695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5" name="Rectangle 25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A2ECAC" id="Rectangle 255" o:spid="_x0000_s1026" style="position:absolute;margin-left:-3.7pt;margin-top:-116.05pt;width:8.85pt;height:3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0lqPXJoCAACIBQAADgAAAAAAAAAAAAAAAAAuAgAAZHJzL2Uy&#10;b0RvYy54bWxQSwECLQAUAAYACAAAACEAmVzIut8AAAALAQAADwAAAAAAAAAAAAAAAAD0BAAAZHJz&#10;L2Rvd25yZXYueG1sUEsFBgAAAAAEAAQA8wAAAAAGAAAAAA==&#10;" fillcolor="#3fb296" stroked="f" strokeweight="1pt"/>
          </w:pict>
        </mc:Fallback>
      </mc:AlternateContent>
    </w:r>
    <w:r>
      <w:t xml:space="preserve"> </w:t>
    </w:r>
    <w:r>
      <w:rPr>
        <w:lang w:eastAsia="en-GB"/>
      </w:rPr>
      <w:t>Section 2 – Internal control and financial management</w:t>
    </w:r>
    <w:r>
      <w:rPr>
        <w:lang w:eastAsia="en-GB"/>
      </w:rPr>
      <mc:AlternateContent>
        <mc:Choice Requires="wps">
          <w:drawing>
            <wp:anchor distT="0" distB="0" distL="114300" distR="114300" simplePos="0" relativeHeight="2516674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 name="Rectangle 3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D255A8" id="Rectangle 32" o:spid="_x0000_s1026" style="position:absolute;margin-left:-3.7pt;margin-top:-116.05pt;width:8.85pt;height:3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1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Mf5ivWYAgAAhgUAAA4AAAAAAAAAAAAAAAAALgIAAGRycy9lMm9E&#10;b2MueG1sUEsBAi0AFAAGAAgAAAAhAJlcyLrfAAAACwEAAA8AAAAAAAAAAAAAAAAA8gQAAGRycy9k&#10;b3ducmV2LnhtbFBLBQYAAAAABAAEAPMAAAD+BQAAAAA=&#10;" fillcolor="#3fb296" stroked="f" strokeweight="1pt"/>
          </w:pict>
        </mc:Fallback>
      </mc:AlternateContent>
    </w:r>
    <w:r>
      <w:rPr>
        <w:lang w:eastAsia="en-GB"/>
      </w:rPr>
      <mc:AlternateContent>
        <mc:Choice Requires="wps">
          <w:drawing>
            <wp:anchor distT="0" distB="0" distL="114300" distR="114300" simplePos="0" relativeHeight="2516664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3" name="Rectangle 3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2BA765" id="Rectangle 33" o:spid="_x0000_s1026" style="position:absolute;margin-left:-3.7pt;margin-top:-116.05pt;width:8.85pt;height:3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qTmAIAAIY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LiQ6pO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eastAsia="en-GB"/>
      </w:rPr>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560000" cy="10692000"/>
          <wp:effectExtent l="0" t="0" r="317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49024" behindDoc="0" locked="0" layoutInCell="1" allowOverlap="1">
              <wp:simplePos x="0" y="0"/>
              <wp:positionH relativeFrom="page">
                <wp:align>left</wp:align>
              </wp:positionH>
              <wp:positionV relativeFrom="page">
                <wp:align>top</wp:align>
              </wp:positionV>
              <wp:extent cx="7621200" cy="212400"/>
              <wp:effectExtent l="0" t="0" r="0" b="0"/>
              <wp:wrapNone/>
              <wp:docPr id="2" name="Rectangle 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FEE798" id="Rectangle 2" o:spid="_x0000_s1026" style="position:absolute;margin-left:0;margin-top:0;width:600.1pt;height:16.7pt;z-index:2516490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500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1" name="Rectangle 3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5B4EFD" id="Rectangle 31" o:spid="_x0000_s1026" style="position:absolute;margin-left:-3.7pt;margin-top:-116.05pt;width:8.85pt;height:3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pf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S4o&#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wH7GfMLl6DvVfDVVpon3FtLENUVDHNMXZJubeDcOXTjsDFw8VyGc1w&#10;YA3zN/rR8AAeWA19+bR/Ztb0zeux629hmFs2f9fDyTZ4alhuPcgmNvgLrz3fOOyxcfrFFLbJazla&#10;vazPxW8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EZCKl+YAgAAhgUAAA4AAAAAAAAAAAAAAAAALgIAAGRycy9lMm9E&#10;b2MueG1sUEsBAi0AFAAGAAgAAAAhAJlcyLrfAAAACwEAAA8AAAAAAAAAAAAAAAAA8gQAAGRycy9k&#10;b3ducmV2LnhtbFBLBQYAAAAABAAEAPMAAAD+BQAAAAA=&#10;" fillcolor="#3fb296" stroked="f" strokeweight="1pt"/>
          </w:pict>
        </mc:Fallback>
      </mc:AlternateContent>
    </w:r>
    <w:r>
      <w:t>2019 Annual Management and Performance Report</w:t>
    </w:r>
    <w:r>
      <w:rPr>
        <w:lang w:eastAsia="en-GB"/>
      </w:rPr>
      <mc:AlternateContent>
        <mc:Choice Requires="wps">
          <w:drawing>
            <wp:anchor distT="0" distB="0" distL="114300" distR="114300" simplePos="0" relativeHeight="2516469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6" name="Rectangle 2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8B71D1" id="Rectangle 236" o:spid="_x0000_s1026" style="position:absolute;margin-left:-3.7pt;margin-top:-116.05pt;width:8.85pt;height:3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4M5sxZcCAACIBQAADgAAAAAAAAAAAAAAAAAuAgAAZHJzL2Uyb0Rv&#10;Yy54bWxQSwECLQAUAAYACAAAACEAmVzIut8AAAALAQAADwAAAAAAAAAAAAAAAADxBAAAZHJzL2Rv&#10;d25yZXYueG1sUEsFBgAAAAAEAAQA8wAAAP0FAAAAAA==&#10;" fillcolor="#3fb296" stroked="f" strokeweight="1pt"/>
          </w:pict>
        </mc:Fallback>
      </mc:AlternateContent>
    </w:r>
    <w:r>
      <w:rPr>
        <w:lang w:eastAsia="en-GB"/>
      </w:rPr>
      <mc:AlternateContent>
        <mc:Choice Requires="wps">
          <w:drawing>
            <wp:anchor distT="0" distB="0" distL="114300" distR="114300" simplePos="0" relativeHeight="2516459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9" name="Rectangle 5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3BA146" id="Rectangle 59" o:spid="_x0000_s1026" style="position:absolute;margin-left:-3.7pt;margin-top:-116.05pt;width:8.85pt;height:3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A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t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GclkDW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eastAsia="en-GB"/>
      </w:rPr>
      <w:drawing>
        <wp:anchor distT="0" distB="0" distL="114300" distR="114300" simplePos="0" relativeHeight="251648000" behindDoc="0" locked="0" layoutInCell="1" allowOverlap="1">
          <wp:simplePos x="0" y="0"/>
          <wp:positionH relativeFrom="page">
            <wp:posOffset>0</wp:posOffset>
          </wp:positionH>
          <wp:positionV relativeFrom="page">
            <wp:posOffset>0</wp:posOffset>
          </wp:positionV>
          <wp:extent cx="7560000" cy="10692000"/>
          <wp:effectExtent l="0" t="0" r="317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rPr>
        <w:lang w:val="fr-FR"/>
      </w:rPr>
    </w:pPr>
    <w:r>
      <w:rPr>
        <w:lang w:eastAsia="en-GB"/>
      </w:rPr>
      <mc:AlternateContent>
        <mc:Choice Requires="wps">
          <w:drawing>
            <wp:anchor distT="0" distB="0" distL="114300" distR="114300" simplePos="0" relativeHeight="251662336" behindDoc="0" locked="0" layoutInCell="1" allowOverlap="1">
              <wp:simplePos x="0" y="0"/>
              <wp:positionH relativeFrom="page">
                <wp:align>left</wp:align>
              </wp:positionH>
              <wp:positionV relativeFrom="page">
                <wp:align>top</wp:align>
              </wp:positionV>
              <wp:extent cx="7621200" cy="212400"/>
              <wp:effectExtent l="0" t="0" r="0" b="0"/>
              <wp:wrapNone/>
              <wp:docPr id="238" name="Rectangle 23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985C7A" id="Rectangle 238" o:spid="_x0000_s1026" style="position:absolute;margin-left:0;margin-top:0;width:600.1pt;height:16.7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WE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AbiWE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6336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0" name="Rectangle 24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41F68B" id="Rectangle 240" o:spid="_x0000_s1026" style="position:absolute;margin-left:-3.7pt;margin-top:-116.05pt;width:8.85pt;height:3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ABZ1g2YAgAAiAUAAA4AAAAAAAAAAAAAAAAALgIAAGRycy9lMm9E&#10;b2MueG1sUEsBAi0AFAAGAAgAAAAhAJlcyLrfAAAACwEAAA8AAAAAAAAAAAAAAAAA8gQAAGRycy9k&#10;b3ducmV2LnhtbFBLBQYAAAAABAAEAPMAAAD+BQAAAAA=&#10;" fillcolor="#3fb296" stroked="f" strokeweight="1pt"/>
          </w:pict>
        </mc:Fallback>
      </mc:AlternateContent>
    </w:r>
    <w:r>
      <w:rPr>
        <w:lang w:val="fr-FR"/>
      </w:rPr>
      <w:t xml:space="preserve"> Rapport annuel 2019 sur la gestion et la performance</w:t>
    </w:r>
    <w:r>
      <w:rPr>
        <w:lang w:val="fr-FR" w:eastAsia="en-US"/>
      </w:rPr>
      <w:t xml:space="preserve"> </w:t>
    </w:r>
    <w:r>
      <w:rPr>
        <w:lang w:eastAsia="en-GB"/>
      </w:rPr>
      <mc:AlternateContent>
        <mc:Choice Requires="wps">
          <w:drawing>
            <wp:anchor distT="0" distB="0" distL="114300" distR="114300" simplePos="0" relativeHeight="2516602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0" name="Rectangle 25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B99816" id="Rectangle 250" o:spid="_x0000_s1026" style="position:absolute;margin-left:-3.7pt;margin-top:-116.05pt;width:8.85pt;height:3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eu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5ZDeumQIAAIgFAAAOAAAAAAAAAAAAAAAAAC4CAABkcnMvZTJv&#10;RG9jLnhtbFBLAQItABQABgAIAAAAIQCZXMi63wAAAAsBAAAPAAAAAAAAAAAAAAAAAPMEAABkcnMv&#10;ZG93bnJldi54bWxQSwUGAAAAAAQABADzAAAA/wUAAAAA&#10;" fillcolor="#3fb296" stroked="f" strokeweight="1pt"/>
          </w:pict>
        </mc:Fallback>
      </mc:AlternateContent>
    </w:r>
    <w:r>
      <w:rPr>
        <w:lang w:eastAsia="en-GB"/>
      </w:rPr>
      <mc:AlternateContent>
        <mc:Choice Requires="wps">
          <w:drawing>
            <wp:anchor distT="0" distB="0" distL="114300" distR="114300" simplePos="0" relativeHeight="2516592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1" name="Rectangle 25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DDEA23" id="Rectangle 251" o:spid="_x0000_s1026" style="position:absolute;margin-left:-3.7pt;margin-top:-116.05pt;width:8.85pt;height:3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rz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jl&#10;lGj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AzY0Zhevwd6r4SottM+4OJYhKqqY5hi7pNzbQbjyaUvg6uFiuYxm&#10;OLKG+Rv9aHgAD6yGvnzaPzNr+ub12PW3MEwum7/r4WQbPDUstx5kExv8hdeebxz32Dj9agr75LUc&#10;rV4W6OI3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baQrz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eastAsia="en-GB"/>
      </w:rPr>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60000" cy="1069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27E448F"/>
    <w:multiLevelType w:val="hybridMultilevel"/>
    <w:tmpl w:val="B9D4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612230"/>
    <w:multiLevelType w:val="multilevel"/>
    <w:tmpl w:val="5ECE5D4A"/>
    <w:styleLink w:val="AMPRLISTBlue"/>
    <w:lvl w:ilvl="0">
      <w:start w:val="1"/>
      <w:numFmt w:val="bullet"/>
      <w:pStyle w:val="AMPRListBlue-L1"/>
      <w:lvlText w:val=""/>
      <w:lvlJc w:val="left"/>
      <w:pPr>
        <w:ind w:left="717" w:hanging="360"/>
      </w:pPr>
      <w:rPr>
        <w:rFonts w:ascii="Symbol" w:hAnsi="Symbol" w:cs="Times New Roman" w:hint="default"/>
        <w:color w:val="4472C4" w:themeColor="accent5"/>
      </w:rPr>
    </w:lvl>
    <w:lvl w:ilvl="1">
      <w:start w:val="1"/>
      <w:numFmt w:val="bullet"/>
      <w:pStyle w:val="AMPRListBlue-L2"/>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4">
    <w:nsid w:val="0662071A"/>
    <w:multiLevelType w:val="hybridMultilevel"/>
    <w:tmpl w:val="4F3E5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AE24A6"/>
    <w:multiLevelType w:val="multilevel"/>
    <w:tmpl w:val="9AA422D2"/>
    <w:styleLink w:val="PPO2SpecificObjectivesBulletsLIST"/>
    <w:lvl w:ilvl="0">
      <w:start w:val="1"/>
      <w:numFmt w:val="bullet"/>
      <w:pStyle w:val="PPO2SpecificobjectivesBOX-BulletSpringGreen"/>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6">
    <w:nsid w:val="0B847335"/>
    <w:multiLevelType w:val="multilevel"/>
    <w:tmpl w:val="B04AB4DE"/>
    <w:numStyleLink w:val="AMPRLIST-SEC2-Headings"/>
  </w:abstractNum>
  <w:abstractNum w:abstractNumId="7">
    <w:nsid w:val="165C7CE9"/>
    <w:multiLevelType w:val="multilevel"/>
    <w:tmpl w:val="191E1D4E"/>
    <w:styleLink w:val="PPO4SpecificObjectivesBulletsLIST"/>
    <w:lvl w:ilvl="0">
      <w:start w:val="1"/>
      <w:numFmt w:val="bullet"/>
      <w:pStyle w:val="PPO4SpecificobjectivesBOX-BulletLightBrown"/>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8">
    <w:nsid w:val="16602544"/>
    <w:multiLevelType w:val="multilevel"/>
    <w:tmpl w:val="3586C530"/>
    <w:styleLink w:val="PPO1BSpecificObjectivesBulletsLIST"/>
    <w:lvl w:ilvl="0">
      <w:start w:val="1"/>
      <w:numFmt w:val="bullet"/>
      <w:pStyle w:val="PPO1BSpecificobjectivesBOX-BulletTurquoise"/>
      <w:lvlText w:val=""/>
      <w:lvlJc w:val="left"/>
      <w:pPr>
        <w:ind w:left="340" w:hanging="227"/>
      </w:pPr>
      <w:rPr>
        <w:rFonts w:ascii="Symbol" w:hAnsi="Symbol" w:cs="Times New Roman" w:hint="default"/>
        <w:color w:val="18BAA8"/>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9">
    <w:nsid w:val="18EA0B05"/>
    <w:multiLevelType w:val="hybridMultilevel"/>
    <w:tmpl w:val="F306DEEC"/>
    <w:lvl w:ilvl="0" w:tplc="2EB65B0A">
      <w:numFmt w:val="bullet"/>
      <w:lvlText w:val="-"/>
      <w:lvlJc w:val="left"/>
      <w:pPr>
        <w:ind w:left="1080" w:hanging="360"/>
      </w:pPr>
      <w:rPr>
        <w:rFonts w:ascii="EC Square Sans Pro" w:eastAsiaTheme="minorHAnsi" w:hAnsi="EC Square Sans Pro"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FCA407E"/>
    <w:multiLevelType w:val="multilevel"/>
    <w:tmpl w:val="86D2A4D6"/>
    <w:styleLink w:val="AMPRLISTOrange"/>
    <w:lvl w:ilvl="0">
      <w:start w:val="1"/>
      <w:numFmt w:val="bullet"/>
      <w:pStyle w:val="AMPRListOrange-L1"/>
      <w:lvlText w:val=""/>
      <w:lvlJc w:val="left"/>
      <w:pPr>
        <w:ind w:left="714" w:hanging="357"/>
      </w:pPr>
      <w:rPr>
        <w:rFonts w:ascii="Symbol" w:hAnsi="Symbol" w:cs="Times New Roman" w:hint="default"/>
        <w:color w:val="F26A47"/>
      </w:rPr>
    </w:lvl>
    <w:lvl w:ilvl="1">
      <w:start w:val="1"/>
      <w:numFmt w:val="bullet"/>
      <w:pStyle w:val="AMPRListOrange-L2"/>
      <w:lvlText w:val="—"/>
      <w:lvlJc w:val="left"/>
      <w:pPr>
        <w:tabs>
          <w:tab w:val="num" w:pos="1077"/>
        </w:tabs>
        <w:ind w:left="1434" w:hanging="357"/>
      </w:pPr>
      <w:rPr>
        <w:rFonts w:ascii="EC Square Sans Pro" w:hAnsi="EC Square Sans Pro" w:cs="Courier New" w:hint="default"/>
        <w:color w:val="F26A47"/>
      </w:rPr>
    </w:lvl>
    <w:lvl w:ilvl="2">
      <w:start w:val="1"/>
      <w:numFmt w:val="bullet"/>
      <w:lvlText w:val=""/>
      <w:lvlJc w:val="left"/>
      <w:pPr>
        <w:ind w:left="2154" w:hanging="357"/>
      </w:pPr>
      <w:rPr>
        <w:rFonts w:ascii="Wingdings" w:hAnsi="Wingdings" w:cs="Times New Roman" w:hint="default"/>
        <w:color w:val="F26A47"/>
      </w:rPr>
    </w:lvl>
    <w:lvl w:ilvl="3">
      <w:start w:val="1"/>
      <w:numFmt w:val="bullet"/>
      <w:lvlText w:val=""/>
      <w:lvlJc w:val="left"/>
      <w:pPr>
        <w:ind w:left="2874" w:hanging="357"/>
      </w:pPr>
      <w:rPr>
        <w:rFonts w:ascii="Symbol" w:hAnsi="Symbol" w:cs="Times New Roman" w:hint="default"/>
        <w:color w:val="F26A47"/>
      </w:rPr>
    </w:lvl>
    <w:lvl w:ilvl="4">
      <w:start w:val="1"/>
      <w:numFmt w:val="bullet"/>
      <w:lvlText w:val="o"/>
      <w:lvlJc w:val="left"/>
      <w:pPr>
        <w:ind w:left="3594" w:hanging="357"/>
      </w:pPr>
      <w:rPr>
        <w:rFonts w:ascii="Courier New" w:hAnsi="Courier New" w:cs="Courier New" w:hint="default"/>
        <w:color w:val="F26A47"/>
      </w:rPr>
    </w:lvl>
    <w:lvl w:ilvl="5">
      <w:start w:val="1"/>
      <w:numFmt w:val="bullet"/>
      <w:lvlText w:val=""/>
      <w:lvlJc w:val="left"/>
      <w:pPr>
        <w:ind w:left="4314" w:hanging="357"/>
      </w:pPr>
      <w:rPr>
        <w:rFonts w:ascii="Wingdings" w:hAnsi="Wingdings" w:cs="Times New Roman" w:hint="default"/>
        <w:color w:val="F26A47"/>
      </w:rPr>
    </w:lvl>
    <w:lvl w:ilvl="6">
      <w:start w:val="1"/>
      <w:numFmt w:val="bullet"/>
      <w:lvlText w:val=""/>
      <w:lvlJc w:val="left"/>
      <w:pPr>
        <w:ind w:left="5034" w:hanging="357"/>
      </w:pPr>
      <w:rPr>
        <w:rFonts w:ascii="Symbol" w:hAnsi="Symbol" w:cs="Symbol" w:hint="default"/>
        <w:color w:val="F26A47"/>
      </w:rPr>
    </w:lvl>
    <w:lvl w:ilvl="7">
      <w:start w:val="1"/>
      <w:numFmt w:val="bullet"/>
      <w:lvlText w:val="o"/>
      <w:lvlJc w:val="left"/>
      <w:pPr>
        <w:ind w:left="5754" w:hanging="357"/>
      </w:pPr>
      <w:rPr>
        <w:rFonts w:ascii="Courier New" w:hAnsi="Courier New" w:cs="Courier New" w:hint="default"/>
        <w:color w:val="F26A47"/>
      </w:rPr>
    </w:lvl>
    <w:lvl w:ilvl="8">
      <w:start w:val="1"/>
      <w:numFmt w:val="bullet"/>
      <w:lvlText w:val=""/>
      <w:lvlJc w:val="left"/>
      <w:pPr>
        <w:ind w:left="6474" w:hanging="357"/>
      </w:pPr>
      <w:rPr>
        <w:rFonts w:ascii="Wingdings" w:hAnsi="Wingdings" w:cs="Wingdings" w:hint="default"/>
        <w:color w:val="F26A47"/>
      </w:rPr>
    </w:lvl>
  </w:abstractNum>
  <w:abstractNum w:abstractNumId="11">
    <w:nsid w:val="22FD091A"/>
    <w:multiLevelType w:val="multilevel"/>
    <w:tmpl w:val="ADFAD92C"/>
    <w:lvl w:ilvl="0">
      <w:start w:val="1"/>
      <w:numFmt w:val="decimal"/>
      <w:pStyle w:val="Title2Report"/>
      <w:lvlText w:val="%1."/>
      <w:lvlJc w:val="left"/>
      <w:pPr>
        <w:ind w:left="360" w:hanging="360"/>
      </w:pPr>
      <w:rPr>
        <w:rFonts w:hint="default"/>
      </w:rPr>
    </w:lvl>
    <w:lvl w:ilvl="1">
      <w:start w:val="1"/>
      <w:numFmt w:val="decimal"/>
      <w:lvlText w:val="2.%2."/>
      <w:lvlJc w:val="left"/>
      <w:pPr>
        <w:ind w:left="792" w:hanging="792"/>
      </w:pPr>
      <w:rPr>
        <w:rFonts w:hint="default"/>
      </w:rPr>
    </w:lvl>
    <w:lvl w:ilvl="2">
      <w:start w:val="1"/>
      <w:numFmt w:val="decimal"/>
      <w:pStyle w:val="Subhead2"/>
      <w:lvlText w:val="2.%2.%3."/>
      <w:lvlJc w:val="left"/>
      <w:pPr>
        <w:ind w:left="1021" w:hanging="102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397091A"/>
    <w:multiLevelType w:val="multilevel"/>
    <w:tmpl w:val="B04AB4DE"/>
    <w:styleLink w:val="AMPRLIST-SEC2-Headings"/>
    <w:lvl w:ilvl="0">
      <w:start w:val="1"/>
      <w:numFmt w:val="decimal"/>
      <w:pStyle w:val="AMPRSec2TITLE2-numbered"/>
      <w:lvlText w:val="2.%1."/>
      <w:lvlJc w:val="left"/>
      <w:pPr>
        <w:ind w:left="1276" w:hanging="1276"/>
      </w:pPr>
      <w:rPr>
        <w:rFonts w:hint="default"/>
      </w:rPr>
    </w:lvl>
    <w:lvl w:ilvl="1">
      <w:start w:val="1"/>
      <w:numFmt w:val="decimal"/>
      <w:pStyle w:val="AMPRSec2TITLE3-numbered"/>
      <w:lvlText w:val="2.%1.%2."/>
      <w:lvlJc w:val="left"/>
      <w:pPr>
        <w:ind w:left="1276" w:hanging="1276"/>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nsid w:val="23E11927"/>
    <w:multiLevelType w:val="multilevel"/>
    <w:tmpl w:val="AEC40D6E"/>
    <w:styleLink w:val="PPO1ASpecificObjectivesBulletsLIST"/>
    <w:lvl w:ilvl="0">
      <w:start w:val="1"/>
      <w:numFmt w:val="bullet"/>
      <w:pStyle w:val="PPO1ASpecificobjectivesBOX-BulletLightBlue"/>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4">
    <w:nsid w:val="2580631B"/>
    <w:multiLevelType w:val="multilevel"/>
    <w:tmpl w:val="6F14F578"/>
    <w:styleLink w:val="PPOLISTBlackNumbersinbrackets"/>
    <w:lvl w:ilvl="0">
      <w:start w:val="1"/>
      <w:numFmt w:val="decimal"/>
      <w:pStyle w:val="PPOBlackNumberinBracketsLIST-L1"/>
      <w:lvlText w:val="(%1)"/>
      <w:lvlJc w:val="left"/>
      <w:pPr>
        <w:tabs>
          <w:tab w:val="num" w:pos="720"/>
        </w:tabs>
        <w:ind w:left="1077" w:hanging="357"/>
      </w:pPr>
      <w:rPr>
        <w:rFonts w:hint="default"/>
      </w:rPr>
    </w:lvl>
    <w:lvl w:ilvl="1">
      <w:start w:val="1"/>
      <w:numFmt w:val="lowerLetter"/>
      <w:lvlText w:val="%2)"/>
      <w:lvlJc w:val="left"/>
      <w:pPr>
        <w:tabs>
          <w:tab w:val="num" w:pos="1083"/>
        </w:tabs>
        <w:ind w:left="1440" w:hanging="357"/>
      </w:pPr>
      <w:rPr>
        <w:rFonts w:hint="default"/>
      </w:rPr>
    </w:lvl>
    <w:lvl w:ilvl="2">
      <w:start w:val="1"/>
      <w:numFmt w:val="lowerRoman"/>
      <w:lvlText w:val="%3)"/>
      <w:lvlJc w:val="left"/>
      <w:pPr>
        <w:tabs>
          <w:tab w:val="num" w:pos="1446"/>
        </w:tabs>
        <w:ind w:left="1803" w:hanging="357"/>
      </w:pPr>
      <w:rPr>
        <w:rFonts w:hint="default"/>
      </w:rPr>
    </w:lvl>
    <w:lvl w:ilvl="3">
      <w:start w:val="1"/>
      <w:numFmt w:val="decimal"/>
      <w:lvlText w:val="(%4)"/>
      <w:lvlJc w:val="left"/>
      <w:pPr>
        <w:tabs>
          <w:tab w:val="num" w:pos="1809"/>
        </w:tabs>
        <w:ind w:left="2166" w:hanging="357"/>
      </w:pPr>
      <w:rPr>
        <w:rFonts w:hint="default"/>
      </w:rPr>
    </w:lvl>
    <w:lvl w:ilvl="4">
      <w:start w:val="1"/>
      <w:numFmt w:val="lowerLetter"/>
      <w:lvlText w:val="(%5)"/>
      <w:lvlJc w:val="left"/>
      <w:pPr>
        <w:tabs>
          <w:tab w:val="num" w:pos="2172"/>
        </w:tabs>
        <w:ind w:left="2529" w:hanging="357"/>
      </w:pPr>
      <w:rPr>
        <w:rFonts w:hint="default"/>
      </w:rPr>
    </w:lvl>
    <w:lvl w:ilvl="5">
      <w:start w:val="1"/>
      <w:numFmt w:val="lowerRoman"/>
      <w:lvlText w:val="(%6)"/>
      <w:lvlJc w:val="left"/>
      <w:pPr>
        <w:tabs>
          <w:tab w:val="num" w:pos="2535"/>
        </w:tabs>
        <w:ind w:left="2892" w:hanging="357"/>
      </w:pPr>
      <w:rPr>
        <w:rFonts w:hint="default"/>
      </w:rPr>
    </w:lvl>
    <w:lvl w:ilvl="6">
      <w:start w:val="1"/>
      <w:numFmt w:val="decimal"/>
      <w:lvlText w:val="%7."/>
      <w:lvlJc w:val="left"/>
      <w:pPr>
        <w:tabs>
          <w:tab w:val="num" w:pos="2898"/>
        </w:tabs>
        <w:ind w:left="3255" w:hanging="357"/>
      </w:pPr>
      <w:rPr>
        <w:rFonts w:hint="default"/>
      </w:rPr>
    </w:lvl>
    <w:lvl w:ilvl="7">
      <w:start w:val="1"/>
      <w:numFmt w:val="lowerLetter"/>
      <w:lvlText w:val="%8."/>
      <w:lvlJc w:val="left"/>
      <w:pPr>
        <w:tabs>
          <w:tab w:val="num" w:pos="3261"/>
        </w:tabs>
        <w:ind w:left="3618" w:hanging="357"/>
      </w:pPr>
      <w:rPr>
        <w:rFonts w:hint="default"/>
      </w:rPr>
    </w:lvl>
    <w:lvl w:ilvl="8">
      <w:start w:val="1"/>
      <w:numFmt w:val="lowerRoman"/>
      <w:lvlText w:val="%9."/>
      <w:lvlJc w:val="left"/>
      <w:pPr>
        <w:tabs>
          <w:tab w:val="num" w:pos="3624"/>
        </w:tabs>
        <w:ind w:left="3981" w:hanging="357"/>
      </w:pPr>
      <w:rPr>
        <w:rFonts w:hint="default"/>
      </w:rPr>
    </w:lvl>
  </w:abstractNum>
  <w:abstractNum w:abstractNumId="15">
    <w:nsid w:val="266822D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A3A40EC"/>
    <w:multiLevelType w:val="multilevel"/>
    <w:tmpl w:val="B04AB4DE"/>
    <w:numStyleLink w:val="AMPRLIST-SEC2-Headings"/>
  </w:abstractNum>
  <w:abstractNum w:abstractNumId="17">
    <w:nsid w:val="2E855663"/>
    <w:multiLevelType w:val="hybridMultilevel"/>
    <w:tmpl w:val="86E0AE50"/>
    <w:lvl w:ilvl="0" w:tplc="080C0001">
      <w:start w:val="1"/>
      <w:numFmt w:val="bullet"/>
      <w:pStyle w:val="AMPRtableBOXA-bgWHITElnORANGE-BLUE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nsid w:val="304450D8"/>
    <w:multiLevelType w:val="multilevel"/>
    <w:tmpl w:val="346EE1F8"/>
    <w:styleLink w:val="PPO3SpecificObjectivesBulletsLIST"/>
    <w:lvl w:ilvl="0">
      <w:start w:val="1"/>
      <w:numFmt w:val="bullet"/>
      <w:pStyle w:val="PPO3SpecificobjectivesBOX-BulletPurple"/>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9">
    <w:nsid w:val="338A7477"/>
    <w:multiLevelType w:val="hybridMultilevel"/>
    <w:tmpl w:val="7D22E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39803C9"/>
    <w:multiLevelType w:val="multilevel"/>
    <w:tmpl w:val="B96E5C80"/>
    <w:styleLink w:val="PPOLISTBlackBULLETS"/>
    <w:lvl w:ilvl="0">
      <w:start w:val="1"/>
      <w:numFmt w:val="bullet"/>
      <w:lvlText w:val=""/>
      <w:lvlJc w:val="left"/>
      <w:pPr>
        <w:ind w:left="499" w:hanging="357"/>
      </w:pPr>
      <w:rPr>
        <w:rFonts w:ascii="Symbol" w:hAnsi="Symbol" w:cs="Times New Roman" w:hint="default"/>
      </w:rPr>
    </w:lvl>
    <w:lvl w:ilvl="1">
      <w:start w:val="1"/>
      <w:numFmt w:val="bullet"/>
      <w:lvlText w:val="o"/>
      <w:lvlJc w:val="left"/>
      <w:pPr>
        <w:ind w:left="1077" w:hanging="357"/>
      </w:pPr>
      <w:rPr>
        <w:rFonts w:ascii="Courier New" w:hAnsi="Courier New" w:cs="Courier New" w:hint="default"/>
      </w:rPr>
    </w:lvl>
    <w:lvl w:ilvl="2">
      <w:start w:val="1"/>
      <w:numFmt w:val="bullet"/>
      <w:lvlText w:val=""/>
      <w:lvlJc w:val="left"/>
      <w:pPr>
        <w:ind w:left="1656" w:hanging="358"/>
      </w:pPr>
      <w:rPr>
        <w:rFonts w:ascii="Wingdings" w:hAnsi="Wingdings" w:cs="Times New Roman" w:hint="default"/>
      </w:rPr>
    </w:lvl>
    <w:lvl w:ilvl="3">
      <w:start w:val="1"/>
      <w:numFmt w:val="bullet"/>
      <w:lvlText w:val=""/>
      <w:lvlJc w:val="left"/>
      <w:pPr>
        <w:ind w:left="2234" w:hanging="357"/>
      </w:pPr>
      <w:rPr>
        <w:rFonts w:ascii="Symbol" w:hAnsi="Symbol" w:cs="Times New Roman" w:hint="default"/>
      </w:rPr>
    </w:lvl>
    <w:lvl w:ilvl="4">
      <w:start w:val="1"/>
      <w:numFmt w:val="bullet"/>
      <w:lvlText w:val="o"/>
      <w:lvlJc w:val="left"/>
      <w:pPr>
        <w:ind w:left="2812" w:hanging="357"/>
      </w:pPr>
      <w:rPr>
        <w:rFonts w:ascii="Courier New" w:hAnsi="Courier New" w:cs="Courier New" w:hint="default"/>
      </w:rPr>
    </w:lvl>
    <w:lvl w:ilvl="5">
      <w:start w:val="1"/>
      <w:numFmt w:val="bullet"/>
      <w:lvlText w:val=""/>
      <w:lvlJc w:val="left"/>
      <w:pPr>
        <w:ind w:left="3391" w:hanging="358"/>
      </w:pPr>
      <w:rPr>
        <w:rFonts w:ascii="Wingdings" w:hAnsi="Wingdings" w:cs="Times New Roman" w:hint="default"/>
      </w:rPr>
    </w:lvl>
    <w:lvl w:ilvl="6">
      <w:start w:val="1"/>
      <w:numFmt w:val="bullet"/>
      <w:lvlText w:val=""/>
      <w:lvlJc w:val="left"/>
      <w:pPr>
        <w:ind w:left="5182" w:hanging="360"/>
      </w:pPr>
      <w:rPr>
        <w:rFonts w:ascii="Symbol" w:hAnsi="Symbol" w:cs="Times New Roman"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Times New Roman" w:hint="default"/>
      </w:rPr>
    </w:lvl>
  </w:abstractNum>
  <w:abstractNum w:abstractNumId="21">
    <w:nsid w:val="33B86435"/>
    <w:multiLevelType w:val="multilevel"/>
    <w:tmpl w:val="E714809C"/>
    <w:styleLink w:val="AMPRLISTa"/>
    <w:lvl w:ilvl="0">
      <w:start w:val="1"/>
      <w:numFmt w:val="lowerLetter"/>
      <w:pStyle w:val="AMPRLista-L1"/>
      <w:lvlText w:val="(%1)"/>
      <w:lvlJc w:val="left"/>
      <w:pPr>
        <w:ind w:left="714" w:hanging="357"/>
      </w:pPr>
      <w:rPr>
        <w:rFonts w:hint="default"/>
      </w:rPr>
    </w:lvl>
    <w:lvl w:ilvl="1">
      <w:start w:val="1"/>
      <w:numFmt w:val="bullet"/>
      <w:lvlText w:val=""/>
      <w:lvlJc w:val="left"/>
      <w:pPr>
        <w:ind w:left="1071" w:hanging="357"/>
      </w:pPr>
      <w:rPr>
        <w:rFonts w:ascii="Symbol" w:hAnsi="Symbol" w:cs="Symbol" w:hint="default"/>
        <w:color w:val="4472C4" w:themeColor="accent5"/>
      </w:rPr>
    </w:lvl>
    <w:lvl w:ilvl="2">
      <w:start w:val="1"/>
      <w:numFmt w:val="bullet"/>
      <w:lvlText w:val="o"/>
      <w:lvlJc w:val="left"/>
      <w:pPr>
        <w:ind w:left="1428" w:hanging="357"/>
      </w:pPr>
      <w:rPr>
        <w:rFonts w:ascii="Courier New" w:hAnsi="Courier New" w:cs="Courier New" w:hint="default"/>
        <w:color w:val="4472C4" w:themeColor="accent5"/>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righ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right"/>
      <w:pPr>
        <w:ind w:left="3570" w:hanging="357"/>
      </w:pPr>
      <w:rPr>
        <w:rFonts w:hint="default"/>
      </w:rPr>
    </w:lvl>
  </w:abstractNum>
  <w:abstractNum w:abstractNumId="22">
    <w:nsid w:val="345C6BA4"/>
    <w:multiLevelType w:val="hybridMultilevel"/>
    <w:tmpl w:val="8674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752CBA"/>
    <w:multiLevelType w:val="multilevel"/>
    <w:tmpl w:val="6F14F578"/>
    <w:numStyleLink w:val="PPOLISTBlackNumbersinbrackets"/>
  </w:abstractNum>
  <w:abstractNum w:abstractNumId="24">
    <w:nsid w:val="3D8E3A11"/>
    <w:multiLevelType w:val="hybridMultilevel"/>
    <w:tmpl w:val="291ED918"/>
    <w:lvl w:ilvl="0" w:tplc="FB18660C">
      <w:start w:val="1"/>
      <w:numFmt w:val="decimal"/>
      <w:lvlText w:val="1.%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3E324F0D"/>
    <w:multiLevelType w:val="hybridMultilevel"/>
    <w:tmpl w:val="1AC8CEE8"/>
    <w:lvl w:ilvl="0" w:tplc="2EB65B0A">
      <w:numFmt w:val="bullet"/>
      <w:lvlText w:val="-"/>
      <w:lvlJc w:val="left"/>
      <w:pPr>
        <w:ind w:left="720" w:hanging="360"/>
      </w:pPr>
      <w:rPr>
        <w:rFonts w:ascii="EC Square Sans Pro" w:eastAsiaTheme="minorHAnsi" w:hAnsi="EC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87256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7693EB3"/>
    <w:multiLevelType w:val="hybridMultilevel"/>
    <w:tmpl w:val="1E9C9D6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nsid w:val="4C2A2EEC"/>
    <w:multiLevelType w:val="multilevel"/>
    <w:tmpl w:val="A92810AE"/>
    <w:styleLink w:val="PPOSISpecificObjectivesBulletsLIST"/>
    <w:lvl w:ilvl="0">
      <w:start w:val="1"/>
      <w:numFmt w:val="bullet"/>
      <w:pStyle w:val="PPOSISpecificobjectivesBOX-BulletElectricBlue"/>
      <w:lvlText w:val=""/>
      <w:lvlJc w:val="left"/>
      <w:pPr>
        <w:ind w:left="340" w:hanging="227"/>
      </w:pPr>
      <w:rPr>
        <w:rFonts w:ascii="Symbol" w:hAnsi="Symbol" w:cs="Times New Roman" w:hint="default"/>
        <w:color w:val="4BACC6"/>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29">
    <w:nsid w:val="4C691243"/>
    <w:multiLevelType w:val="hybridMultilevel"/>
    <w:tmpl w:val="AC4C6498"/>
    <w:lvl w:ilvl="0" w:tplc="0908F200">
      <w:start w:val="1"/>
      <w:numFmt w:val="bullet"/>
      <w:pStyle w:val="Bullets"/>
      <w:lvlText w:val=""/>
      <w:lvlJc w:val="left"/>
      <w:pPr>
        <w:ind w:left="720" w:hanging="360"/>
      </w:pPr>
      <w:rPr>
        <w:rFonts w:ascii="Symbol" w:hAnsi="Symbol" w:hint="default"/>
        <w:spacing w:val="4"/>
        <w:sz w:val="16"/>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pStyle w:val="Bullets"/>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CC1A52"/>
    <w:multiLevelType w:val="hybridMultilevel"/>
    <w:tmpl w:val="FE34A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5420EF2"/>
    <w:multiLevelType w:val="hybridMultilevel"/>
    <w:tmpl w:val="40568080"/>
    <w:lvl w:ilvl="0" w:tplc="57862626">
      <w:start w:val="1"/>
      <w:numFmt w:val="bullet"/>
      <w:pStyle w:val="BulletsblueNew"/>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59C77DFE"/>
    <w:multiLevelType w:val="hybridMultilevel"/>
    <w:tmpl w:val="A34E9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677A45"/>
    <w:multiLevelType w:val="multilevel"/>
    <w:tmpl w:val="13D055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0A569B4"/>
    <w:multiLevelType w:val="hybridMultilevel"/>
    <w:tmpl w:val="E246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2EA78CB"/>
    <w:multiLevelType w:val="multilevel"/>
    <w:tmpl w:val="FBAC837C"/>
    <w:lvl w:ilvl="0">
      <w:start w:val="1"/>
      <w:numFmt w:val="decimal"/>
      <w:pStyle w:val="AMPRAnnexesTITLE3-Numbered"/>
      <w:lvlText w:val="%1."/>
      <w:lvlJc w:val="left"/>
      <w:pPr>
        <w:ind w:left="663" w:hanging="663"/>
      </w:pPr>
      <w:rPr>
        <w:rFonts w:hint="default"/>
      </w:rPr>
    </w:lvl>
    <w:lvl w:ilvl="1">
      <w:start w:val="1"/>
      <w:numFmt w:val="decimal"/>
      <w:pStyle w:val="AMPRAnnexesTITLE4-Numbered"/>
      <w:lvlText w:val="%1.%2."/>
      <w:lvlJc w:val="left"/>
      <w:pPr>
        <w:tabs>
          <w:tab w:val="num" w:pos="1400"/>
        </w:tabs>
        <w:ind w:left="1400" w:hanging="737"/>
      </w:pPr>
      <w:rPr>
        <w:rFonts w:hint="default"/>
        <w:color w:val="F68A42"/>
      </w:rPr>
    </w:lvl>
    <w:lvl w:ilvl="2">
      <w:start w:val="1"/>
      <w:numFmt w:val="lowerRoman"/>
      <w:lvlText w:val="%3."/>
      <w:lvlJc w:val="right"/>
      <w:pPr>
        <w:ind w:left="1989" w:hanging="663"/>
      </w:pPr>
      <w:rPr>
        <w:rFonts w:hint="default"/>
      </w:rPr>
    </w:lvl>
    <w:lvl w:ilvl="3">
      <w:start w:val="1"/>
      <w:numFmt w:val="decimal"/>
      <w:lvlText w:val="%4."/>
      <w:lvlJc w:val="left"/>
      <w:pPr>
        <w:ind w:left="2652" w:hanging="663"/>
      </w:pPr>
      <w:rPr>
        <w:rFonts w:hint="default"/>
      </w:rPr>
    </w:lvl>
    <w:lvl w:ilvl="4">
      <w:start w:val="1"/>
      <w:numFmt w:val="lowerLetter"/>
      <w:lvlText w:val="%5."/>
      <w:lvlJc w:val="left"/>
      <w:pPr>
        <w:ind w:left="3315" w:hanging="663"/>
      </w:pPr>
      <w:rPr>
        <w:rFonts w:hint="default"/>
      </w:rPr>
    </w:lvl>
    <w:lvl w:ilvl="5">
      <w:start w:val="1"/>
      <w:numFmt w:val="lowerRoman"/>
      <w:lvlText w:val="%6."/>
      <w:lvlJc w:val="right"/>
      <w:pPr>
        <w:ind w:left="3978" w:hanging="663"/>
      </w:pPr>
      <w:rPr>
        <w:rFonts w:hint="default"/>
      </w:rPr>
    </w:lvl>
    <w:lvl w:ilvl="6">
      <w:start w:val="1"/>
      <w:numFmt w:val="decimal"/>
      <w:lvlText w:val="%7."/>
      <w:lvlJc w:val="left"/>
      <w:pPr>
        <w:ind w:left="4641" w:hanging="663"/>
      </w:pPr>
      <w:rPr>
        <w:rFonts w:hint="default"/>
      </w:rPr>
    </w:lvl>
    <w:lvl w:ilvl="7">
      <w:start w:val="1"/>
      <w:numFmt w:val="lowerLetter"/>
      <w:lvlText w:val="%8."/>
      <w:lvlJc w:val="left"/>
      <w:pPr>
        <w:ind w:left="5304" w:hanging="663"/>
      </w:pPr>
      <w:rPr>
        <w:rFonts w:hint="default"/>
      </w:rPr>
    </w:lvl>
    <w:lvl w:ilvl="8">
      <w:start w:val="1"/>
      <w:numFmt w:val="lowerRoman"/>
      <w:lvlText w:val="%9."/>
      <w:lvlJc w:val="right"/>
      <w:pPr>
        <w:ind w:left="5967" w:hanging="663"/>
      </w:pPr>
      <w:rPr>
        <w:rFonts w:hint="default"/>
      </w:rPr>
    </w:lvl>
  </w:abstractNum>
  <w:abstractNum w:abstractNumId="36">
    <w:nsid w:val="65997927"/>
    <w:multiLevelType w:val="multilevel"/>
    <w:tmpl w:val="54D288BE"/>
    <w:styleLink w:val="AMPRLIST-SEC1-Headings"/>
    <w:lvl w:ilvl="0">
      <w:start w:val="1"/>
      <w:numFmt w:val="decimal"/>
      <w:pStyle w:val="AMPRSec1TITLE2-numbered"/>
      <w:lvlText w:val="1.%1."/>
      <w:lvlJc w:val="left"/>
      <w:pPr>
        <w:ind w:left="1276" w:hanging="1276"/>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nsid w:val="68781487"/>
    <w:multiLevelType w:val="hybridMultilevel"/>
    <w:tmpl w:val="C6FAEA46"/>
    <w:lvl w:ilvl="0" w:tplc="080C0001">
      <w:start w:val="1"/>
      <w:numFmt w:val="bullet"/>
      <w:lvlText w:val=""/>
      <w:lvlJc w:val="left"/>
      <w:pPr>
        <w:ind w:left="765" w:hanging="360"/>
      </w:pPr>
      <w:rPr>
        <w:rFonts w:ascii="Symbol" w:hAnsi="Symbol" w:hint="default"/>
      </w:rPr>
    </w:lvl>
    <w:lvl w:ilvl="1" w:tplc="080C0003">
      <w:start w:val="1"/>
      <w:numFmt w:val="bullet"/>
      <w:lvlText w:val="o"/>
      <w:lvlJc w:val="left"/>
      <w:pPr>
        <w:ind w:left="1485" w:hanging="360"/>
      </w:pPr>
      <w:rPr>
        <w:rFonts w:ascii="Courier New" w:hAnsi="Courier New" w:cs="Courier New" w:hint="default"/>
      </w:rPr>
    </w:lvl>
    <w:lvl w:ilvl="2" w:tplc="080C0005">
      <w:start w:val="1"/>
      <w:numFmt w:val="bullet"/>
      <w:lvlText w:val=""/>
      <w:lvlJc w:val="left"/>
      <w:pPr>
        <w:ind w:left="2205" w:hanging="360"/>
      </w:pPr>
      <w:rPr>
        <w:rFonts w:ascii="Wingdings" w:hAnsi="Wingdings" w:hint="default"/>
      </w:rPr>
    </w:lvl>
    <w:lvl w:ilvl="3" w:tplc="080C0001">
      <w:start w:val="1"/>
      <w:numFmt w:val="bullet"/>
      <w:lvlText w:val=""/>
      <w:lvlJc w:val="left"/>
      <w:pPr>
        <w:ind w:left="2925" w:hanging="360"/>
      </w:pPr>
      <w:rPr>
        <w:rFonts w:ascii="Symbol" w:hAnsi="Symbol" w:hint="default"/>
      </w:rPr>
    </w:lvl>
    <w:lvl w:ilvl="4" w:tplc="080C0003">
      <w:start w:val="1"/>
      <w:numFmt w:val="bullet"/>
      <w:lvlText w:val="o"/>
      <w:lvlJc w:val="left"/>
      <w:pPr>
        <w:ind w:left="3645" w:hanging="360"/>
      </w:pPr>
      <w:rPr>
        <w:rFonts w:ascii="Courier New" w:hAnsi="Courier New" w:cs="Courier New" w:hint="default"/>
      </w:rPr>
    </w:lvl>
    <w:lvl w:ilvl="5" w:tplc="080C0005">
      <w:start w:val="1"/>
      <w:numFmt w:val="bullet"/>
      <w:lvlText w:val=""/>
      <w:lvlJc w:val="left"/>
      <w:pPr>
        <w:ind w:left="4365" w:hanging="360"/>
      </w:pPr>
      <w:rPr>
        <w:rFonts w:ascii="Wingdings" w:hAnsi="Wingdings" w:hint="default"/>
      </w:rPr>
    </w:lvl>
    <w:lvl w:ilvl="6" w:tplc="080C0001">
      <w:start w:val="1"/>
      <w:numFmt w:val="bullet"/>
      <w:lvlText w:val=""/>
      <w:lvlJc w:val="left"/>
      <w:pPr>
        <w:ind w:left="5085" w:hanging="360"/>
      </w:pPr>
      <w:rPr>
        <w:rFonts w:ascii="Symbol" w:hAnsi="Symbol" w:hint="default"/>
      </w:rPr>
    </w:lvl>
    <w:lvl w:ilvl="7" w:tplc="080C0003">
      <w:start w:val="1"/>
      <w:numFmt w:val="bullet"/>
      <w:lvlText w:val="o"/>
      <w:lvlJc w:val="left"/>
      <w:pPr>
        <w:ind w:left="5805" w:hanging="360"/>
      </w:pPr>
      <w:rPr>
        <w:rFonts w:ascii="Courier New" w:hAnsi="Courier New" w:cs="Courier New" w:hint="default"/>
      </w:rPr>
    </w:lvl>
    <w:lvl w:ilvl="8" w:tplc="080C0005">
      <w:start w:val="1"/>
      <w:numFmt w:val="bullet"/>
      <w:lvlText w:val=""/>
      <w:lvlJc w:val="left"/>
      <w:pPr>
        <w:ind w:left="6525" w:hanging="360"/>
      </w:pPr>
      <w:rPr>
        <w:rFonts w:ascii="Wingdings" w:hAnsi="Wingdings" w:hint="default"/>
      </w:rPr>
    </w:lvl>
  </w:abstractNum>
  <w:abstractNum w:abstractNumId="38">
    <w:nsid w:val="6BCA0348"/>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nsid w:val="6DA92D6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6F5A0EC4"/>
    <w:multiLevelType w:val="hybridMultilevel"/>
    <w:tmpl w:val="6770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0D44D95"/>
    <w:multiLevelType w:val="hybridMultilevel"/>
    <w:tmpl w:val="02AAB720"/>
    <w:lvl w:ilvl="0" w:tplc="4B321464">
      <w:start w:val="3"/>
      <w:numFmt w:val="bullet"/>
      <w:lvlText w:val="-"/>
      <w:lvlJc w:val="left"/>
      <w:pPr>
        <w:ind w:left="720" w:hanging="360"/>
      </w:pPr>
      <w:rPr>
        <w:rFonts w:ascii="EC Square Sans Pro" w:eastAsiaTheme="minorHAnsi" w:hAnsi="EC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394AF3"/>
    <w:multiLevelType w:val="hybridMultilevel"/>
    <w:tmpl w:val="773CB2E2"/>
    <w:lvl w:ilvl="0" w:tplc="F6247552">
      <w:start w:val="1"/>
      <w:numFmt w:val="bullet"/>
      <w:pStyle w:val="BulletsOrange"/>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2"/>
  </w:num>
  <w:num w:numId="4">
    <w:abstractNumId w:val="29"/>
  </w:num>
  <w:num w:numId="5">
    <w:abstractNumId w:val="37"/>
  </w:num>
  <w:num w:numId="6">
    <w:abstractNumId w:val="27"/>
  </w:num>
  <w:num w:numId="7">
    <w:abstractNumId w:val="31"/>
  </w:num>
  <w:num w:numId="8">
    <w:abstractNumId w:val="24"/>
  </w:num>
  <w:num w:numId="9">
    <w:abstractNumId w:val="11"/>
  </w:num>
  <w:num w:numId="10">
    <w:abstractNumId w:val="41"/>
  </w:num>
  <w:num w:numId="11">
    <w:abstractNumId w:val="36"/>
  </w:num>
  <w:num w:numId="12">
    <w:abstractNumId w:val="12"/>
  </w:num>
  <w:num w:numId="13">
    <w:abstractNumId w:val="17"/>
  </w:num>
  <w:num w:numId="14">
    <w:abstractNumId w:val="21"/>
  </w:num>
  <w:num w:numId="15">
    <w:abstractNumId w:val="3"/>
  </w:num>
  <w:num w:numId="16">
    <w:abstractNumId w:val="10"/>
  </w:num>
  <w:num w:numId="17">
    <w:abstractNumId w:val="16"/>
  </w:num>
  <w:num w:numId="18">
    <w:abstractNumId w:val="33"/>
  </w:num>
  <w:num w:numId="19">
    <w:abstractNumId w:val="32"/>
  </w:num>
  <w:num w:numId="20">
    <w:abstractNumId w:val="40"/>
  </w:num>
  <w:num w:numId="21">
    <w:abstractNumId w:val="4"/>
  </w:num>
  <w:num w:numId="22">
    <w:abstractNumId w:val="30"/>
  </w:num>
  <w:num w:numId="23">
    <w:abstractNumId w:val="25"/>
  </w:num>
  <w:num w:numId="24">
    <w:abstractNumId w:val="9"/>
  </w:num>
  <w:num w:numId="25">
    <w:abstractNumId w:val="15"/>
  </w:num>
  <w:num w:numId="26">
    <w:abstractNumId w:val="26"/>
  </w:num>
  <w:num w:numId="27">
    <w:abstractNumId w:val="38"/>
  </w:num>
  <w:num w:numId="28">
    <w:abstractNumId w:val="20"/>
  </w:num>
  <w:num w:numId="29">
    <w:abstractNumId w:val="14"/>
  </w:num>
  <w:num w:numId="30">
    <w:abstractNumId w:val="23"/>
  </w:num>
  <w:num w:numId="31">
    <w:abstractNumId w:val="13"/>
  </w:num>
  <w:num w:numId="32">
    <w:abstractNumId w:val="8"/>
  </w:num>
  <w:num w:numId="33">
    <w:abstractNumId w:val="5"/>
  </w:num>
  <w:num w:numId="34">
    <w:abstractNumId w:val="18"/>
  </w:num>
  <w:num w:numId="35">
    <w:abstractNumId w:val="7"/>
  </w:num>
  <w:num w:numId="36">
    <w:abstractNumId w:val="28"/>
  </w:num>
  <w:num w:numId="37">
    <w:abstractNumId w:val="39"/>
  </w:num>
  <w:num w:numId="38">
    <w:abstractNumId w:val="35"/>
  </w:num>
  <w:num w:numId="39">
    <w:abstractNumId w:val="6"/>
  </w:num>
  <w:num w:numId="40">
    <w:abstractNumId w:val="22"/>
  </w:num>
  <w:num w:numId="41">
    <w:abstractNumId w:val="19"/>
  </w:num>
  <w:num w:numId="42">
    <w:abstractNumId w:val="34"/>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1EC6F71F-9C94-4D79-A0C0-9AAF0FFD89D6"/>
    <w:docVar w:name="LW_COVERPAGE_TYPE" w:val="1"/>
    <w:docVar w:name="LW_CROSSREFERENCE" w:val="&lt;UNUSED&gt;"/>
    <w:docVar w:name="LW_DocType" w:val="NORMAL"/>
    <w:docVar w:name="LW_EMISSION" w:val="24.6.2020"/>
    <w:docVar w:name="LW_EMISSION_ISODATE" w:val="2020-06-24"/>
    <w:docVar w:name="LW_EMISSION_LOCATION" w:val="BRX"/>
    <w:docVar w:name="LW_EMISSION_PREFIX" w:val="Bruxelles, le "/>
    <w:docVar w:name="LW_EMISSION_SUFFIX" w:val=" "/>
    <w:docVar w:name="LW_ID_DOCTYPE_NONLW" w:val="CP-003"/>
    <w:docVar w:name="LW_LANGUE" w:val="FR"/>
    <w:docVar w:name="LW_LEVEL_OF_SENSITIVITY" w:val="Standard treatment"/>
    <w:docVar w:name="LW_NOM.INST" w:val="COMMISSION EUROPÉENNE"/>
    <w:docVar w:name="LW_NOM.INST_JOINTDOC" w:val="&lt;EMPTY&gt;"/>
    <w:docVar w:name="LW_PART_NBR" w:val="3"/>
    <w:docVar w:name="LW_PART_NBR_TOTAL" w:val="3"/>
    <w:docVar w:name="LW_REF.INST.NEW" w:val="COM"/>
    <w:docVar w:name="LW_REF.INST.NEW_ADOPTED" w:val="final"/>
    <w:docVar w:name="LW_REF.INST.NEW_TEXT" w:val="(2020) 2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U PARLEMENT EUROPÉEN, AU CONSEIL ET À LA COUR DES COMPTES _x000d__x000b__x000d__x000d__x000d__x000d__x000d__x000d__x000d__x000b__x000d__x000d__x000d__x000d__x000d__x000d__x000d__x000b_Rapport annuel 2019 sur la gestion et la performance du budget de l\u8217?UE_x000b__x000b_"/>
    <w:docVar w:name="LW_TYPE.DOC.CP" w:val="RAPPORT DE LA COMMISSION"/>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37"/>
      </w:numPr>
      <w:spacing w:before="480" w:after="0" w:line="240" w:lineRule="auto"/>
      <w:outlineLvl w:val="0"/>
    </w:pPr>
    <w:rPr>
      <w:rFonts w:ascii="EC Square Sans Pro" w:eastAsia="Times New Roman" w:hAnsi="EC Square Sans Pro" w:cs="Times New Roman"/>
      <w:b/>
      <w:bCs/>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37"/>
      </w:numPr>
      <w:spacing w:before="120" w:after="120" w:line="240" w:lineRule="auto"/>
      <w:jc w:val="both"/>
      <w:outlineLvl w:val="1"/>
    </w:pPr>
    <w:rPr>
      <w:rFonts w:ascii="EC Square Sans Pro" w:eastAsia="Times New Roman" w:hAnsi="EC Square Sans Pro" w:cs="Times New Roman"/>
      <w:b/>
      <w:bCs/>
      <w:sz w:val="24"/>
      <w:szCs w:val="26"/>
    </w:rPr>
  </w:style>
  <w:style w:type="paragraph" w:styleId="Heading3">
    <w:name w:val="heading 3"/>
    <w:basedOn w:val="Normal"/>
    <w:next w:val="Normal"/>
    <w:link w:val="Heading3Char"/>
    <w:uiPriority w:val="9"/>
    <w:semiHidden/>
    <w:unhideWhenUsed/>
    <w:qFormat/>
    <w:pPr>
      <w:keepNext/>
      <w:keepLines/>
      <w:numPr>
        <w:ilvl w:val="2"/>
        <w:numId w:val="37"/>
      </w:numPr>
      <w:spacing w:before="40" w:after="0" w:line="240" w:lineRule="auto"/>
      <w:outlineLvl w:val="2"/>
    </w:pPr>
    <w:rPr>
      <w:rFonts w:ascii="EC Square Sans Pro" w:eastAsia="Times New Roman" w:hAnsi="EC Square Sans Pro" w:cs="Times New Roman"/>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37"/>
      </w:numPr>
      <w:spacing w:before="120" w:after="120" w:line="240" w:lineRule="auto"/>
      <w:jc w:val="both"/>
      <w:outlineLvl w:val="3"/>
    </w:pPr>
    <w:rPr>
      <w:rFonts w:ascii="EC Square Sans Pro" w:eastAsia="Times New Roman" w:hAnsi="EC Square Sans Pro" w:cs="Times New Roman"/>
      <w:bCs/>
      <w:iCs/>
      <w:sz w:val="24"/>
    </w:rPr>
  </w:style>
  <w:style w:type="paragraph" w:styleId="Heading5">
    <w:name w:val="heading 5"/>
    <w:basedOn w:val="Normal"/>
    <w:next w:val="Normal"/>
    <w:link w:val="Heading5Char"/>
    <w:uiPriority w:val="9"/>
    <w:semiHidden/>
    <w:unhideWhenUsed/>
    <w:qFormat/>
    <w:pPr>
      <w:keepNext/>
      <w:keepLines/>
      <w:numPr>
        <w:ilvl w:val="4"/>
        <w:numId w:val="37"/>
      </w:numPr>
      <w:spacing w:before="200" w:after="0" w:line="240" w:lineRule="auto"/>
      <w:outlineLvl w:val="4"/>
    </w:pPr>
    <w:rPr>
      <w:rFonts w:ascii="EC Square Sans Pro" w:eastAsia="Times New Roman" w:hAnsi="EC Square Sans Pro" w:cs="Times New Roman"/>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37"/>
      </w:numPr>
      <w:spacing w:before="200" w:after="0" w:line="240" w:lineRule="auto"/>
      <w:outlineLvl w:val="5"/>
    </w:pPr>
    <w:rPr>
      <w:rFonts w:ascii="EC Square Sans Pro" w:eastAsia="Times New Roman" w:hAnsi="EC Square Sans Pro" w:cs="Times New Roman"/>
      <w:i/>
      <w:iCs/>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37"/>
      </w:numPr>
      <w:spacing w:before="200" w:after="0" w:line="240" w:lineRule="auto"/>
      <w:outlineLvl w:val="6"/>
    </w:pPr>
    <w:rPr>
      <w:rFonts w:ascii="EC Square Sans Pro" w:eastAsia="Times New Roman" w:hAnsi="EC Square Sans Pro" w:cs="Times New Roman"/>
      <w:i/>
      <w:iCs/>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37"/>
      </w:numPr>
      <w:spacing w:before="200" w:after="0" w:line="240" w:lineRule="auto"/>
      <w:outlineLvl w:val="7"/>
    </w:pPr>
    <w:rPr>
      <w:rFonts w:ascii="EC Square Sans Pro" w:eastAsia="Times New Roman" w:hAnsi="EC Square Sans Pro" w:cs="Times New Roman"/>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37"/>
      </w:numPr>
      <w:spacing w:before="200" w:after="0" w:line="240" w:lineRule="auto"/>
      <w:outlineLvl w:val="8"/>
    </w:pPr>
    <w:rPr>
      <w:rFonts w:ascii="EC Square Sans Pro" w:eastAsia="Times New Roman" w:hAnsi="EC Square Sans Pro" w:cs="Times New Roman"/>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imes New Roman" w:hAnsi="EC Square Sans Pro" w:cs="Times New Roman"/>
      <w:b/>
      <w:bCs/>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imes New Roman" w:hAnsi="EC Square Sans Pro" w:cs="Times New Roman"/>
      <w:b/>
      <w:bCs/>
      <w:sz w:val="24"/>
      <w:szCs w:val="26"/>
    </w:rPr>
  </w:style>
  <w:style w:type="character" w:customStyle="1" w:styleId="Heading3Char">
    <w:name w:val="Heading 3 Char"/>
    <w:basedOn w:val="DefaultParagraphFont"/>
    <w:link w:val="Heading3"/>
    <w:uiPriority w:val="9"/>
    <w:semiHidden/>
    <w:rPr>
      <w:rFonts w:ascii="EC Square Sans Pro" w:eastAsia="Times New Roman" w:hAnsi="EC Square Sans Pro" w:cs="Times New Roman"/>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imes New Roman" w:hAnsi="EC Square Sans Pro" w:cs="Times New Roman"/>
      <w:bCs/>
      <w:iCs/>
      <w:sz w:val="24"/>
    </w:rPr>
  </w:style>
  <w:style w:type="character" w:customStyle="1" w:styleId="Heading5Char">
    <w:name w:val="Heading 5 Char"/>
    <w:basedOn w:val="DefaultParagraphFont"/>
    <w:link w:val="Heading5"/>
    <w:uiPriority w:val="9"/>
    <w:semiHidden/>
    <w:rPr>
      <w:rFonts w:ascii="EC Square Sans Pro" w:eastAsia="Times New Roman" w:hAnsi="EC Square Sans Pro" w:cs="Times New Roman"/>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imes New Roman" w:hAnsi="EC Square Sans Pro" w:cs="Times New Roman"/>
      <w:i/>
      <w:iCs/>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imes New Roman" w:hAnsi="EC Square Sans Pro" w:cs="Times New Roman"/>
      <w:i/>
      <w:iCs/>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imes New Roman" w:hAnsi="EC Square Sans Pro" w:cs="Times New Roman"/>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imes New Roman" w:hAnsi="EC Square Sans Pro" w:cs="Times New Roman"/>
      <w:i/>
      <w:iCs/>
      <w:color w:val="404040" w:themeColor="text1" w:themeTint="BF"/>
      <w:sz w:val="20"/>
      <w:szCs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pPr>
      <w:spacing w:after="0" w:line="240" w:lineRule="auto"/>
      <w:ind w:left="720"/>
      <w:contextualSpacing/>
    </w:pPr>
    <w:rPr>
      <w:rFonts w:ascii="EC Square Sans Pro" w:hAnsi="EC Square Sans Pro" w:cs="Times New Roman"/>
      <w:sz w:val="20"/>
    </w:rPr>
  </w:style>
  <w:style w:type="paragraph" w:customStyle="1" w:styleId="Subhead3">
    <w:name w:val="Subhead 3"/>
    <w:basedOn w:val="Subhead2"/>
    <w:autoRedefine/>
    <w:semiHidden/>
    <w:pPr>
      <w:numPr>
        <w:ilvl w:val="0"/>
        <w:numId w:val="0"/>
      </w:numPr>
      <w:pBdr>
        <w:top w:val="none" w:sz="0" w:space="0" w:color="auto"/>
        <w:bottom w:val="none" w:sz="0" w:space="0" w:color="auto"/>
      </w:pBdr>
      <w:spacing w:before="120"/>
      <w:ind w:left="661"/>
    </w:pPr>
    <w:rPr>
      <w:iCs w:val="0"/>
      <w:color w:val="5B9BD5" w:themeColor="accent1"/>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sz w:val="18"/>
      <w:szCs w:val="18"/>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cs="Times New Roman"/>
      <w:b/>
      <w:bCs/>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cs="Times New Roman"/>
      <w:b/>
      <w:bCs/>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semiHidden/>
    <w:pPr>
      <w:numPr>
        <w:numId w:val="3"/>
      </w:numPr>
    </w:pPr>
  </w:style>
  <w:style w:type="character" w:styleId="Hyperlink">
    <w:name w:val="Hyperlink"/>
    <w:basedOn w:val="DefaultParagraphFont"/>
    <w:uiPriority w:val="99"/>
    <w:rPr>
      <w:rFonts w:ascii="EC Square Sans Pro" w:hAnsi="EC Square Sans Pro"/>
      <w:strike w:val="0"/>
      <w:dstrike w:val="0"/>
      <w:noProof w:val="0"/>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cs="Times New Roman"/>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cs="Times New Roman"/>
      <w:sz w:val="20"/>
      <w:szCs w:val="20"/>
    </w:rPr>
  </w:style>
  <w:style w:type="character" w:styleId="EndnoteReference">
    <w:name w:val="endnote reference"/>
    <w:basedOn w:val="DefaultParagraphFont"/>
    <w:uiPriority w:val="99"/>
    <w:semiHidden/>
    <w:unhideWhenUsed/>
    <w:rPr>
      <w:rFonts w:ascii="EC Square Sans Pro" w:hAnsi="EC Square Sans Pro"/>
      <w:noProof w:val="0"/>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120" w:line="240" w:lineRule="auto"/>
      <w:jc w:val="both"/>
    </w:pPr>
    <w:rPr>
      <w:rFonts w:ascii="EC Square Sans Pro" w:hAnsi="EC Square Sans Pro" w:cs="Times New Roman"/>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color w:val="EE6A44"/>
      <w:sz w:val="52"/>
    </w:rPr>
  </w:style>
  <w:style w:type="paragraph" w:customStyle="1" w:styleId="Title2Report">
    <w:name w:val="Title 2 / Report"/>
    <w:basedOn w:val="Normal"/>
    <w:link w:val="Title2ReportChar"/>
    <w:autoRedefine/>
    <w:semiHidden/>
    <w:qFormat/>
    <w:pPr>
      <w:keepNext/>
      <w:keepLines/>
      <w:numPr>
        <w:numId w:val="9"/>
      </w:numPr>
      <w:pBdr>
        <w:top w:val="single" w:sz="12" w:space="1" w:color="ED7D31" w:themeColor="accent2"/>
        <w:bottom w:val="single" w:sz="12" w:space="1" w:color="ED7D31" w:themeColor="accent2"/>
      </w:pBdr>
      <w:spacing w:before="480" w:after="240" w:line="276" w:lineRule="auto"/>
      <w:outlineLvl w:val="1"/>
    </w:pPr>
    <w:rPr>
      <w:rFonts w:ascii="EC Square Sans Pro" w:eastAsia="EC Square Sans Pro" w:hAnsi="EC Square Sans Pro" w:cs="Times New Roman"/>
      <w:b/>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val="0"/>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imes New Roman" w:hAnsi="EC Square Sans Pro" w:cs="Times New Roman"/>
      <w:i/>
      <w:iCs/>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sz w:val="20"/>
    </w:rPr>
  </w:style>
  <w:style w:type="character" w:customStyle="1" w:styleId="BodyText2Char">
    <w:name w:val="Body Text 2 Char"/>
    <w:basedOn w:val="DefaultParagraphFont"/>
    <w:link w:val="BodyText2"/>
    <w:uiPriority w:val="99"/>
    <w:semiHidden/>
    <w:rPr>
      <w:rFonts w:ascii="EC Square Sans Pro" w:hAnsi="EC Square Sans Pro" w:cs="Times New Roman"/>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sz w:val="20"/>
    </w:rPr>
  </w:style>
  <w:style w:type="character" w:customStyle="1" w:styleId="ClosingChar">
    <w:name w:val="Closing Char"/>
    <w:basedOn w:val="DefaultParagraphFont"/>
    <w:link w:val="Closing"/>
    <w:uiPriority w:val="99"/>
    <w:semiHidden/>
    <w:rPr>
      <w:rFonts w:ascii="EC Square Sans Pro" w:hAnsi="EC Square Sans Pro" w:cs="Times New Roman"/>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sz w:val="20"/>
    </w:rPr>
  </w:style>
  <w:style w:type="character" w:customStyle="1" w:styleId="DateChar">
    <w:name w:val="Date Char"/>
    <w:basedOn w:val="DefaultParagraphFont"/>
    <w:link w:val="Date"/>
    <w:uiPriority w:val="99"/>
    <w:semiHidden/>
    <w:rPr>
      <w:rFonts w:ascii="EC Square Sans Pro" w:hAnsi="EC Square Sans Pro" w:cs="Times New Roman"/>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imes New Roman" w:hAnsi="EC Square Sans Pro" w:cs="Times New Roman"/>
      <w:sz w:val="24"/>
      <w:szCs w:val="24"/>
    </w:rPr>
  </w:style>
  <w:style w:type="paragraph" w:styleId="EnvelopeReturn">
    <w:name w:val="envelope return"/>
    <w:basedOn w:val="Normal"/>
    <w:uiPriority w:val="99"/>
    <w:semiHidden/>
    <w:unhideWhenUsed/>
    <w:pPr>
      <w:spacing w:after="0" w:line="240" w:lineRule="auto"/>
    </w:pPr>
    <w:rPr>
      <w:rFonts w:ascii="EC Square Sans Pro" w:eastAsia="Times New Roman" w:hAnsi="EC Square Sans Pro" w:cs="Times New Roman"/>
      <w:sz w:val="20"/>
      <w:szCs w:val="20"/>
    </w:rPr>
  </w:style>
  <w:style w:type="character" w:styleId="HTMLAcronym">
    <w:name w:val="HTML Acronym"/>
    <w:basedOn w:val="DefaultParagraphFont"/>
    <w:uiPriority w:val="99"/>
    <w:semiHidden/>
    <w:unhideWhenUsed/>
    <w:rPr>
      <w:rFonts w:ascii="EC Square Sans Pro" w:hAnsi="EC Square Sans Pro"/>
      <w:noProof w:val="0"/>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sz w:val="20"/>
    </w:rPr>
  </w:style>
  <w:style w:type="character" w:styleId="HTMLCite">
    <w:name w:val="HTML Cite"/>
    <w:basedOn w:val="DefaultParagraphFont"/>
    <w:uiPriority w:val="99"/>
    <w:semiHidden/>
    <w:unhideWhenUsed/>
    <w:rPr>
      <w:rFonts w:ascii="EC Square Sans Pro" w:hAnsi="EC Square Sans Pro"/>
      <w:i/>
      <w:iCs/>
      <w:noProof w:val="0"/>
      <w:lang w:val="en-GB"/>
    </w:rPr>
  </w:style>
  <w:style w:type="character" w:styleId="HTMLCode">
    <w:name w:val="HTML Code"/>
    <w:basedOn w:val="DefaultParagraphFont"/>
    <w:uiPriority w:val="99"/>
    <w:semiHidden/>
    <w:unhideWhenUsed/>
    <w:rPr>
      <w:rFonts w:ascii="EC Square Sans Pro" w:hAnsi="EC Square Sans Pro" w:cs="Consolas"/>
      <w:noProof w:val="0"/>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val="0"/>
      <w:lang w:val="en-GB"/>
    </w:rPr>
  </w:style>
  <w:style w:type="character" w:styleId="HTMLKeyboard">
    <w:name w:val="HTML Keyboard"/>
    <w:basedOn w:val="DefaultParagraphFont"/>
    <w:uiPriority w:val="99"/>
    <w:semiHidden/>
    <w:unhideWhenUsed/>
    <w:rPr>
      <w:rFonts w:ascii="EC Square Sans Pro" w:hAnsi="EC Square Sans Pro" w:cs="Consolas"/>
      <w:noProof w:val="0"/>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sz w:val="20"/>
      <w:szCs w:val="20"/>
    </w:rPr>
  </w:style>
  <w:style w:type="character" w:styleId="HTMLSample">
    <w:name w:val="HTML Sample"/>
    <w:basedOn w:val="DefaultParagraphFont"/>
    <w:uiPriority w:val="99"/>
    <w:semiHidden/>
    <w:unhideWhenUsed/>
    <w:rPr>
      <w:rFonts w:ascii="EC Square Sans Pro" w:hAnsi="EC Square Sans Pro" w:cs="Consolas"/>
      <w:noProof w:val="0"/>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val="0"/>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val="0"/>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sz w:val="20"/>
    </w:rPr>
  </w:style>
  <w:style w:type="paragraph" w:styleId="IndexHeading">
    <w:name w:val="index heading"/>
    <w:basedOn w:val="Normal"/>
    <w:next w:val="Index1"/>
    <w:uiPriority w:val="99"/>
    <w:semiHidden/>
    <w:unhideWhenUsed/>
    <w:pPr>
      <w:spacing w:after="0" w:line="240" w:lineRule="auto"/>
    </w:pPr>
    <w:rPr>
      <w:rFonts w:ascii="EC Square Sans Pro" w:eastAsia="Times New Roman" w:hAnsi="EC Square Sans Pro" w:cs="Times New Roman"/>
      <w:b/>
      <w:bCs/>
      <w:sz w:val="20"/>
    </w:rPr>
  </w:style>
  <w:style w:type="character" w:styleId="LineNumber">
    <w:name w:val="line number"/>
    <w:basedOn w:val="DefaultParagraphFont"/>
    <w:uiPriority w:val="99"/>
    <w:semiHidden/>
    <w:unhideWhenUsed/>
    <w:rPr>
      <w:rFonts w:ascii="EC Square Sans Pro" w:hAnsi="EC Square Sans Pro"/>
      <w:noProof w:val="0"/>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imes New Roman" w:hAnsi="EC Square Sans Pro" w:cs="Times New Roman"/>
      <w:sz w:val="24"/>
      <w:szCs w:val="24"/>
    </w:rPr>
  </w:style>
  <w:style w:type="character" w:customStyle="1" w:styleId="MessageHeaderChar">
    <w:name w:val="Message Header Char"/>
    <w:basedOn w:val="DefaultParagraphFont"/>
    <w:link w:val="MessageHeader"/>
    <w:uiPriority w:val="99"/>
    <w:semiHidden/>
    <w:rPr>
      <w:rFonts w:ascii="EC Square Sans Pro" w:eastAsia="Times New Roman" w:hAnsi="EC Square Sans Pro" w:cs="Times New Roman"/>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sz w:val="20"/>
    </w:rPr>
  </w:style>
  <w:style w:type="character" w:styleId="PageNumber">
    <w:name w:val="page number"/>
    <w:basedOn w:val="DefaultParagraphFont"/>
    <w:uiPriority w:val="99"/>
    <w:semiHidden/>
    <w:unhideWhenUsed/>
    <w:rPr>
      <w:rFonts w:ascii="EC Square Sans Pro" w:hAnsi="EC Square Sans Pro"/>
      <w:noProof w:val="0"/>
      <w:lang w:val="en-GB"/>
    </w:rPr>
  </w:style>
  <w:style w:type="character" w:styleId="PlaceholderText">
    <w:name w:val="Placeholder Text"/>
    <w:basedOn w:val="DefaultParagraphFont"/>
    <w:uiPriority w:val="99"/>
    <w:semiHidden/>
    <w:rPr>
      <w:rFonts w:ascii="EC Square Sans Pro" w:hAnsi="EC Square Sans Pro"/>
      <w:noProof w:val="0"/>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sz w:val="20"/>
    </w:rPr>
  </w:style>
  <w:style w:type="character" w:customStyle="1" w:styleId="SalutationChar">
    <w:name w:val="Salutation Char"/>
    <w:basedOn w:val="DefaultParagraphFont"/>
    <w:link w:val="Salutation"/>
    <w:uiPriority w:val="99"/>
    <w:semiHidden/>
    <w:rPr>
      <w:rFonts w:ascii="EC Square Sans Pro" w:hAnsi="EC Square Sans Pro" w:cs="Times New Roman"/>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sz w:val="20"/>
    </w:rPr>
  </w:style>
  <w:style w:type="character" w:customStyle="1" w:styleId="SignatureChar">
    <w:name w:val="Signature Char"/>
    <w:basedOn w:val="DefaultParagraphFont"/>
    <w:link w:val="Signature"/>
    <w:uiPriority w:val="99"/>
    <w:semiHidden/>
    <w:rPr>
      <w:rFonts w:ascii="EC Square Sans Pro" w:hAnsi="EC Square Sans Pro" w:cs="Times New Roman"/>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imes New Roman" w:hAnsi="EC Square Sans Pro" w:cs="Times New Roman"/>
      <w:b/>
      <w:bCs/>
      <w:sz w:val="24"/>
      <w:szCs w:val="24"/>
    </w:rPr>
  </w:style>
  <w:style w:type="character" w:customStyle="1" w:styleId="BOLDBLUE">
    <w:name w:val="BOLD BLUE"/>
    <w:basedOn w:val="BodyTextChar"/>
    <w:semiHidden/>
    <w:qFormat/>
    <w:rPr>
      <w:rFonts w:ascii="EC Square Sans Pro" w:hAnsi="EC Square Sans Pro" w:cs="Times New Roman"/>
      <w:b/>
      <w:noProof w:val="0"/>
      <w:color w:val="4472C4" w:themeColor="accent5"/>
      <w:sz w:val="20"/>
      <w:lang w:val="en-GB" w:eastAsia="fr-BE"/>
    </w:rPr>
  </w:style>
  <w:style w:type="paragraph" w:customStyle="1" w:styleId="Title1-NoTOClink">
    <w:name w:val="Title 1 - No TOC link"/>
    <w:basedOn w:val="Normal"/>
    <w:next w:val="Normal"/>
    <w:semiHidden/>
    <w:pPr>
      <w:keepNext/>
      <w:keepLines/>
      <w:pageBreakBefore/>
      <w:spacing w:after="120" w:line="240" w:lineRule="auto"/>
      <w:ind w:left="680" w:hanging="680"/>
      <w:outlineLvl w:val="0"/>
    </w:pPr>
    <w:rPr>
      <w:rFonts w:ascii="EC Square Sans Pro" w:hAnsi="EC Square Sans Pro" w:cs="Times New Roman"/>
      <w:color w:val="4472C4" w:themeColor="accent5"/>
      <w:sz w:val="52"/>
    </w:rPr>
  </w:style>
  <w:style w:type="character" w:customStyle="1" w:styleId="fnRefNo">
    <w:name w:val="fnRefNo"/>
    <w:uiPriority w:val="1"/>
    <w:qFormat/>
    <w:rPr>
      <w:rFonts w:ascii="EC Square Sans Pro" w:hAnsi="EC Square Sans Pro"/>
      <w:b w:val="0"/>
      <w:i w:val="0"/>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autoRedefine/>
    <w:semiHidden/>
    <w:qFormat/>
    <w:pPr>
      <w:keepNext/>
      <w:keepLines/>
      <w:numPr>
        <w:ilvl w:val="2"/>
        <w:numId w:val="9"/>
      </w:numPr>
      <w:pBdr>
        <w:top w:val="single" w:sz="12" w:space="1" w:color="5B9BD5" w:themeColor="accent1"/>
        <w:bottom w:val="single" w:sz="12" w:space="1" w:color="5B9BD5" w:themeColor="accent1"/>
      </w:pBdr>
      <w:spacing w:before="480" w:after="120" w:line="240" w:lineRule="auto"/>
      <w:jc w:val="both"/>
      <w:outlineLvl w:val="2"/>
    </w:pPr>
    <w:rPr>
      <w:rFonts w:ascii="EC Square Sans Pro" w:hAnsi="EC Square Sans Pro" w:cs="Times New Roman"/>
      <w:b/>
      <w:iCs/>
      <w:color w:val="4472C4" w:themeColor="accent5"/>
      <w:sz w:val="28"/>
      <w:lang w:eastAsia="zh-CN"/>
    </w:rPr>
  </w:style>
  <w:style w:type="character" w:customStyle="1" w:styleId="Subhead2Char">
    <w:name w:val="Subhead 2 Char"/>
    <w:basedOn w:val="DefaultParagraphFont"/>
    <w:link w:val="Subhead2"/>
    <w:semiHidden/>
    <w:rPr>
      <w:rFonts w:ascii="EC Square Sans Pro" w:hAnsi="EC Square Sans Pro" w:cs="Times New Roman"/>
      <w:b/>
      <w:iCs/>
      <w:color w:val="4472C4" w:themeColor="accent5"/>
      <w:sz w:val="28"/>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sz w:val="20"/>
      <w:lang w:eastAsia="fr-BE"/>
    </w:rPr>
  </w:style>
  <w:style w:type="table" w:customStyle="1" w:styleId="DocumentTable2">
    <w:name w:val="Document Table2"/>
    <w:basedOn w:val="TableNormal"/>
    <w:next w:val="TableGrid"/>
    <w:uiPriority w:val="59"/>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Subhead2"/>
    <w:link w:val="BulletsChar"/>
    <w:semiHidden/>
    <w:qFormat/>
    <w:pPr>
      <w:numPr>
        <w:numId w:val="4"/>
      </w:numPr>
      <w:spacing w:before="60" w:after="60"/>
    </w:pPr>
    <w:rPr>
      <w:b w:val="0"/>
      <w:color w:val="000000" w:themeColor="text1"/>
      <w:sz w:val="20"/>
    </w:rPr>
  </w:style>
  <w:style w:type="paragraph" w:styleId="FootnoteText">
    <w:name w:val="footnote text"/>
    <w:basedOn w:val="footnote"/>
    <w:link w:val="FootnoteTextChar"/>
    <w:uiPriority w:val="99"/>
    <w:qFormat/>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character" w:customStyle="1" w:styleId="BulletsChar">
    <w:name w:val="Bullets Char"/>
    <w:basedOn w:val="Subhead2Char"/>
    <w:link w:val="Bullets"/>
    <w:semiHidden/>
    <w:rPr>
      <w:rFonts w:ascii="EC Square Sans Pro" w:hAnsi="EC Square Sans Pro" w:cs="Times New Roman"/>
      <w:b w:val="0"/>
      <w:iCs/>
      <w:color w:val="000000" w:themeColor="text1"/>
      <w:sz w:val="20"/>
      <w:lang w:eastAsia="zh-CN"/>
    </w:rPr>
  </w:style>
  <w:style w:type="paragraph" w:customStyle="1" w:styleId="footnoteTxt">
    <w:name w:val="footnote Txt"/>
    <w:basedOn w:val="FootnoteText"/>
    <w:semiHidden/>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color w:val="000000"/>
      <w:sz w:val="24"/>
      <w:szCs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eastAsiaTheme="majorEastAsia" w:hAnsiTheme="majorHAnsi" w:cstheme="majorBid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sz w:val="20"/>
    </w:rPr>
  </w:style>
  <w:style w:type="paragraph" w:customStyle="1" w:styleId="BodyText1spaceafter">
    <w:name w:val="Body Text 1 (space after)"/>
    <w:basedOn w:val="Normal"/>
    <w:next w:val="Normal"/>
    <w:semiHidden/>
    <w:pPr>
      <w:spacing w:after="240" w:line="240" w:lineRule="auto"/>
      <w:jc w:val="both"/>
    </w:pPr>
    <w:rPr>
      <w:rFonts w:ascii="EC Square Sans Pro" w:eastAsia="Calibri" w:hAnsi="EC Square Sans Pro" w:cs="Times New Roman"/>
      <w:color w:val="000000" w:themeColor="text1"/>
      <w:sz w:val="20"/>
      <w:lang w:eastAsia="fr-BE"/>
    </w:rPr>
  </w:style>
  <w:style w:type="character" w:customStyle="1" w:styleId="fnRef">
    <w:name w:val="fnRef"/>
    <w:uiPriority w:val="1"/>
    <w:rPr>
      <w:rFonts w:ascii="EC Square Sans Pro" w:hAnsi="EC Square Sans Pro"/>
      <w:b w:val="0"/>
      <w:i w:val="0"/>
      <w:bdr w:val="none" w:sz="0" w:space="0" w:color="auto"/>
      <w:shd w:val="clear" w:color="auto" w:fill="auto"/>
      <w:vertAlign w:val="baseline"/>
      <w:lang w:val="en-GB"/>
    </w:rPr>
  </w:style>
  <w:style w:type="character" w:customStyle="1" w:styleId="BOLDLIGHTBLUEReport">
    <w:name w:val="BOLD LIGHT BLUE / Report"/>
    <w:basedOn w:val="DefaultParagraphFont"/>
    <w:semiHidden/>
    <w:rPr>
      <w:rFonts w:ascii="EC Square Sans Pro" w:eastAsia="Times New Roman" w:hAnsi="EC Square Sans Pro"/>
      <w:b/>
      <w:noProof w:val="0"/>
      <w:color w:val="65BBC8"/>
      <w:szCs w:val="20"/>
      <w:lang w:val="en-GB" w:eastAsia="en-GB"/>
    </w:rPr>
  </w:style>
  <w:style w:type="character" w:styleId="CommentReference">
    <w:name w:val="annotation reference"/>
    <w:basedOn w:val="DefaultParagraphFont"/>
    <w:uiPriority w:val="99"/>
    <w:semiHidden/>
    <w:unhideWhenUsed/>
    <w:qFormat/>
    <w:rPr>
      <w:noProof w:val="0"/>
      <w:sz w:val="16"/>
      <w:szCs w:val="16"/>
      <w:lang w:val="en-GB"/>
    </w:rPr>
  </w:style>
  <w:style w:type="paragraph" w:customStyle="1" w:styleId="Nota">
    <w:name w:val="Nota"/>
    <w:aliases w:val=" Char1,Char1,(NECG) Footnote Reference,Appel note de bas de p,Style 6,Signature Ch,Fußnotenzeichen3,Footnote Reference_LVL6,Footnote Reference_LVL61,Footnote Reference_LVL62,Ch,de nota al pi..."/>
    <w:basedOn w:val="Normal"/>
    <w:uiPriority w:val="99"/>
    <w:semiHidden/>
    <w:pPr>
      <w:spacing w:line="240" w:lineRule="exact"/>
    </w:pPr>
    <w:rPr>
      <w:rFonts w:ascii="Times New Roman" w:hAnsi="Times New Roman" w:cs="Times New Roman"/>
      <w:vertAlign w:val="superscript"/>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color w:val="000000" w:themeColor="text1"/>
      <w:sz w:val="20"/>
      <w:shd w:val="clear" w:color="auto" w:fill="FBE4D5" w:themeFill="accent2" w:themeFillTint="33"/>
      <w:lang w:eastAsia="fr-BE"/>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EC Square Sans Pro" w:hAnsi="EC Square Sans Pro" w:cs="Times New Roman"/>
      <w:sz w:val="20"/>
    </w:rPr>
  </w:style>
  <w:style w:type="paragraph" w:customStyle="1" w:styleId="BodyText1spacebeforeandafter">
    <w:name w:val="Body Text 1 (space before and after)"/>
    <w:basedOn w:val="Normal"/>
    <w:semiHidden/>
    <w:pPr>
      <w:spacing w:before="240" w:after="240" w:line="240" w:lineRule="auto"/>
      <w:jc w:val="both"/>
    </w:pPr>
    <w:rPr>
      <w:rFonts w:ascii="EC Square Sans Pro" w:eastAsia="Calibri" w:hAnsi="EC Square Sans Pro" w:cs="Times New Roman"/>
      <w:color w:val="000000" w:themeColor="text1"/>
      <w:sz w:val="20"/>
      <w:lang w:eastAsia="fr-BE"/>
    </w:rPr>
  </w:style>
  <w:style w:type="paragraph" w:customStyle="1" w:styleId="BulletsblueNew">
    <w:name w:val="Bullets blue New"/>
    <w:basedOn w:val="Normal"/>
    <w:semiHidden/>
    <w:pPr>
      <w:numPr>
        <w:numId w:val="7"/>
      </w:numPr>
      <w:spacing w:after="60" w:line="240" w:lineRule="auto"/>
      <w:jc w:val="both"/>
    </w:pPr>
    <w:rPr>
      <w:rFonts w:ascii="EC Square Sans Pro" w:eastAsia="Calibri" w:hAnsi="EC Square Sans Pro" w:cs="Times New Roman"/>
      <w:sz w:val="20"/>
      <w:lang w:eastAsia="fr-BE"/>
    </w:rPr>
  </w:style>
  <w:style w:type="character" w:customStyle="1" w:styleId="Corpsdutexte4">
    <w:name w:val="Corps du texte (4)_"/>
    <w:link w:val="Corpsdutexte40"/>
    <w:uiPriority w:val="99"/>
    <w:semiHidden/>
    <w:locked/>
    <w:rPr>
      <w:rFonts w:ascii="Times New Roman" w:hAnsi="Times New Roman" w:cs="Times New Roman"/>
      <w:sz w:val="19"/>
      <w:szCs w:val="19"/>
      <w:shd w:val="clear" w:color="auto" w:fill="FFFFFF"/>
    </w:rPr>
  </w:style>
  <w:style w:type="paragraph" w:customStyle="1" w:styleId="Corpsdutexte40">
    <w:name w:val="Corps du texte (4)"/>
    <w:basedOn w:val="Normal"/>
    <w:link w:val="Corpsdutexte4"/>
    <w:uiPriority w:val="99"/>
    <w:semiHidden/>
    <w:pPr>
      <w:widowControl w:val="0"/>
      <w:shd w:val="clear" w:color="auto" w:fill="FFFFFF"/>
      <w:spacing w:before="480" w:after="0" w:line="226" w:lineRule="exact"/>
      <w:jc w:val="both"/>
    </w:pPr>
    <w:rPr>
      <w:rFonts w:ascii="Times New Roman" w:hAnsi="Times New Roman" w:cs="Times New Roman"/>
      <w:sz w:val="19"/>
      <w:szCs w:val="19"/>
    </w:rPr>
  </w:style>
  <w:style w:type="paragraph" w:customStyle="1" w:styleId="BulletsblueNew-Spacebefore">
    <w:name w:val="Bullets blue New - Space before"/>
    <w:basedOn w:val="BulletsblueNew"/>
    <w:semiHidden/>
    <w:pPr>
      <w:spacing w:before="240"/>
    </w:pPr>
  </w:style>
  <w:style w:type="character" w:styleId="Strong">
    <w:name w:val="Strong"/>
    <w:basedOn w:val="DefaultParagraphFont"/>
    <w:uiPriority w:val="22"/>
    <w:qFormat/>
    <w:rPr>
      <w:b/>
      <w:bCs/>
      <w:noProof w:val="0"/>
      <w:lang w:val="en-GB"/>
    </w:rPr>
  </w:style>
  <w:style w:type="paragraph" w:customStyle="1" w:styleId="FootnoteTextChar1CharCharCharCharChar1">
    <w:name w:val="Footnote Text Char1 Char Char Char Char Char1"/>
    <w:basedOn w:val="Normal"/>
    <w:next w:val="FootnoteText"/>
    <w:uiPriority w:val="99"/>
    <w:semiHidden/>
    <w:qFormat/>
    <w:pPr>
      <w:spacing w:after="0" w:line="240" w:lineRule="auto"/>
    </w:pPr>
    <w:rPr>
      <w:rFonts w:ascii="EC Square Sans Pro" w:hAnsi="EC Square Sans Pro" w:cs="Times New Roman"/>
      <w:sz w:val="20"/>
      <w:szCs w:val="20"/>
    </w:rPr>
  </w:style>
  <w:style w:type="character" w:styleId="BookTitle">
    <w:name w:val="Book Title"/>
    <w:basedOn w:val="DefaultParagraphFont"/>
    <w:uiPriority w:val="33"/>
    <w:rPr>
      <w:b/>
      <w:bCs/>
      <w:i/>
      <w:iCs/>
      <w:noProof w:val="0"/>
      <w:spacing w:val="5"/>
      <w:lang w:val="en-GB"/>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color w:val="44546A" w:themeColor="text2"/>
      <w:sz w:val="18"/>
      <w:szCs w:val="18"/>
    </w:rPr>
  </w:style>
  <w:style w:type="character" w:styleId="Emphasis">
    <w:name w:val="Emphasis"/>
    <w:basedOn w:val="DefaultParagraphFont"/>
    <w:uiPriority w:val="20"/>
    <w:qFormat/>
    <w:rPr>
      <w:i/>
      <w:iCs/>
      <w:noProof w:val="0"/>
      <w:lang w:val="en-GB"/>
    </w:rPr>
  </w:style>
  <w:style w:type="character" w:styleId="IntenseEmphasis">
    <w:name w:val="Intense Emphasis"/>
    <w:basedOn w:val="DefaultParagraphFont"/>
    <w:uiPriority w:val="21"/>
    <w:rPr>
      <w:i/>
      <w:iCs/>
      <w:noProof w:val="0"/>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color w:val="5B9BD5" w:themeColor="accent1"/>
      <w:sz w:val="20"/>
    </w:rPr>
  </w:style>
  <w:style w:type="character" w:styleId="IntenseReference">
    <w:name w:val="Intense Reference"/>
    <w:basedOn w:val="DefaultParagraphFont"/>
    <w:uiPriority w:val="32"/>
    <w:rPr>
      <w:b/>
      <w:bCs/>
      <w:smallCaps/>
      <w:noProof w:val="0"/>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rPr>
      <w:i/>
      <w:iCs/>
      <w:noProof w:val="0"/>
      <w:color w:val="404040" w:themeColor="text1" w:themeTint="BF"/>
      <w:lang w:val="en-GB"/>
    </w:rPr>
  </w:style>
  <w:style w:type="character" w:styleId="SubtleReference">
    <w:name w:val="Subtle Reference"/>
    <w:basedOn w:val="DefaultParagraphFont"/>
    <w:uiPriority w:val="31"/>
    <w:qFormat/>
    <w:rPr>
      <w:smallCaps/>
      <w:noProof w:val="0"/>
      <w:color w:val="5A5A5A" w:themeColor="text1" w:themeTint="A5"/>
      <w:lang w:val="en-GB"/>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sz w:val="20"/>
    </w:rPr>
  </w:style>
  <w:style w:type="character" w:customStyle="1" w:styleId="AMPRcharBold">
    <w:name w:val="(AMPR char) Bold"/>
    <w:uiPriority w:val="1"/>
    <w:rPr>
      <w:b/>
      <w:bCs/>
      <w:bdr w:val="none" w:sz="0" w:space="0" w:color="auto"/>
      <w:shd w:val="clear" w:color="auto" w:fill="auto"/>
    </w:rPr>
  </w:style>
  <w:style w:type="character" w:customStyle="1" w:styleId="AMPRcharBoldBlue">
    <w:name w:val="(AMPR char) Bold Blue"/>
    <w:uiPriority w:val="1"/>
    <w:rPr>
      <w:b/>
      <w:color w:val="005D95"/>
      <w:bdr w:val="none" w:sz="0" w:space="0" w:color="auto"/>
      <w:shd w:val="clear" w:color="auto" w:fill="auto"/>
      <w:lang w:val="en-GB"/>
    </w:rPr>
  </w:style>
  <w:style w:type="character" w:customStyle="1" w:styleId="AMPRcharBoldOrange">
    <w:name w:val="(AMPR char) Bold Orange"/>
    <w:basedOn w:val="DefaultParagraphFont"/>
    <w:uiPriority w:val="1"/>
    <w:rPr>
      <w:b/>
      <w:bCs/>
      <w:color w:val="5B9BD5" w:themeColor="accent1"/>
      <w:bdr w:val="none" w:sz="0" w:space="0" w:color="auto"/>
      <w:shd w:val="clear" w:color="auto" w:fill="auto"/>
    </w:rPr>
  </w:style>
  <w:style w:type="character" w:customStyle="1" w:styleId="AMPRcharHyperlink">
    <w:name w:val="(AMPR char) Hyperlink"/>
    <w:uiPriority w:val="1"/>
    <w:rPr>
      <w:color w:val="4E9DD6"/>
      <w:bdr w:val="none" w:sz="0" w:space="0" w:color="auto"/>
      <w:shd w:val="clear" w:color="auto" w:fill="auto"/>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AMPRBodyText">
    <w:name w:val="(AMPR) Body Text"/>
    <w:basedOn w:val="BASE-STYLE-TEXT"/>
    <w:qFormat/>
    <w:pPr>
      <w:spacing w:before="240" w:after="240" w:line="240" w:lineRule="auto"/>
    </w:pPr>
    <w:rPr>
      <w:rFonts w:eastAsiaTheme="minorHAnsi" w:cstheme="minorBidi"/>
      <w:color w:val="000000"/>
      <w:sz w:val="20"/>
      <w:szCs w:val="20"/>
      <w:lang w:eastAsia="en-US"/>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numbering" w:customStyle="1" w:styleId="AMPRLIST-SEC1-Headings">
    <w:name w:val="(AMPR) LIST - SEC 1 - Headings"/>
    <w:uiPriority w:val="99"/>
    <w:pPr>
      <w:numPr>
        <w:numId w:val="11"/>
      </w:numPr>
    </w:pPr>
  </w:style>
  <w:style w:type="numbering" w:customStyle="1" w:styleId="AMPRLIST-SEC2-Headings">
    <w:name w:val="(AMPR) LIST - SEC 2 - Headings"/>
    <w:uiPriority w:val="99"/>
    <w:pPr>
      <w:numPr>
        <w:numId w:val="12"/>
      </w:numPr>
    </w:pPr>
  </w:style>
  <w:style w:type="paragraph" w:customStyle="1" w:styleId="AMPRLista-L1">
    <w:name w:val="(AMPR) List (a) - L1"/>
    <w:basedOn w:val="BASE-STYLE-TEXT"/>
    <w:qFormat/>
    <w:pPr>
      <w:numPr>
        <w:numId w:val="14"/>
      </w:numPr>
      <w:spacing w:before="80" w:after="80" w:line="240" w:lineRule="auto"/>
      <w:jc w:val="left"/>
    </w:pPr>
    <w:rPr>
      <w:rFonts w:eastAsiaTheme="minorHAnsi"/>
      <w:color w:val="auto"/>
      <w:sz w:val="20"/>
      <w:szCs w:val="22"/>
      <w:lang w:eastAsia="en-US"/>
    </w:rPr>
  </w:style>
  <w:style w:type="paragraph" w:customStyle="1" w:styleId="AMPRListBlue-L1">
    <w:name w:val="(AMPR) List * [Blue] - L1"/>
    <w:basedOn w:val="BASE-STYLE-TEXT"/>
    <w:qFormat/>
    <w:pPr>
      <w:numPr>
        <w:numId w:val="15"/>
      </w:numPr>
      <w:spacing w:before="80" w:after="80" w:line="240" w:lineRule="auto"/>
    </w:pPr>
    <w:rPr>
      <w:rFonts w:eastAsiaTheme="minorHAnsi"/>
      <w:sz w:val="20"/>
      <w:szCs w:val="22"/>
      <w:lang w:eastAsia="en-US"/>
    </w:rPr>
  </w:style>
  <w:style w:type="paragraph" w:customStyle="1" w:styleId="AMPRListBlue-L2">
    <w:name w:val="(AMPR) List * [Blue] - L2"/>
    <w:basedOn w:val="BASE-STYLE-TEXT"/>
    <w:qFormat/>
    <w:pPr>
      <w:numPr>
        <w:ilvl w:val="1"/>
        <w:numId w:val="15"/>
      </w:numPr>
      <w:spacing w:before="80" w:after="80" w:line="240" w:lineRule="auto"/>
    </w:pPr>
    <w:rPr>
      <w:rFonts w:eastAsiaTheme="minorHAnsi"/>
      <w:sz w:val="20"/>
      <w:szCs w:val="22"/>
      <w:lang w:eastAsia="fr-BE"/>
    </w:rPr>
  </w:style>
  <w:style w:type="paragraph" w:customStyle="1" w:styleId="AMPRListOrange-L1">
    <w:name w:val="(AMPR) List * [Orange] - L1"/>
    <w:basedOn w:val="BASE-STYLE-TEXT"/>
    <w:qFormat/>
    <w:pPr>
      <w:numPr>
        <w:numId w:val="16"/>
      </w:numPr>
      <w:spacing w:before="80" w:after="80" w:line="240" w:lineRule="auto"/>
    </w:pPr>
    <w:rPr>
      <w:rFonts w:eastAsiaTheme="minorHAnsi"/>
      <w:sz w:val="20"/>
      <w:szCs w:val="22"/>
      <w:lang w:eastAsia="en-US"/>
    </w:rPr>
  </w:style>
  <w:style w:type="paragraph" w:customStyle="1" w:styleId="AMPRListOrange-L2">
    <w:name w:val="(AMPR) List * [Orange] - L2"/>
    <w:basedOn w:val="BASE-STYLE-TEXT"/>
    <w:qFormat/>
    <w:pPr>
      <w:numPr>
        <w:ilvl w:val="1"/>
        <w:numId w:val="16"/>
      </w:numPr>
      <w:spacing w:before="80" w:after="80" w:line="240" w:lineRule="auto"/>
    </w:pPr>
    <w:rPr>
      <w:rFonts w:eastAsiaTheme="minorHAnsi"/>
      <w:sz w:val="20"/>
      <w:szCs w:val="22"/>
      <w:lang w:eastAsia="fr-BE"/>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color w:val="auto"/>
      <w:sz w:val="16"/>
      <w:szCs w:val="16"/>
      <w:lang w:eastAsia="fr-BE"/>
    </w:r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color w:val="203F79"/>
      <w:szCs w:val="18"/>
    </w:rPr>
  </w:style>
  <w:style w:type="paragraph" w:customStyle="1" w:styleId="AMPRtableBOXA-bgWHITElnORANGE-BLUEBullet">
    <w:name w:val="(AMPR) tableBOX A - bgWHITE_lnORANGE - BLUE Bullet"/>
    <w:basedOn w:val="BASE-STYLE-TEXT"/>
    <w:qFormat/>
    <w:pPr>
      <w:widowControl w:val="0"/>
      <w:numPr>
        <w:numId w:val="13"/>
      </w:numPr>
      <w:autoSpaceDE w:val="0"/>
      <w:autoSpaceDN w:val="0"/>
      <w:adjustRightInd w:val="0"/>
      <w:spacing w:after="100" w:line="241" w:lineRule="exact"/>
      <w:jc w:val="left"/>
    </w:pPr>
    <w:rPr>
      <w:rFonts w:eastAsia="Times New Roman"/>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color w:val="005D95"/>
      <w:sz w:val="20"/>
      <w:szCs w:val="20"/>
      <w:lang w:eastAsia="en-US"/>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color w:val="auto"/>
      <w:sz w:val="20"/>
      <w:szCs w:val="22"/>
      <w:lang w:eastAsia="en-US" w:bidi="en-US"/>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color w:val="auto"/>
      <w:sz w:val="20"/>
      <w:szCs w:val="20"/>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color w:val="auto"/>
      <w:sz w:val="20"/>
      <w:szCs w:val="20"/>
      <w:lang w:eastAsia="en-US" w:bidi="en-US"/>
    </w:rPr>
  </w:style>
  <w:style w:type="numbering" w:customStyle="1" w:styleId="AMPRLISTa">
    <w:name w:val="(AMPR_LIST) (a)"/>
    <w:uiPriority w:val="99"/>
    <w:pPr>
      <w:numPr>
        <w:numId w:val="14"/>
      </w:numPr>
    </w:pPr>
  </w:style>
  <w:style w:type="numbering" w:customStyle="1" w:styleId="AMPRLISTBlue">
    <w:name w:val="(AMPR_LIST) * Blue"/>
    <w:uiPriority w:val="99"/>
    <w:pPr>
      <w:numPr>
        <w:numId w:val="15"/>
      </w:numPr>
    </w:pPr>
  </w:style>
  <w:style w:type="numbering" w:customStyle="1" w:styleId="AMPRLISTOrange">
    <w:name w:val="(AMPR_LIST) * Orange"/>
    <w:uiPriority w:val="99"/>
    <w:pPr>
      <w:numPr>
        <w:numId w:val="16"/>
      </w:numPr>
    </w:pPr>
  </w:style>
  <w:style w:type="paragraph" w:customStyle="1" w:styleId="BASE-STYLE-HEADINGS">
    <w:name w:val="_BASE-STYLE-HEADINGS"/>
    <w:basedOn w:val="BASE-STYLE-TEXT"/>
    <w:next w:val="Normal"/>
    <w:semiHidden/>
  </w:style>
  <w:style w:type="paragraph" w:customStyle="1" w:styleId="AMPRSec1TITLE2-numbered">
    <w:name w:val="(AMPR_Sec1) TITLE 2 - numbered"/>
    <w:basedOn w:val="BASE-STYLE-HEADINGS"/>
    <w:next w:val="AMPRBodyText"/>
    <w:qFormat/>
    <w:pPr>
      <w:keepNext/>
      <w:keepLines/>
      <w:pageBreakBefore/>
      <w:numPr>
        <w:numId w:val="11"/>
      </w:numPr>
      <w:spacing w:after="120" w:line="240" w:lineRule="auto"/>
      <w:jc w:val="left"/>
      <w:outlineLvl w:val="1"/>
    </w:pPr>
    <w:rPr>
      <w:rFonts w:eastAsiaTheme="minorHAnsi"/>
      <w:color w:val="4472C4" w:themeColor="accent5"/>
      <w:sz w:val="48"/>
      <w:szCs w:val="22"/>
      <w:lang w:eastAsia="en-US"/>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2TITLE2-numbered">
    <w:name w:val="(AMPR_Sec2) TITLE 2 - numbered"/>
    <w:basedOn w:val="BASE-STYLE-HEADINGS"/>
    <w:next w:val="AMPRBodyText"/>
    <w:qFormat/>
    <w:pPr>
      <w:keepNext/>
      <w:keepLines/>
      <w:pageBreakBefore/>
      <w:numPr>
        <w:numId w:val="39"/>
      </w:numPr>
      <w:spacing w:after="120" w:line="240" w:lineRule="auto"/>
      <w:jc w:val="left"/>
      <w:outlineLvl w:val="1"/>
    </w:pPr>
    <w:rPr>
      <w:rFonts w:eastAsiaTheme="minorHAnsi"/>
      <w:color w:val="4472C4" w:themeColor="accent5"/>
      <w:sz w:val="48"/>
      <w:szCs w:val="22"/>
      <w:lang w:eastAsia="en-US"/>
    </w:rPr>
  </w:style>
  <w:style w:type="paragraph" w:customStyle="1" w:styleId="AMPRSec2TITLE3-numbered">
    <w:name w:val="(AMPR_Sec2) TITLE 3 - numbered"/>
    <w:basedOn w:val="BASE-STYLE-HEADINGS"/>
    <w:next w:val="AMPRBodyText"/>
    <w:qFormat/>
    <w:pPr>
      <w:keepNext/>
      <w:keepLines/>
      <w:numPr>
        <w:ilvl w:val="1"/>
        <w:numId w:val="39"/>
      </w:numPr>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vanish/>
      <w:sz w:val="2"/>
      <w:szCs w:val="2"/>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0"/>
      <w:szCs w:val="22"/>
      <w:lang w:eastAsia="fr-BE"/>
    </w:rPr>
  </w:style>
  <w:style w:type="character" w:customStyle="1" w:styleId="AMPRcharOrange">
    <w:name w:val="(AMPR char) Orange"/>
    <w:basedOn w:val="DefaultParagraphFont"/>
    <w:uiPriority w:val="1"/>
    <w:rPr>
      <w:color w:val="DE5F0A"/>
      <w:bdr w:val="none" w:sz="0" w:space="0" w:color="auto"/>
      <w:shd w:val="clear" w:color="auto" w:fill="auto"/>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color w:val="FFFFFF" w:themeColor="background1"/>
      <w:sz w:val="24"/>
      <w:szCs w:val="24"/>
      <w:lang w:eastAsia="fr-BE"/>
    </w:rPr>
  </w:style>
  <w:style w:type="numbering" w:styleId="111111">
    <w:name w:val="Outline List 2"/>
    <w:basedOn w:val="NoList"/>
    <w:uiPriority w:val="99"/>
    <w:semiHidden/>
    <w:unhideWhenUsed/>
    <w:pPr>
      <w:numPr>
        <w:numId w:val="25"/>
      </w:numPr>
    </w:pPr>
  </w:style>
  <w:style w:type="numbering" w:styleId="1ai">
    <w:name w:val="Outline List 1"/>
    <w:basedOn w:val="NoList"/>
    <w:uiPriority w:val="99"/>
    <w:semiHidden/>
    <w:unhideWhenUsed/>
    <w:pPr>
      <w:numPr>
        <w:numId w:val="26"/>
      </w:numPr>
    </w:pPr>
  </w:style>
  <w:style w:type="numbering" w:styleId="ArticleSection">
    <w:name w:val="Outline List 3"/>
    <w:basedOn w:val="NoList"/>
    <w:uiPriority w:val="99"/>
    <w:semiHidden/>
    <w:unhideWhenUsed/>
    <w:pPr>
      <w:numPr>
        <w:numId w:val="27"/>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color w:val="auto"/>
      <w:sz w:val="16"/>
      <w:szCs w:val="16"/>
      <w:lang w:eastAsia="fr-BE"/>
    </w:rPr>
  </w:style>
  <w:style w:type="character" w:customStyle="1" w:styleId="AMPRcharBlue">
    <w:name w:val="(AMPR char) Blue"/>
    <w:uiPriority w:val="1"/>
    <w:rPr>
      <w:color w:val="005D95"/>
      <w:bdr w:val="none" w:sz="0" w:space="0" w:color="auto"/>
      <w:shd w:val="clear" w:color="auto" w:fill="auto"/>
    </w:rPr>
  </w:style>
  <w:style w:type="character" w:customStyle="1" w:styleId="AMPRcharItalic">
    <w:name w:val="(AMPR char) Italic"/>
    <w:uiPriority w:val="1"/>
    <w:rPr>
      <w:i/>
      <w:bdr w:val="none" w:sz="0" w:space="0" w:color="auto"/>
      <w:shd w:val="clear" w:color="auto" w:fill="auto"/>
    </w:rPr>
  </w:style>
  <w:style w:type="paragraph" w:customStyle="1" w:styleId="AMPRListOrange-L1-consecutive">
    <w:name w:val="(AMPR) List * [Orange] - L1 - consecutive"/>
    <w:basedOn w:val="AMPRListOrange-L1"/>
    <w:qFormat/>
    <w:pPr>
      <w:numPr>
        <w:numId w:val="0"/>
      </w:numPr>
      <w:ind w:left="697"/>
    </w:p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noProof/>
      <w:color w:val="FFFFFF" w:themeColor="background1"/>
      <w:sz w:val="72"/>
      <w:szCs w:val="72"/>
      <w:lang w:eastAsia="en-US"/>
    </w:r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numbering" w:customStyle="1" w:styleId="PPOLISTBlackBULLETS">
    <w:name w:val="(PPO LIST) Black BULLETS"/>
    <w:uiPriority w:val="99"/>
    <w:pPr>
      <w:numPr>
        <w:numId w:val="28"/>
      </w:numPr>
    </w:pPr>
  </w:style>
  <w:style w:type="numbering" w:customStyle="1" w:styleId="PPOLISTBlackNumbersinbrackets">
    <w:name w:val="(PPO LIST) Black Numbers in brackets"/>
    <w:uiPriority w:val="99"/>
    <w:pPr>
      <w:numPr>
        <w:numId w:val="29"/>
      </w:numPr>
    </w:pPr>
  </w:style>
  <w:style w:type="paragraph" w:customStyle="1" w:styleId="PPOBlackBULLETS-L1">
    <w:name w:val="(PPO) Black BULLETS - L1"/>
    <w:basedOn w:val="Normal"/>
    <w:semiHidden/>
    <w:qFormat/>
    <w:pPr>
      <w:widowControl w:val="0"/>
      <w:spacing w:after="60" w:line="200" w:lineRule="exact"/>
      <w:ind w:left="499" w:hanging="357"/>
      <w:jc w:val="both"/>
    </w:pPr>
    <w:rPr>
      <w:rFonts w:ascii="EC Square Sans Cond Pro" w:eastAsia="EC Square Sans Cond Pro Medium" w:hAnsi="EC Square Sans Cond Pro" w:cs="EC Square Sans Cond Pro Medium"/>
      <w:bCs/>
      <w:color w:val="000000" w:themeColor="text1"/>
      <w:sz w:val="18"/>
      <w:szCs w:val="17"/>
    </w:rPr>
  </w:style>
  <w:style w:type="paragraph" w:customStyle="1" w:styleId="PPOBlackBULLETS-L1nobullettext">
    <w:name w:val="(PPO) Black BULLETS - L1 (no bullet text)"/>
    <w:basedOn w:val="PPOBlackBULLETS-L1"/>
    <w:semiHidden/>
    <w:qFormat/>
    <w:pPr>
      <w:ind w:firstLine="0"/>
    </w:pPr>
  </w:style>
  <w:style w:type="paragraph" w:customStyle="1" w:styleId="PPOBlackBULLETS-L2">
    <w:name w:val="(PPO) Black BULLETS - L2"/>
    <w:basedOn w:val="Normal"/>
    <w:semiHidden/>
    <w:qFormat/>
    <w:pPr>
      <w:widowControl w:val="0"/>
      <w:spacing w:after="60" w:line="200" w:lineRule="exact"/>
      <w:ind w:left="1077" w:hanging="357"/>
      <w:jc w:val="both"/>
    </w:pPr>
    <w:rPr>
      <w:rFonts w:ascii="EC Square Sans Cond Pro" w:eastAsia="EC Square Sans Cond Pro Medium" w:hAnsi="EC Square Sans Cond Pro" w:cs="EC Square Sans Cond Pro Medium"/>
      <w:bCs/>
      <w:color w:val="000000" w:themeColor="text1"/>
      <w:sz w:val="18"/>
      <w:szCs w:val="17"/>
    </w:rPr>
  </w:style>
  <w:style w:type="paragraph" w:customStyle="1" w:styleId="PPOBlackNumberinBracketsLIST-L1">
    <w:name w:val="(PPO) Black Number in Brackets LIST - L1"/>
    <w:basedOn w:val="BASE-STYLE-TEXT"/>
    <w:semiHidden/>
    <w:qFormat/>
    <w:pPr>
      <w:numPr>
        <w:numId w:val="30"/>
      </w:numPr>
      <w:spacing w:after="60" w:line="200" w:lineRule="exact"/>
    </w:pPr>
    <w:rPr>
      <w:rFonts w:ascii="EC Square Sans Cond Pro" w:hAnsi="EC Square Sans Cond Pro"/>
      <w:bCs/>
      <w:szCs w:val="18"/>
    </w:rPr>
  </w:style>
  <w:style w:type="paragraph" w:customStyle="1" w:styleId="PPObodyText">
    <w:name w:val="(PPO) bodyText"/>
    <w:basedOn w:val="Normal"/>
    <w:semiHidden/>
    <w:qFormat/>
    <w:pPr>
      <w:jc w:val="both"/>
    </w:pPr>
    <w:rPr>
      <w:rFonts w:ascii="EC Square Sans Cond Pro" w:eastAsia="Times New Roman" w:hAnsi="EC Square Sans Cond Pro" w:cs="EC Square Sans Cond Pro"/>
      <w:color w:val="000000"/>
      <w:sz w:val="18"/>
      <w:szCs w:val="18"/>
    </w:rPr>
  </w:style>
  <w:style w:type="character" w:customStyle="1" w:styleId="PPOChar-Hyperlink">
    <w:name w:val="(PPO) Char - Hyperlink"/>
    <w:uiPriority w:val="1"/>
    <w:semiHidden/>
    <w:qFormat/>
    <w:rPr>
      <w:color w:val="0000FF"/>
    </w:rPr>
  </w:style>
  <w:style w:type="paragraph" w:customStyle="1" w:styleId="PPOExamplesTABLEHeader">
    <w:name w:val="(PPO) Examples TABLE Header"/>
    <w:basedOn w:val="BASE-STYLE-TEXT"/>
    <w:semiHidden/>
    <w:qFormat/>
    <w:pPr>
      <w:spacing w:before="60" w:after="0" w:line="200" w:lineRule="exact"/>
      <w:jc w:val="center"/>
    </w:pPr>
    <w:rPr>
      <w:rFonts w:asciiTheme="minorHAnsi" w:hAnsiTheme="minorHAnsi" w:cstheme="minorBidi"/>
      <w:b/>
      <w:bCs/>
      <w:color w:val="FFFFFF" w:themeColor="background1"/>
      <w:sz w:val="22"/>
      <w:szCs w:val="17"/>
      <w:lang w:eastAsia="en-GB"/>
    </w:rPr>
  </w:style>
  <w:style w:type="paragraph" w:customStyle="1" w:styleId="PPOExamplesTABLEText">
    <w:name w:val="(PPO) Examples TABLE Text"/>
    <w:basedOn w:val="Normal"/>
    <w:semiHidden/>
    <w:qFormat/>
    <w:pPr>
      <w:spacing w:after="0" w:line="160" w:lineRule="exact"/>
    </w:pPr>
    <w:rPr>
      <w:rFonts w:eastAsiaTheme="minorEastAsia"/>
      <w:sz w:val="17"/>
      <w:szCs w:val="17"/>
      <w:lang w:eastAsia="en-GB"/>
    </w:rPr>
  </w:style>
  <w:style w:type="paragraph" w:customStyle="1" w:styleId="PPORunningheader-rightside">
    <w:name w:val="(PPO) Running header - right side"/>
    <w:basedOn w:val="BASE-STYLE-TEXT"/>
    <w:semiHidden/>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semiHidden/>
    <w:qFormat/>
    <w:pPr>
      <w:ind w:right="0" w:firstLine="284"/>
      <w:jc w:val="left"/>
    </w:pPr>
  </w:style>
  <w:style w:type="paragraph" w:customStyle="1" w:styleId="PPOsidebarchartLegends">
    <w:name w:val="(PPO) sidebar chart Legends"/>
    <w:basedOn w:val="BASE-STYLE-TEXT"/>
    <w:semiHidden/>
    <w:qFormat/>
    <w:pPr>
      <w:spacing w:after="100"/>
      <w:ind w:left="397" w:firstLine="720"/>
      <w:jc w:val="left"/>
    </w:pPr>
    <w:rPr>
      <w:rFonts w:asciiTheme="minorHAnsi" w:hAnsiTheme="minorHAnsi" w:cstheme="minorBidi"/>
      <w:bCs/>
      <w:color w:val="auto"/>
      <w:sz w:val="16"/>
      <w:szCs w:val="14"/>
    </w:rPr>
  </w:style>
  <w:style w:type="paragraph" w:customStyle="1" w:styleId="PPOsidebartext">
    <w:name w:val="(PPO) sidebar text"/>
    <w:basedOn w:val="BASE-STYLE-TEXT"/>
    <w:semiHidden/>
    <w:qFormat/>
    <w:pPr>
      <w:spacing w:after="0"/>
      <w:jc w:val="right"/>
    </w:pPr>
    <w:rPr>
      <w:rFonts w:ascii="EC Square Sans Cond Pro" w:hAnsi="EC Square Sans Cond Pro"/>
      <w:bCs/>
      <w:szCs w:val="18"/>
    </w:rPr>
  </w:style>
  <w:style w:type="paragraph" w:customStyle="1" w:styleId="PPOsidebarchartPlaceholder">
    <w:name w:val="(PPO) sidebar chart Placeholder"/>
    <w:basedOn w:val="PPOsidebartext"/>
    <w:semiHidden/>
    <w:qFormat/>
    <w:pPr>
      <w:spacing w:before="160" w:after="160"/>
      <w:ind w:left="284"/>
    </w:pPr>
    <w:rPr>
      <w:noProof/>
      <w:lang w:eastAsia="en-GB"/>
    </w:rPr>
  </w:style>
  <w:style w:type="paragraph" w:customStyle="1" w:styleId="PPOsidebarLegalBasisBOXHeading">
    <w:name w:val="(PPO) sidebar Legal Basis BOX Heading"/>
    <w:basedOn w:val="BASE-STYLE-TEXT"/>
    <w:semiHidden/>
    <w:qFormat/>
    <w:pPr>
      <w:spacing w:after="160"/>
      <w:jc w:val="right"/>
    </w:pPr>
    <w:rPr>
      <w:rFonts w:cstheme="minorBidi"/>
      <w:b/>
      <w:bCs/>
      <w:color w:val="FFFFFF" w:themeColor="background1"/>
      <w:sz w:val="16"/>
    </w:rPr>
  </w:style>
  <w:style w:type="paragraph" w:customStyle="1" w:styleId="PPOsidebarLegalBasisBOXtext">
    <w:name w:val="(PPO) sidebar Legal Basis BOX text"/>
    <w:basedOn w:val="BASE-STYLE-TEXT"/>
    <w:semiHidden/>
    <w:qFormat/>
    <w:pPr>
      <w:spacing w:after="0"/>
      <w:jc w:val="right"/>
    </w:pPr>
    <w:rPr>
      <w:rFonts w:cstheme="minorBidi"/>
      <w:bCs/>
      <w:color w:val="FFFFFF" w:themeColor="background1"/>
      <w:sz w:val="14"/>
      <w:szCs w:val="14"/>
    </w:rPr>
  </w:style>
  <w:style w:type="paragraph" w:customStyle="1" w:styleId="PPOsidebarTableplaceholder">
    <w:name w:val="(PPO) sidebar Table placeholder"/>
    <w:basedOn w:val="BASE-STYLE-TEXT"/>
    <w:semiHidden/>
    <w:qFormat/>
    <w:pPr>
      <w:spacing w:line="276" w:lineRule="auto"/>
      <w:jc w:val="left"/>
    </w:pPr>
    <w:rPr>
      <w:rFonts w:asciiTheme="minorHAnsi" w:hAnsiTheme="minorHAnsi" w:cstheme="minorBidi"/>
      <w:bCs/>
      <w:color w:val="auto"/>
      <w:szCs w:val="22"/>
    </w:rPr>
  </w:style>
  <w:style w:type="paragraph" w:customStyle="1" w:styleId="PPOsidebarTabletext">
    <w:name w:val="(PPO) sidebar Table text"/>
    <w:basedOn w:val="BASE-STYLE-TEXT"/>
    <w:semiHidden/>
    <w:qFormat/>
    <w:pPr>
      <w:widowControl w:val="0"/>
      <w:spacing w:after="100" w:afterAutospacing="1" w:line="160" w:lineRule="exact"/>
      <w:jc w:val="center"/>
    </w:pPr>
    <w:rPr>
      <w:rFonts w:eastAsia="EC Square Sans Cond Pro Medium" w:cs="EC Square Sans Cond Pro Medium"/>
      <w:szCs w:val="15"/>
    </w:rPr>
  </w:style>
  <w:style w:type="paragraph" w:customStyle="1" w:styleId="PPOsidebarTabletext-rightaligned">
    <w:name w:val="(PPO) sidebar Table text - right aligned"/>
    <w:basedOn w:val="PPOsidebarTabletext"/>
    <w:semiHidden/>
    <w:qFormat/>
    <w:pPr>
      <w:jc w:val="right"/>
    </w:pPr>
  </w:style>
  <w:style w:type="paragraph" w:customStyle="1" w:styleId="PPOSpecificobjectivesBOX-Subheading">
    <w:name w:val="(PPO) Specific objectives BOX - Subheading"/>
    <w:basedOn w:val="BASE-STYLE-TEXT"/>
    <w:semiHidden/>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semiHidden/>
    <w:qFormat/>
    <w:pPr>
      <w:autoSpaceDE w:val="0"/>
      <w:autoSpaceDN w:val="0"/>
      <w:adjustRightInd w:val="0"/>
      <w:spacing w:before="160" w:after="120" w:line="181" w:lineRule="atLeast"/>
    </w:pPr>
    <w:rPr>
      <w:b/>
      <w:color w:val="28296E"/>
      <w:sz w:val="21"/>
    </w:rPr>
  </w:style>
  <w:style w:type="paragraph" w:customStyle="1" w:styleId="PPOTitle3-nospacebefore">
    <w:name w:val="(PPO) Title 3 - no space before"/>
    <w:basedOn w:val="PPOTitle3"/>
    <w:semiHidden/>
    <w:qFormat/>
    <w:pPr>
      <w:spacing w:before="0"/>
    </w:pPr>
  </w:style>
  <w:style w:type="paragraph" w:customStyle="1" w:styleId="PPOTitle3-pagebreakbefore">
    <w:name w:val="(PPO) Title 3 - page break before"/>
    <w:basedOn w:val="PPOTitle3"/>
    <w:semiHidden/>
    <w:qFormat/>
    <w:pPr>
      <w:pageBreakBefore/>
    </w:pPr>
  </w:style>
  <w:style w:type="paragraph" w:customStyle="1" w:styleId="PPOTitle4-BlackBold9pt">
    <w:name w:val="(PPO) Title 4 - Black Bold 9pt"/>
    <w:basedOn w:val="BASE-STYLE-TEXT"/>
    <w:semiHidden/>
    <w:qFormat/>
    <w:pPr>
      <w:spacing w:before="160" w:after="60"/>
    </w:pPr>
    <w:rPr>
      <w:rFonts w:ascii="EC Square Sans Cond Pro" w:hAnsi="EC Square Sans Cond Pro"/>
      <w:b/>
      <w:szCs w:val="18"/>
    </w:rPr>
  </w:style>
  <w:style w:type="paragraph" w:customStyle="1" w:styleId="PPOVotedbudgetTABLEHeaderLeftcol">
    <w:name w:val="(PPO) Voted budget TABLE Header Left col"/>
    <w:basedOn w:val="BASE-STYLE-TEXT"/>
    <w:semiHidden/>
    <w:qFormat/>
    <w:pPr>
      <w:framePr w:hSpace="181" w:wrap="around" w:vAnchor="page" w:hAnchor="page" w:x="3448" w:y="13530"/>
      <w:spacing w:after="100" w:afterAutospacing="1"/>
      <w:ind w:left="190" w:right="227"/>
      <w:suppressOverlap/>
      <w:jc w:val="right"/>
    </w:pPr>
    <w:rPr>
      <w:rFonts w:cstheme="minorBidi"/>
      <w:bCs/>
      <w:color w:val="FFFFFF" w:themeColor="background1"/>
      <w:szCs w:val="22"/>
    </w:rPr>
  </w:style>
  <w:style w:type="paragraph" w:customStyle="1" w:styleId="PPOVotedbudgetTABLEHeaderRightcol">
    <w:name w:val="(PPO) Voted budget TABLE Header Right col"/>
    <w:basedOn w:val="PPOVotedbudgetTABLEHeaderLeftcol"/>
    <w:semiHidden/>
    <w:qFormat/>
    <w:pPr>
      <w:framePr w:wrap="around"/>
      <w:ind w:left="227" w:right="0"/>
      <w:jc w:val="left"/>
    </w:pPr>
  </w:style>
  <w:style w:type="paragraph" w:customStyle="1" w:styleId="PPO1AsidebarchartCenterText">
    <w:name w:val="(PPO_1A) sidebar chart Center Text"/>
    <w:basedOn w:val="BASE-STYLE-TEXT"/>
    <w:semiHidden/>
    <w:qFormat/>
    <w:pPr>
      <w:spacing w:after="120" w:line="240" w:lineRule="auto"/>
      <w:jc w:val="center"/>
    </w:pPr>
    <w:rPr>
      <w:rFonts w:cstheme="minorBidi"/>
      <w:bCs/>
      <w:color w:val="00ADDC"/>
      <w:sz w:val="22"/>
      <w:szCs w:val="22"/>
    </w:rPr>
  </w:style>
  <w:style w:type="paragraph" w:customStyle="1" w:styleId="PPO1AsidebarTablecaption">
    <w:name w:val="(PPO_1A)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00ADDC"/>
      <w:sz w:val="16"/>
      <w:shd w:val="clear" w:color="auto" w:fill="FFFFFF"/>
    </w:rPr>
  </w:style>
  <w:style w:type="paragraph" w:customStyle="1" w:styleId="PPO1AsidebarTitleBlue">
    <w:name w:val="(PPO_1A) sidebar Title Blue"/>
    <w:basedOn w:val="BASE-STYLE-TEXT"/>
    <w:semiHidden/>
    <w:qFormat/>
    <w:pPr>
      <w:autoSpaceDE w:val="0"/>
      <w:autoSpaceDN w:val="0"/>
      <w:adjustRightInd w:val="0"/>
      <w:spacing w:before="340" w:after="40" w:line="240" w:lineRule="auto"/>
      <w:jc w:val="right"/>
    </w:pPr>
    <w:rPr>
      <w:rFonts w:ascii="EC Square Sans Cond Pro" w:hAnsi="EC Square Sans Cond Pro"/>
      <w:b/>
      <w:color w:val="28296E"/>
      <w:sz w:val="16"/>
    </w:rPr>
  </w:style>
  <w:style w:type="paragraph" w:customStyle="1" w:styleId="PPO1AsidebarTitleLightBlue">
    <w:name w:val="(PPO_1A) sidebar Title Light Blue"/>
    <w:basedOn w:val="BASE-STYLE-TEXT"/>
    <w:semiHidden/>
    <w:qFormat/>
    <w:pPr>
      <w:autoSpaceDE w:val="0"/>
      <w:autoSpaceDN w:val="0"/>
      <w:adjustRightInd w:val="0"/>
      <w:spacing w:before="440" w:after="60" w:line="241" w:lineRule="atLeast"/>
      <w:jc w:val="right"/>
    </w:pPr>
    <w:rPr>
      <w:rFonts w:ascii="EC Square Sans Cond Pro" w:hAnsi="EC Square Sans Cond Pro"/>
      <w:b/>
      <w:color w:val="00ADDC"/>
      <w:sz w:val="21"/>
    </w:rPr>
  </w:style>
  <w:style w:type="paragraph" w:customStyle="1" w:styleId="PPO1ASpecificobjectivesBOX-BulletLightBlue">
    <w:name w:val="(PPO_1A) Specific objectives BOX - Bullet Light Blue"/>
    <w:basedOn w:val="BASE-STYLE-TEXT"/>
    <w:semiHidden/>
    <w:qFormat/>
    <w:pPr>
      <w:numPr>
        <w:numId w:val="31"/>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semiHidden/>
    <w:qFormat/>
    <w:pPr>
      <w:spacing w:before="140" w:after="120"/>
      <w:ind w:left="-119" w:right="-16" w:firstLine="9"/>
      <w:jc w:val="left"/>
    </w:pPr>
    <w:rPr>
      <w:rFonts w:ascii="EC Square Sans Cond Pro" w:hAnsi="EC Square Sans Cond Pro"/>
      <w:b/>
      <w:color w:val="00ADDC"/>
      <w:sz w:val="21"/>
    </w:rPr>
  </w:style>
  <w:style w:type="numbering" w:customStyle="1" w:styleId="PPO1ASpecificObjectivesBulletsLIST">
    <w:name w:val="(PPO_1A) Specific Objectives Bullets (LIST)"/>
    <w:uiPriority w:val="99"/>
    <w:pPr>
      <w:numPr>
        <w:numId w:val="31"/>
      </w:numPr>
    </w:pPr>
  </w:style>
  <w:style w:type="paragraph" w:customStyle="1" w:styleId="PPO1ATitle1">
    <w:name w:val="(PPO_1A) Title 1"/>
    <w:basedOn w:val="BASE-STYLE-HEADINGS"/>
    <w:semiHidden/>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semiHidden/>
    <w:qFormat/>
    <w:pPr>
      <w:spacing w:before="60" w:after="60" w:line="240" w:lineRule="auto"/>
      <w:jc w:val="left"/>
    </w:pPr>
    <w:rPr>
      <w:rFonts w:cstheme="minorBidi"/>
      <w:bCs/>
      <w:color w:val="00ADDC"/>
      <w:sz w:val="22"/>
      <w:szCs w:val="22"/>
    </w:rPr>
  </w:style>
  <w:style w:type="paragraph" w:customStyle="1" w:styleId="PPO1AVotedbudgetTABLEtextBlue">
    <w:name w:val="(PPO_1A) Voted budget TABLE text 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0070C0"/>
      <w:sz w:val="22"/>
      <w:szCs w:val="22"/>
    </w:rPr>
  </w:style>
  <w:style w:type="paragraph" w:customStyle="1" w:styleId="PPO1BsidebarchartCenterText">
    <w:name w:val="(PPO_1B) sidebar chart Center Text"/>
    <w:basedOn w:val="BASE-STYLE-TEXT"/>
    <w:semiHidden/>
    <w:qFormat/>
    <w:pPr>
      <w:spacing w:after="120" w:line="240" w:lineRule="auto"/>
      <w:jc w:val="center"/>
    </w:pPr>
    <w:rPr>
      <w:rFonts w:cstheme="minorBidi"/>
      <w:bCs/>
      <w:color w:val="18BAA8"/>
      <w:sz w:val="22"/>
      <w:szCs w:val="22"/>
    </w:rPr>
  </w:style>
  <w:style w:type="paragraph" w:customStyle="1" w:styleId="PPO1BsidebarTablecaption">
    <w:name w:val="(PPO_1B)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18BAA8"/>
      <w:sz w:val="16"/>
      <w:shd w:val="clear" w:color="auto" w:fill="FFFFFF"/>
    </w:rPr>
  </w:style>
  <w:style w:type="paragraph" w:customStyle="1" w:styleId="PPO1BsidebarTitleDarkGreen">
    <w:name w:val="(PPO_1B) sidebar Title DarkGreen"/>
    <w:basedOn w:val="BASE-STYLE-TEXT"/>
    <w:semiHidden/>
    <w:qFormat/>
    <w:pPr>
      <w:autoSpaceDE w:val="0"/>
      <w:autoSpaceDN w:val="0"/>
      <w:adjustRightInd w:val="0"/>
      <w:spacing w:before="340" w:after="40" w:line="240" w:lineRule="auto"/>
      <w:jc w:val="right"/>
    </w:pPr>
    <w:rPr>
      <w:rFonts w:ascii="EC Square Sans Cond Pro" w:hAnsi="EC Square Sans Cond Pro"/>
      <w:b/>
      <w:color w:val="128C7D"/>
      <w:sz w:val="16"/>
    </w:rPr>
  </w:style>
  <w:style w:type="paragraph" w:customStyle="1" w:styleId="PPO1BsidebarTitleTurquoise">
    <w:name w:val="(PPO_1B) sidebar Title Turquoise"/>
    <w:basedOn w:val="BASE-STYLE-TEXT"/>
    <w:semiHidden/>
    <w:qFormat/>
    <w:pPr>
      <w:autoSpaceDE w:val="0"/>
      <w:autoSpaceDN w:val="0"/>
      <w:adjustRightInd w:val="0"/>
      <w:spacing w:before="440" w:after="60" w:line="241" w:lineRule="atLeast"/>
      <w:jc w:val="right"/>
    </w:pPr>
    <w:rPr>
      <w:rFonts w:ascii="EC Square Sans Cond Pro" w:hAnsi="EC Square Sans Cond Pro"/>
      <w:b/>
      <w:color w:val="18BAA8"/>
      <w:sz w:val="21"/>
    </w:rPr>
  </w:style>
  <w:style w:type="paragraph" w:customStyle="1" w:styleId="PPO1BSpecificobjectivesBOX-BulletTurquoise">
    <w:name w:val="(PPO_1B) Specific objectives BOX - Bullet Turquoise"/>
    <w:basedOn w:val="BASE-STYLE-TEXT"/>
    <w:semiHidden/>
    <w:qFormat/>
    <w:pPr>
      <w:numPr>
        <w:numId w:val="32"/>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semiHidden/>
    <w:qFormat/>
    <w:pPr>
      <w:spacing w:before="140" w:after="120"/>
      <w:ind w:left="-119" w:right="-16" w:firstLine="9"/>
      <w:jc w:val="left"/>
    </w:pPr>
    <w:rPr>
      <w:rFonts w:ascii="EC Square Sans Cond Pro" w:hAnsi="EC Square Sans Cond Pro"/>
      <w:b/>
      <w:color w:val="18BAA8"/>
      <w:sz w:val="21"/>
    </w:rPr>
  </w:style>
  <w:style w:type="numbering" w:customStyle="1" w:styleId="PPO1BSpecificObjectivesBulletsLIST">
    <w:name w:val="(PPO_1B) Specific Objectives Bullets (LIST)"/>
    <w:uiPriority w:val="99"/>
    <w:pPr>
      <w:numPr>
        <w:numId w:val="32"/>
      </w:numPr>
    </w:pPr>
  </w:style>
  <w:style w:type="paragraph" w:customStyle="1" w:styleId="PPO1BTitle1">
    <w:name w:val="(PPO_1B) Title 1"/>
    <w:basedOn w:val="BASE-STYLE-HEADINGS"/>
    <w:semiHidden/>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semiHidden/>
    <w:qFormat/>
    <w:pPr>
      <w:spacing w:before="60" w:after="60" w:line="240" w:lineRule="auto"/>
      <w:jc w:val="left"/>
    </w:pPr>
    <w:rPr>
      <w:rFonts w:cstheme="minorBidi"/>
      <w:bCs/>
      <w:color w:val="18BAA8"/>
      <w:sz w:val="22"/>
      <w:szCs w:val="22"/>
    </w:rPr>
  </w:style>
  <w:style w:type="paragraph" w:customStyle="1" w:styleId="PPO1BVotedbudgetTABLEtextTurquoise">
    <w:name w:val="(PPO_1B) Voted budget TABLE text Turquois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18BAA8"/>
      <w:sz w:val="22"/>
      <w:szCs w:val="22"/>
    </w:rPr>
  </w:style>
  <w:style w:type="paragraph" w:customStyle="1" w:styleId="PPO2sidebarchartCenterText">
    <w:name w:val="(PPO_2) sidebar chart Center Text"/>
    <w:basedOn w:val="BASE-STYLE-TEXT"/>
    <w:semiHidden/>
    <w:qFormat/>
    <w:pPr>
      <w:spacing w:after="120" w:line="240" w:lineRule="auto"/>
      <w:jc w:val="center"/>
    </w:pPr>
    <w:rPr>
      <w:rFonts w:cstheme="minorBidi"/>
      <w:bCs/>
      <w:color w:val="9ACA3C"/>
      <w:sz w:val="22"/>
      <w:szCs w:val="22"/>
    </w:rPr>
  </w:style>
  <w:style w:type="paragraph" w:customStyle="1" w:styleId="PPO2sidebarTablecaption">
    <w:name w:val="(PPO_2)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9ACA3C"/>
      <w:sz w:val="16"/>
      <w:shd w:val="clear" w:color="auto" w:fill="FFFFFF"/>
    </w:rPr>
  </w:style>
  <w:style w:type="paragraph" w:customStyle="1" w:styleId="PPO2sidebarTitleOlive">
    <w:name w:val="(PPO_2) sidebar Title Olive"/>
    <w:basedOn w:val="BASE-STYLE-TEXT"/>
    <w:semiHidden/>
    <w:qFormat/>
    <w:pPr>
      <w:autoSpaceDE w:val="0"/>
      <w:autoSpaceDN w:val="0"/>
      <w:adjustRightInd w:val="0"/>
      <w:spacing w:before="340" w:after="40" w:line="240" w:lineRule="auto"/>
      <w:jc w:val="right"/>
    </w:pPr>
    <w:rPr>
      <w:rFonts w:ascii="EC Square Sans Cond Pro" w:hAnsi="EC Square Sans Cond Pro"/>
      <w:b/>
      <w:color w:val="668725"/>
      <w:sz w:val="16"/>
    </w:rPr>
  </w:style>
  <w:style w:type="paragraph" w:customStyle="1" w:styleId="PPO2sidebarTitleSpringGreen">
    <w:name w:val="(PPO_2) sidebar Title SpringGreen"/>
    <w:basedOn w:val="BASE-STYLE-TEXT"/>
    <w:semiHidden/>
    <w:qFormat/>
    <w:pPr>
      <w:autoSpaceDE w:val="0"/>
      <w:autoSpaceDN w:val="0"/>
      <w:adjustRightInd w:val="0"/>
      <w:spacing w:before="440" w:after="60" w:line="241" w:lineRule="atLeast"/>
      <w:jc w:val="right"/>
    </w:pPr>
    <w:rPr>
      <w:rFonts w:ascii="EC Square Sans Cond Pro" w:hAnsi="EC Square Sans Cond Pro"/>
      <w:b/>
      <w:color w:val="9ACA3C"/>
      <w:sz w:val="21"/>
    </w:rPr>
  </w:style>
  <w:style w:type="paragraph" w:customStyle="1" w:styleId="PPO2SpecificobjectivesBOX-BulletSpringGreen">
    <w:name w:val="(PPO_2) Specific objectives BOX - Bullet SpringGreen"/>
    <w:basedOn w:val="BASE-STYLE-TEXT"/>
    <w:semiHidden/>
    <w:qFormat/>
    <w:pPr>
      <w:numPr>
        <w:numId w:val="33"/>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semiHidden/>
    <w:qFormat/>
    <w:pPr>
      <w:spacing w:before="140" w:after="120"/>
      <w:ind w:left="-119" w:right="-16" w:firstLine="9"/>
      <w:jc w:val="left"/>
    </w:pPr>
    <w:rPr>
      <w:rFonts w:ascii="EC Square Sans Cond Pro" w:hAnsi="EC Square Sans Cond Pro"/>
      <w:b/>
      <w:color w:val="9ACA3C"/>
      <w:sz w:val="21"/>
    </w:rPr>
  </w:style>
  <w:style w:type="numbering" w:customStyle="1" w:styleId="PPO2SpecificObjectivesBulletsLIST">
    <w:name w:val="(PPO_2) Specific Objectives Bullets (LIST)"/>
    <w:uiPriority w:val="99"/>
    <w:pPr>
      <w:numPr>
        <w:numId w:val="33"/>
      </w:numPr>
    </w:pPr>
  </w:style>
  <w:style w:type="paragraph" w:customStyle="1" w:styleId="PPO2Title1">
    <w:name w:val="(PPO_2) Title 1"/>
    <w:basedOn w:val="BASE-STYLE-HEADINGS"/>
    <w:semiHidden/>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semiHidden/>
    <w:qFormat/>
    <w:pPr>
      <w:spacing w:before="60" w:after="60" w:line="240" w:lineRule="auto"/>
      <w:jc w:val="left"/>
    </w:pPr>
    <w:rPr>
      <w:rFonts w:cstheme="minorBidi"/>
      <w:bCs/>
      <w:color w:val="9ACA3C"/>
      <w:sz w:val="22"/>
      <w:szCs w:val="22"/>
    </w:rPr>
  </w:style>
  <w:style w:type="paragraph" w:customStyle="1" w:styleId="PPO2VotedbudgetTABLEtextSpringGreen">
    <w:name w:val="(PPO_2) Voted budget TABLE text SpringGreen"/>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9ACA3C"/>
      <w:sz w:val="22"/>
      <w:szCs w:val="22"/>
    </w:rPr>
  </w:style>
  <w:style w:type="paragraph" w:customStyle="1" w:styleId="PPO3sidebarchartCenterText">
    <w:name w:val="(PPO_3) sidebar chart Center Text"/>
    <w:basedOn w:val="BASE-STYLE-TEXT"/>
    <w:semiHidden/>
    <w:qFormat/>
    <w:pPr>
      <w:spacing w:after="120" w:line="240" w:lineRule="auto"/>
      <w:jc w:val="center"/>
    </w:pPr>
    <w:rPr>
      <w:rFonts w:cstheme="minorBidi"/>
      <w:bCs/>
      <w:color w:val="585EAA"/>
      <w:sz w:val="22"/>
      <w:szCs w:val="22"/>
    </w:rPr>
  </w:style>
  <w:style w:type="paragraph" w:customStyle="1" w:styleId="PPO3sidebarTablecaption">
    <w:name w:val="(PPO_3)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585EAA"/>
      <w:sz w:val="16"/>
      <w:shd w:val="clear" w:color="auto" w:fill="FFFFFF"/>
    </w:rPr>
  </w:style>
  <w:style w:type="paragraph" w:customStyle="1" w:styleId="PPO3sidebarTitleDarkBlue">
    <w:name w:val="(PPO_3) sidebar Title DarkBlue"/>
    <w:basedOn w:val="BASE-STYLE-TEXT"/>
    <w:semiHidden/>
    <w:qFormat/>
    <w:pPr>
      <w:autoSpaceDE w:val="0"/>
      <w:autoSpaceDN w:val="0"/>
      <w:adjustRightInd w:val="0"/>
      <w:spacing w:before="340" w:after="40" w:line="240" w:lineRule="auto"/>
      <w:jc w:val="right"/>
    </w:pPr>
    <w:rPr>
      <w:rFonts w:ascii="EC Square Sans Cond Pro" w:hAnsi="EC Square Sans Cond Pro"/>
      <w:b/>
      <w:color w:val="333663"/>
      <w:sz w:val="16"/>
    </w:rPr>
  </w:style>
  <w:style w:type="paragraph" w:customStyle="1" w:styleId="PPO3sidebarTitlePurple">
    <w:name w:val="(PPO_3) sidebar Title Purple"/>
    <w:basedOn w:val="BASE-STYLE-TEXT"/>
    <w:semiHidden/>
    <w:qFormat/>
    <w:pPr>
      <w:autoSpaceDE w:val="0"/>
      <w:autoSpaceDN w:val="0"/>
      <w:adjustRightInd w:val="0"/>
      <w:spacing w:before="440" w:after="60" w:line="241" w:lineRule="atLeast"/>
      <w:jc w:val="right"/>
    </w:pPr>
    <w:rPr>
      <w:rFonts w:ascii="EC Square Sans Cond Pro" w:hAnsi="EC Square Sans Cond Pro"/>
      <w:b/>
      <w:color w:val="585EAA"/>
      <w:sz w:val="21"/>
    </w:rPr>
  </w:style>
  <w:style w:type="paragraph" w:customStyle="1" w:styleId="PPO3SpecificobjectivesBOX-BulletPurple">
    <w:name w:val="(PPO_3) Specific objectives BOX - Bullet Purple"/>
    <w:basedOn w:val="BASE-STYLE-TEXT"/>
    <w:semiHidden/>
    <w:qFormat/>
    <w:pPr>
      <w:numPr>
        <w:numId w:val="34"/>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semiHidden/>
    <w:qFormat/>
    <w:pPr>
      <w:spacing w:before="140" w:after="120"/>
      <w:ind w:left="-119" w:right="-16" w:firstLine="9"/>
      <w:jc w:val="left"/>
    </w:pPr>
    <w:rPr>
      <w:rFonts w:ascii="EC Square Sans Cond Pro" w:hAnsi="EC Square Sans Cond Pro"/>
      <w:b/>
      <w:color w:val="585EAA"/>
      <w:sz w:val="21"/>
    </w:rPr>
  </w:style>
  <w:style w:type="numbering" w:customStyle="1" w:styleId="PPO3SpecificObjectivesBulletsLIST">
    <w:name w:val="(PPO_3) Specific Objectives Bullets (LIST)"/>
    <w:uiPriority w:val="99"/>
    <w:pPr>
      <w:numPr>
        <w:numId w:val="34"/>
      </w:numPr>
    </w:pPr>
  </w:style>
  <w:style w:type="paragraph" w:customStyle="1" w:styleId="PPO3Title1">
    <w:name w:val="(PPO_3) Title 1"/>
    <w:basedOn w:val="BASE-STYLE-HEADINGS"/>
    <w:semiHidden/>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semiHidden/>
    <w:qFormat/>
    <w:pPr>
      <w:spacing w:before="60" w:after="60" w:line="240" w:lineRule="auto"/>
      <w:jc w:val="left"/>
    </w:pPr>
    <w:rPr>
      <w:rFonts w:cstheme="minorBidi"/>
      <w:bCs/>
      <w:color w:val="585EAA"/>
      <w:sz w:val="22"/>
      <w:szCs w:val="22"/>
    </w:rPr>
  </w:style>
  <w:style w:type="paragraph" w:customStyle="1" w:styleId="PPO3VotedbudgetTABLEtextBlue">
    <w:name w:val="(PPO_3) Voted budget TABLE text 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0070C0"/>
      <w:sz w:val="22"/>
      <w:szCs w:val="22"/>
    </w:rPr>
  </w:style>
  <w:style w:type="paragraph" w:customStyle="1" w:styleId="PPO4sidebarchartCenterText">
    <w:name w:val="(PPO_4) sidebar chart Center Text"/>
    <w:basedOn w:val="BASE-STYLE-TEXT"/>
    <w:semiHidden/>
    <w:qFormat/>
    <w:pPr>
      <w:spacing w:after="120" w:line="240" w:lineRule="auto"/>
      <w:jc w:val="center"/>
    </w:pPr>
    <w:rPr>
      <w:rFonts w:cstheme="minorBidi"/>
      <w:bCs/>
      <w:color w:val="F68A42"/>
      <w:sz w:val="22"/>
      <w:szCs w:val="22"/>
    </w:rPr>
  </w:style>
  <w:style w:type="paragraph" w:customStyle="1" w:styleId="PPO4sidebarTablecaption">
    <w:name w:val="(PPO_4)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F68A42"/>
      <w:sz w:val="16"/>
      <w:shd w:val="clear" w:color="auto" w:fill="FFFFFF"/>
    </w:rPr>
  </w:style>
  <w:style w:type="paragraph" w:customStyle="1" w:styleId="PPO4sidebarTitleBrown">
    <w:name w:val="(PPO_4) sidebar Title Brown"/>
    <w:basedOn w:val="BASE-STYLE-TEXT"/>
    <w:semiHidden/>
    <w:qFormat/>
    <w:pPr>
      <w:autoSpaceDE w:val="0"/>
      <w:autoSpaceDN w:val="0"/>
      <w:adjustRightInd w:val="0"/>
      <w:spacing w:before="340" w:after="40" w:line="240" w:lineRule="auto"/>
      <w:jc w:val="right"/>
    </w:pPr>
    <w:rPr>
      <w:rFonts w:ascii="EC Square Sans Cond Pro" w:hAnsi="EC Square Sans Cond Pro"/>
      <w:b/>
      <w:color w:val="B74F09"/>
      <w:sz w:val="16"/>
    </w:rPr>
  </w:style>
  <w:style w:type="paragraph" w:customStyle="1" w:styleId="PPO4sidebarTitleLightBrown">
    <w:name w:val="(PPO_4) sidebar Title Light Brown"/>
    <w:basedOn w:val="BASE-STYLE-TEXT"/>
    <w:semiHidden/>
    <w:qFormat/>
    <w:pPr>
      <w:autoSpaceDE w:val="0"/>
      <w:autoSpaceDN w:val="0"/>
      <w:adjustRightInd w:val="0"/>
      <w:spacing w:before="440" w:after="60" w:line="241" w:lineRule="atLeast"/>
      <w:jc w:val="right"/>
    </w:pPr>
    <w:rPr>
      <w:rFonts w:ascii="EC Square Sans Cond Pro" w:hAnsi="EC Square Sans Cond Pro"/>
      <w:b/>
      <w:color w:val="F68A42"/>
      <w:sz w:val="21"/>
    </w:rPr>
  </w:style>
  <w:style w:type="paragraph" w:customStyle="1" w:styleId="PPO4SpecificobjectivesBOX-BulletLightBrown">
    <w:name w:val="(PPO_4) Specific objectives BOX - Bullet LightBrown"/>
    <w:basedOn w:val="BASE-STYLE-TEXT"/>
    <w:semiHidden/>
    <w:qFormat/>
    <w:pPr>
      <w:numPr>
        <w:numId w:val="35"/>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semiHidden/>
    <w:qFormat/>
    <w:pPr>
      <w:spacing w:before="140" w:after="120"/>
      <w:ind w:left="-119" w:right="-16" w:firstLine="9"/>
      <w:jc w:val="left"/>
    </w:pPr>
    <w:rPr>
      <w:rFonts w:ascii="EC Square Sans Cond Pro" w:hAnsi="EC Square Sans Cond Pro"/>
      <w:b/>
      <w:color w:val="F68A42"/>
      <w:sz w:val="21"/>
    </w:rPr>
  </w:style>
  <w:style w:type="numbering" w:customStyle="1" w:styleId="PPO4SpecificObjectivesBulletsLIST">
    <w:name w:val="(PPO_4) Specific Objectives Bullets (LIST)"/>
    <w:uiPriority w:val="99"/>
    <w:pPr>
      <w:numPr>
        <w:numId w:val="35"/>
      </w:numPr>
    </w:pPr>
  </w:style>
  <w:style w:type="paragraph" w:customStyle="1" w:styleId="PPO4Title1">
    <w:name w:val="(PPO_4) Title 1"/>
    <w:basedOn w:val="BASE-STYLE-HEADINGS"/>
    <w:semiHidden/>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semiHidden/>
    <w:qFormat/>
    <w:pPr>
      <w:spacing w:before="60" w:after="60" w:line="240" w:lineRule="auto"/>
      <w:jc w:val="left"/>
    </w:pPr>
    <w:rPr>
      <w:rFonts w:cstheme="minorBidi"/>
      <w:bCs/>
      <w:color w:val="F68A42"/>
      <w:sz w:val="22"/>
      <w:szCs w:val="22"/>
    </w:rPr>
  </w:style>
  <w:style w:type="paragraph" w:customStyle="1" w:styleId="PPO4VotedbudgetTABLEtextLightBrown">
    <w:name w:val="(PPO_4) Voted budget TABLE text Light Brown"/>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F68A42"/>
      <w:sz w:val="22"/>
      <w:szCs w:val="22"/>
    </w:rPr>
  </w:style>
  <w:style w:type="paragraph" w:customStyle="1" w:styleId="PPOSIsidebarchartCenterText">
    <w:name w:val="(PPO_SI) sidebar chart Center Text"/>
    <w:basedOn w:val="BASE-STYLE-TEXT"/>
    <w:semiHidden/>
    <w:qFormat/>
    <w:pPr>
      <w:spacing w:after="120" w:line="240" w:lineRule="auto"/>
      <w:jc w:val="center"/>
    </w:pPr>
    <w:rPr>
      <w:rFonts w:cstheme="minorBidi"/>
      <w:bCs/>
      <w:color w:val="4BACC6"/>
      <w:sz w:val="22"/>
      <w:szCs w:val="22"/>
    </w:rPr>
  </w:style>
  <w:style w:type="paragraph" w:customStyle="1" w:styleId="PPOSIsidebarTablecaption">
    <w:name w:val="(PPO_SI)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4BACC6"/>
      <w:sz w:val="16"/>
      <w:shd w:val="clear" w:color="auto" w:fill="FFFFFF"/>
    </w:rPr>
  </w:style>
  <w:style w:type="paragraph" w:customStyle="1" w:styleId="PPOSIsidebarTitleElectricBlue">
    <w:name w:val="(PPO_SI) sidebar Title ElectricBlue"/>
    <w:basedOn w:val="BASE-STYLE-TEXT"/>
    <w:semiHidden/>
    <w:qFormat/>
    <w:pPr>
      <w:autoSpaceDE w:val="0"/>
      <w:autoSpaceDN w:val="0"/>
      <w:adjustRightInd w:val="0"/>
      <w:spacing w:before="440" w:after="60" w:line="241" w:lineRule="atLeast"/>
      <w:jc w:val="right"/>
    </w:pPr>
    <w:rPr>
      <w:rFonts w:ascii="EC Square Sans Cond Pro" w:hAnsi="EC Square Sans Cond Pro"/>
      <w:b/>
      <w:color w:val="4BACC6"/>
      <w:sz w:val="21"/>
    </w:rPr>
  </w:style>
  <w:style w:type="paragraph" w:customStyle="1" w:styleId="PPOSIsidebarTitlePeacockBlue">
    <w:name w:val="(PPO_SI) sidebar Title PeacockBlue"/>
    <w:basedOn w:val="BASE-STYLE-TEXT"/>
    <w:semiHidden/>
    <w:qFormat/>
    <w:pPr>
      <w:autoSpaceDE w:val="0"/>
      <w:autoSpaceDN w:val="0"/>
      <w:adjustRightInd w:val="0"/>
      <w:spacing w:before="340" w:after="40" w:line="240" w:lineRule="auto"/>
      <w:jc w:val="right"/>
    </w:pPr>
    <w:rPr>
      <w:rFonts w:ascii="EC Square Sans Cond Pro" w:hAnsi="EC Square Sans Cond Pro"/>
      <w:b/>
      <w:color w:val="215968"/>
      <w:sz w:val="16"/>
    </w:rPr>
  </w:style>
  <w:style w:type="paragraph" w:customStyle="1" w:styleId="PPOSISpecificobjectivesBOX-BulletElectricBlue">
    <w:name w:val="(PPO_SI) Specific objectives BOX - Bullet ElectricBlue"/>
    <w:basedOn w:val="BASE-STYLE-TEXT"/>
    <w:semiHidden/>
    <w:qFormat/>
    <w:pPr>
      <w:numPr>
        <w:numId w:val="36"/>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semiHidden/>
    <w:qFormat/>
    <w:pPr>
      <w:spacing w:before="140" w:after="120"/>
      <w:ind w:left="-119" w:right="-16" w:firstLine="9"/>
      <w:jc w:val="left"/>
    </w:pPr>
    <w:rPr>
      <w:rFonts w:ascii="EC Square Sans Cond Pro" w:hAnsi="EC Square Sans Cond Pro"/>
      <w:b/>
      <w:color w:val="4BACC6"/>
      <w:sz w:val="21"/>
    </w:rPr>
  </w:style>
  <w:style w:type="numbering" w:customStyle="1" w:styleId="PPOSISpecificObjectivesBulletsLIST">
    <w:name w:val="(PPO_SI) Specific Objectives Bullets (LIST)"/>
    <w:uiPriority w:val="99"/>
    <w:pPr>
      <w:numPr>
        <w:numId w:val="36"/>
      </w:numPr>
    </w:pPr>
  </w:style>
  <w:style w:type="paragraph" w:customStyle="1" w:styleId="PPOSITitle1">
    <w:name w:val="(PPO_SI) Title 1"/>
    <w:basedOn w:val="BASE-STYLE-HEADINGS"/>
    <w:semiHidden/>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semiHidden/>
    <w:qFormat/>
    <w:pPr>
      <w:spacing w:before="60" w:after="60" w:line="240" w:lineRule="auto"/>
      <w:jc w:val="left"/>
    </w:pPr>
    <w:rPr>
      <w:rFonts w:cstheme="minorBidi"/>
      <w:bCs/>
      <w:color w:val="4BACC6"/>
      <w:sz w:val="22"/>
      <w:szCs w:val="22"/>
    </w:rPr>
  </w:style>
  <w:style w:type="paragraph" w:customStyle="1" w:styleId="PPOSIVotedbudgetTABLEElectricBlue">
    <w:name w:val="(PPO_SI) Voted budget TABLE Electric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color w:val="000000"/>
      <w:sz w:val="24"/>
      <w:szCs w:val="24"/>
    </w:rPr>
  </w:style>
  <w:style w:type="paragraph" w:customStyle="1" w:styleId="AMPRAnnexesTITLE3-Numbered">
    <w:name w:val="(AMPR_Annexes) TITLE 3 - Numbered"/>
    <w:basedOn w:val="BASE-STYLE-HEADINGS"/>
    <w:next w:val="AMPRBodyText"/>
    <w:qFormat/>
    <w:pPr>
      <w:keepNext/>
      <w:keepLines/>
      <w:numPr>
        <w:numId w:val="38"/>
      </w:numPr>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Numbered">
    <w:name w:val="(AMPR_Annexes) TITLE 4 - Numbered"/>
    <w:basedOn w:val="BASE-STYLE-HEADINGS"/>
    <w:next w:val="AMPRBodyText"/>
    <w:qFormat/>
    <w:pPr>
      <w:keepNext/>
      <w:keepLines/>
      <w:numPr>
        <w:ilvl w:val="1"/>
        <w:numId w:val="38"/>
      </w:numPr>
      <w:spacing w:before="360" w:after="240" w:line="240" w:lineRule="auto"/>
      <w:jc w:val="left"/>
      <w:outlineLvl w:val="2"/>
    </w:pPr>
    <w:rPr>
      <w:rFonts w:eastAsiaTheme="minorHAnsi"/>
      <w:b/>
      <w:color w:val="5B9BD5" w:themeColor="accent1"/>
      <w:sz w:val="28"/>
      <w:szCs w:val="22"/>
    </w:rPr>
  </w:style>
  <w:style w:type="paragraph" w:customStyle="1" w:styleId="AMPRAnnexesTITLE5">
    <w:name w:val="(AMPR_Annexes) TITLE 5"/>
    <w:basedOn w:val="BASE-STYLE-HEADINGS"/>
    <w:next w:val="AMPRBodyText"/>
    <w:qFormat/>
    <w:pPr>
      <w:keepNext/>
      <w:keepLines/>
      <w:spacing w:before="240" w:after="240" w:line="240" w:lineRule="auto"/>
      <w:ind w:left="340"/>
      <w:jc w:val="left"/>
    </w:pPr>
    <w:rPr>
      <w:rFonts w:eastAsiaTheme="minorHAnsi"/>
      <w:b/>
      <w:color w:val="FFC000" w:themeColor="accent4"/>
      <w:sz w:val="24"/>
      <w:szCs w:val="22"/>
    </w:rPr>
  </w:style>
  <w:style w:type="paragraph" w:customStyle="1" w:styleId="AMPRTABLEA-HEADERText-WHITE">
    <w:name w:val="(AMPR) TABLE A - HEADER Text - WHITE"/>
    <w:basedOn w:val="BASE-STYLE-TEXT"/>
    <w:qFormat/>
    <w:pPr>
      <w:spacing w:before="60" w:after="60" w:line="240" w:lineRule="auto"/>
      <w:jc w:val="center"/>
    </w:pPr>
    <w:rPr>
      <w:rFonts w:cs="Arial"/>
      <w:b/>
      <w:bCs/>
      <w:color w:val="FFFFFF"/>
      <w:szCs w:val="16"/>
      <w:lang w:eastAsia="en-US"/>
    </w:rPr>
  </w:style>
  <w:style w:type="table" w:customStyle="1" w:styleId="AMPRTABLEA-Template">
    <w:name w:val="(AMPR) TABLE A - Template"/>
    <w:basedOn w:val="TableNormal"/>
    <w:uiPriority w:val="99"/>
    <w:pPr>
      <w:keepLines/>
      <w:spacing w:before="60" w:after="60" w:line="240" w:lineRule="auto"/>
      <w:jc w:val="right"/>
    </w:pPr>
    <w:rPr>
      <w:rFonts w:ascii="EC Square Sans Pro" w:hAnsi="EC Square Sans Pro"/>
      <w:sz w:val="18"/>
      <w:lang w:val="fr-BE"/>
    </w:rPr>
    <w:tblPr>
      <w:tblInd w:w="108" w:type="dxa"/>
      <w:tblBorders>
        <w:bottom w:val="single" w:sz="4" w:space="0" w:color="F68A42"/>
        <w:insideH w:val="single" w:sz="4" w:space="0" w:color="F68A42"/>
        <w:insideV w:val="single" w:sz="4" w:space="0" w:color="F68A42"/>
      </w:tblBorders>
    </w:tblPr>
    <w:trPr>
      <w:cantSplit/>
    </w:trPr>
    <w:tblStylePr w:type="firstRow">
      <w:pPr>
        <w:wordWrap/>
        <w:spacing w:beforeLines="60" w:before="60" w:beforeAutospacing="0" w:afterLines="60" w:after="60" w:afterAutospacing="0" w:line="240" w:lineRule="auto"/>
        <w:jc w:val="center"/>
        <w:outlineLvl w:val="9"/>
      </w:pPr>
      <w:rPr>
        <w:rFonts w:ascii="EC Square Sans Pro" w:hAnsi="EC Square Sans Pro"/>
        <w:b w:val="0"/>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203F79"/>
        <w:vAlign w:val="center"/>
      </w:tcPr>
    </w:tblStylePr>
    <w:tblStylePr w:type="lastRow">
      <w:rPr>
        <w:b w:val="0"/>
        <w:i w:val="0"/>
      </w:rPr>
      <w:tblPr/>
      <w:tcPr>
        <w:shd w:val="clear" w:color="auto" w:fill="DEEAF6" w:themeFill="accent1" w:themeFillTint="33"/>
      </w:tcPr>
    </w:tblStylePr>
    <w:tblStylePr w:type="firstCol">
      <w:pPr>
        <w:wordWrap/>
        <w:jc w:val="left"/>
      </w:pPr>
    </w:tblStylePr>
  </w:style>
  <w:style w:type="paragraph" w:customStyle="1" w:styleId="AMPRTABLEA-TextJUSTIFIED-BLACK">
    <w:name w:val="(AMPR) TABLE A - Text JUSTIFIED - BLACK"/>
    <w:basedOn w:val="BASE-STYLE-TEXT"/>
    <w:qFormat/>
    <w:pPr>
      <w:spacing w:before="60" w:after="60" w:line="240" w:lineRule="auto"/>
    </w:pPr>
    <w:rPr>
      <w:rFonts w:asciiTheme="minorHAnsi" w:hAnsiTheme="minorHAnsi" w:cs="Arial"/>
      <w:color w:val="000000"/>
      <w:szCs w:val="18"/>
      <w:lang w:eastAsia="en-US"/>
    </w:rPr>
  </w:style>
  <w:style w:type="paragraph" w:customStyle="1" w:styleId="AMPRTABLEA-TextLEFTalligned-BLACK">
    <w:name w:val="(AMPR) TABLE A - Text LEFT_alligned - BLACK"/>
    <w:basedOn w:val="BASE-STYLE-TEXT"/>
    <w:qFormat/>
    <w:pPr>
      <w:spacing w:before="60" w:after="60" w:line="240" w:lineRule="auto"/>
      <w:jc w:val="left"/>
    </w:pPr>
    <w:rPr>
      <w:rFonts w:asciiTheme="minorHAnsi" w:hAnsiTheme="minorHAnsi" w:cs="Arial"/>
      <w:color w:val="000000"/>
      <w:szCs w:val="18"/>
      <w:lang w:eastAsia="en-US"/>
    </w:rPr>
  </w:style>
  <w:style w:type="paragraph" w:customStyle="1" w:styleId="AMPRTABLEA-TextLEFTallignedindented-BLACK">
    <w:name w:val="(AMPR) TABLE A - Text LEFT_alligned_indented - BLACK"/>
    <w:basedOn w:val="AMPRTABLEA-TextLEFTalligned-BLACK"/>
    <w:qFormat/>
    <w:pPr>
      <w:ind w:left="142"/>
    </w:pPr>
  </w:style>
  <w:style w:type="paragraph" w:customStyle="1" w:styleId="AMPRTABLEA-TextRIGHTalligned-BLACK">
    <w:name w:val="(AMPR) TABLE A - Text RIGHT_alligned - BLACK"/>
    <w:basedOn w:val="BASE-STYLE-TEXT"/>
    <w:qFormat/>
    <w:pPr>
      <w:spacing w:before="60" w:after="60" w:line="240" w:lineRule="auto"/>
      <w:jc w:val="right"/>
    </w:pPr>
    <w:rPr>
      <w:rFonts w:asciiTheme="minorHAnsi" w:eastAsia="Times New Roman" w:hAnsiTheme="minorHAnsi" w:cs="Arial"/>
      <w:color w:val="000000"/>
      <w:szCs w:val="18"/>
      <w:lang w:eastAsia="en-US"/>
    </w:rPr>
  </w:style>
  <w:style w:type="paragraph" w:customStyle="1" w:styleId="AMPRTABLEA-TOTALLEFTalligned-BLACK">
    <w:name w:val="(AMPR) TABLE A - TOTAL LEFT_alligned - BLACK"/>
    <w:basedOn w:val="BASE-STYLE-TEXT"/>
    <w:qFormat/>
    <w:pPr>
      <w:spacing w:before="60" w:after="60" w:line="240" w:lineRule="auto"/>
      <w:jc w:val="left"/>
    </w:pPr>
    <w:rPr>
      <w:rFonts w:asciiTheme="minorHAnsi" w:eastAsia="Times New Roman" w:hAnsiTheme="minorHAnsi" w:cs="Arial"/>
      <w:b/>
      <w:color w:val="000000"/>
      <w:szCs w:val="18"/>
      <w:lang w:eastAsia="en-US"/>
    </w:rPr>
  </w:style>
  <w:style w:type="paragraph" w:customStyle="1" w:styleId="AMPRTABLEA-TOTALRIGHTalligned-BLACK">
    <w:name w:val="(AMPR) TABLE A - TOTAL RIGHT_alligned - BLACK"/>
    <w:basedOn w:val="BASE-STYLE-TEXT"/>
    <w:qFormat/>
    <w:pPr>
      <w:spacing w:before="60" w:after="60" w:line="240" w:lineRule="auto"/>
      <w:jc w:val="right"/>
    </w:pPr>
    <w:rPr>
      <w:rFonts w:asciiTheme="minorHAnsi" w:eastAsiaTheme="minorHAnsi" w:hAnsiTheme="minorHAnsi" w:cs="Arial"/>
      <w:b/>
      <w:color w:val="000000"/>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37"/>
      </w:numPr>
      <w:spacing w:before="480" w:after="0" w:line="240" w:lineRule="auto"/>
      <w:outlineLvl w:val="0"/>
    </w:pPr>
    <w:rPr>
      <w:rFonts w:ascii="EC Square Sans Pro" w:eastAsia="Times New Roman" w:hAnsi="EC Square Sans Pro" w:cs="Times New Roman"/>
      <w:b/>
      <w:bCs/>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37"/>
      </w:numPr>
      <w:spacing w:before="120" w:after="120" w:line="240" w:lineRule="auto"/>
      <w:jc w:val="both"/>
      <w:outlineLvl w:val="1"/>
    </w:pPr>
    <w:rPr>
      <w:rFonts w:ascii="EC Square Sans Pro" w:eastAsia="Times New Roman" w:hAnsi="EC Square Sans Pro" w:cs="Times New Roman"/>
      <w:b/>
      <w:bCs/>
      <w:sz w:val="24"/>
      <w:szCs w:val="26"/>
    </w:rPr>
  </w:style>
  <w:style w:type="paragraph" w:styleId="Heading3">
    <w:name w:val="heading 3"/>
    <w:basedOn w:val="Normal"/>
    <w:next w:val="Normal"/>
    <w:link w:val="Heading3Char"/>
    <w:uiPriority w:val="9"/>
    <w:semiHidden/>
    <w:unhideWhenUsed/>
    <w:qFormat/>
    <w:pPr>
      <w:keepNext/>
      <w:keepLines/>
      <w:numPr>
        <w:ilvl w:val="2"/>
        <w:numId w:val="37"/>
      </w:numPr>
      <w:spacing w:before="40" w:after="0" w:line="240" w:lineRule="auto"/>
      <w:outlineLvl w:val="2"/>
    </w:pPr>
    <w:rPr>
      <w:rFonts w:ascii="EC Square Sans Pro" w:eastAsia="Times New Roman" w:hAnsi="EC Square Sans Pro" w:cs="Times New Roman"/>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37"/>
      </w:numPr>
      <w:spacing w:before="120" w:after="120" w:line="240" w:lineRule="auto"/>
      <w:jc w:val="both"/>
      <w:outlineLvl w:val="3"/>
    </w:pPr>
    <w:rPr>
      <w:rFonts w:ascii="EC Square Sans Pro" w:eastAsia="Times New Roman" w:hAnsi="EC Square Sans Pro" w:cs="Times New Roman"/>
      <w:bCs/>
      <w:iCs/>
      <w:sz w:val="24"/>
    </w:rPr>
  </w:style>
  <w:style w:type="paragraph" w:styleId="Heading5">
    <w:name w:val="heading 5"/>
    <w:basedOn w:val="Normal"/>
    <w:next w:val="Normal"/>
    <w:link w:val="Heading5Char"/>
    <w:uiPriority w:val="9"/>
    <w:semiHidden/>
    <w:unhideWhenUsed/>
    <w:qFormat/>
    <w:pPr>
      <w:keepNext/>
      <w:keepLines/>
      <w:numPr>
        <w:ilvl w:val="4"/>
        <w:numId w:val="37"/>
      </w:numPr>
      <w:spacing w:before="200" w:after="0" w:line="240" w:lineRule="auto"/>
      <w:outlineLvl w:val="4"/>
    </w:pPr>
    <w:rPr>
      <w:rFonts w:ascii="EC Square Sans Pro" w:eastAsia="Times New Roman" w:hAnsi="EC Square Sans Pro" w:cs="Times New Roman"/>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37"/>
      </w:numPr>
      <w:spacing w:before="200" w:after="0" w:line="240" w:lineRule="auto"/>
      <w:outlineLvl w:val="5"/>
    </w:pPr>
    <w:rPr>
      <w:rFonts w:ascii="EC Square Sans Pro" w:eastAsia="Times New Roman" w:hAnsi="EC Square Sans Pro" w:cs="Times New Roman"/>
      <w:i/>
      <w:iCs/>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37"/>
      </w:numPr>
      <w:spacing w:before="200" w:after="0" w:line="240" w:lineRule="auto"/>
      <w:outlineLvl w:val="6"/>
    </w:pPr>
    <w:rPr>
      <w:rFonts w:ascii="EC Square Sans Pro" w:eastAsia="Times New Roman" w:hAnsi="EC Square Sans Pro" w:cs="Times New Roman"/>
      <w:i/>
      <w:iCs/>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37"/>
      </w:numPr>
      <w:spacing w:before="200" w:after="0" w:line="240" w:lineRule="auto"/>
      <w:outlineLvl w:val="7"/>
    </w:pPr>
    <w:rPr>
      <w:rFonts w:ascii="EC Square Sans Pro" w:eastAsia="Times New Roman" w:hAnsi="EC Square Sans Pro" w:cs="Times New Roman"/>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37"/>
      </w:numPr>
      <w:spacing w:before="200" w:after="0" w:line="240" w:lineRule="auto"/>
      <w:outlineLvl w:val="8"/>
    </w:pPr>
    <w:rPr>
      <w:rFonts w:ascii="EC Square Sans Pro" w:eastAsia="Times New Roman" w:hAnsi="EC Square Sans Pro" w:cs="Times New Roman"/>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imes New Roman" w:hAnsi="EC Square Sans Pro" w:cs="Times New Roman"/>
      <w:b/>
      <w:bCs/>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imes New Roman" w:hAnsi="EC Square Sans Pro" w:cs="Times New Roman"/>
      <w:b/>
      <w:bCs/>
      <w:sz w:val="24"/>
      <w:szCs w:val="26"/>
    </w:rPr>
  </w:style>
  <w:style w:type="character" w:customStyle="1" w:styleId="Heading3Char">
    <w:name w:val="Heading 3 Char"/>
    <w:basedOn w:val="DefaultParagraphFont"/>
    <w:link w:val="Heading3"/>
    <w:uiPriority w:val="9"/>
    <w:semiHidden/>
    <w:rPr>
      <w:rFonts w:ascii="EC Square Sans Pro" w:eastAsia="Times New Roman" w:hAnsi="EC Square Sans Pro" w:cs="Times New Roman"/>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imes New Roman" w:hAnsi="EC Square Sans Pro" w:cs="Times New Roman"/>
      <w:bCs/>
      <w:iCs/>
      <w:sz w:val="24"/>
    </w:rPr>
  </w:style>
  <w:style w:type="character" w:customStyle="1" w:styleId="Heading5Char">
    <w:name w:val="Heading 5 Char"/>
    <w:basedOn w:val="DefaultParagraphFont"/>
    <w:link w:val="Heading5"/>
    <w:uiPriority w:val="9"/>
    <w:semiHidden/>
    <w:rPr>
      <w:rFonts w:ascii="EC Square Sans Pro" w:eastAsia="Times New Roman" w:hAnsi="EC Square Sans Pro" w:cs="Times New Roman"/>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imes New Roman" w:hAnsi="EC Square Sans Pro" w:cs="Times New Roman"/>
      <w:i/>
      <w:iCs/>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imes New Roman" w:hAnsi="EC Square Sans Pro" w:cs="Times New Roman"/>
      <w:i/>
      <w:iCs/>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imes New Roman" w:hAnsi="EC Square Sans Pro" w:cs="Times New Roman"/>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imes New Roman" w:hAnsi="EC Square Sans Pro" w:cs="Times New Roman"/>
      <w:i/>
      <w:iCs/>
      <w:color w:val="404040" w:themeColor="text1" w:themeTint="BF"/>
      <w:sz w:val="20"/>
      <w:szCs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pPr>
      <w:spacing w:after="0" w:line="240" w:lineRule="auto"/>
      <w:ind w:left="720"/>
      <w:contextualSpacing/>
    </w:pPr>
    <w:rPr>
      <w:rFonts w:ascii="EC Square Sans Pro" w:hAnsi="EC Square Sans Pro" w:cs="Times New Roman"/>
      <w:sz w:val="20"/>
    </w:rPr>
  </w:style>
  <w:style w:type="paragraph" w:customStyle="1" w:styleId="Subhead3">
    <w:name w:val="Subhead 3"/>
    <w:basedOn w:val="Subhead2"/>
    <w:autoRedefine/>
    <w:semiHidden/>
    <w:pPr>
      <w:numPr>
        <w:ilvl w:val="0"/>
        <w:numId w:val="0"/>
      </w:numPr>
      <w:pBdr>
        <w:top w:val="none" w:sz="0" w:space="0" w:color="auto"/>
        <w:bottom w:val="none" w:sz="0" w:space="0" w:color="auto"/>
      </w:pBdr>
      <w:spacing w:before="120"/>
      <w:ind w:left="661"/>
    </w:pPr>
    <w:rPr>
      <w:iCs w:val="0"/>
      <w:color w:val="5B9BD5" w:themeColor="accent1"/>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sz w:val="18"/>
      <w:szCs w:val="18"/>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cs="Times New Roman"/>
      <w:b/>
      <w:bCs/>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cs="Times New Roman"/>
      <w:b/>
      <w:bCs/>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semiHidden/>
    <w:pPr>
      <w:numPr>
        <w:numId w:val="3"/>
      </w:numPr>
    </w:pPr>
  </w:style>
  <w:style w:type="character" w:styleId="Hyperlink">
    <w:name w:val="Hyperlink"/>
    <w:basedOn w:val="DefaultParagraphFont"/>
    <w:uiPriority w:val="99"/>
    <w:rPr>
      <w:rFonts w:ascii="EC Square Sans Pro" w:hAnsi="EC Square Sans Pro"/>
      <w:strike w:val="0"/>
      <w:dstrike w:val="0"/>
      <w:noProof w:val="0"/>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cs="Times New Roman"/>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cs="Times New Roman"/>
      <w:sz w:val="20"/>
      <w:szCs w:val="20"/>
    </w:rPr>
  </w:style>
  <w:style w:type="character" w:styleId="EndnoteReference">
    <w:name w:val="endnote reference"/>
    <w:basedOn w:val="DefaultParagraphFont"/>
    <w:uiPriority w:val="99"/>
    <w:semiHidden/>
    <w:unhideWhenUsed/>
    <w:rPr>
      <w:rFonts w:ascii="EC Square Sans Pro" w:hAnsi="EC Square Sans Pro"/>
      <w:noProof w:val="0"/>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120" w:line="240" w:lineRule="auto"/>
      <w:jc w:val="both"/>
    </w:pPr>
    <w:rPr>
      <w:rFonts w:ascii="EC Square Sans Pro" w:hAnsi="EC Square Sans Pro" w:cs="Times New Roman"/>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color w:val="EE6A44"/>
      <w:sz w:val="52"/>
    </w:rPr>
  </w:style>
  <w:style w:type="paragraph" w:customStyle="1" w:styleId="Title2Report">
    <w:name w:val="Title 2 / Report"/>
    <w:basedOn w:val="Normal"/>
    <w:link w:val="Title2ReportChar"/>
    <w:autoRedefine/>
    <w:semiHidden/>
    <w:qFormat/>
    <w:pPr>
      <w:keepNext/>
      <w:keepLines/>
      <w:numPr>
        <w:numId w:val="9"/>
      </w:numPr>
      <w:pBdr>
        <w:top w:val="single" w:sz="12" w:space="1" w:color="ED7D31" w:themeColor="accent2"/>
        <w:bottom w:val="single" w:sz="12" w:space="1" w:color="ED7D31" w:themeColor="accent2"/>
      </w:pBdr>
      <w:spacing w:before="480" w:after="240" w:line="276" w:lineRule="auto"/>
      <w:outlineLvl w:val="1"/>
    </w:pPr>
    <w:rPr>
      <w:rFonts w:ascii="EC Square Sans Pro" w:eastAsia="EC Square Sans Pro" w:hAnsi="EC Square Sans Pro" w:cs="Times New Roman"/>
      <w:b/>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val="0"/>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imes New Roman" w:hAnsi="EC Square Sans Pro" w:cs="Times New Roman"/>
      <w:i/>
      <w:iCs/>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sz w:val="20"/>
    </w:rPr>
  </w:style>
  <w:style w:type="character" w:customStyle="1" w:styleId="BodyText2Char">
    <w:name w:val="Body Text 2 Char"/>
    <w:basedOn w:val="DefaultParagraphFont"/>
    <w:link w:val="BodyText2"/>
    <w:uiPriority w:val="99"/>
    <w:semiHidden/>
    <w:rPr>
      <w:rFonts w:ascii="EC Square Sans Pro" w:hAnsi="EC Square Sans Pro" w:cs="Times New Roman"/>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sz w:val="20"/>
    </w:rPr>
  </w:style>
  <w:style w:type="character" w:customStyle="1" w:styleId="ClosingChar">
    <w:name w:val="Closing Char"/>
    <w:basedOn w:val="DefaultParagraphFont"/>
    <w:link w:val="Closing"/>
    <w:uiPriority w:val="99"/>
    <w:semiHidden/>
    <w:rPr>
      <w:rFonts w:ascii="EC Square Sans Pro" w:hAnsi="EC Square Sans Pro" w:cs="Times New Roman"/>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sz w:val="20"/>
    </w:rPr>
  </w:style>
  <w:style w:type="character" w:customStyle="1" w:styleId="DateChar">
    <w:name w:val="Date Char"/>
    <w:basedOn w:val="DefaultParagraphFont"/>
    <w:link w:val="Date"/>
    <w:uiPriority w:val="99"/>
    <w:semiHidden/>
    <w:rPr>
      <w:rFonts w:ascii="EC Square Sans Pro" w:hAnsi="EC Square Sans Pro" w:cs="Times New Roman"/>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imes New Roman" w:hAnsi="EC Square Sans Pro" w:cs="Times New Roman"/>
      <w:sz w:val="24"/>
      <w:szCs w:val="24"/>
    </w:rPr>
  </w:style>
  <w:style w:type="paragraph" w:styleId="EnvelopeReturn">
    <w:name w:val="envelope return"/>
    <w:basedOn w:val="Normal"/>
    <w:uiPriority w:val="99"/>
    <w:semiHidden/>
    <w:unhideWhenUsed/>
    <w:pPr>
      <w:spacing w:after="0" w:line="240" w:lineRule="auto"/>
    </w:pPr>
    <w:rPr>
      <w:rFonts w:ascii="EC Square Sans Pro" w:eastAsia="Times New Roman" w:hAnsi="EC Square Sans Pro" w:cs="Times New Roman"/>
      <w:sz w:val="20"/>
      <w:szCs w:val="20"/>
    </w:rPr>
  </w:style>
  <w:style w:type="character" w:styleId="HTMLAcronym">
    <w:name w:val="HTML Acronym"/>
    <w:basedOn w:val="DefaultParagraphFont"/>
    <w:uiPriority w:val="99"/>
    <w:semiHidden/>
    <w:unhideWhenUsed/>
    <w:rPr>
      <w:rFonts w:ascii="EC Square Sans Pro" w:hAnsi="EC Square Sans Pro"/>
      <w:noProof w:val="0"/>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sz w:val="20"/>
    </w:rPr>
  </w:style>
  <w:style w:type="character" w:styleId="HTMLCite">
    <w:name w:val="HTML Cite"/>
    <w:basedOn w:val="DefaultParagraphFont"/>
    <w:uiPriority w:val="99"/>
    <w:semiHidden/>
    <w:unhideWhenUsed/>
    <w:rPr>
      <w:rFonts w:ascii="EC Square Sans Pro" w:hAnsi="EC Square Sans Pro"/>
      <w:i/>
      <w:iCs/>
      <w:noProof w:val="0"/>
      <w:lang w:val="en-GB"/>
    </w:rPr>
  </w:style>
  <w:style w:type="character" w:styleId="HTMLCode">
    <w:name w:val="HTML Code"/>
    <w:basedOn w:val="DefaultParagraphFont"/>
    <w:uiPriority w:val="99"/>
    <w:semiHidden/>
    <w:unhideWhenUsed/>
    <w:rPr>
      <w:rFonts w:ascii="EC Square Sans Pro" w:hAnsi="EC Square Sans Pro" w:cs="Consolas"/>
      <w:noProof w:val="0"/>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val="0"/>
      <w:lang w:val="en-GB"/>
    </w:rPr>
  </w:style>
  <w:style w:type="character" w:styleId="HTMLKeyboard">
    <w:name w:val="HTML Keyboard"/>
    <w:basedOn w:val="DefaultParagraphFont"/>
    <w:uiPriority w:val="99"/>
    <w:semiHidden/>
    <w:unhideWhenUsed/>
    <w:rPr>
      <w:rFonts w:ascii="EC Square Sans Pro" w:hAnsi="EC Square Sans Pro" w:cs="Consolas"/>
      <w:noProof w:val="0"/>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sz w:val="20"/>
      <w:szCs w:val="20"/>
    </w:rPr>
  </w:style>
  <w:style w:type="character" w:styleId="HTMLSample">
    <w:name w:val="HTML Sample"/>
    <w:basedOn w:val="DefaultParagraphFont"/>
    <w:uiPriority w:val="99"/>
    <w:semiHidden/>
    <w:unhideWhenUsed/>
    <w:rPr>
      <w:rFonts w:ascii="EC Square Sans Pro" w:hAnsi="EC Square Sans Pro" w:cs="Consolas"/>
      <w:noProof w:val="0"/>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val="0"/>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val="0"/>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sz w:val="20"/>
    </w:rPr>
  </w:style>
  <w:style w:type="paragraph" w:styleId="IndexHeading">
    <w:name w:val="index heading"/>
    <w:basedOn w:val="Normal"/>
    <w:next w:val="Index1"/>
    <w:uiPriority w:val="99"/>
    <w:semiHidden/>
    <w:unhideWhenUsed/>
    <w:pPr>
      <w:spacing w:after="0" w:line="240" w:lineRule="auto"/>
    </w:pPr>
    <w:rPr>
      <w:rFonts w:ascii="EC Square Sans Pro" w:eastAsia="Times New Roman" w:hAnsi="EC Square Sans Pro" w:cs="Times New Roman"/>
      <w:b/>
      <w:bCs/>
      <w:sz w:val="20"/>
    </w:rPr>
  </w:style>
  <w:style w:type="character" w:styleId="LineNumber">
    <w:name w:val="line number"/>
    <w:basedOn w:val="DefaultParagraphFont"/>
    <w:uiPriority w:val="99"/>
    <w:semiHidden/>
    <w:unhideWhenUsed/>
    <w:rPr>
      <w:rFonts w:ascii="EC Square Sans Pro" w:hAnsi="EC Square Sans Pro"/>
      <w:noProof w:val="0"/>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imes New Roman" w:hAnsi="EC Square Sans Pro" w:cs="Times New Roman"/>
      <w:sz w:val="24"/>
      <w:szCs w:val="24"/>
    </w:rPr>
  </w:style>
  <w:style w:type="character" w:customStyle="1" w:styleId="MessageHeaderChar">
    <w:name w:val="Message Header Char"/>
    <w:basedOn w:val="DefaultParagraphFont"/>
    <w:link w:val="MessageHeader"/>
    <w:uiPriority w:val="99"/>
    <w:semiHidden/>
    <w:rPr>
      <w:rFonts w:ascii="EC Square Sans Pro" w:eastAsia="Times New Roman" w:hAnsi="EC Square Sans Pro" w:cs="Times New Roman"/>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sz w:val="20"/>
    </w:rPr>
  </w:style>
  <w:style w:type="character" w:styleId="PageNumber">
    <w:name w:val="page number"/>
    <w:basedOn w:val="DefaultParagraphFont"/>
    <w:uiPriority w:val="99"/>
    <w:semiHidden/>
    <w:unhideWhenUsed/>
    <w:rPr>
      <w:rFonts w:ascii="EC Square Sans Pro" w:hAnsi="EC Square Sans Pro"/>
      <w:noProof w:val="0"/>
      <w:lang w:val="en-GB"/>
    </w:rPr>
  </w:style>
  <w:style w:type="character" w:styleId="PlaceholderText">
    <w:name w:val="Placeholder Text"/>
    <w:basedOn w:val="DefaultParagraphFont"/>
    <w:uiPriority w:val="99"/>
    <w:semiHidden/>
    <w:rPr>
      <w:rFonts w:ascii="EC Square Sans Pro" w:hAnsi="EC Square Sans Pro"/>
      <w:noProof w:val="0"/>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sz w:val="20"/>
    </w:rPr>
  </w:style>
  <w:style w:type="character" w:customStyle="1" w:styleId="SalutationChar">
    <w:name w:val="Salutation Char"/>
    <w:basedOn w:val="DefaultParagraphFont"/>
    <w:link w:val="Salutation"/>
    <w:uiPriority w:val="99"/>
    <w:semiHidden/>
    <w:rPr>
      <w:rFonts w:ascii="EC Square Sans Pro" w:hAnsi="EC Square Sans Pro" w:cs="Times New Roman"/>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sz w:val="20"/>
    </w:rPr>
  </w:style>
  <w:style w:type="character" w:customStyle="1" w:styleId="SignatureChar">
    <w:name w:val="Signature Char"/>
    <w:basedOn w:val="DefaultParagraphFont"/>
    <w:link w:val="Signature"/>
    <w:uiPriority w:val="99"/>
    <w:semiHidden/>
    <w:rPr>
      <w:rFonts w:ascii="EC Square Sans Pro" w:hAnsi="EC Square Sans Pro" w:cs="Times New Roman"/>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imes New Roman" w:hAnsi="EC Square Sans Pro" w:cs="Times New Roman"/>
      <w:b/>
      <w:bCs/>
      <w:sz w:val="24"/>
      <w:szCs w:val="24"/>
    </w:rPr>
  </w:style>
  <w:style w:type="character" w:customStyle="1" w:styleId="BOLDBLUE">
    <w:name w:val="BOLD BLUE"/>
    <w:basedOn w:val="BodyTextChar"/>
    <w:semiHidden/>
    <w:qFormat/>
    <w:rPr>
      <w:rFonts w:ascii="EC Square Sans Pro" w:hAnsi="EC Square Sans Pro" w:cs="Times New Roman"/>
      <w:b/>
      <w:noProof w:val="0"/>
      <w:color w:val="4472C4" w:themeColor="accent5"/>
      <w:sz w:val="20"/>
      <w:lang w:val="en-GB" w:eastAsia="fr-BE"/>
    </w:rPr>
  </w:style>
  <w:style w:type="paragraph" w:customStyle="1" w:styleId="Title1-NoTOClink">
    <w:name w:val="Title 1 - No TOC link"/>
    <w:basedOn w:val="Normal"/>
    <w:next w:val="Normal"/>
    <w:semiHidden/>
    <w:pPr>
      <w:keepNext/>
      <w:keepLines/>
      <w:pageBreakBefore/>
      <w:spacing w:after="120" w:line="240" w:lineRule="auto"/>
      <w:ind w:left="680" w:hanging="680"/>
      <w:outlineLvl w:val="0"/>
    </w:pPr>
    <w:rPr>
      <w:rFonts w:ascii="EC Square Sans Pro" w:hAnsi="EC Square Sans Pro" w:cs="Times New Roman"/>
      <w:color w:val="4472C4" w:themeColor="accent5"/>
      <w:sz w:val="52"/>
    </w:rPr>
  </w:style>
  <w:style w:type="character" w:customStyle="1" w:styleId="fnRefNo">
    <w:name w:val="fnRefNo"/>
    <w:uiPriority w:val="1"/>
    <w:qFormat/>
    <w:rPr>
      <w:rFonts w:ascii="EC Square Sans Pro" w:hAnsi="EC Square Sans Pro"/>
      <w:b w:val="0"/>
      <w:i w:val="0"/>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autoRedefine/>
    <w:semiHidden/>
    <w:qFormat/>
    <w:pPr>
      <w:keepNext/>
      <w:keepLines/>
      <w:numPr>
        <w:ilvl w:val="2"/>
        <w:numId w:val="9"/>
      </w:numPr>
      <w:pBdr>
        <w:top w:val="single" w:sz="12" w:space="1" w:color="5B9BD5" w:themeColor="accent1"/>
        <w:bottom w:val="single" w:sz="12" w:space="1" w:color="5B9BD5" w:themeColor="accent1"/>
      </w:pBdr>
      <w:spacing w:before="480" w:after="120" w:line="240" w:lineRule="auto"/>
      <w:jc w:val="both"/>
      <w:outlineLvl w:val="2"/>
    </w:pPr>
    <w:rPr>
      <w:rFonts w:ascii="EC Square Sans Pro" w:hAnsi="EC Square Sans Pro" w:cs="Times New Roman"/>
      <w:b/>
      <w:iCs/>
      <w:color w:val="4472C4" w:themeColor="accent5"/>
      <w:sz w:val="28"/>
      <w:lang w:eastAsia="zh-CN"/>
    </w:rPr>
  </w:style>
  <w:style w:type="character" w:customStyle="1" w:styleId="Subhead2Char">
    <w:name w:val="Subhead 2 Char"/>
    <w:basedOn w:val="DefaultParagraphFont"/>
    <w:link w:val="Subhead2"/>
    <w:semiHidden/>
    <w:rPr>
      <w:rFonts w:ascii="EC Square Sans Pro" w:hAnsi="EC Square Sans Pro" w:cs="Times New Roman"/>
      <w:b/>
      <w:iCs/>
      <w:color w:val="4472C4" w:themeColor="accent5"/>
      <w:sz w:val="28"/>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sz w:val="20"/>
      <w:lang w:eastAsia="fr-BE"/>
    </w:rPr>
  </w:style>
  <w:style w:type="table" w:customStyle="1" w:styleId="DocumentTable2">
    <w:name w:val="Document Table2"/>
    <w:basedOn w:val="TableNormal"/>
    <w:next w:val="TableGrid"/>
    <w:uiPriority w:val="59"/>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Subhead2"/>
    <w:link w:val="BulletsChar"/>
    <w:semiHidden/>
    <w:qFormat/>
    <w:pPr>
      <w:numPr>
        <w:numId w:val="4"/>
      </w:numPr>
      <w:spacing w:before="60" w:after="60"/>
    </w:pPr>
    <w:rPr>
      <w:b w:val="0"/>
      <w:color w:val="000000" w:themeColor="text1"/>
      <w:sz w:val="20"/>
    </w:rPr>
  </w:style>
  <w:style w:type="paragraph" w:styleId="FootnoteText">
    <w:name w:val="footnote text"/>
    <w:basedOn w:val="footnote"/>
    <w:link w:val="FootnoteTextChar"/>
    <w:uiPriority w:val="99"/>
    <w:qFormat/>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character" w:customStyle="1" w:styleId="BulletsChar">
    <w:name w:val="Bullets Char"/>
    <w:basedOn w:val="Subhead2Char"/>
    <w:link w:val="Bullets"/>
    <w:semiHidden/>
    <w:rPr>
      <w:rFonts w:ascii="EC Square Sans Pro" w:hAnsi="EC Square Sans Pro" w:cs="Times New Roman"/>
      <w:b w:val="0"/>
      <w:iCs/>
      <w:color w:val="000000" w:themeColor="text1"/>
      <w:sz w:val="20"/>
      <w:lang w:eastAsia="zh-CN"/>
    </w:rPr>
  </w:style>
  <w:style w:type="paragraph" w:customStyle="1" w:styleId="footnoteTxt">
    <w:name w:val="footnote Txt"/>
    <w:basedOn w:val="FootnoteText"/>
    <w:semiHidden/>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color w:val="000000"/>
      <w:sz w:val="24"/>
      <w:szCs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eastAsiaTheme="majorEastAsia" w:hAnsiTheme="majorHAnsi" w:cstheme="majorBid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sz w:val="20"/>
    </w:rPr>
  </w:style>
  <w:style w:type="paragraph" w:customStyle="1" w:styleId="BodyText1spaceafter">
    <w:name w:val="Body Text 1 (space after)"/>
    <w:basedOn w:val="Normal"/>
    <w:next w:val="Normal"/>
    <w:semiHidden/>
    <w:pPr>
      <w:spacing w:after="240" w:line="240" w:lineRule="auto"/>
      <w:jc w:val="both"/>
    </w:pPr>
    <w:rPr>
      <w:rFonts w:ascii="EC Square Sans Pro" w:eastAsia="Calibri" w:hAnsi="EC Square Sans Pro" w:cs="Times New Roman"/>
      <w:color w:val="000000" w:themeColor="text1"/>
      <w:sz w:val="20"/>
      <w:lang w:eastAsia="fr-BE"/>
    </w:rPr>
  </w:style>
  <w:style w:type="character" w:customStyle="1" w:styleId="fnRef">
    <w:name w:val="fnRef"/>
    <w:uiPriority w:val="1"/>
    <w:rPr>
      <w:rFonts w:ascii="EC Square Sans Pro" w:hAnsi="EC Square Sans Pro"/>
      <w:b w:val="0"/>
      <w:i w:val="0"/>
      <w:bdr w:val="none" w:sz="0" w:space="0" w:color="auto"/>
      <w:shd w:val="clear" w:color="auto" w:fill="auto"/>
      <w:vertAlign w:val="baseline"/>
      <w:lang w:val="en-GB"/>
    </w:rPr>
  </w:style>
  <w:style w:type="character" w:customStyle="1" w:styleId="BOLDLIGHTBLUEReport">
    <w:name w:val="BOLD LIGHT BLUE / Report"/>
    <w:basedOn w:val="DefaultParagraphFont"/>
    <w:semiHidden/>
    <w:rPr>
      <w:rFonts w:ascii="EC Square Sans Pro" w:eastAsia="Times New Roman" w:hAnsi="EC Square Sans Pro"/>
      <w:b/>
      <w:noProof w:val="0"/>
      <w:color w:val="65BBC8"/>
      <w:szCs w:val="20"/>
      <w:lang w:val="en-GB" w:eastAsia="en-GB"/>
    </w:rPr>
  </w:style>
  <w:style w:type="character" w:styleId="CommentReference">
    <w:name w:val="annotation reference"/>
    <w:basedOn w:val="DefaultParagraphFont"/>
    <w:uiPriority w:val="99"/>
    <w:semiHidden/>
    <w:unhideWhenUsed/>
    <w:qFormat/>
    <w:rPr>
      <w:noProof w:val="0"/>
      <w:sz w:val="16"/>
      <w:szCs w:val="16"/>
      <w:lang w:val="en-GB"/>
    </w:rPr>
  </w:style>
  <w:style w:type="paragraph" w:customStyle="1" w:styleId="Nota">
    <w:name w:val="Nota"/>
    <w:aliases w:val=" Char1,Char1,(NECG) Footnote Reference,Appel note de bas de p,Style 6,Signature Ch,Fußnotenzeichen3,Footnote Reference_LVL6,Footnote Reference_LVL61,Footnote Reference_LVL62,Ch,de nota al pi..."/>
    <w:basedOn w:val="Normal"/>
    <w:uiPriority w:val="99"/>
    <w:semiHidden/>
    <w:pPr>
      <w:spacing w:line="240" w:lineRule="exact"/>
    </w:pPr>
    <w:rPr>
      <w:rFonts w:ascii="Times New Roman" w:hAnsi="Times New Roman" w:cs="Times New Roman"/>
      <w:vertAlign w:val="superscript"/>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color w:val="000000" w:themeColor="text1"/>
      <w:sz w:val="20"/>
      <w:shd w:val="clear" w:color="auto" w:fill="FBE4D5" w:themeFill="accent2" w:themeFillTint="33"/>
      <w:lang w:eastAsia="fr-BE"/>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EC Square Sans Pro" w:hAnsi="EC Square Sans Pro" w:cs="Times New Roman"/>
      <w:sz w:val="20"/>
    </w:rPr>
  </w:style>
  <w:style w:type="paragraph" w:customStyle="1" w:styleId="BodyText1spacebeforeandafter">
    <w:name w:val="Body Text 1 (space before and after)"/>
    <w:basedOn w:val="Normal"/>
    <w:semiHidden/>
    <w:pPr>
      <w:spacing w:before="240" w:after="240" w:line="240" w:lineRule="auto"/>
      <w:jc w:val="both"/>
    </w:pPr>
    <w:rPr>
      <w:rFonts w:ascii="EC Square Sans Pro" w:eastAsia="Calibri" w:hAnsi="EC Square Sans Pro" w:cs="Times New Roman"/>
      <w:color w:val="000000" w:themeColor="text1"/>
      <w:sz w:val="20"/>
      <w:lang w:eastAsia="fr-BE"/>
    </w:rPr>
  </w:style>
  <w:style w:type="paragraph" w:customStyle="1" w:styleId="BulletsblueNew">
    <w:name w:val="Bullets blue New"/>
    <w:basedOn w:val="Normal"/>
    <w:semiHidden/>
    <w:pPr>
      <w:numPr>
        <w:numId w:val="7"/>
      </w:numPr>
      <w:spacing w:after="60" w:line="240" w:lineRule="auto"/>
      <w:jc w:val="both"/>
    </w:pPr>
    <w:rPr>
      <w:rFonts w:ascii="EC Square Sans Pro" w:eastAsia="Calibri" w:hAnsi="EC Square Sans Pro" w:cs="Times New Roman"/>
      <w:sz w:val="20"/>
      <w:lang w:eastAsia="fr-BE"/>
    </w:rPr>
  </w:style>
  <w:style w:type="character" w:customStyle="1" w:styleId="Corpsdutexte4">
    <w:name w:val="Corps du texte (4)_"/>
    <w:link w:val="Corpsdutexte40"/>
    <w:uiPriority w:val="99"/>
    <w:semiHidden/>
    <w:locked/>
    <w:rPr>
      <w:rFonts w:ascii="Times New Roman" w:hAnsi="Times New Roman" w:cs="Times New Roman"/>
      <w:sz w:val="19"/>
      <w:szCs w:val="19"/>
      <w:shd w:val="clear" w:color="auto" w:fill="FFFFFF"/>
    </w:rPr>
  </w:style>
  <w:style w:type="paragraph" w:customStyle="1" w:styleId="Corpsdutexte40">
    <w:name w:val="Corps du texte (4)"/>
    <w:basedOn w:val="Normal"/>
    <w:link w:val="Corpsdutexte4"/>
    <w:uiPriority w:val="99"/>
    <w:semiHidden/>
    <w:pPr>
      <w:widowControl w:val="0"/>
      <w:shd w:val="clear" w:color="auto" w:fill="FFFFFF"/>
      <w:spacing w:before="480" w:after="0" w:line="226" w:lineRule="exact"/>
      <w:jc w:val="both"/>
    </w:pPr>
    <w:rPr>
      <w:rFonts w:ascii="Times New Roman" w:hAnsi="Times New Roman" w:cs="Times New Roman"/>
      <w:sz w:val="19"/>
      <w:szCs w:val="19"/>
    </w:rPr>
  </w:style>
  <w:style w:type="paragraph" w:customStyle="1" w:styleId="BulletsblueNew-Spacebefore">
    <w:name w:val="Bullets blue New - Space before"/>
    <w:basedOn w:val="BulletsblueNew"/>
    <w:semiHidden/>
    <w:pPr>
      <w:spacing w:before="240"/>
    </w:pPr>
  </w:style>
  <w:style w:type="character" w:styleId="Strong">
    <w:name w:val="Strong"/>
    <w:basedOn w:val="DefaultParagraphFont"/>
    <w:uiPriority w:val="22"/>
    <w:qFormat/>
    <w:rPr>
      <w:b/>
      <w:bCs/>
      <w:noProof w:val="0"/>
      <w:lang w:val="en-GB"/>
    </w:rPr>
  </w:style>
  <w:style w:type="paragraph" w:customStyle="1" w:styleId="FootnoteTextChar1CharCharCharCharChar1">
    <w:name w:val="Footnote Text Char1 Char Char Char Char Char1"/>
    <w:basedOn w:val="Normal"/>
    <w:next w:val="FootnoteText"/>
    <w:uiPriority w:val="99"/>
    <w:semiHidden/>
    <w:qFormat/>
    <w:pPr>
      <w:spacing w:after="0" w:line="240" w:lineRule="auto"/>
    </w:pPr>
    <w:rPr>
      <w:rFonts w:ascii="EC Square Sans Pro" w:hAnsi="EC Square Sans Pro" w:cs="Times New Roman"/>
      <w:sz w:val="20"/>
      <w:szCs w:val="20"/>
    </w:rPr>
  </w:style>
  <w:style w:type="character" w:styleId="BookTitle">
    <w:name w:val="Book Title"/>
    <w:basedOn w:val="DefaultParagraphFont"/>
    <w:uiPriority w:val="33"/>
    <w:rPr>
      <w:b/>
      <w:bCs/>
      <w:i/>
      <w:iCs/>
      <w:noProof w:val="0"/>
      <w:spacing w:val="5"/>
      <w:lang w:val="en-GB"/>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color w:val="44546A" w:themeColor="text2"/>
      <w:sz w:val="18"/>
      <w:szCs w:val="18"/>
    </w:rPr>
  </w:style>
  <w:style w:type="character" w:styleId="Emphasis">
    <w:name w:val="Emphasis"/>
    <w:basedOn w:val="DefaultParagraphFont"/>
    <w:uiPriority w:val="20"/>
    <w:qFormat/>
    <w:rPr>
      <w:i/>
      <w:iCs/>
      <w:noProof w:val="0"/>
      <w:lang w:val="en-GB"/>
    </w:rPr>
  </w:style>
  <w:style w:type="character" w:styleId="IntenseEmphasis">
    <w:name w:val="Intense Emphasis"/>
    <w:basedOn w:val="DefaultParagraphFont"/>
    <w:uiPriority w:val="21"/>
    <w:rPr>
      <w:i/>
      <w:iCs/>
      <w:noProof w:val="0"/>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color w:val="5B9BD5" w:themeColor="accent1"/>
      <w:sz w:val="20"/>
    </w:rPr>
  </w:style>
  <w:style w:type="character" w:styleId="IntenseReference">
    <w:name w:val="Intense Reference"/>
    <w:basedOn w:val="DefaultParagraphFont"/>
    <w:uiPriority w:val="32"/>
    <w:rPr>
      <w:b/>
      <w:bCs/>
      <w:smallCaps/>
      <w:noProof w:val="0"/>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rPr>
      <w:i/>
      <w:iCs/>
      <w:noProof w:val="0"/>
      <w:color w:val="404040" w:themeColor="text1" w:themeTint="BF"/>
      <w:lang w:val="en-GB"/>
    </w:rPr>
  </w:style>
  <w:style w:type="character" w:styleId="SubtleReference">
    <w:name w:val="Subtle Reference"/>
    <w:basedOn w:val="DefaultParagraphFont"/>
    <w:uiPriority w:val="31"/>
    <w:qFormat/>
    <w:rPr>
      <w:smallCaps/>
      <w:noProof w:val="0"/>
      <w:color w:val="5A5A5A" w:themeColor="text1" w:themeTint="A5"/>
      <w:lang w:val="en-GB"/>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sz w:val="20"/>
    </w:rPr>
  </w:style>
  <w:style w:type="character" w:customStyle="1" w:styleId="AMPRcharBold">
    <w:name w:val="(AMPR char) Bold"/>
    <w:uiPriority w:val="1"/>
    <w:rPr>
      <w:b/>
      <w:bCs/>
      <w:bdr w:val="none" w:sz="0" w:space="0" w:color="auto"/>
      <w:shd w:val="clear" w:color="auto" w:fill="auto"/>
    </w:rPr>
  </w:style>
  <w:style w:type="character" w:customStyle="1" w:styleId="AMPRcharBoldBlue">
    <w:name w:val="(AMPR char) Bold Blue"/>
    <w:uiPriority w:val="1"/>
    <w:rPr>
      <w:b/>
      <w:color w:val="005D95"/>
      <w:bdr w:val="none" w:sz="0" w:space="0" w:color="auto"/>
      <w:shd w:val="clear" w:color="auto" w:fill="auto"/>
      <w:lang w:val="en-GB"/>
    </w:rPr>
  </w:style>
  <w:style w:type="character" w:customStyle="1" w:styleId="AMPRcharBoldOrange">
    <w:name w:val="(AMPR char) Bold Orange"/>
    <w:basedOn w:val="DefaultParagraphFont"/>
    <w:uiPriority w:val="1"/>
    <w:rPr>
      <w:b/>
      <w:bCs/>
      <w:color w:val="5B9BD5" w:themeColor="accent1"/>
      <w:bdr w:val="none" w:sz="0" w:space="0" w:color="auto"/>
      <w:shd w:val="clear" w:color="auto" w:fill="auto"/>
    </w:rPr>
  </w:style>
  <w:style w:type="character" w:customStyle="1" w:styleId="AMPRcharHyperlink">
    <w:name w:val="(AMPR char) Hyperlink"/>
    <w:uiPriority w:val="1"/>
    <w:rPr>
      <w:color w:val="4E9DD6"/>
      <w:bdr w:val="none" w:sz="0" w:space="0" w:color="auto"/>
      <w:shd w:val="clear" w:color="auto" w:fill="auto"/>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AMPRBodyText">
    <w:name w:val="(AMPR) Body Text"/>
    <w:basedOn w:val="BASE-STYLE-TEXT"/>
    <w:qFormat/>
    <w:pPr>
      <w:spacing w:before="240" w:after="240" w:line="240" w:lineRule="auto"/>
    </w:pPr>
    <w:rPr>
      <w:rFonts w:eastAsiaTheme="minorHAnsi" w:cstheme="minorBidi"/>
      <w:color w:val="000000"/>
      <w:sz w:val="20"/>
      <w:szCs w:val="20"/>
      <w:lang w:eastAsia="en-US"/>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numbering" w:customStyle="1" w:styleId="AMPRLIST-SEC1-Headings">
    <w:name w:val="(AMPR) LIST - SEC 1 - Headings"/>
    <w:uiPriority w:val="99"/>
    <w:pPr>
      <w:numPr>
        <w:numId w:val="11"/>
      </w:numPr>
    </w:pPr>
  </w:style>
  <w:style w:type="numbering" w:customStyle="1" w:styleId="AMPRLIST-SEC2-Headings">
    <w:name w:val="(AMPR) LIST - SEC 2 - Headings"/>
    <w:uiPriority w:val="99"/>
    <w:pPr>
      <w:numPr>
        <w:numId w:val="12"/>
      </w:numPr>
    </w:pPr>
  </w:style>
  <w:style w:type="paragraph" w:customStyle="1" w:styleId="AMPRLista-L1">
    <w:name w:val="(AMPR) List (a) - L1"/>
    <w:basedOn w:val="BASE-STYLE-TEXT"/>
    <w:qFormat/>
    <w:pPr>
      <w:numPr>
        <w:numId w:val="14"/>
      </w:numPr>
      <w:spacing w:before="80" w:after="80" w:line="240" w:lineRule="auto"/>
      <w:jc w:val="left"/>
    </w:pPr>
    <w:rPr>
      <w:rFonts w:eastAsiaTheme="minorHAnsi"/>
      <w:color w:val="auto"/>
      <w:sz w:val="20"/>
      <w:szCs w:val="22"/>
      <w:lang w:eastAsia="en-US"/>
    </w:rPr>
  </w:style>
  <w:style w:type="paragraph" w:customStyle="1" w:styleId="AMPRListBlue-L1">
    <w:name w:val="(AMPR) List * [Blue] - L1"/>
    <w:basedOn w:val="BASE-STYLE-TEXT"/>
    <w:qFormat/>
    <w:pPr>
      <w:numPr>
        <w:numId w:val="15"/>
      </w:numPr>
      <w:spacing w:before="80" w:after="80" w:line="240" w:lineRule="auto"/>
    </w:pPr>
    <w:rPr>
      <w:rFonts w:eastAsiaTheme="minorHAnsi"/>
      <w:sz w:val="20"/>
      <w:szCs w:val="22"/>
      <w:lang w:eastAsia="en-US"/>
    </w:rPr>
  </w:style>
  <w:style w:type="paragraph" w:customStyle="1" w:styleId="AMPRListBlue-L2">
    <w:name w:val="(AMPR) List * [Blue] - L2"/>
    <w:basedOn w:val="BASE-STYLE-TEXT"/>
    <w:qFormat/>
    <w:pPr>
      <w:numPr>
        <w:ilvl w:val="1"/>
        <w:numId w:val="15"/>
      </w:numPr>
      <w:spacing w:before="80" w:after="80" w:line="240" w:lineRule="auto"/>
    </w:pPr>
    <w:rPr>
      <w:rFonts w:eastAsiaTheme="minorHAnsi"/>
      <w:sz w:val="20"/>
      <w:szCs w:val="22"/>
      <w:lang w:eastAsia="fr-BE"/>
    </w:rPr>
  </w:style>
  <w:style w:type="paragraph" w:customStyle="1" w:styleId="AMPRListOrange-L1">
    <w:name w:val="(AMPR) List * [Orange] - L1"/>
    <w:basedOn w:val="BASE-STYLE-TEXT"/>
    <w:qFormat/>
    <w:pPr>
      <w:numPr>
        <w:numId w:val="16"/>
      </w:numPr>
      <w:spacing w:before="80" w:after="80" w:line="240" w:lineRule="auto"/>
    </w:pPr>
    <w:rPr>
      <w:rFonts w:eastAsiaTheme="minorHAnsi"/>
      <w:sz w:val="20"/>
      <w:szCs w:val="22"/>
      <w:lang w:eastAsia="en-US"/>
    </w:rPr>
  </w:style>
  <w:style w:type="paragraph" w:customStyle="1" w:styleId="AMPRListOrange-L2">
    <w:name w:val="(AMPR) List * [Orange] - L2"/>
    <w:basedOn w:val="BASE-STYLE-TEXT"/>
    <w:qFormat/>
    <w:pPr>
      <w:numPr>
        <w:ilvl w:val="1"/>
        <w:numId w:val="16"/>
      </w:numPr>
      <w:spacing w:before="80" w:after="80" w:line="240" w:lineRule="auto"/>
    </w:pPr>
    <w:rPr>
      <w:rFonts w:eastAsiaTheme="minorHAnsi"/>
      <w:sz w:val="20"/>
      <w:szCs w:val="22"/>
      <w:lang w:eastAsia="fr-BE"/>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color w:val="auto"/>
      <w:sz w:val="16"/>
      <w:szCs w:val="16"/>
      <w:lang w:eastAsia="fr-BE"/>
    </w:r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color w:val="203F79"/>
      <w:szCs w:val="18"/>
    </w:rPr>
  </w:style>
  <w:style w:type="paragraph" w:customStyle="1" w:styleId="AMPRtableBOXA-bgWHITElnORANGE-BLUEBullet">
    <w:name w:val="(AMPR) tableBOX A - bgWHITE_lnORANGE - BLUE Bullet"/>
    <w:basedOn w:val="BASE-STYLE-TEXT"/>
    <w:qFormat/>
    <w:pPr>
      <w:widowControl w:val="0"/>
      <w:numPr>
        <w:numId w:val="13"/>
      </w:numPr>
      <w:autoSpaceDE w:val="0"/>
      <w:autoSpaceDN w:val="0"/>
      <w:adjustRightInd w:val="0"/>
      <w:spacing w:after="100" w:line="241" w:lineRule="exact"/>
      <w:jc w:val="left"/>
    </w:pPr>
    <w:rPr>
      <w:rFonts w:eastAsia="Times New Roman"/>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color w:val="005D95"/>
      <w:sz w:val="20"/>
      <w:szCs w:val="20"/>
      <w:lang w:eastAsia="en-US"/>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color w:val="auto"/>
      <w:sz w:val="20"/>
      <w:szCs w:val="22"/>
      <w:lang w:eastAsia="en-US" w:bidi="en-US"/>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color w:val="auto"/>
      <w:sz w:val="20"/>
      <w:szCs w:val="20"/>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color w:val="auto"/>
      <w:sz w:val="20"/>
      <w:szCs w:val="20"/>
      <w:lang w:eastAsia="en-US" w:bidi="en-US"/>
    </w:rPr>
  </w:style>
  <w:style w:type="numbering" w:customStyle="1" w:styleId="AMPRLISTa">
    <w:name w:val="(AMPR_LIST) (a)"/>
    <w:uiPriority w:val="99"/>
    <w:pPr>
      <w:numPr>
        <w:numId w:val="14"/>
      </w:numPr>
    </w:pPr>
  </w:style>
  <w:style w:type="numbering" w:customStyle="1" w:styleId="AMPRLISTBlue">
    <w:name w:val="(AMPR_LIST) * Blue"/>
    <w:uiPriority w:val="99"/>
    <w:pPr>
      <w:numPr>
        <w:numId w:val="15"/>
      </w:numPr>
    </w:pPr>
  </w:style>
  <w:style w:type="numbering" w:customStyle="1" w:styleId="AMPRLISTOrange">
    <w:name w:val="(AMPR_LIST) * Orange"/>
    <w:uiPriority w:val="99"/>
    <w:pPr>
      <w:numPr>
        <w:numId w:val="16"/>
      </w:numPr>
    </w:pPr>
  </w:style>
  <w:style w:type="paragraph" w:customStyle="1" w:styleId="BASE-STYLE-HEADINGS">
    <w:name w:val="_BASE-STYLE-HEADINGS"/>
    <w:basedOn w:val="BASE-STYLE-TEXT"/>
    <w:next w:val="Normal"/>
    <w:semiHidden/>
  </w:style>
  <w:style w:type="paragraph" w:customStyle="1" w:styleId="AMPRSec1TITLE2-numbered">
    <w:name w:val="(AMPR_Sec1) TITLE 2 - numbered"/>
    <w:basedOn w:val="BASE-STYLE-HEADINGS"/>
    <w:next w:val="AMPRBodyText"/>
    <w:qFormat/>
    <w:pPr>
      <w:keepNext/>
      <w:keepLines/>
      <w:pageBreakBefore/>
      <w:numPr>
        <w:numId w:val="11"/>
      </w:numPr>
      <w:spacing w:after="120" w:line="240" w:lineRule="auto"/>
      <w:jc w:val="left"/>
      <w:outlineLvl w:val="1"/>
    </w:pPr>
    <w:rPr>
      <w:rFonts w:eastAsiaTheme="minorHAnsi"/>
      <w:color w:val="4472C4" w:themeColor="accent5"/>
      <w:sz w:val="48"/>
      <w:szCs w:val="22"/>
      <w:lang w:eastAsia="en-US"/>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2TITLE2-numbered">
    <w:name w:val="(AMPR_Sec2) TITLE 2 - numbered"/>
    <w:basedOn w:val="BASE-STYLE-HEADINGS"/>
    <w:next w:val="AMPRBodyText"/>
    <w:qFormat/>
    <w:pPr>
      <w:keepNext/>
      <w:keepLines/>
      <w:pageBreakBefore/>
      <w:numPr>
        <w:numId w:val="39"/>
      </w:numPr>
      <w:spacing w:after="120" w:line="240" w:lineRule="auto"/>
      <w:jc w:val="left"/>
      <w:outlineLvl w:val="1"/>
    </w:pPr>
    <w:rPr>
      <w:rFonts w:eastAsiaTheme="minorHAnsi"/>
      <w:color w:val="4472C4" w:themeColor="accent5"/>
      <w:sz w:val="48"/>
      <w:szCs w:val="22"/>
      <w:lang w:eastAsia="en-US"/>
    </w:rPr>
  </w:style>
  <w:style w:type="paragraph" w:customStyle="1" w:styleId="AMPRSec2TITLE3-numbered">
    <w:name w:val="(AMPR_Sec2) TITLE 3 - numbered"/>
    <w:basedOn w:val="BASE-STYLE-HEADINGS"/>
    <w:next w:val="AMPRBodyText"/>
    <w:qFormat/>
    <w:pPr>
      <w:keepNext/>
      <w:keepLines/>
      <w:numPr>
        <w:ilvl w:val="1"/>
        <w:numId w:val="39"/>
      </w:numPr>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vanish/>
      <w:sz w:val="2"/>
      <w:szCs w:val="2"/>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0"/>
      <w:szCs w:val="22"/>
      <w:lang w:eastAsia="fr-BE"/>
    </w:rPr>
  </w:style>
  <w:style w:type="character" w:customStyle="1" w:styleId="AMPRcharOrange">
    <w:name w:val="(AMPR char) Orange"/>
    <w:basedOn w:val="DefaultParagraphFont"/>
    <w:uiPriority w:val="1"/>
    <w:rPr>
      <w:color w:val="DE5F0A"/>
      <w:bdr w:val="none" w:sz="0" w:space="0" w:color="auto"/>
      <w:shd w:val="clear" w:color="auto" w:fill="auto"/>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color w:val="FFFFFF" w:themeColor="background1"/>
      <w:sz w:val="24"/>
      <w:szCs w:val="24"/>
      <w:lang w:eastAsia="fr-BE"/>
    </w:rPr>
  </w:style>
  <w:style w:type="numbering" w:styleId="111111">
    <w:name w:val="Outline List 2"/>
    <w:basedOn w:val="NoList"/>
    <w:uiPriority w:val="99"/>
    <w:semiHidden/>
    <w:unhideWhenUsed/>
    <w:pPr>
      <w:numPr>
        <w:numId w:val="25"/>
      </w:numPr>
    </w:pPr>
  </w:style>
  <w:style w:type="numbering" w:styleId="1ai">
    <w:name w:val="Outline List 1"/>
    <w:basedOn w:val="NoList"/>
    <w:uiPriority w:val="99"/>
    <w:semiHidden/>
    <w:unhideWhenUsed/>
    <w:pPr>
      <w:numPr>
        <w:numId w:val="26"/>
      </w:numPr>
    </w:pPr>
  </w:style>
  <w:style w:type="numbering" w:styleId="ArticleSection">
    <w:name w:val="Outline List 3"/>
    <w:basedOn w:val="NoList"/>
    <w:uiPriority w:val="99"/>
    <w:semiHidden/>
    <w:unhideWhenUsed/>
    <w:pPr>
      <w:numPr>
        <w:numId w:val="27"/>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color w:val="auto"/>
      <w:sz w:val="16"/>
      <w:szCs w:val="16"/>
      <w:lang w:eastAsia="fr-BE"/>
    </w:rPr>
  </w:style>
  <w:style w:type="character" w:customStyle="1" w:styleId="AMPRcharBlue">
    <w:name w:val="(AMPR char) Blue"/>
    <w:uiPriority w:val="1"/>
    <w:rPr>
      <w:color w:val="005D95"/>
      <w:bdr w:val="none" w:sz="0" w:space="0" w:color="auto"/>
      <w:shd w:val="clear" w:color="auto" w:fill="auto"/>
    </w:rPr>
  </w:style>
  <w:style w:type="character" w:customStyle="1" w:styleId="AMPRcharItalic">
    <w:name w:val="(AMPR char) Italic"/>
    <w:uiPriority w:val="1"/>
    <w:rPr>
      <w:i/>
      <w:bdr w:val="none" w:sz="0" w:space="0" w:color="auto"/>
      <w:shd w:val="clear" w:color="auto" w:fill="auto"/>
    </w:rPr>
  </w:style>
  <w:style w:type="paragraph" w:customStyle="1" w:styleId="AMPRListOrange-L1-consecutive">
    <w:name w:val="(AMPR) List * [Orange] - L1 - consecutive"/>
    <w:basedOn w:val="AMPRListOrange-L1"/>
    <w:qFormat/>
    <w:pPr>
      <w:numPr>
        <w:numId w:val="0"/>
      </w:numPr>
      <w:ind w:left="697"/>
    </w:p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noProof/>
      <w:color w:val="FFFFFF" w:themeColor="background1"/>
      <w:sz w:val="72"/>
      <w:szCs w:val="72"/>
      <w:lang w:eastAsia="en-US"/>
    </w:r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numbering" w:customStyle="1" w:styleId="PPOLISTBlackBULLETS">
    <w:name w:val="(PPO LIST) Black BULLETS"/>
    <w:uiPriority w:val="99"/>
    <w:pPr>
      <w:numPr>
        <w:numId w:val="28"/>
      </w:numPr>
    </w:pPr>
  </w:style>
  <w:style w:type="numbering" w:customStyle="1" w:styleId="PPOLISTBlackNumbersinbrackets">
    <w:name w:val="(PPO LIST) Black Numbers in brackets"/>
    <w:uiPriority w:val="99"/>
    <w:pPr>
      <w:numPr>
        <w:numId w:val="29"/>
      </w:numPr>
    </w:pPr>
  </w:style>
  <w:style w:type="paragraph" w:customStyle="1" w:styleId="PPOBlackBULLETS-L1">
    <w:name w:val="(PPO) Black BULLETS - L1"/>
    <w:basedOn w:val="Normal"/>
    <w:semiHidden/>
    <w:qFormat/>
    <w:pPr>
      <w:widowControl w:val="0"/>
      <w:spacing w:after="60" w:line="200" w:lineRule="exact"/>
      <w:ind w:left="499" w:hanging="357"/>
      <w:jc w:val="both"/>
    </w:pPr>
    <w:rPr>
      <w:rFonts w:ascii="EC Square Sans Cond Pro" w:eastAsia="EC Square Sans Cond Pro Medium" w:hAnsi="EC Square Sans Cond Pro" w:cs="EC Square Sans Cond Pro Medium"/>
      <w:bCs/>
      <w:color w:val="000000" w:themeColor="text1"/>
      <w:sz w:val="18"/>
      <w:szCs w:val="17"/>
    </w:rPr>
  </w:style>
  <w:style w:type="paragraph" w:customStyle="1" w:styleId="PPOBlackBULLETS-L1nobullettext">
    <w:name w:val="(PPO) Black BULLETS - L1 (no bullet text)"/>
    <w:basedOn w:val="PPOBlackBULLETS-L1"/>
    <w:semiHidden/>
    <w:qFormat/>
    <w:pPr>
      <w:ind w:firstLine="0"/>
    </w:pPr>
  </w:style>
  <w:style w:type="paragraph" w:customStyle="1" w:styleId="PPOBlackBULLETS-L2">
    <w:name w:val="(PPO) Black BULLETS - L2"/>
    <w:basedOn w:val="Normal"/>
    <w:semiHidden/>
    <w:qFormat/>
    <w:pPr>
      <w:widowControl w:val="0"/>
      <w:spacing w:after="60" w:line="200" w:lineRule="exact"/>
      <w:ind w:left="1077" w:hanging="357"/>
      <w:jc w:val="both"/>
    </w:pPr>
    <w:rPr>
      <w:rFonts w:ascii="EC Square Sans Cond Pro" w:eastAsia="EC Square Sans Cond Pro Medium" w:hAnsi="EC Square Sans Cond Pro" w:cs="EC Square Sans Cond Pro Medium"/>
      <w:bCs/>
      <w:color w:val="000000" w:themeColor="text1"/>
      <w:sz w:val="18"/>
      <w:szCs w:val="17"/>
    </w:rPr>
  </w:style>
  <w:style w:type="paragraph" w:customStyle="1" w:styleId="PPOBlackNumberinBracketsLIST-L1">
    <w:name w:val="(PPO) Black Number in Brackets LIST - L1"/>
    <w:basedOn w:val="BASE-STYLE-TEXT"/>
    <w:semiHidden/>
    <w:qFormat/>
    <w:pPr>
      <w:numPr>
        <w:numId w:val="30"/>
      </w:numPr>
      <w:spacing w:after="60" w:line="200" w:lineRule="exact"/>
    </w:pPr>
    <w:rPr>
      <w:rFonts w:ascii="EC Square Sans Cond Pro" w:hAnsi="EC Square Sans Cond Pro"/>
      <w:bCs/>
      <w:szCs w:val="18"/>
    </w:rPr>
  </w:style>
  <w:style w:type="paragraph" w:customStyle="1" w:styleId="PPObodyText">
    <w:name w:val="(PPO) bodyText"/>
    <w:basedOn w:val="Normal"/>
    <w:semiHidden/>
    <w:qFormat/>
    <w:pPr>
      <w:jc w:val="both"/>
    </w:pPr>
    <w:rPr>
      <w:rFonts w:ascii="EC Square Sans Cond Pro" w:eastAsia="Times New Roman" w:hAnsi="EC Square Sans Cond Pro" w:cs="EC Square Sans Cond Pro"/>
      <w:color w:val="000000"/>
      <w:sz w:val="18"/>
      <w:szCs w:val="18"/>
    </w:rPr>
  </w:style>
  <w:style w:type="character" w:customStyle="1" w:styleId="PPOChar-Hyperlink">
    <w:name w:val="(PPO) Char - Hyperlink"/>
    <w:uiPriority w:val="1"/>
    <w:semiHidden/>
    <w:qFormat/>
    <w:rPr>
      <w:color w:val="0000FF"/>
    </w:rPr>
  </w:style>
  <w:style w:type="paragraph" w:customStyle="1" w:styleId="PPOExamplesTABLEHeader">
    <w:name w:val="(PPO) Examples TABLE Header"/>
    <w:basedOn w:val="BASE-STYLE-TEXT"/>
    <w:semiHidden/>
    <w:qFormat/>
    <w:pPr>
      <w:spacing w:before="60" w:after="0" w:line="200" w:lineRule="exact"/>
      <w:jc w:val="center"/>
    </w:pPr>
    <w:rPr>
      <w:rFonts w:asciiTheme="minorHAnsi" w:hAnsiTheme="minorHAnsi" w:cstheme="minorBidi"/>
      <w:b/>
      <w:bCs/>
      <w:color w:val="FFFFFF" w:themeColor="background1"/>
      <w:sz w:val="22"/>
      <w:szCs w:val="17"/>
      <w:lang w:eastAsia="en-GB"/>
    </w:rPr>
  </w:style>
  <w:style w:type="paragraph" w:customStyle="1" w:styleId="PPOExamplesTABLEText">
    <w:name w:val="(PPO) Examples TABLE Text"/>
    <w:basedOn w:val="Normal"/>
    <w:semiHidden/>
    <w:qFormat/>
    <w:pPr>
      <w:spacing w:after="0" w:line="160" w:lineRule="exact"/>
    </w:pPr>
    <w:rPr>
      <w:rFonts w:eastAsiaTheme="minorEastAsia"/>
      <w:sz w:val="17"/>
      <w:szCs w:val="17"/>
      <w:lang w:eastAsia="en-GB"/>
    </w:rPr>
  </w:style>
  <w:style w:type="paragraph" w:customStyle="1" w:styleId="PPORunningheader-rightside">
    <w:name w:val="(PPO) Running header - right side"/>
    <w:basedOn w:val="BASE-STYLE-TEXT"/>
    <w:semiHidden/>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semiHidden/>
    <w:qFormat/>
    <w:pPr>
      <w:ind w:right="0" w:firstLine="284"/>
      <w:jc w:val="left"/>
    </w:pPr>
  </w:style>
  <w:style w:type="paragraph" w:customStyle="1" w:styleId="PPOsidebarchartLegends">
    <w:name w:val="(PPO) sidebar chart Legends"/>
    <w:basedOn w:val="BASE-STYLE-TEXT"/>
    <w:semiHidden/>
    <w:qFormat/>
    <w:pPr>
      <w:spacing w:after="100"/>
      <w:ind w:left="397" w:firstLine="720"/>
      <w:jc w:val="left"/>
    </w:pPr>
    <w:rPr>
      <w:rFonts w:asciiTheme="minorHAnsi" w:hAnsiTheme="minorHAnsi" w:cstheme="minorBidi"/>
      <w:bCs/>
      <w:color w:val="auto"/>
      <w:sz w:val="16"/>
      <w:szCs w:val="14"/>
    </w:rPr>
  </w:style>
  <w:style w:type="paragraph" w:customStyle="1" w:styleId="PPOsidebartext">
    <w:name w:val="(PPO) sidebar text"/>
    <w:basedOn w:val="BASE-STYLE-TEXT"/>
    <w:semiHidden/>
    <w:qFormat/>
    <w:pPr>
      <w:spacing w:after="0"/>
      <w:jc w:val="right"/>
    </w:pPr>
    <w:rPr>
      <w:rFonts w:ascii="EC Square Sans Cond Pro" w:hAnsi="EC Square Sans Cond Pro"/>
      <w:bCs/>
      <w:szCs w:val="18"/>
    </w:rPr>
  </w:style>
  <w:style w:type="paragraph" w:customStyle="1" w:styleId="PPOsidebarchartPlaceholder">
    <w:name w:val="(PPO) sidebar chart Placeholder"/>
    <w:basedOn w:val="PPOsidebartext"/>
    <w:semiHidden/>
    <w:qFormat/>
    <w:pPr>
      <w:spacing w:before="160" w:after="160"/>
      <w:ind w:left="284"/>
    </w:pPr>
    <w:rPr>
      <w:noProof/>
      <w:lang w:eastAsia="en-GB"/>
    </w:rPr>
  </w:style>
  <w:style w:type="paragraph" w:customStyle="1" w:styleId="PPOsidebarLegalBasisBOXHeading">
    <w:name w:val="(PPO) sidebar Legal Basis BOX Heading"/>
    <w:basedOn w:val="BASE-STYLE-TEXT"/>
    <w:semiHidden/>
    <w:qFormat/>
    <w:pPr>
      <w:spacing w:after="160"/>
      <w:jc w:val="right"/>
    </w:pPr>
    <w:rPr>
      <w:rFonts w:cstheme="minorBidi"/>
      <w:b/>
      <w:bCs/>
      <w:color w:val="FFFFFF" w:themeColor="background1"/>
      <w:sz w:val="16"/>
    </w:rPr>
  </w:style>
  <w:style w:type="paragraph" w:customStyle="1" w:styleId="PPOsidebarLegalBasisBOXtext">
    <w:name w:val="(PPO) sidebar Legal Basis BOX text"/>
    <w:basedOn w:val="BASE-STYLE-TEXT"/>
    <w:semiHidden/>
    <w:qFormat/>
    <w:pPr>
      <w:spacing w:after="0"/>
      <w:jc w:val="right"/>
    </w:pPr>
    <w:rPr>
      <w:rFonts w:cstheme="minorBidi"/>
      <w:bCs/>
      <w:color w:val="FFFFFF" w:themeColor="background1"/>
      <w:sz w:val="14"/>
      <w:szCs w:val="14"/>
    </w:rPr>
  </w:style>
  <w:style w:type="paragraph" w:customStyle="1" w:styleId="PPOsidebarTableplaceholder">
    <w:name w:val="(PPO) sidebar Table placeholder"/>
    <w:basedOn w:val="BASE-STYLE-TEXT"/>
    <w:semiHidden/>
    <w:qFormat/>
    <w:pPr>
      <w:spacing w:line="276" w:lineRule="auto"/>
      <w:jc w:val="left"/>
    </w:pPr>
    <w:rPr>
      <w:rFonts w:asciiTheme="minorHAnsi" w:hAnsiTheme="minorHAnsi" w:cstheme="minorBidi"/>
      <w:bCs/>
      <w:color w:val="auto"/>
      <w:szCs w:val="22"/>
    </w:rPr>
  </w:style>
  <w:style w:type="paragraph" w:customStyle="1" w:styleId="PPOsidebarTabletext">
    <w:name w:val="(PPO) sidebar Table text"/>
    <w:basedOn w:val="BASE-STYLE-TEXT"/>
    <w:semiHidden/>
    <w:qFormat/>
    <w:pPr>
      <w:widowControl w:val="0"/>
      <w:spacing w:after="100" w:afterAutospacing="1" w:line="160" w:lineRule="exact"/>
      <w:jc w:val="center"/>
    </w:pPr>
    <w:rPr>
      <w:rFonts w:eastAsia="EC Square Sans Cond Pro Medium" w:cs="EC Square Sans Cond Pro Medium"/>
      <w:szCs w:val="15"/>
    </w:rPr>
  </w:style>
  <w:style w:type="paragraph" w:customStyle="1" w:styleId="PPOsidebarTabletext-rightaligned">
    <w:name w:val="(PPO) sidebar Table text - right aligned"/>
    <w:basedOn w:val="PPOsidebarTabletext"/>
    <w:semiHidden/>
    <w:qFormat/>
    <w:pPr>
      <w:jc w:val="right"/>
    </w:pPr>
  </w:style>
  <w:style w:type="paragraph" w:customStyle="1" w:styleId="PPOSpecificobjectivesBOX-Subheading">
    <w:name w:val="(PPO) Specific objectives BOX - Subheading"/>
    <w:basedOn w:val="BASE-STYLE-TEXT"/>
    <w:semiHidden/>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semiHidden/>
    <w:qFormat/>
    <w:pPr>
      <w:autoSpaceDE w:val="0"/>
      <w:autoSpaceDN w:val="0"/>
      <w:adjustRightInd w:val="0"/>
      <w:spacing w:before="160" w:after="120" w:line="181" w:lineRule="atLeast"/>
    </w:pPr>
    <w:rPr>
      <w:b/>
      <w:color w:val="28296E"/>
      <w:sz w:val="21"/>
    </w:rPr>
  </w:style>
  <w:style w:type="paragraph" w:customStyle="1" w:styleId="PPOTitle3-nospacebefore">
    <w:name w:val="(PPO) Title 3 - no space before"/>
    <w:basedOn w:val="PPOTitle3"/>
    <w:semiHidden/>
    <w:qFormat/>
    <w:pPr>
      <w:spacing w:before="0"/>
    </w:pPr>
  </w:style>
  <w:style w:type="paragraph" w:customStyle="1" w:styleId="PPOTitle3-pagebreakbefore">
    <w:name w:val="(PPO) Title 3 - page break before"/>
    <w:basedOn w:val="PPOTitle3"/>
    <w:semiHidden/>
    <w:qFormat/>
    <w:pPr>
      <w:pageBreakBefore/>
    </w:pPr>
  </w:style>
  <w:style w:type="paragraph" w:customStyle="1" w:styleId="PPOTitle4-BlackBold9pt">
    <w:name w:val="(PPO) Title 4 - Black Bold 9pt"/>
    <w:basedOn w:val="BASE-STYLE-TEXT"/>
    <w:semiHidden/>
    <w:qFormat/>
    <w:pPr>
      <w:spacing w:before="160" w:after="60"/>
    </w:pPr>
    <w:rPr>
      <w:rFonts w:ascii="EC Square Sans Cond Pro" w:hAnsi="EC Square Sans Cond Pro"/>
      <w:b/>
      <w:szCs w:val="18"/>
    </w:rPr>
  </w:style>
  <w:style w:type="paragraph" w:customStyle="1" w:styleId="PPOVotedbudgetTABLEHeaderLeftcol">
    <w:name w:val="(PPO) Voted budget TABLE Header Left col"/>
    <w:basedOn w:val="BASE-STYLE-TEXT"/>
    <w:semiHidden/>
    <w:qFormat/>
    <w:pPr>
      <w:framePr w:hSpace="181" w:wrap="around" w:vAnchor="page" w:hAnchor="page" w:x="3448" w:y="13530"/>
      <w:spacing w:after="100" w:afterAutospacing="1"/>
      <w:ind w:left="190" w:right="227"/>
      <w:suppressOverlap/>
      <w:jc w:val="right"/>
    </w:pPr>
    <w:rPr>
      <w:rFonts w:cstheme="minorBidi"/>
      <w:bCs/>
      <w:color w:val="FFFFFF" w:themeColor="background1"/>
      <w:szCs w:val="22"/>
    </w:rPr>
  </w:style>
  <w:style w:type="paragraph" w:customStyle="1" w:styleId="PPOVotedbudgetTABLEHeaderRightcol">
    <w:name w:val="(PPO) Voted budget TABLE Header Right col"/>
    <w:basedOn w:val="PPOVotedbudgetTABLEHeaderLeftcol"/>
    <w:semiHidden/>
    <w:qFormat/>
    <w:pPr>
      <w:framePr w:wrap="around"/>
      <w:ind w:left="227" w:right="0"/>
      <w:jc w:val="left"/>
    </w:pPr>
  </w:style>
  <w:style w:type="paragraph" w:customStyle="1" w:styleId="PPO1AsidebarchartCenterText">
    <w:name w:val="(PPO_1A) sidebar chart Center Text"/>
    <w:basedOn w:val="BASE-STYLE-TEXT"/>
    <w:semiHidden/>
    <w:qFormat/>
    <w:pPr>
      <w:spacing w:after="120" w:line="240" w:lineRule="auto"/>
      <w:jc w:val="center"/>
    </w:pPr>
    <w:rPr>
      <w:rFonts w:cstheme="minorBidi"/>
      <w:bCs/>
      <w:color w:val="00ADDC"/>
      <w:sz w:val="22"/>
      <w:szCs w:val="22"/>
    </w:rPr>
  </w:style>
  <w:style w:type="paragraph" w:customStyle="1" w:styleId="PPO1AsidebarTablecaption">
    <w:name w:val="(PPO_1A)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00ADDC"/>
      <w:sz w:val="16"/>
      <w:shd w:val="clear" w:color="auto" w:fill="FFFFFF"/>
    </w:rPr>
  </w:style>
  <w:style w:type="paragraph" w:customStyle="1" w:styleId="PPO1AsidebarTitleBlue">
    <w:name w:val="(PPO_1A) sidebar Title Blue"/>
    <w:basedOn w:val="BASE-STYLE-TEXT"/>
    <w:semiHidden/>
    <w:qFormat/>
    <w:pPr>
      <w:autoSpaceDE w:val="0"/>
      <w:autoSpaceDN w:val="0"/>
      <w:adjustRightInd w:val="0"/>
      <w:spacing w:before="340" w:after="40" w:line="240" w:lineRule="auto"/>
      <w:jc w:val="right"/>
    </w:pPr>
    <w:rPr>
      <w:rFonts w:ascii="EC Square Sans Cond Pro" w:hAnsi="EC Square Sans Cond Pro"/>
      <w:b/>
      <w:color w:val="28296E"/>
      <w:sz w:val="16"/>
    </w:rPr>
  </w:style>
  <w:style w:type="paragraph" w:customStyle="1" w:styleId="PPO1AsidebarTitleLightBlue">
    <w:name w:val="(PPO_1A) sidebar Title Light Blue"/>
    <w:basedOn w:val="BASE-STYLE-TEXT"/>
    <w:semiHidden/>
    <w:qFormat/>
    <w:pPr>
      <w:autoSpaceDE w:val="0"/>
      <w:autoSpaceDN w:val="0"/>
      <w:adjustRightInd w:val="0"/>
      <w:spacing w:before="440" w:after="60" w:line="241" w:lineRule="atLeast"/>
      <w:jc w:val="right"/>
    </w:pPr>
    <w:rPr>
      <w:rFonts w:ascii="EC Square Sans Cond Pro" w:hAnsi="EC Square Sans Cond Pro"/>
      <w:b/>
      <w:color w:val="00ADDC"/>
      <w:sz w:val="21"/>
    </w:rPr>
  </w:style>
  <w:style w:type="paragraph" w:customStyle="1" w:styleId="PPO1ASpecificobjectivesBOX-BulletLightBlue">
    <w:name w:val="(PPO_1A) Specific objectives BOX - Bullet Light Blue"/>
    <w:basedOn w:val="BASE-STYLE-TEXT"/>
    <w:semiHidden/>
    <w:qFormat/>
    <w:pPr>
      <w:numPr>
        <w:numId w:val="31"/>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semiHidden/>
    <w:qFormat/>
    <w:pPr>
      <w:spacing w:before="140" w:after="120"/>
      <w:ind w:left="-119" w:right="-16" w:firstLine="9"/>
      <w:jc w:val="left"/>
    </w:pPr>
    <w:rPr>
      <w:rFonts w:ascii="EC Square Sans Cond Pro" w:hAnsi="EC Square Sans Cond Pro"/>
      <w:b/>
      <w:color w:val="00ADDC"/>
      <w:sz w:val="21"/>
    </w:rPr>
  </w:style>
  <w:style w:type="numbering" w:customStyle="1" w:styleId="PPO1ASpecificObjectivesBulletsLIST">
    <w:name w:val="(PPO_1A) Specific Objectives Bullets (LIST)"/>
    <w:uiPriority w:val="99"/>
    <w:pPr>
      <w:numPr>
        <w:numId w:val="31"/>
      </w:numPr>
    </w:pPr>
  </w:style>
  <w:style w:type="paragraph" w:customStyle="1" w:styleId="PPO1ATitle1">
    <w:name w:val="(PPO_1A) Title 1"/>
    <w:basedOn w:val="BASE-STYLE-HEADINGS"/>
    <w:semiHidden/>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semiHidden/>
    <w:qFormat/>
    <w:pPr>
      <w:spacing w:before="60" w:after="60" w:line="240" w:lineRule="auto"/>
      <w:jc w:val="left"/>
    </w:pPr>
    <w:rPr>
      <w:rFonts w:cstheme="minorBidi"/>
      <w:bCs/>
      <w:color w:val="00ADDC"/>
      <w:sz w:val="22"/>
      <w:szCs w:val="22"/>
    </w:rPr>
  </w:style>
  <w:style w:type="paragraph" w:customStyle="1" w:styleId="PPO1AVotedbudgetTABLEtextBlue">
    <w:name w:val="(PPO_1A) Voted budget TABLE text 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0070C0"/>
      <w:sz w:val="22"/>
      <w:szCs w:val="22"/>
    </w:rPr>
  </w:style>
  <w:style w:type="paragraph" w:customStyle="1" w:styleId="PPO1BsidebarchartCenterText">
    <w:name w:val="(PPO_1B) sidebar chart Center Text"/>
    <w:basedOn w:val="BASE-STYLE-TEXT"/>
    <w:semiHidden/>
    <w:qFormat/>
    <w:pPr>
      <w:spacing w:after="120" w:line="240" w:lineRule="auto"/>
      <w:jc w:val="center"/>
    </w:pPr>
    <w:rPr>
      <w:rFonts w:cstheme="minorBidi"/>
      <w:bCs/>
      <w:color w:val="18BAA8"/>
      <w:sz w:val="22"/>
      <w:szCs w:val="22"/>
    </w:rPr>
  </w:style>
  <w:style w:type="paragraph" w:customStyle="1" w:styleId="PPO1BsidebarTablecaption">
    <w:name w:val="(PPO_1B)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18BAA8"/>
      <w:sz w:val="16"/>
      <w:shd w:val="clear" w:color="auto" w:fill="FFFFFF"/>
    </w:rPr>
  </w:style>
  <w:style w:type="paragraph" w:customStyle="1" w:styleId="PPO1BsidebarTitleDarkGreen">
    <w:name w:val="(PPO_1B) sidebar Title DarkGreen"/>
    <w:basedOn w:val="BASE-STYLE-TEXT"/>
    <w:semiHidden/>
    <w:qFormat/>
    <w:pPr>
      <w:autoSpaceDE w:val="0"/>
      <w:autoSpaceDN w:val="0"/>
      <w:adjustRightInd w:val="0"/>
      <w:spacing w:before="340" w:after="40" w:line="240" w:lineRule="auto"/>
      <w:jc w:val="right"/>
    </w:pPr>
    <w:rPr>
      <w:rFonts w:ascii="EC Square Sans Cond Pro" w:hAnsi="EC Square Sans Cond Pro"/>
      <w:b/>
      <w:color w:val="128C7D"/>
      <w:sz w:val="16"/>
    </w:rPr>
  </w:style>
  <w:style w:type="paragraph" w:customStyle="1" w:styleId="PPO1BsidebarTitleTurquoise">
    <w:name w:val="(PPO_1B) sidebar Title Turquoise"/>
    <w:basedOn w:val="BASE-STYLE-TEXT"/>
    <w:semiHidden/>
    <w:qFormat/>
    <w:pPr>
      <w:autoSpaceDE w:val="0"/>
      <w:autoSpaceDN w:val="0"/>
      <w:adjustRightInd w:val="0"/>
      <w:spacing w:before="440" w:after="60" w:line="241" w:lineRule="atLeast"/>
      <w:jc w:val="right"/>
    </w:pPr>
    <w:rPr>
      <w:rFonts w:ascii="EC Square Sans Cond Pro" w:hAnsi="EC Square Sans Cond Pro"/>
      <w:b/>
      <w:color w:val="18BAA8"/>
      <w:sz w:val="21"/>
    </w:rPr>
  </w:style>
  <w:style w:type="paragraph" w:customStyle="1" w:styleId="PPO1BSpecificobjectivesBOX-BulletTurquoise">
    <w:name w:val="(PPO_1B) Specific objectives BOX - Bullet Turquoise"/>
    <w:basedOn w:val="BASE-STYLE-TEXT"/>
    <w:semiHidden/>
    <w:qFormat/>
    <w:pPr>
      <w:numPr>
        <w:numId w:val="32"/>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semiHidden/>
    <w:qFormat/>
    <w:pPr>
      <w:spacing w:before="140" w:after="120"/>
      <w:ind w:left="-119" w:right="-16" w:firstLine="9"/>
      <w:jc w:val="left"/>
    </w:pPr>
    <w:rPr>
      <w:rFonts w:ascii="EC Square Sans Cond Pro" w:hAnsi="EC Square Sans Cond Pro"/>
      <w:b/>
      <w:color w:val="18BAA8"/>
      <w:sz w:val="21"/>
    </w:rPr>
  </w:style>
  <w:style w:type="numbering" w:customStyle="1" w:styleId="PPO1BSpecificObjectivesBulletsLIST">
    <w:name w:val="(PPO_1B) Specific Objectives Bullets (LIST)"/>
    <w:uiPriority w:val="99"/>
    <w:pPr>
      <w:numPr>
        <w:numId w:val="32"/>
      </w:numPr>
    </w:pPr>
  </w:style>
  <w:style w:type="paragraph" w:customStyle="1" w:styleId="PPO1BTitle1">
    <w:name w:val="(PPO_1B) Title 1"/>
    <w:basedOn w:val="BASE-STYLE-HEADINGS"/>
    <w:semiHidden/>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semiHidden/>
    <w:qFormat/>
    <w:pPr>
      <w:spacing w:before="60" w:after="60" w:line="240" w:lineRule="auto"/>
      <w:jc w:val="left"/>
    </w:pPr>
    <w:rPr>
      <w:rFonts w:cstheme="minorBidi"/>
      <w:bCs/>
      <w:color w:val="18BAA8"/>
      <w:sz w:val="22"/>
      <w:szCs w:val="22"/>
    </w:rPr>
  </w:style>
  <w:style w:type="paragraph" w:customStyle="1" w:styleId="PPO1BVotedbudgetTABLEtextTurquoise">
    <w:name w:val="(PPO_1B) Voted budget TABLE text Turquois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18BAA8"/>
      <w:sz w:val="22"/>
      <w:szCs w:val="22"/>
    </w:rPr>
  </w:style>
  <w:style w:type="paragraph" w:customStyle="1" w:styleId="PPO2sidebarchartCenterText">
    <w:name w:val="(PPO_2) sidebar chart Center Text"/>
    <w:basedOn w:val="BASE-STYLE-TEXT"/>
    <w:semiHidden/>
    <w:qFormat/>
    <w:pPr>
      <w:spacing w:after="120" w:line="240" w:lineRule="auto"/>
      <w:jc w:val="center"/>
    </w:pPr>
    <w:rPr>
      <w:rFonts w:cstheme="minorBidi"/>
      <w:bCs/>
      <w:color w:val="9ACA3C"/>
      <w:sz w:val="22"/>
      <w:szCs w:val="22"/>
    </w:rPr>
  </w:style>
  <w:style w:type="paragraph" w:customStyle="1" w:styleId="PPO2sidebarTablecaption">
    <w:name w:val="(PPO_2)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9ACA3C"/>
      <w:sz w:val="16"/>
      <w:shd w:val="clear" w:color="auto" w:fill="FFFFFF"/>
    </w:rPr>
  </w:style>
  <w:style w:type="paragraph" w:customStyle="1" w:styleId="PPO2sidebarTitleOlive">
    <w:name w:val="(PPO_2) sidebar Title Olive"/>
    <w:basedOn w:val="BASE-STYLE-TEXT"/>
    <w:semiHidden/>
    <w:qFormat/>
    <w:pPr>
      <w:autoSpaceDE w:val="0"/>
      <w:autoSpaceDN w:val="0"/>
      <w:adjustRightInd w:val="0"/>
      <w:spacing w:before="340" w:after="40" w:line="240" w:lineRule="auto"/>
      <w:jc w:val="right"/>
    </w:pPr>
    <w:rPr>
      <w:rFonts w:ascii="EC Square Sans Cond Pro" w:hAnsi="EC Square Sans Cond Pro"/>
      <w:b/>
      <w:color w:val="668725"/>
      <w:sz w:val="16"/>
    </w:rPr>
  </w:style>
  <w:style w:type="paragraph" w:customStyle="1" w:styleId="PPO2sidebarTitleSpringGreen">
    <w:name w:val="(PPO_2) sidebar Title SpringGreen"/>
    <w:basedOn w:val="BASE-STYLE-TEXT"/>
    <w:semiHidden/>
    <w:qFormat/>
    <w:pPr>
      <w:autoSpaceDE w:val="0"/>
      <w:autoSpaceDN w:val="0"/>
      <w:adjustRightInd w:val="0"/>
      <w:spacing w:before="440" w:after="60" w:line="241" w:lineRule="atLeast"/>
      <w:jc w:val="right"/>
    </w:pPr>
    <w:rPr>
      <w:rFonts w:ascii="EC Square Sans Cond Pro" w:hAnsi="EC Square Sans Cond Pro"/>
      <w:b/>
      <w:color w:val="9ACA3C"/>
      <w:sz w:val="21"/>
    </w:rPr>
  </w:style>
  <w:style w:type="paragraph" w:customStyle="1" w:styleId="PPO2SpecificobjectivesBOX-BulletSpringGreen">
    <w:name w:val="(PPO_2) Specific objectives BOX - Bullet SpringGreen"/>
    <w:basedOn w:val="BASE-STYLE-TEXT"/>
    <w:semiHidden/>
    <w:qFormat/>
    <w:pPr>
      <w:numPr>
        <w:numId w:val="33"/>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semiHidden/>
    <w:qFormat/>
    <w:pPr>
      <w:spacing w:before="140" w:after="120"/>
      <w:ind w:left="-119" w:right="-16" w:firstLine="9"/>
      <w:jc w:val="left"/>
    </w:pPr>
    <w:rPr>
      <w:rFonts w:ascii="EC Square Sans Cond Pro" w:hAnsi="EC Square Sans Cond Pro"/>
      <w:b/>
      <w:color w:val="9ACA3C"/>
      <w:sz w:val="21"/>
    </w:rPr>
  </w:style>
  <w:style w:type="numbering" w:customStyle="1" w:styleId="PPO2SpecificObjectivesBulletsLIST">
    <w:name w:val="(PPO_2) Specific Objectives Bullets (LIST)"/>
    <w:uiPriority w:val="99"/>
    <w:pPr>
      <w:numPr>
        <w:numId w:val="33"/>
      </w:numPr>
    </w:pPr>
  </w:style>
  <w:style w:type="paragraph" w:customStyle="1" w:styleId="PPO2Title1">
    <w:name w:val="(PPO_2) Title 1"/>
    <w:basedOn w:val="BASE-STYLE-HEADINGS"/>
    <w:semiHidden/>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semiHidden/>
    <w:qFormat/>
    <w:pPr>
      <w:spacing w:before="60" w:after="60" w:line="240" w:lineRule="auto"/>
      <w:jc w:val="left"/>
    </w:pPr>
    <w:rPr>
      <w:rFonts w:cstheme="minorBidi"/>
      <w:bCs/>
      <w:color w:val="9ACA3C"/>
      <w:sz w:val="22"/>
      <w:szCs w:val="22"/>
    </w:rPr>
  </w:style>
  <w:style w:type="paragraph" w:customStyle="1" w:styleId="PPO2VotedbudgetTABLEtextSpringGreen">
    <w:name w:val="(PPO_2) Voted budget TABLE text SpringGreen"/>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9ACA3C"/>
      <w:sz w:val="22"/>
      <w:szCs w:val="22"/>
    </w:rPr>
  </w:style>
  <w:style w:type="paragraph" w:customStyle="1" w:styleId="PPO3sidebarchartCenterText">
    <w:name w:val="(PPO_3) sidebar chart Center Text"/>
    <w:basedOn w:val="BASE-STYLE-TEXT"/>
    <w:semiHidden/>
    <w:qFormat/>
    <w:pPr>
      <w:spacing w:after="120" w:line="240" w:lineRule="auto"/>
      <w:jc w:val="center"/>
    </w:pPr>
    <w:rPr>
      <w:rFonts w:cstheme="minorBidi"/>
      <w:bCs/>
      <w:color w:val="585EAA"/>
      <w:sz w:val="22"/>
      <w:szCs w:val="22"/>
    </w:rPr>
  </w:style>
  <w:style w:type="paragraph" w:customStyle="1" w:styleId="PPO3sidebarTablecaption">
    <w:name w:val="(PPO_3)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585EAA"/>
      <w:sz w:val="16"/>
      <w:shd w:val="clear" w:color="auto" w:fill="FFFFFF"/>
    </w:rPr>
  </w:style>
  <w:style w:type="paragraph" w:customStyle="1" w:styleId="PPO3sidebarTitleDarkBlue">
    <w:name w:val="(PPO_3) sidebar Title DarkBlue"/>
    <w:basedOn w:val="BASE-STYLE-TEXT"/>
    <w:semiHidden/>
    <w:qFormat/>
    <w:pPr>
      <w:autoSpaceDE w:val="0"/>
      <w:autoSpaceDN w:val="0"/>
      <w:adjustRightInd w:val="0"/>
      <w:spacing w:before="340" w:after="40" w:line="240" w:lineRule="auto"/>
      <w:jc w:val="right"/>
    </w:pPr>
    <w:rPr>
      <w:rFonts w:ascii="EC Square Sans Cond Pro" w:hAnsi="EC Square Sans Cond Pro"/>
      <w:b/>
      <w:color w:val="333663"/>
      <w:sz w:val="16"/>
    </w:rPr>
  </w:style>
  <w:style w:type="paragraph" w:customStyle="1" w:styleId="PPO3sidebarTitlePurple">
    <w:name w:val="(PPO_3) sidebar Title Purple"/>
    <w:basedOn w:val="BASE-STYLE-TEXT"/>
    <w:semiHidden/>
    <w:qFormat/>
    <w:pPr>
      <w:autoSpaceDE w:val="0"/>
      <w:autoSpaceDN w:val="0"/>
      <w:adjustRightInd w:val="0"/>
      <w:spacing w:before="440" w:after="60" w:line="241" w:lineRule="atLeast"/>
      <w:jc w:val="right"/>
    </w:pPr>
    <w:rPr>
      <w:rFonts w:ascii="EC Square Sans Cond Pro" w:hAnsi="EC Square Sans Cond Pro"/>
      <w:b/>
      <w:color w:val="585EAA"/>
      <w:sz w:val="21"/>
    </w:rPr>
  </w:style>
  <w:style w:type="paragraph" w:customStyle="1" w:styleId="PPO3SpecificobjectivesBOX-BulletPurple">
    <w:name w:val="(PPO_3) Specific objectives BOX - Bullet Purple"/>
    <w:basedOn w:val="BASE-STYLE-TEXT"/>
    <w:semiHidden/>
    <w:qFormat/>
    <w:pPr>
      <w:numPr>
        <w:numId w:val="34"/>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semiHidden/>
    <w:qFormat/>
    <w:pPr>
      <w:spacing w:before="140" w:after="120"/>
      <w:ind w:left="-119" w:right="-16" w:firstLine="9"/>
      <w:jc w:val="left"/>
    </w:pPr>
    <w:rPr>
      <w:rFonts w:ascii="EC Square Sans Cond Pro" w:hAnsi="EC Square Sans Cond Pro"/>
      <w:b/>
      <w:color w:val="585EAA"/>
      <w:sz w:val="21"/>
    </w:rPr>
  </w:style>
  <w:style w:type="numbering" w:customStyle="1" w:styleId="PPO3SpecificObjectivesBulletsLIST">
    <w:name w:val="(PPO_3) Specific Objectives Bullets (LIST)"/>
    <w:uiPriority w:val="99"/>
    <w:pPr>
      <w:numPr>
        <w:numId w:val="34"/>
      </w:numPr>
    </w:pPr>
  </w:style>
  <w:style w:type="paragraph" w:customStyle="1" w:styleId="PPO3Title1">
    <w:name w:val="(PPO_3) Title 1"/>
    <w:basedOn w:val="BASE-STYLE-HEADINGS"/>
    <w:semiHidden/>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semiHidden/>
    <w:qFormat/>
    <w:pPr>
      <w:spacing w:before="60" w:after="60" w:line="240" w:lineRule="auto"/>
      <w:jc w:val="left"/>
    </w:pPr>
    <w:rPr>
      <w:rFonts w:cstheme="minorBidi"/>
      <w:bCs/>
      <w:color w:val="585EAA"/>
      <w:sz w:val="22"/>
      <w:szCs w:val="22"/>
    </w:rPr>
  </w:style>
  <w:style w:type="paragraph" w:customStyle="1" w:styleId="PPO3VotedbudgetTABLEtextBlue">
    <w:name w:val="(PPO_3) Voted budget TABLE text 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0070C0"/>
      <w:sz w:val="22"/>
      <w:szCs w:val="22"/>
    </w:rPr>
  </w:style>
  <w:style w:type="paragraph" w:customStyle="1" w:styleId="PPO4sidebarchartCenterText">
    <w:name w:val="(PPO_4) sidebar chart Center Text"/>
    <w:basedOn w:val="BASE-STYLE-TEXT"/>
    <w:semiHidden/>
    <w:qFormat/>
    <w:pPr>
      <w:spacing w:after="120" w:line="240" w:lineRule="auto"/>
      <w:jc w:val="center"/>
    </w:pPr>
    <w:rPr>
      <w:rFonts w:cstheme="minorBidi"/>
      <w:bCs/>
      <w:color w:val="F68A42"/>
      <w:sz w:val="22"/>
      <w:szCs w:val="22"/>
    </w:rPr>
  </w:style>
  <w:style w:type="paragraph" w:customStyle="1" w:styleId="PPO4sidebarTablecaption">
    <w:name w:val="(PPO_4)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F68A42"/>
      <w:sz w:val="16"/>
      <w:shd w:val="clear" w:color="auto" w:fill="FFFFFF"/>
    </w:rPr>
  </w:style>
  <w:style w:type="paragraph" w:customStyle="1" w:styleId="PPO4sidebarTitleBrown">
    <w:name w:val="(PPO_4) sidebar Title Brown"/>
    <w:basedOn w:val="BASE-STYLE-TEXT"/>
    <w:semiHidden/>
    <w:qFormat/>
    <w:pPr>
      <w:autoSpaceDE w:val="0"/>
      <w:autoSpaceDN w:val="0"/>
      <w:adjustRightInd w:val="0"/>
      <w:spacing w:before="340" w:after="40" w:line="240" w:lineRule="auto"/>
      <w:jc w:val="right"/>
    </w:pPr>
    <w:rPr>
      <w:rFonts w:ascii="EC Square Sans Cond Pro" w:hAnsi="EC Square Sans Cond Pro"/>
      <w:b/>
      <w:color w:val="B74F09"/>
      <w:sz w:val="16"/>
    </w:rPr>
  </w:style>
  <w:style w:type="paragraph" w:customStyle="1" w:styleId="PPO4sidebarTitleLightBrown">
    <w:name w:val="(PPO_4) sidebar Title Light Brown"/>
    <w:basedOn w:val="BASE-STYLE-TEXT"/>
    <w:semiHidden/>
    <w:qFormat/>
    <w:pPr>
      <w:autoSpaceDE w:val="0"/>
      <w:autoSpaceDN w:val="0"/>
      <w:adjustRightInd w:val="0"/>
      <w:spacing w:before="440" w:after="60" w:line="241" w:lineRule="atLeast"/>
      <w:jc w:val="right"/>
    </w:pPr>
    <w:rPr>
      <w:rFonts w:ascii="EC Square Sans Cond Pro" w:hAnsi="EC Square Sans Cond Pro"/>
      <w:b/>
      <w:color w:val="F68A42"/>
      <w:sz w:val="21"/>
    </w:rPr>
  </w:style>
  <w:style w:type="paragraph" w:customStyle="1" w:styleId="PPO4SpecificobjectivesBOX-BulletLightBrown">
    <w:name w:val="(PPO_4) Specific objectives BOX - Bullet LightBrown"/>
    <w:basedOn w:val="BASE-STYLE-TEXT"/>
    <w:semiHidden/>
    <w:qFormat/>
    <w:pPr>
      <w:numPr>
        <w:numId w:val="35"/>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semiHidden/>
    <w:qFormat/>
    <w:pPr>
      <w:spacing w:before="140" w:after="120"/>
      <w:ind w:left="-119" w:right="-16" w:firstLine="9"/>
      <w:jc w:val="left"/>
    </w:pPr>
    <w:rPr>
      <w:rFonts w:ascii="EC Square Sans Cond Pro" w:hAnsi="EC Square Sans Cond Pro"/>
      <w:b/>
      <w:color w:val="F68A42"/>
      <w:sz w:val="21"/>
    </w:rPr>
  </w:style>
  <w:style w:type="numbering" w:customStyle="1" w:styleId="PPO4SpecificObjectivesBulletsLIST">
    <w:name w:val="(PPO_4) Specific Objectives Bullets (LIST)"/>
    <w:uiPriority w:val="99"/>
    <w:pPr>
      <w:numPr>
        <w:numId w:val="35"/>
      </w:numPr>
    </w:pPr>
  </w:style>
  <w:style w:type="paragraph" w:customStyle="1" w:styleId="PPO4Title1">
    <w:name w:val="(PPO_4) Title 1"/>
    <w:basedOn w:val="BASE-STYLE-HEADINGS"/>
    <w:semiHidden/>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semiHidden/>
    <w:qFormat/>
    <w:pPr>
      <w:spacing w:before="60" w:after="60" w:line="240" w:lineRule="auto"/>
      <w:jc w:val="left"/>
    </w:pPr>
    <w:rPr>
      <w:rFonts w:cstheme="minorBidi"/>
      <w:bCs/>
      <w:color w:val="F68A42"/>
      <w:sz w:val="22"/>
      <w:szCs w:val="22"/>
    </w:rPr>
  </w:style>
  <w:style w:type="paragraph" w:customStyle="1" w:styleId="PPO4VotedbudgetTABLEtextLightBrown">
    <w:name w:val="(PPO_4) Voted budget TABLE text Light Brown"/>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F68A42"/>
      <w:sz w:val="22"/>
      <w:szCs w:val="22"/>
    </w:rPr>
  </w:style>
  <w:style w:type="paragraph" w:customStyle="1" w:styleId="PPOSIsidebarchartCenterText">
    <w:name w:val="(PPO_SI) sidebar chart Center Text"/>
    <w:basedOn w:val="BASE-STYLE-TEXT"/>
    <w:semiHidden/>
    <w:qFormat/>
    <w:pPr>
      <w:spacing w:after="120" w:line="240" w:lineRule="auto"/>
      <w:jc w:val="center"/>
    </w:pPr>
    <w:rPr>
      <w:rFonts w:cstheme="minorBidi"/>
      <w:bCs/>
      <w:color w:val="4BACC6"/>
      <w:sz w:val="22"/>
      <w:szCs w:val="22"/>
    </w:rPr>
  </w:style>
  <w:style w:type="paragraph" w:customStyle="1" w:styleId="PPOSIsidebarTablecaption">
    <w:name w:val="(PPO_SI)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4BACC6"/>
      <w:sz w:val="16"/>
      <w:shd w:val="clear" w:color="auto" w:fill="FFFFFF"/>
    </w:rPr>
  </w:style>
  <w:style w:type="paragraph" w:customStyle="1" w:styleId="PPOSIsidebarTitleElectricBlue">
    <w:name w:val="(PPO_SI) sidebar Title ElectricBlue"/>
    <w:basedOn w:val="BASE-STYLE-TEXT"/>
    <w:semiHidden/>
    <w:qFormat/>
    <w:pPr>
      <w:autoSpaceDE w:val="0"/>
      <w:autoSpaceDN w:val="0"/>
      <w:adjustRightInd w:val="0"/>
      <w:spacing w:before="440" w:after="60" w:line="241" w:lineRule="atLeast"/>
      <w:jc w:val="right"/>
    </w:pPr>
    <w:rPr>
      <w:rFonts w:ascii="EC Square Sans Cond Pro" w:hAnsi="EC Square Sans Cond Pro"/>
      <w:b/>
      <w:color w:val="4BACC6"/>
      <w:sz w:val="21"/>
    </w:rPr>
  </w:style>
  <w:style w:type="paragraph" w:customStyle="1" w:styleId="PPOSIsidebarTitlePeacockBlue">
    <w:name w:val="(PPO_SI) sidebar Title PeacockBlue"/>
    <w:basedOn w:val="BASE-STYLE-TEXT"/>
    <w:semiHidden/>
    <w:qFormat/>
    <w:pPr>
      <w:autoSpaceDE w:val="0"/>
      <w:autoSpaceDN w:val="0"/>
      <w:adjustRightInd w:val="0"/>
      <w:spacing w:before="340" w:after="40" w:line="240" w:lineRule="auto"/>
      <w:jc w:val="right"/>
    </w:pPr>
    <w:rPr>
      <w:rFonts w:ascii="EC Square Sans Cond Pro" w:hAnsi="EC Square Sans Cond Pro"/>
      <w:b/>
      <w:color w:val="215968"/>
      <w:sz w:val="16"/>
    </w:rPr>
  </w:style>
  <w:style w:type="paragraph" w:customStyle="1" w:styleId="PPOSISpecificobjectivesBOX-BulletElectricBlue">
    <w:name w:val="(PPO_SI) Specific objectives BOX - Bullet ElectricBlue"/>
    <w:basedOn w:val="BASE-STYLE-TEXT"/>
    <w:semiHidden/>
    <w:qFormat/>
    <w:pPr>
      <w:numPr>
        <w:numId w:val="36"/>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semiHidden/>
    <w:qFormat/>
    <w:pPr>
      <w:spacing w:before="140" w:after="120"/>
      <w:ind w:left="-119" w:right="-16" w:firstLine="9"/>
      <w:jc w:val="left"/>
    </w:pPr>
    <w:rPr>
      <w:rFonts w:ascii="EC Square Sans Cond Pro" w:hAnsi="EC Square Sans Cond Pro"/>
      <w:b/>
      <w:color w:val="4BACC6"/>
      <w:sz w:val="21"/>
    </w:rPr>
  </w:style>
  <w:style w:type="numbering" w:customStyle="1" w:styleId="PPOSISpecificObjectivesBulletsLIST">
    <w:name w:val="(PPO_SI) Specific Objectives Bullets (LIST)"/>
    <w:uiPriority w:val="99"/>
    <w:pPr>
      <w:numPr>
        <w:numId w:val="36"/>
      </w:numPr>
    </w:pPr>
  </w:style>
  <w:style w:type="paragraph" w:customStyle="1" w:styleId="PPOSITitle1">
    <w:name w:val="(PPO_SI) Title 1"/>
    <w:basedOn w:val="BASE-STYLE-HEADINGS"/>
    <w:semiHidden/>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semiHidden/>
    <w:qFormat/>
    <w:pPr>
      <w:spacing w:before="60" w:after="60" w:line="240" w:lineRule="auto"/>
      <w:jc w:val="left"/>
    </w:pPr>
    <w:rPr>
      <w:rFonts w:cstheme="minorBidi"/>
      <w:bCs/>
      <w:color w:val="4BACC6"/>
      <w:sz w:val="22"/>
      <w:szCs w:val="22"/>
    </w:rPr>
  </w:style>
  <w:style w:type="paragraph" w:customStyle="1" w:styleId="PPOSIVotedbudgetTABLEElectricBlue">
    <w:name w:val="(PPO_SI) Voted budget TABLE Electric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color w:val="000000"/>
      <w:sz w:val="24"/>
      <w:szCs w:val="24"/>
    </w:rPr>
  </w:style>
  <w:style w:type="paragraph" w:customStyle="1" w:styleId="AMPRAnnexesTITLE3-Numbered">
    <w:name w:val="(AMPR_Annexes) TITLE 3 - Numbered"/>
    <w:basedOn w:val="BASE-STYLE-HEADINGS"/>
    <w:next w:val="AMPRBodyText"/>
    <w:qFormat/>
    <w:pPr>
      <w:keepNext/>
      <w:keepLines/>
      <w:numPr>
        <w:numId w:val="38"/>
      </w:numPr>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Numbered">
    <w:name w:val="(AMPR_Annexes) TITLE 4 - Numbered"/>
    <w:basedOn w:val="BASE-STYLE-HEADINGS"/>
    <w:next w:val="AMPRBodyText"/>
    <w:qFormat/>
    <w:pPr>
      <w:keepNext/>
      <w:keepLines/>
      <w:numPr>
        <w:ilvl w:val="1"/>
        <w:numId w:val="38"/>
      </w:numPr>
      <w:spacing w:before="360" w:after="240" w:line="240" w:lineRule="auto"/>
      <w:jc w:val="left"/>
      <w:outlineLvl w:val="2"/>
    </w:pPr>
    <w:rPr>
      <w:rFonts w:eastAsiaTheme="minorHAnsi"/>
      <w:b/>
      <w:color w:val="5B9BD5" w:themeColor="accent1"/>
      <w:sz w:val="28"/>
      <w:szCs w:val="22"/>
    </w:rPr>
  </w:style>
  <w:style w:type="paragraph" w:customStyle="1" w:styleId="AMPRAnnexesTITLE5">
    <w:name w:val="(AMPR_Annexes) TITLE 5"/>
    <w:basedOn w:val="BASE-STYLE-HEADINGS"/>
    <w:next w:val="AMPRBodyText"/>
    <w:qFormat/>
    <w:pPr>
      <w:keepNext/>
      <w:keepLines/>
      <w:spacing w:before="240" w:after="240" w:line="240" w:lineRule="auto"/>
      <w:ind w:left="340"/>
      <w:jc w:val="left"/>
    </w:pPr>
    <w:rPr>
      <w:rFonts w:eastAsiaTheme="minorHAnsi"/>
      <w:b/>
      <w:color w:val="FFC000" w:themeColor="accent4"/>
      <w:sz w:val="24"/>
      <w:szCs w:val="22"/>
    </w:rPr>
  </w:style>
  <w:style w:type="paragraph" w:customStyle="1" w:styleId="AMPRTABLEA-HEADERText-WHITE">
    <w:name w:val="(AMPR) TABLE A - HEADER Text - WHITE"/>
    <w:basedOn w:val="BASE-STYLE-TEXT"/>
    <w:qFormat/>
    <w:pPr>
      <w:spacing w:before="60" w:after="60" w:line="240" w:lineRule="auto"/>
      <w:jc w:val="center"/>
    </w:pPr>
    <w:rPr>
      <w:rFonts w:cs="Arial"/>
      <w:b/>
      <w:bCs/>
      <w:color w:val="FFFFFF"/>
      <w:szCs w:val="16"/>
      <w:lang w:eastAsia="en-US"/>
    </w:rPr>
  </w:style>
  <w:style w:type="table" w:customStyle="1" w:styleId="AMPRTABLEA-Template">
    <w:name w:val="(AMPR) TABLE A - Template"/>
    <w:basedOn w:val="TableNormal"/>
    <w:uiPriority w:val="99"/>
    <w:pPr>
      <w:keepLines/>
      <w:spacing w:before="60" w:after="60" w:line="240" w:lineRule="auto"/>
      <w:jc w:val="right"/>
    </w:pPr>
    <w:rPr>
      <w:rFonts w:ascii="EC Square Sans Pro" w:hAnsi="EC Square Sans Pro"/>
      <w:sz w:val="18"/>
      <w:lang w:val="fr-BE"/>
    </w:rPr>
    <w:tblPr>
      <w:tblInd w:w="108" w:type="dxa"/>
      <w:tblBorders>
        <w:bottom w:val="single" w:sz="4" w:space="0" w:color="F68A42"/>
        <w:insideH w:val="single" w:sz="4" w:space="0" w:color="F68A42"/>
        <w:insideV w:val="single" w:sz="4" w:space="0" w:color="F68A42"/>
      </w:tblBorders>
    </w:tblPr>
    <w:trPr>
      <w:cantSplit/>
    </w:trPr>
    <w:tblStylePr w:type="firstRow">
      <w:pPr>
        <w:wordWrap/>
        <w:spacing w:beforeLines="60" w:before="60" w:beforeAutospacing="0" w:afterLines="60" w:after="60" w:afterAutospacing="0" w:line="240" w:lineRule="auto"/>
        <w:jc w:val="center"/>
        <w:outlineLvl w:val="9"/>
      </w:pPr>
      <w:rPr>
        <w:rFonts w:ascii="EC Square Sans Pro" w:hAnsi="EC Square Sans Pro"/>
        <w:b w:val="0"/>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203F79"/>
        <w:vAlign w:val="center"/>
      </w:tcPr>
    </w:tblStylePr>
    <w:tblStylePr w:type="lastRow">
      <w:rPr>
        <w:b w:val="0"/>
        <w:i w:val="0"/>
      </w:rPr>
      <w:tblPr/>
      <w:tcPr>
        <w:shd w:val="clear" w:color="auto" w:fill="DEEAF6" w:themeFill="accent1" w:themeFillTint="33"/>
      </w:tcPr>
    </w:tblStylePr>
    <w:tblStylePr w:type="firstCol">
      <w:pPr>
        <w:wordWrap/>
        <w:jc w:val="left"/>
      </w:pPr>
    </w:tblStylePr>
  </w:style>
  <w:style w:type="paragraph" w:customStyle="1" w:styleId="AMPRTABLEA-TextJUSTIFIED-BLACK">
    <w:name w:val="(AMPR) TABLE A - Text JUSTIFIED - BLACK"/>
    <w:basedOn w:val="BASE-STYLE-TEXT"/>
    <w:qFormat/>
    <w:pPr>
      <w:spacing w:before="60" w:after="60" w:line="240" w:lineRule="auto"/>
    </w:pPr>
    <w:rPr>
      <w:rFonts w:asciiTheme="minorHAnsi" w:hAnsiTheme="minorHAnsi" w:cs="Arial"/>
      <w:color w:val="000000"/>
      <w:szCs w:val="18"/>
      <w:lang w:eastAsia="en-US"/>
    </w:rPr>
  </w:style>
  <w:style w:type="paragraph" w:customStyle="1" w:styleId="AMPRTABLEA-TextLEFTalligned-BLACK">
    <w:name w:val="(AMPR) TABLE A - Text LEFT_alligned - BLACK"/>
    <w:basedOn w:val="BASE-STYLE-TEXT"/>
    <w:qFormat/>
    <w:pPr>
      <w:spacing w:before="60" w:after="60" w:line="240" w:lineRule="auto"/>
      <w:jc w:val="left"/>
    </w:pPr>
    <w:rPr>
      <w:rFonts w:asciiTheme="minorHAnsi" w:hAnsiTheme="minorHAnsi" w:cs="Arial"/>
      <w:color w:val="000000"/>
      <w:szCs w:val="18"/>
      <w:lang w:eastAsia="en-US"/>
    </w:rPr>
  </w:style>
  <w:style w:type="paragraph" w:customStyle="1" w:styleId="AMPRTABLEA-TextLEFTallignedindented-BLACK">
    <w:name w:val="(AMPR) TABLE A - Text LEFT_alligned_indented - BLACK"/>
    <w:basedOn w:val="AMPRTABLEA-TextLEFTalligned-BLACK"/>
    <w:qFormat/>
    <w:pPr>
      <w:ind w:left="142"/>
    </w:pPr>
  </w:style>
  <w:style w:type="paragraph" w:customStyle="1" w:styleId="AMPRTABLEA-TextRIGHTalligned-BLACK">
    <w:name w:val="(AMPR) TABLE A - Text RIGHT_alligned - BLACK"/>
    <w:basedOn w:val="BASE-STYLE-TEXT"/>
    <w:qFormat/>
    <w:pPr>
      <w:spacing w:before="60" w:after="60" w:line="240" w:lineRule="auto"/>
      <w:jc w:val="right"/>
    </w:pPr>
    <w:rPr>
      <w:rFonts w:asciiTheme="minorHAnsi" w:eastAsia="Times New Roman" w:hAnsiTheme="minorHAnsi" w:cs="Arial"/>
      <w:color w:val="000000"/>
      <w:szCs w:val="18"/>
      <w:lang w:eastAsia="en-US"/>
    </w:rPr>
  </w:style>
  <w:style w:type="paragraph" w:customStyle="1" w:styleId="AMPRTABLEA-TOTALLEFTalligned-BLACK">
    <w:name w:val="(AMPR) TABLE A - TOTAL LEFT_alligned - BLACK"/>
    <w:basedOn w:val="BASE-STYLE-TEXT"/>
    <w:qFormat/>
    <w:pPr>
      <w:spacing w:before="60" w:after="60" w:line="240" w:lineRule="auto"/>
      <w:jc w:val="left"/>
    </w:pPr>
    <w:rPr>
      <w:rFonts w:asciiTheme="minorHAnsi" w:eastAsia="Times New Roman" w:hAnsiTheme="minorHAnsi" w:cs="Arial"/>
      <w:b/>
      <w:color w:val="000000"/>
      <w:szCs w:val="18"/>
      <w:lang w:eastAsia="en-US"/>
    </w:rPr>
  </w:style>
  <w:style w:type="paragraph" w:customStyle="1" w:styleId="AMPRTABLEA-TOTALRIGHTalligned-BLACK">
    <w:name w:val="(AMPR) TABLE A - TOTAL RIGHT_alligned - BLACK"/>
    <w:basedOn w:val="BASE-STYLE-TEXT"/>
    <w:qFormat/>
    <w:pPr>
      <w:spacing w:before="60" w:after="60" w:line="240" w:lineRule="auto"/>
      <w:jc w:val="right"/>
    </w:pPr>
    <w:rPr>
      <w:rFonts w:asciiTheme="minorHAnsi" w:eastAsiaTheme="minorHAnsi" w:hAnsiTheme="minorHAnsi" w:cs="Arial"/>
      <w:b/>
      <w:color w:val="000000"/>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98521">
      <w:bodyDiv w:val="1"/>
      <w:marLeft w:val="0"/>
      <w:marRight w:val="0"/>
      <w:marTop w:val="0"/>
      <w:marBottom w:val="0"/>
      <w:divBdr>
        <w:top w:val="none" w:sz="0" w:space="0" w:color="auto"/>
        <w:left w:val="none" w:sz="0" w:space="0" w:color="auto"/>
        <w:bottom w:val="none" w:sz="0" w:space="0" w:color="auto"/>
        <w:right w:val="none" w:sz="0" w:space="0" w:color="auto"/>
      </w:divBdr>
    </w:div>
    <w:div w:id="169503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image" Target="media/image10.emf"/><Relationship Id="rId42" Type="http://schemas.openxmlformats.org/officeDocument/2006/relationships/footer" Target="footer11.xml"/><Relationship Id="rId47" Type="http://schemas.openxmlformats.org/officeDocument/2006/relationships/footer" Target="footer13.xml"/><Relationship Id="rId50"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5.png"/><Relationship Id="rId4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header" Target="header11.xml"/><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image" Target="media/image12.emf"/><Relationship Id="rId49"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7.emf"/><Relationship Id="rId44" Type="http://schemas.openxmlformats.org/officeDocument/2006/relationships/footer" Target="footer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3.emf"/><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header" Target="header12.xml"/><Relationship Id="rId48" Type="http://schemas.openxmlformats.org/officeDocument/2006/relationships/footer" Target="footer14.xml"/><Relationship Id="rId8" Type="http://schemas.openxmlformats.org/officeDocument/2006/relationships/image" Target="media/image1.emf"/><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publications/annual-activity-reports_fr" TargetMode="External"/><Relationship Id="rId2" Type="http://schemas.openxmlformats.org/officeDocument/2006/relationships/hyperlink" Target="https://ec.europa.eu/anti-fraud/about-us/reports/olaf-report_fr" TargetMode="External"/><Relationship Id="rId1" Type="http://schemas.openxmlformats.org/officeDocument/2006/relationships/hyperlink" Target="https://ec.europa.eu/anti-fraud/sites/antifraud/files/pif_2018_30_years_brochure_en.pdf"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37</Pages>
  <Words>13788</Words>
  <Characters>75149</Characters>
  <Application>Microsoft Office Word</Application>
  <DocSecurity>0</DocSecurity>
  <Lines>1273</Lines>
  <Paragraphs>369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59</cp:revision>
  <cp:lastPrinted>2020-06-18T06:54:00Z</cp:lastPrinted>
  <dcterms:created xsi:type="dcterms:W3CDTF">2020-06-23T14:18:00Z</dcterms:created>
  <dcterms:modified xsi:type="dcterms:W3CDTF">2020-07-31T08:54:00Z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3</vt:lpwstr>
  </property>
  <property fmtid="{D5CDD505-2E9C-101B-9397-08002B2CF9AE}" pid="4" name="Total parts">
    <vt:lpwstr>3</vt:lpwstr>
  </property>
  <property fmtid="{D5CDD505-2E9C-101B-9397-08002B2CF9AE}" pid="5" name="DocStatus">
    <vt:lpwstr>Green</vt:lpwstr>
  </property>
  <property fmtid="{D5CDD505-2E9C-101B-9397-08002B2CF9AE}" pid="6" name="CPTemplateID">
    <vt:lpwstr>CP-003</vt:lpwstr>
  </property>
  <property fmtid="{D5CDD505-2E9C-101B-9397-08002B2CF9AE}" pid="7" name="Last edited using">
    <vt:lpwstr>LW 7.0, Build 20190717</vt:lpwstr>
  </property>
  <property fmtid="{D5CDD505-2E9C-101B-9397-08002B2CF9AE}" pid="8" name="Created using">
    <vt:lpwstr>LW 7.0.1, Build 20190916</vt:lpwstr>
  </property>
</Properties>
</file>