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drawings/drawing1.xml" ContentType="application/vnd.openxmlformats-officedocument.drawingml.chartshapes+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_Toc421687684"/>
      <w:bookmarkStart w:id="1"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63A8DF92-5736-40AB-A1AA-0A5C17AAE00A" style="width:450.75pt;height:430.5pt">
            <v:imagedata r:id="rId9" o:title=""/>
          </v:shape>
        </w:pict>
      </w:r>
    </w:p>
    <w:bookmarkEnd w:id="1"/>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TOC1"/>
      </w:pPr>
      <w:bookmarkStart w:id="2" w:name="_GoBack"/>
      <w:bookmarkEnd w:id="2"/>
      <w:r>
        <w:lastRenderedPageBreak/>
        <w:t>TABLE OF CONTENTS</w:t>
      </w:r>
    </w:p>
    <w:p>
      <w:pPr>
        <w:pStyle w:val="TOC1"/>
        <w:rPr>
          <w:rFonts w:asciiTheme="minorHAnsi" w:eastAsiaTheme="minorEastAsia" w:hAnsiTheme="minorHAnsi" w:cstheme="minorBidi"/>
          <w:szCs w:val="22"/>
          <w:lang w:eastAsia="en-GB"/>
        </w:rPr>
      </w:pPr>
      <w:r>
        <w:fldChar w:fldCharType="begin"/>
      </w:r>
      <w:r>
        <w:instrText xml:space="preserve"> TOC \o "1-3" \h \z \u </w:instrText>
      </w:r>
      <w:r>
        <w:fldChar w:fldCharType="separate"/>
      </w:r>
      <w:hyperlink w:anchor="_Toc40451987" w:history="1">
        <w:r>
          <w:rPr>
            <w:rStyle w:val="Hyperlink"/>
          </w:rPr>
          <w:t>1.</w:t>
        </w:r>
        <w:r>
          <w:rPr>
            <w:rFonts w:asciiTheme="minorHAnsi" w:eastAsiaTheme="minorEastAsia" w:hAnsiTheme="minorHAnsi" w:cstheme="minorBidi"/>
            <w:szCs w:val="22"/>
            <w:lang w:eastAsia="en-GB"/>
          </w:rPr>
          <w:tab/>
        </w:r>
        <w:r>
          <w:rPr>
            <w:rStyle w:val="Hyperlink"/>
          </w:rPr>
          <w:t>Introduction</w:t>
        </w:r>
        <w:r>
          <w:rPr>
            <w:webHidden/>
          </w:rPr>
          <w:tab/>
        </w:r>
        <w:r>
          <w:rPr>
            <w:webHidden/>
          </w:rPr>
          <w:fldChar w:fldCharType="begin"/>
        </w:r>
        <w:r>
          <w:rPr>
            <w:webHidden/>
          </w:rPr>
          <w:instrText xml:space="preserve"> PAGEREF _Toc40451987 \h </w:instrText>
        </w:r>
        <w:r>
          <w:rPr>
            <w:webHidden/>
          </w:rPr>
        </w:r>
        <w:r>
          <w:rPr>
            <w:webHidden/>
          </w:rPr>
          <w:fldChar w:fldCharType="separate"/>
        </w:r>
        <w:r>
          <w:rPr>
            <w:webHidden/>
          </w:rPr>
          <w:t>3</w:t>
        </w:r>
        <w:r>
          <w:rPr>
            <w:webHidden/>
          </w:rPr>
          <w:fldChar w:fldCharType="end"/>
        </w:r>
      </w:hyperlink>
    </w:p>
    <w:p>
      <w:pPr>
        <w:pStyle w:val="TOC2"/>
        <w:tabs>
          <w:tab w:val="left" w:pos="880"/>
          <w:tab w:val="right" w:leader="dot" w:pos="10456"/>
        </w:tabs>
        <w:rPr>
          <w:rFonts w:asciiTheme="minorHAnsi" w:eastAsiaTheme="minorEastAsia" w:hAnsiTheme="minorHAnsi" w:cstheme="minorBidi"/>
          <w:noProof/>
          <w:sz w:val="22"/>
          <w:szCs w:val="22"/>
          <w:lang w:eastAsia="en-GB"/>
        </w:rPr>
      </w:pPr>
      <w:hyperlink w:anchor="_Toc40451988" w:history="1">
        <w:r>
          <w:rPr>
            <w:rStyle w:val="Hyperlink"/>
            <w:noProof/>
          </w:rPr>
          <w:t>1.1</w:t>
        </w:r>
        <w:r>
          <w:rPr>
            <w:rFonts w:asciiTheme="minorHAnsi" w:eastAsiaTheme="minorEastAsia" w:hAnsiTheme="minorHAnsi" w:cstheme="minorBidi"/>
            <w:noProof/>
            <w:sz w:val="22"/>
            <w:szCs w:val="22"/>
            <w:lang w:eastAsia="en-GB"/>
          </w:rPr>
          <w:tab/>
        </w:r>
        <w:r>
          <w:rPr>
            <w:rStyle w:val="Hyperlink"/>
            <w:noProof/>
          </w:rPr>
          <w:t>Hercule III Programme</w:t>
        </w:r>
        <w:r>
          <w:rPr>
            <w:noProof/>
            <w:webHidden/>
          </w:rPr>
          <w:tab/>
        </w:r>
        <w:r>
          <w:rPr>
            <w:noProof/>
            <w:webHidden/>
          </w:rPr>
          <w:fldChar w:fldCharType="begin"/>
        </w:r>
        <w:r>
          <w:rPr>
            <w:noProof/>
            <w:webHidden/>
          </w:rPr>
          <w:instrText xml:space="preserve"> PAGEREF _Toc40451988 \h </w:instrText>
        </w:r>
        <w:r>
          <w:rPr>
            <w:noProof/>
            <w:webHidden/>
          </w:rPr>
        </w:r>
        <w:r>
          <w:rPr>
            <w:noProof/>
            <w:webHidden/>
          </w:rPr>
          <w:fldChar w:fldCharType="separate"/>
        </w:r>
        <w:r>
          <w:rPr>
            <w:noProof/>
            <w:webHidden/>
          </w:rPr>
          <w:t>3</w:t>
        </w:r>
        <w:r>
          <w:rPr>
            <w:noProof/>
            <w:webHidden/>
          </w:rPr>
          <w:fldChar w:fldCharType="end"/>
        </w:r>
      </w:hyperlink>
    </w:p>
    <w:p>
      <w:pPr>
        <w:pStyle w:val="TOC2"/>
        <w:tabs>
          <w:tab w:val="left" w:pos="880"/>
          <w:tab w:val="right" w:leader="dot" w:pos="10456"/>
        </w:tabs>
        <w:rPr>
          <w:rFonts w:asciiTheme="minorHAnsi" w:eastAsiaTheme="minorEastAsia" w:hAnsiTheme="minorHAnsi" w:cstheme="minorBidi"/>
          <w:noProof/>
          <w:sz w:val="22"/>
          <w:szCs w:val="22"/>
          <w:lang w:eastAsia="en-GB"/>
        </w:rPr>
      </w:pPr>
      <w:hyperlink w:anchor="_Toc40451989" w:history="1">
        <w:r>
          <w:rPr>
            <w:rStyle w:val="Hyperlink"/>
            <w:noProof/>
          </w:rPr>
          <w:t>1.2</w:t>
        </w:r>
        <w:r>
          <w:rPr>
            <w:rFonts w:asciiTheme="minorHAnsi" w:eastAsiaTheme="minorEastAsia" w:hAnsiTheme="minorHAnsi" w:cstheme="minorBidi"/>
            <w:noProof/>
            <w:sz w:val="22"/>
            <w:szCs w:val="22"/>
            <w:lang w:eastAsia="en-GB"/>
          </w:rPr>
          <w:tab/>
        </w:r>
        <w:r>
          <w:rPr>
            <w:rStyle w:val="Hyperlink"/>
            <w:noProof/>
          </w:rPr>
          <w:t>Hercule III: eligible actions, beneficiaries and budget</w:t>
        </w:r>
        <w:r>
          <w:rPr>
            <w:noProof/>
            <w:webHidden/>
          </w:rPr>
          <w:tab/>
        </w:r>
        <w:r>
          <w:rPr>
            <w:noProof/>
            <w:webHidden/>
          </w:rPr>
          <w:fldChar w:fldCharType="begin"/>
        </w:r>
        <w:r>
          <w:rPr>
            <w:noProof/>
            <w:webHidden/>
          </w:rPr>
          <w:instrText xml:space="preserve"> PAGEREF _Toc40451989 \h </w:instrText>
        </w:r>
        <w:r>
          <w:rPr>
            <w:noProof/>
            <w:webHidden/>
          </w:rPr>
        </w:r>
        <w:r>
          <w:rPr>
            <w:noProof/>
            <w:webHidden/>
          </w:rPr>
          <w:fldChar w:fldCharType="separate"/>
        </w:r>
        <w:r>
          <w:rPr>
            <w:noProof/>
            <w:webHidden/>
          </w:rPr>
          <w:t>3</w:t>
        </w:r>
        <w:r>
          <w:rPr>
            <w:noProof/>
            <w:webHidden/>
          </w:rPr>
          <w:fldChar w:fldCharType="end"/>
        </w:r>
      </w:hyperlink>
    </w:p>
    <w:p>
      <w:pPr>
        <w:pStyle w:val="TOC2"/>
        <w:tabs>
          <w:tab w:val="left" w:pos="880"/>
          <w:tab w:val="right" w:leader="dot" w:pos="10456"/>
        </w:tabs>
        <w:rPr>
          <w:rFonts w:asciiTheme="minorHAnsi" w:eastAsiaTheme="minorEastAsia" w:hAnsiTheme="minorHAnsi" w:cstheme="minorBidi"/>
          <w:noProof/>
          <w:sz w:val="22"/>
          <w:szCs w:val="22"/>
          <w:lang w:eastAsia="en-GB"/>
        </w:rPr>
      </w:pPr>
      <w:hyperlink w:anchor="_Toc40451990" w:history="1">
        <w:r>
          <w:rPr>
            <w:rStyle w:val="Hyperlink"/>
            <w:noProof/>
          </w:rPr>
          <w:t>1.3</w:t>
        </w:r>
        <w:r>
          <w:rPr>
            <w:rFonts w:asciiTheme="minorHAnsi" w:eastAsiaTheme="minorEastAsia" w:hAnsiTheme="minorHAnsi" w:cstheme="minorBidi"/>
            <w:noProof/>
            <w:sz w:val="22"/>
            <w:szCs w:val="22"/>
            <w:lang w:eastAsia="en-GB"/>
          </w:rPr>
          <w:tab/>
        </w:r>
        <w:r>
          <w:rPr>
            <w:rStyle w:val="Hyperlink"/>
            <w:noProof/>
          </w:rPr>
          <w:t>Purpose and scope of this overview</w:t>
        </w:r>
        <w:r>
          <w:rPr>
            <w:noProof/>
            <w:webHidden/>
          </w:rPr>
          <w:tab/>
        </w:r>
        <w:r>
          <w:rPr>
            <w:noProof/>
            <w:webHidden/>
          </w:rPr>
          <w:fldChar w:fldCharType="begin"/>
        </w:r>
        <w:r>
          <w:rPr>
            <w:noProof/>
            <w:webHidden/>
          </w:rPr>
          <w:instrText xml:space="preserve"> PAGEREF _Toc40451990 \h </w:instrText>
        </w:r>
        <w:r>
          <w:rPr>
            <w:noProof/>
            <w:webHidden/>
          </w:rPr>
        </w:r>
        <w:r>
          <w:rPr>
            <w:noProof/>
            <w:webHidden/>
          </w:rPr>
          <w:fldChar w:fldCharType="separate"/>
        </w:r>
        <w:r>
          <w:rPr>
            <w:noProof/>
            <w:webHidden/>
          </w:rPr>
          <w:t>4</w:t>
        </w:r>
        <w:r>
          <w:rPr>
            <w:noProof/>
            <w:webHidden/>
          </w:rPr>
          <w:fldChar w:fldCharType="end"/>
        </w:r>
      </w:hyperlink>
    </w:p>
    <w:p>
      <w:pPr>
        <w:pStyle w:val="TOC1"/>
        <w:rPr>
          <w:rFonts w:asciiTheme="minorHAnsi" w:eastAsiaTheme="minorEastAsia" w:hAnsiTheme="minorHAnsi" w:cstheme="minorBidi"/>
          <w:szCs w:val="22"/>
          <w:lang w:eastAsia="en-GB"/>
        </w:rPr>
      </w:pPr>
      <w:hyperlink w:anchor="_Toc40451991" w:history="1">
        <w:r>
          <w:rPr>
            <w:rStyle w:val="Hyperlink"/>
          </w:rPr>
          <w:t>2.</w:t>
        </w:r>
        <w:r>
          <w:rPr>
            <w:rFonts w:asciiTheme="minorHAnsi" w:eastAsiaTheme="minorEastAsia" w:hAnsiTheme="minorHAnsi" w:cstheme="minorBidi"/>
            <w:lang w:eastAsia="en-GB"/>
          </w:rPr>
          <w:tab/>
        </w:r>
        <w:r>
          <w:rPr>
            <w:rStyle w:val="Hyperlink"/>
          </w:rPr>
          <w:t>Budget implementation in 2019</w:t>
        </w:r>
        <w:r>
          <w:rPr>
            <w:webHidden/>
          </w:rPr>
          <w:tab/>
        </w:r>
        <w:r>
          <w:rPr>
            <w:webHidden/>
          </w:rPr>
          <w:fldChar w:fldCharType="begin"/>
        </w:r>
        <w:r>
          <w:rPr>
            <w:webHidden/>
          </w:rPr>
          <w:instrText xml:space="preserve"> PAGEREF _Toc40451991 \h </w:instrText>
        </w:r>
        <w:r>
          <w:rPr>
            <w:webHidden/>
          </w:rPr>
        </w:r>
        <w:r>
          <w:rPr>
            <w:webHidden/>
          </w:rPr>
          <w:fldChar w:fldCharType="separate"/>
        </w:r>
        <w:r>
          <w:rPr>
            <w:webHidden/>
          </w:rPr>
          <w:t>4</w:t>
        </w:r>
        <w:r>
          <w:rPr>
            <w:webHidden/>
          </w:rPr>
          <w:fldChar w:fldCharType="end"/>
        </w:r>
      </w:hyperlink>
    </w:p>
    <w:p>
      <w:pPr>
        <w:pStyle w:val="TOC2"/>
        <w:tabs>
          <w:tab w:val="left" w:pos="880"/>
          <w:tab w:val="right" w:leader="dot" w:pos="10456"/>
        </w:tabs>
        <w:rPr>
          <w:rFonts w:asciiTheme="minorHAnsi" w:eastAsiaTheme="minorEastAsia" w:hAnsiTheme="minorHAnsi" w:cstheme="minorBidi"/>
          <w:noProof/>
          <w:sz w:val="22"/>
          <w:szCs w:val="22"/>
          <w:lang w:eastAsia="en-GB"/>
        </w:rPr>
      </w:pPr>
      <w:hyperlink w:anchor="_Toc40451992" w:history="1">
        <w:r>
          <w:rPr>
            <w:rStyle w:val="Hyperlink"/>
            <w:noProof/>
          </w:rPr>
          <w:t>2.1</w:t>
        </w:r>
        <w:r>
          <w:rPr>
            <w:rFonts w:asciiTheme="minorHAnsi" w:eastAsiaTheme="minorEastAsia" w:hAnsiTheme="minorHAnsi" w:cstheme="minorBidi"/>
            <w:noProof/>
            <w:sz w:val="22"/>
            <w:szCs w:val="22"/>
            <w:lang w:eastAsia="en-GB"/>
          </w:rPr>
          <w:tab/>
        </w:r>
        <w:r>
          <w:rPr>
            <w:rStyle w:val="Hyperlink"/>
            <w:noProof/>
          </w:rPr>
          <w:t>Budget implementation by type of financial intervention</w:t>
        </w:r>
        <w:r>
          <w:rPr>
            <w:noProof/>
            <w:webHidden/>
          </w:rPr>
          <w:tab/>
        </w:r>
        <w:r>
          <w:rPr>
            <w:noProof/>
            <w:webHidden/>
          </w:rPr>
          <w:fldChar w:fldCharType="begin"/>
        </w:r>
        <w:r>
          <w:rPr>
            <w:noProof/>
            <w:webHidden/>
          </w:rPr>
          <w:instrText xml:space="preserve"> PAGEREF _Toc40451992 \h </w:instrText>
        </w:r>
        <w:r>
          <w:rPr>
            <w:noProof/>
            <w:webHidden/>
          </w:rPr>
        </w:r>
        <w:r>
          <w:rPr>
            <w:noProof/>
            <w:webHidden/>
          </w:rPr>
          <w:fldChar w:fldCharType="separate"/>
        </w:r>
        <w:r>
          <w:rPr>
            <w:noProof/>
            <w:webHidden/>
          </w:rPr>
          <w:t>5</w:t>
        </w:r>
        <w:r>
          <w:rPr>
            <w:noProof/>
            <w:webHidden/>
          </w:rPr>
          <w:fldChar w:fldCharType="end"/>
        </w:r>
      </w:hyperlink>
    </w:p>
    <w:p>
      <w:pPr>
        <w:pStyle w:val="TOC2"/>
        <w:tabs>
          <w:tab w:val="left" w:pos="880"/>
          <w:tab w:val="right" w:leader="dot" w:pos="10456"/>
        </w:tabs>
        <w:rPr>
          <w:rFonts w:asciiTheme="minorHAnsi" w:eastAsiaTheme="minorEastAsia" w:hAnsiTheme="minorHAnsi" w:cstheme="minorBidi"/>
          <w:noProof/>
          <w:sz w:val="22"/>
          <w:szCs w:val="22"/>
          <w:lang w:eastAsia="en-GB"/>
        </w:rPr>
      </w:pPr>
      <w:hyperlink w:anchor="_Toc40451993" w:history="1">
        <w:r>
          <w:rPr>
            <w:rStyle w:val="Hyperlink"/>
            <w:noProof/>
          </w:rPr>
          <w:t>2.2</w:t>
        </w:r>
        <w:r>
          <w:rPr>
            <w:rFonts w:asciiTheme="minorHAnsi" w:eastAsiaTheme="minorEastAsia" w:hAnsiTheme="minorHAnsi" w:cstheme="minorBidi"/>
            <w:noProof/>
            <w:sz w:val="22"/>
            <w:szCs w:val="22"/>
            <w:lang w:eastAsia="en-GB"/>
          </w:rPr>
          <w:tab/>
        </w:r>
        <w:r>
          <w:rPr>
            <w:rStyle w:val="Hyperlink"/>
            <w:noProof/>
          </w:rPr>
          <w:t>Budget implementation by type of eligible action</w:t>
        </w:r>
        <w:r>
          <w:rPr>
            <w:noProof/>
            <w:webHidden/>
          </w:rPr>
          <w:tab/>
        </w:r>
        <w:r>
          <w:rPr>
            <w:noProof/>
            <w:webHidden/>
          </w:rPr>
          <w:fldChar w:fldCharType="begin"/>
        </w:r>
        <w:r>
          <w:rPr>
            <w:noProof/>
            <w:webHidden/>
          </w:rPr>
          <w:instrText xml:space="preserve"> PAGEREF _Toc40451993 \h </w:instrText>
        </w:r>
        <w:r>
          <w:rPr>
            <w:noProof/>
            <w:webHidden/>
          </w:rPr>
        </w:r>
        <w:r>
          <w:rPr>
            <w:noProof/>
            <w:webHidden/>
          </w:rPr>
          <w:fldChar w:fldCharType="separate"/>
        </w:r>
        <w:r>
          <w:rPr>
            <w:noProof/>
            <w:webHidden/>
          </w:rPr>
          <w:t>6</w:t>
        </w:r>
        <w:r>
          <w:rPr>
            <w:noProof/>
            <w:webHidden/>
          </w:rPr>
          <w:fldChar w:fldCharType="end"/>
        </w:r>
      </w:hyperlink>
    </w:p>
    <w:p>
      <w:pPr>
        <w:pStyle w:val="TOC3"/>
        <w:tabs>
          <w:tab w:val="left" w:pos="1320"/>
          <w:tab w:val="right" w:leader="dot" w:pos="10456"/>
        </w:tabs>
        <w:rPr>
          <w:rFonts w:asciiTheme="minorHAnsi" w:eastAsiaTheme="minorEastAsia" w:hAnsiTheme="minorHAnsi" w:cstheme="minorBidi"/>
          <w:noProof/>
          <w:sz w:val="22"/>
          <w:szCs w:val="22"/>
          <w:lang w:eastAsia="en-GB"/>
        </w:rPr>
      </w:pPr>
      <w:hyperlink w:anchor="_Toc40451994" w:history="1">
        <w:r>
          <w:rPr>
            <w:rStyle w:val="Hyperlink"/>
            <w:i/>
            <w:noProof/>
          </w:rPr>
          <w:t xml:space="preserve">2.2.1 </w:t>
        </w:r>
        <w:r>
          <w:rPr>
            <w:rFonts w:asciiTheme="minorHAnsi" w:eastAsiaTheme="minorEastAsia" w:hAnsiTheme="minorHAnsi" w:cstheme="minorBidi"/>
            <w:noProof/>
            <w:sz w:val="22"/>
            <w:szCs w:val="22"/>
            <w:lang w:eastAsia="en-GB"/>
          </w:rPr>
          <w:tab/>
        </w:r>
        <w:r>
          <w:rPr>
            <w:rStyle w:val="Hyperlink"/>
            <w:i/>
            <w:noProof/>
          </w:rPr>
          <w:t>Technical Assistance grants</w:t>
        </w:r>
        <w:r>
          <w:rPr>
            <w:noProof/>
            <w:webHidden/>
          </w:rPr>
          <w:tab/>
        </w:r>
        <w:r>
          <w:rPr>
            <w:noProof/>
            <w:webHidden/>
          </w:rPr>
          <w:fldChar w:fldCharType="begin"/>
        </w:r>
        <w:r>
          <w:rPr>
            <w:noProof/>
            <w:webHidden/>
          </w:rPr>
          <w:instrText xml:space="preserve"> PAGEREF _Toc40451994 \h </w:instrText>
        </w:r>
        <w:r>
          <w:rPr>
            <w:noProof/>
            <w:webHidden/>
          </w:rPr>
        </w:r>
        <w:r>
          <w:rPr>
            <w:noProof/>
            <w:webHidden/>
          </w:rPr>
          <w:fldChar w:fldCharType="separate"/>
        </w:r>
        <w:r>
          <w:rPr>
            <w:noProof/>
            <w:webHidden/>
          </w:rPr>
          <w:t>8</w:t>
        </w:r>
        <w:r>
          <w:rPr>
            <w:noProof/>
            <w:webHidden/>
          </w:rPr>
          <w:fldChar w:fldCharType="end"/>
        </w:r>
      </w:hyperlink>
    </w:p>
    <w:p>
      <w:pPr>
        <w:pStyle w:val="TOC3"/>
        <w:tabs>
          <w:tab w:val="left" w:pos="1320"/>
          <w:tab w:val="right" w:leader="dot" w:pos="10456"/>
        </w:tabs>
        <w:rPr>
          <w:rFonts w:asciiTheme="minorHAnsi" w:eastAsiaTheme="minorEastAsia" w:hAnsiTheme="minorHAnsi" w:cstheme="minorBidi"/>
          <w:noProof/>
          <w:sz w:val="22"/>
          <w:szCs w:val="22"/>
          <w:lang w:eastAsia="en-GB"/>
        </w:rPr>
      </w:pPr>
      <w:hyperlink w:anchor="_Toc40451995" w:history="1">
        <w:r>
          <w:rPr>
            <w:rStyle w:val="Hyperlink"/>
            <w:i/>
            <w:noProof/>
          </w:rPr>
          <w:t xml:space="preserve">2.2.2 </w:t>
        </w:r>
        <w:r>
          <w:rPr>
            <w:rFonts w:asciiTheme="minorHAnsi" w:eastAsiaTheme="minorEastAsia" w:hAnsiTheme="minorHAnsi" w:cstheme="minorBidi"/>
            <w:noProof/>
            <w:sz w:val="22"/>
            <w:szCs w:val="22"/>
            <w:lang w:eastAsia="en-GB"/>
          </w:rPr>
          <w:tab/>
        </w:r>
        <w:r>
          <w:rPr>
            <w:rStyle w:val="Hyperlink"/>
            <w:i/>
            <w:noProof/>
          </w:rPr>
          <w:t>IT Support: Databases, IT tools and analyses of samples from tobacco seizures</w:t>
        </w:r>
        <w:r>
          <w:rPr>
            <w:noProof/>
            <w:webHidden/>
          </w:rPr>
          <w:tab/>
        </w:r>
        <w:r>
          <w:rPr>
            <w:noProof/>
            <w:webHidden/>
          </w:rPr>
          <w:fldChar w:fldCharType="begin"/>
        </w:r>
        <w:r>
          <w:rPr>
            <w:noProof/>
            <w:webHidden/>
          </w:rPr>
          <w:instrText xml:space="preserve"> PAGEREF _Toc40451995 \h </w:instrText>
        </w:r>
        <w:r>
          <w:rPr>
            <w:noProof/>
            <w:webHidden/>
          </w:rPr>
        </w:r>
        <w:r>
          <w:rPr>
            <w:noProof/>
            <w:webHidden/>
          </w:rPr>
          <w:fldChar w:fldCharType="separate"/>
        </w:r>
        <w:r>
          <w:rPr>
            <w:noProof/>
            <w:webHidden/>
          </w:rPr>
          <w:t>8</w:t>
        </w:r>
        <w:r>
          <w:rPr>
            <w:noProof/>
            <w:webHidden/>
          </w:rPr>
          <w:fldChar w:fldCharType="end"/>
        </w:r>
      </w:hyperlink>
    </w:p>
    <w:p>
      <w:pPr>
        <w:pStyle w:val="TOC3"/>
        <w:tabs>
          <w:tab w:val="left" w:pos="1320"/>
          <w:tab w:val="right" w:leader="dot" w:pos="10456"/>
        </w:tabs>
        <w:rPr>
          <w:rFonts w:asciiTheme="minorHAnsi" w:eastAsiaTheme="minorEastAsia" w:hAnsiTheme="minorHAnsi" w:cstheme="minorBidi"/>
          <w:noProof/>
          <w:sz w:val="22"/>
          <w:szCs w:val="22"/>
          <w:lang w:eastAsia="en-GB"/>
        </w:rPr>
      </w:pPr>
      <w:hyperlink w:anchor="_Toc40451996" w:history="1">
        <w:r>
          <w:rPr>
            <w:rStyle w:val="Hyperlink"/>
            <w:i/>
            <w:noProof/>
          </w:rPr>
          <w:t>2.2.3</w:t>
        </w:r>
        <w:r>
          <w:rPr>
            <w:rFonts w:asciiTheme="minorHAnsi" w:eastAsiaTheme="minorEastAsia" w:hAnsiTheme="minorHAnsi" w:cstheme="minorBidi"/>
            <w:noProof/>
            <w:sz w:val="22"/>
            <w:szCs w:val="22"/>
            <w:lang w:eastAsia="en-GB"/>
          </w:rPr>
          <w:tab/>
        </w:r>
        <w:r>
          <w:rPr>
            <w:rStyle w:val="Hyperlink"/>
            <w:i/>
            <w:noProof/>
          </w:rPr>
          <w:t>Conferences, seminars and digital forensics and analysts training</w:t>
        </w:r>
        <w:r>
          <w:rPr>
            <w:noProof/>
            <w:webHidden/>
          </w:rPr>
          <w:tab/>
        </w:r>
        <w:r>
          <w:rPr>
            <w:noProof/>
            <w:webHidden/>
          </w:rPr>
          <w:fldChar w:fldCharType="begin"/>
        </w:r>
        <w:r>
          <w:rPr>
            <w:noProof/>
            <w:webHidden/>
          </w:rPr>
          <w:instrText xml:space="preserve"> PAGEREF _Toc40451996 \h </w:instrText>
        </w:r>
        <w:r>
          <w:rPr>
            <w:noProof/>
            <w:webHidden/>
          </w:rPr>
        </w:r>
        <w:r>
          <w:rPr>
            <w:noProof/>
            <w:webHidden/>
          </w:rPr>
          <w:fldChar w:fldCharType="separate"/>
        </w:r>
        <w:r>
          <w:rPr>
            <w:noProof/>
            <w:webHidden/>
          </w:rPr>
          <w:t>11</w:t>
        </w:r>
        <w:r>
          <w:rPr>
            <w:noProof/>
            <w:webHidden/>
          </w:rPr>
          <w:fldChar w:fldCharType="end"/>
        </w:r>
      </w:hyperlink>
    </w:p>
    <w:p>
      <w:pPr>
        <w:pStyle w:val="TOC3"/>
        <w:tabs>
          <w:tab w:val="left" w:pos="1320"/>
          <w:tab w:val="right" w:leader="dot" w:pos="10456"/>
        </w:tabs>
        <w:rPr>
          <w:rFonts w:asciiTheme="minorHAnsi" w:eastAsiaTheme="minorEastAsia" w:hAnsiTheme="minorHAnsi" w:cstheme="minorBidi"/>
          <w:noProof/>
          <w:sz w:val="22"/>
          <w:szCs w:val="22"/>
          <w:lang w:eastAsia="en-GB"/>
        </w:rPr>
      </w:pPr>
      <w:hyperlink w:anchor="_Toc40451997" w:history="1">
        <w:r>
          <w:rPr>
            <w:rStyle w:val="Hyperlink"/>
            <w:i/>
            <w:noProof/>
          </w:rPr>
          <w:t>2.2.4</w:t>
        </w:r>
        <w:r>
          <w:rPr>
            <w:rFonts w:asciiTheme="minorHAnsi" w:eastAsiaTheme="minorEastAsia" w:hAnsiTheme="minorHAnsi" w:cstheme="minorBidi"/>
            <w:noProof/>
            <w:sz w:val="22"/>
            <w:szCs w:val="22"/>
            <w:lang w:eastAsia="en-GB"/>
          </w:rPr>
          <w:tab/>
        </w:r>
        <w:r>
          <w:rPr>
            <w:rStyle w:val="Hyperlink"/>
            <w:i/>
            <w:noProof/>
          </w:rPr>
          <w:t>Legal training and studies</w:t>
        </w:r>
        <w:r>
          <w:rPr>
            <w:noProof/>
            <w:webHidden/>
          </w:rPr>
          <w:tab/>
        </w:r>
        <w:r>
          <w:rPr>
            <w:noProof/>
            <w:webHidden/>
          </w:rPr>
          <w:fldChar w:fldCharType="begin"/>
        </w:r>
        <w:r>
          <w:rPr>
            <w:noProof/>
            <w:webHidden/>
          </w:rPr>
          <w:instrText xml:space="preserve"> PAGEREF _Toc40451997 \h </w:instrText>
        </w:r>
        <w:r>
          <w:rPr>
            <w:noProof/>
            <w:webHidden/>
          </w:rPr>
        </w:r>
        <w:r>
          <w:rPr>
            <w:noProof/>
            <w:webHidden/>
          </w:rPr>
          <w:fldChar w:fldCharType="separate"/>
        </w:r>
        <w:r>
          <w:rPr>
            <w:noProof/>
            <w:webHidden/>
          </w:rPr>
          <w:t>11</w:t>
        </w:r>
        <w:r>
          <w:rPr>
            <w:noProof/>
            <w:webHidden/>
          </w:rPr>
          <w:fldChar w:fldCharType="end"/>
        </w:r>
      </w:hyperlink>
    </w:p>
    <w:p>
      <w:pPr>
        <w:pStyle w:val="TOC1"/>
        <w:rPr>
          <w:rFonts w:asciiTheme="minorHAnsi" w:eastAsiaTheme="minorEastAsia" w:hAnsiTheme="minorHAnsi" w:cstheme="minorBidi"/>
          <w:szCs w:val="22"/>
          <w:lang w:eastAsia="en-GB"/>
        </w:rPr>
      </w:pPr>
      <w:hyperlink w:anchor="_Toc40451998" w:history="1">
        <w:r>
          <w:rPr>
            <w:rStyle w:val="Hyperlink"/>
          </w:rPr>
          <w:t>3.</w:t>
        </w:r>
        <w:r>
          <w:rPr>
            <w:rFonts w:asciiTheme="minorHAnsi" w:eastAsiaTheme="minorEastAsia" w:hAnsiTheme="minorHAnsi" w:cstheme="minorBidi"/>
            <w:lang w:eastAsia="en-GB"/>
          </w:rPr>
          <w:tab/>
        </w:r>
        <w:r>
          <w:rPr>
            <w:rStyle w:val="Hyperlink"/>
          </w:rPr>
          <w:t>Achievements 2019</w:t>
        </w:r>
        <w:r>
          <w:rPr>
            <w:webHidden/>
          </w:rPr>
          <w:tab/>
        </w:r>
        <w:r>
          <w:rPr>
            <w:webHidden/>
          </w:rPr>
          <w:fldChar w:fldCharType="begin"/>
        </w:r>
        <w:r>
          <w:rPr>
            <w:webHidden/>
          </w:rPr>
          <w:instrText xml:space="preserve"> PAGEREF _Toc40451998 \h </w:instrText>
        </w:r>
        <w:r>
          <w:rPr>
            <w:webHidden/>
          </w:rPr>
        </w:r>
        <w:r>
          <w:rPr>
            <w:webHidden/>
          </w:rPr>
          <w:fldChar w:fldCharType="separate"/>
        </w:r>
        <w:r>
          <w:rPr>
            <w:webHidden/>
          </w:rPr>
          <w:t>12</w:t>
        </w:r>
        <w:r>
          <w:rPr>
            <w:webHidden/>
          </w:rPr>
          <w:fldChar w:fldCharType="end"/>
        </w:r>
      </w:hyperlink>
    </w:p>
    <w:p>
      <w:pPr>
        <w:pStyle w:val="TOC2"/>
        <w:tabs>
          <w:tab w:val="left" w:pos="880"/>
          <w:tab w:val="right" w:leader="dot" w:pos="10456"/>
        </w:tabs>
        <w:rPr>
          <w:rFonts w:asciiTheme="minorHAnsi" w:eastAsiaTheme="minorEastAsia" w:hAnsiTheme="minorHAnsi" w:cstheme="minorBidi"/>
          <w:noProof/>
          <w:sz w:val="22"/>
          <w:szCs w:val="22"/>
          <w:lang w:eastAsia="en-GB"/>
        </w:rPr>
      </w:pPr>
      <w:hyperlink w:anchor="_Toc40451999" w:history="1">
        <w:r>
          <w:rPr>
            <w:rStyle w:val="Hyperlink"/>
            <w:noProof/>
          </w:rPr>
          <w:t>3.1</w:t>
        </w:r>
        <w:r>
          <w:rPr>
            <w:rFonts w:asciiTheme="minorHAnsi" w:eastAsiaTheme="minorEastAsia" w:hAnsiTheme="minorHAnsi" w:cstheme="minorBidi"/>
            <w:noProof/>
            <w:sz w:val="22"/>
            <w:szCs w:val="22"/>
            <w:lang w:eastAsia="en-GB"/>
          </w:rPr>
          <w:tab/>
        </w:r>
        <w:r>
          <w:rPr>
            <w:rStyle w:val="Hyperlink"/>
            <w:noProof/>
          </w:rPr>
          <w:t>Operational objective 1 - To improve the prevention and investigation of fraud and other illegal activities beyond current levels by enhancing transnational and multi-disciplinary cooperation</w:t>
        </w:r>
        <w:r>
          <w:rPr>
            <w:noProof/>
            <w:webHidden/>
          </w:rPr>
          <w:tab/>
        </w:r>
        <w:r>
          <w:rPr>
            <w:noProof/>
            <w:webHidden/>
          </w:rPr>
          <w:fldChar w:fldCharType="begin"/>
        </w:r>
        <w:r>
          <w:rPr>
            <w:noProof/>
            <w:webHidden/>
          </w:rPr>
          <w:instrText xml:space="preserve"> PAGEREF _Toc40451999 \h </w:instrText>
        </w:r>
        <w:r>
          <w:rPr>
            <w:noProof/>
            <w:webHidden/>
          </w:rPr>
        </w:r>
        <w:r>
          <w:rPr>
            <w:noProof/>
            <w:webHidden/>
          </w:rPr>
          <w:fldChar w:fldCharType="separate"/>
        </w:r>
        <w:r>
          <w:rPr>
            <w:noProof/>
            <w:webHidden/>
          </w:rPr>
          <w:t>13</w:t>
        </w:r>
        <w:r>
          <w:rPr>
            <w:noProof/>
            <w:webHidden/>
          </w:rPr>
          <w:fldChar w:fldCharType="end"/>
        </w:r>
      </w:hyperlink>
    </w:p>
    <w:p>
      <w:pPr>
        <w:pStyle w:val="TOC2"/>
        <w:tabs>
          <w:tab w:val="left" w:pos="880"/>
          <w:tab w:val="right" w:leader="dot" w:pos="10456"/>
        </w:tabs>
        <w:rPr>
          <w:rFonts w:asciiTheme="minorHAnsi" w:eastAsiaTheme="minorEastAsia" w:hAnsiTheme="minorHAnsi" w:cstheme="minorBidi"/>
          <w:noProof/>
          <w:sz w:val="22"/>
          <w:szCs w:val="22"/>
          <w:lang w:eastAsia="en-GB"/>
        </w:rPr>
      </w:pPr>
      <w:hyperlink w:anchor="_Toc40452000" w:history="1">
        <w:r>
          <w:rPr>
            <w:rStyle w:val="Hyperlink"/>
            <w:noProof/>
          </w:rPr>
          <w:t>3.2</w:t>
        </w:r>
        <w:r>
          <w:rPr>
            <w:rFonts w:asciiTheme="minorHAnsi" w:eastAsiaTheme="minorEastAsia" w:hAnsiTheme="minorHAnsi" w:cstheme="minorBidi"/>
            <w:noProof/>
            <w:sz w:val="22"/>
            <w:szCs w:val="22"/>
            <w:lang w:eastAsia="en-GB"/>
          </w:rPr>
          <w:tab/>
        </w:r>
        <w:r>
          <w:rPr>
            <w:rStyle w:val="Hyperlink"/>
            <w:noProof/>
          </w:rPr>
          <w:t>Operational objective 2 - To increase the protection of the financial interests of the Union against fraud by facilitating the exchange of information, experiences and best practices, including staff exchanges</w:t>
        </w:r>
        <w:r>
          <w:rPr>
            <w:noProof/>
            <w:webHidden/>
          </w:rPr>
          <w:tab/>
        </w:r>
        <w:r>
          <w:rPr>
            <w:noProof/>
            <w:webHidden/>
          </w:rPr>
          <w:fldChar w:fldCharType="begin"/>
        </w:r>
        <w:r>
          <w:rPr>
            <w:noProof/>
            <w:webHidden/>
          </w:rPr>
          <w:instrText xml:space="preserve"> PAGEREF _Toc40452000 \h </w:instrText>
        </w:r>
        <w:r>
          <w:rPr>
            <w:noProof/>
            <w:webHidden/>
          </w:rPr>
        </w:r>
        <w:r>
          <w:rPr>
            <w:noProof/>
            <w:webHidden/>
          </w:rPr>
          <w:fldChar w:fldCharType="separate"/>
        </w:r>
        <w:r>
          <w:rPr>
            <w:noProof/>
            <w:webHidden/>
          </w:rPr>
          <w:t>14</w:t>
        </w:r>
        <w:r>
          <w:rPr>
            <w:noProof/>
            <w:webHidden/>
          </w:rPr>
          <w:fldChar w:fldCharType="end"/>
        </w:r>
      </w:hyperlink>
    </w:p>
    <w:p>
      <w:pPr>
        <w:pStyle w:val="TOC2"/>
        <w:tabs>
          <w:tab w:val="left" w:pos="880"/>
          <w:tab w:val="right" w:leader="dot" w:pos="10456"/>
        </w:tabs>
        <w:rPr>
          <w:rFonts w:asciiTheme="minorHAnsi" w:eastAsiaTheme="minorEastAsia" w:hAnsiTheme="minorHAnsi" w:cstheme="minorBidi"/>
          <w:noProof/>
          <w:sz w:val="22"/>
          <w:szCs w:val="22"/>
          <w:lang w:eastAsia="en-GB"/>
        </w:rPr>
      </w:pPr>
      <w:hyperlink w:anchor="_Toc40452001" w:history="1">
        <w:r>
          <w:rPr>
            <w:rStyle w:val="Hyperlink"/>
            <w:noProof/>
          </w:rPr>
          <w:t>3.3</w:t>
        </w:r>
        <w:r>
          <w:rPr>
            <w:rFonts w:asciiTheme="minorHAnsi" w:eastAsiaTheme="minorEastAsia" w:hAnsiTheme="minorHAnsi" w:cstheme="minorBidi"/>
            <w:noProof/>
            <w:sz w:val="22"/>
            <w:szCs w:val="22"/>
            <w:lang w:eastAsia="en-GB"/>
          </w:rPr>
          <w:tab/>
        </w:r>
        <w:r>
          <w:rPr>
            <w:rStyle w:val="Hyperlink"/>
            <w:noProof/>
          </w:rPr>
          <w:t>Operational objective 3 - Strengthening the fight against fraud and other illegal activities by providing technical and operational support to national investigation, and in particular customs and law enforcement authorities</w:t>
        </w:r>
        <w:r>
          <w:rPr>
            <w:noProof/>
            <w:webHidden/>
          </w:rPr>
          <w:tab/>
        </w:r>
        <w:r>
          <w:rPr>
            <w:noProof/>
            <w:webHidden/>
          </w:rPr>
          <w:fldChar w:fldCharType="begin"/>
        </w:r>
        <w:r>
          <w:rPr>
            <w:noProof/>
            <w:webHidden/>
          </w:rPr>
          <w:instrText xml:space="preserve"> PAGEREF _Toc40452001 \h </w:instrText>
        </w:r>
        <w:r>
          <w:rPr>
            <w:noProof/>
            <w:webHidden/>
          </w:rPr>
        </w:r>
        <w:r>
          <w:rPr>
            <w:noProof/>
            <w:webHidden/>
          </w:rPr>
          <w:fldChar w:fldCharType="separate"/>
        </w:r>
        <w:r>
          <w:rPr>
            <w:noProof/>
            <w:webHidden/>
          </w:rPr>
          <w:t>16</w:t>
        </w:r>
        <w:r>
          <w:rPr>
            <w:noProof/>
            <w:webHidden/>
          </w:rPr>
          <w:fldChar w:fldCharType="end"/>
        </w:r>
      </w:hyperlink>
    </w:p>
    <w:p>
      <w:pPr>
        <w:pStyle w:val="TOC2"/>
        <w:tabs>
          <w:tab w:val="left" w:pos="880"/>
          <w:tab w:val="right" w:leader="dot" w:pos="10456"/>
        </w:tabs>
        <w:rPr>
          <w:rFonts w:asciiTheme="minorHAnsi" w:eastAsiaTheme="minorEastAsia" w:hAnsiTheme="minorHAnsi" w:cstheme="minorBidi"/>
          <w:noProof/>
          <w:sz w:val="22"/>
          <w:szCs w:val="22"/>
          <w:lang w:eastAsia="en-GB"/>
        </w:rPr>
      </w:pPr>
      <w:hyperlink w:anchor="_Toc40452002" w:history="1">
        <w:r>
          <w:rPr>
            <w:rStyle w:val="Hyperlink"/>
            <w:noProof/>
          </w:rPr>
          <w:t>3.4</w:t>
        </w:r>
        <w:r>
          <w:rPr>
            <w:rFonts w:asciiTheme="minorHAnsi" w:eastAsiaTheme="minorEastAsia" w:hAnsiTheme="minorHAnsi" w:cstheme="minorBidi"/>
            <w:noProof/>
            <w:sz w:val="22"/>
            <w:szCs w:val="22"/>
            <w:lang w:eastAsia="en-GB"/>
          </w:rPr>
          <w:tab/>
        </w:r>
        <w:r>
          <w:rPr>
            <w:rStyle w:val="Hyperlink"/>
            <w:noProof/>
          </w:rPr>
          <w:t>Operational objective 4 - To limit the currently known exposure of the financial interests of the Union to fraud, corruption and other illegal activities with a view to reducing the development of an illegal economy in key risk areas such as organised fraud, including cigarette smuggling and counterfeiting</w:t>
        </w:r>
        <w:r>
          <w:rPr>
            <w:noProof/>
            <w:webHidden/>
          </w:rPr>
          <w:tab/>
        </w:r>
        <w:r>
          <w:rPr>
            <w:noProof/>
            <w:webHidden/>
          </w:rPr>
          <w:fldChar w:fldCharType="begin"/>
        </w:r>
        <w:r>
          <w:rPr>
            <w:noProof/>
            <w:webHidden/>
          </w:rPr>
          <w:instrText xml:space="preserve"> PAGEREF _Toc40452002 \h </w:instrText>
        </w:r>
        <w:r>
          <w:rPr>
            <w:noProof/>
            <w:webHidden/>
          </w:rPr>
        </w:r>
        <w:r>
          <w:rPr>
            <w:noProof/>
            <w:webHidden/>
          </w:rPr>
          <w:fldChar w:fldCharType="separate"/>
        </w:r>
        <w:r>
          <w:rPr>
            <w:noProof/>
            <w:webHidden/>
          </w:rPr>
          <w:t>21</w:t>
        </w:r>
        <w:r>
          <w:rPr>
            <w:noProof/>
            <w:webHidden/>
          </w:rPr>
          <w:fldChar w:fldCharType="end"/>
        </w:r>
      </w:hyperlink>
    </w:p>
    <w:p>
      <w:pPr>
        <w:pStyle w:val="TOC2"/>
        <w:tabs>
          <w:tab w:val="left" w:pos="880"/>
          <w:tab w:val="right" w:leader="dot" w:pos="10456"/>
        </w:tabs>
        <w:rPr>
          <w:rFonts w:asciiTheme="minorHAnsi" w:eastAsiaTheme="minorEastAsia" w:hAnsiTheme="minorHAnsi" w:cstheme="minorBidi"/>
          <w:noProof/>
          <w:sz w:val="22"/>
          <w:szCs w:val="22"/>
          <w:lang w:eastAsia="en-GB"/>
        </w:rPr>
      </w:pPr>
      <w:hyperlink w:anchor="_Toc40452003" w:history="1">
        <w:r>
          <w:rPr>
            <w:rStyle w:val="Hyperlink"/>
            <w:noProof/>
          </w:rPr>
          <w:t>3.5</w:t>
        </w:r>
        <w:r>
          <w:rPr>
            <w:rFonts w:asciiTheme="minorHAnsi" w:eastAsiaTheme="minorEastAsia" w:hAnsiTheme="minorHAnsi" w:cstheme="minorBidi"/>
            <w:noProof/>
            <w:sz w:val="22"/>
            <w:szCs w:val="22"/>
            <w:lang w:eastAsia="en-GB"/>
          </w:rPr>
          <w:tab/>
        </w:r>
        <w:r>
          <w:rPr>
            <w:rStyle w:val="Hyperlink"/>
            <w:noProof/>
          </w:rPr>
          <w:t>Operational objective 5 - To enhance the degree of development of the specific legal and judicial protection of the financial interests of the Union against fraud by promoting comparative law analysis</w:t>
        </w:r>
        <w:r>
          <w:rPr>
            <w:noProof/>
            <w:webHidden/>
          </w:rPr>
          <w:tab/>
        </w:r>
        <w:r>
          <w:rPr>
            <w:noProof/>
            <w:webHidden/>
          </w:rPr>
          <w:fldChar w:fldCharType="begin"/>
        </w:r>
        <w:r>
          <w:rPr>
            <w:noProof/>
            <w:webHidden/>
          </w:rPr>
          <w:instrText xml:space="preserve"> PAGEREF _Toc40452003 \h </w:instrText>
        </w:r>
        <w:r>
          <w:rPr>
            <w:noProof/>
            <w:webHidden/>
          </w:rPr>
        </w:r>
        <w:r>
          <w:rPr>
            <w:noProof/>
            <w:webHidden/>
          </w:rPr>
          <w:fldChar w:fldCharType="separate"/>
        </w:r>
        <w:r>
          <w:rPr>
            <w:noProof/>
            <w:webHidden/>
          </w:rPr>
          <w:t>22</w:t>
        </w:r>
        <w:r>
          <w:rPr>
            <w:noProof/>
            <w:webHidden/>
          </w:rPr>
          <w:fldChar w:fldCharType="end"/>
        </w:r>
      </w:hyperlink>
    </w:p>
    <w:p>
      <w:pPr>
        <w:pStyle w:val="TOC1"/>
        <w:rPr>
          <w:rFonts w:asciiTheme="minorHAnsi" w:eastAsiaTheme="minorEastAsia" w:hAnsiTheme="minorHAnsi" w:cstheme="minorBidi"/>
          <w:lang w:eastAsia="en-GB"/>
        </w:rPr>
      </w:pPr>
      <w:hyperlink w:anchor="_Toc40452004" w:history="1">
        <w:r>
          <w:rPr>
            <w:rStyle w:val="Hyperlink"/>
          </w:rPr>
          <w:t>4.</w:t>
        </w:r>
        <w:r>
          <w:rPr>
            <w:rFonts w:asciiTheme="minorHAnsi" w:eastAsiaTheme="minorEastAsia" w:hAnsiTheme="minorHAnsi" w:cstheme="minorBidi"/>
            <w:lang w:eastAsia="en-GB"/>
          </w:rPr>
          <w:tab/>
        </w:r>
        <w:r>
          <w:rPr>
            <w:rStyle w:val="Hyperlink"/>
          </w:rPr>
          <w:t>Communication</w:t>
        </w:r>
        <w:r>
          <w:rPr>
            <w:webHidden/>
          </w:rPr>
          <w:tab/>
        </w:r>
        <w:r>
          <w:rPr>
            <w:webHidden/>
          </w:rPr>
          <w:fldChar w:fldCharType="begin"/>
        </w:r>
        <w:r>
          <w:rPr>
            <w:webHidden/>
          </w:rPr>
          <w:instrText xml:space="preserve"> PAGEREF _Toc40452004 \h </w:instrText>
        </w:r>
        <w:r>
          <w:rPr>
            <w:webHidden/>
          </w:rPr>
        </w:r>
        <w:r>
          <w:rPr>
            <w:webHidden/>
          </w:rPr>
          <w:fldChar w:fldCharType="separate"/>
        </w:r>
        <w:r>
          <w:rPr>
            <w:webHidden/>
          </w:rPr>
          <w:t>23</w:t>
        </w:r>
        <w:r>
          <w:rPr>
            <w:webHidden/>
          </w:rPr>
          <w:fldChar w:fldCharType="end"/>
        </w:r>
      </w:hyperlink>
    </w:p>
    <w:p>
      <w:pPr>
        <w:pStyle w:val="TOC2"/>
        <w:tabs>
          <w:tab w:val="left" w:pos="880"/>
          <w:tab w:val="right" w:leader="dot" w:pos="10456"/>
        </w:tabs>
        <w:rPr>
          <w:rFonts w:asciiTheme="minorHAnsi" w:eastAsiaTheme="minorEastAsia" w:hAnsiTheme="minorHAnsi" w:cstheme="minorBidi"/>
          <w:noProof/>
          <w:sz w:val="22"/>
          <w:szCs w:val="22"/>
          <w:lang w:eastAsia="en-GB"/>
        </w:rPr>
      </w:pPr>
      <w:hyperlink w:anchor="_Toc40452005" w:history="1">
        <w:r>
          <w:rPr>
            <w:rStyle w:val="Hyperlink"/>
            <w:noProof/>
          </w:rPr>
          <w:t>4.1</w:t>
        </w:r>
        <w:r>
          <w:rPr>
            <w:rFonts w:asciiTheme="minorHAnsi" w:eastAsiaTheme="minorEastAsia" w:hAnsiTheme="minorHAnsi" w:cstheme="minorBidi"/>
            <w:noProof/>
            <w:sz w:val="22"/>
            <w:szCs w:val="22"/>
            <w:lang w:eastAsia="en-GB"/>
          </w:rPr>
          <w:tab/>
        </w:r>
        <w:r>
          <w:rPr>
            <w:rStyle w:val="Hyperlink"/>
            <w:noProof/>
          </w:rPr>
          <w:t>Informing potential applicants</w:t>
        </w:r>
        <w:r>
          <w:rPr>
            <w:noProof/>
            <w:webHidden/>
          </w:rPr>
          <w:tab/>
        </w:r>
        <w:r>
          <w:rPr>
            <w:noProof/>
            <w:webHidden/>
          </w:rPr>
          <w:fldChar w:fldCharType="begin"/>
        </w:r>
        <w:r>
          <w:rPr>
            <w:noProof/>
            <w:webHidden/>
          </w:rPr>
          <w:instrText xml:space="preserve"> PAGEREF _Toc40452005 \h </w:instrText>
        </w:r>
        <w:r>
          <w:rPr>
            <w:noProof/>
            <w:webHidden/>
          </w:rPr>
        </w:r>
        <w:r>
          <w:rPr>
            <w:noProof/>
            <w:webHidden/>
          </w:rPr>
          <w:fldChar w:fldCharType="separate"/>
        </w:r>
        <w:r>
          <w:rPr>
            <w:noProof/>
            <w:webHidden/>
          </w:rPr>
          <w:t>23</w:t>
        </w:r>
        <w:r>
          <w:rPr>
            <w:noProof/>
            <w:webHidden/>
          </w:rPr>
          <w:fldChar w:fldCharType="end"/>
        </w:r>
      </w:hyperlink>
    </w:p>
    <w:p>
      <w:pPr>
        <w:pStyle w:val="TOC2"/>
        <w:tabs>
          <w:tab w:val="left" w:pos="880"/>
          <w:tab w:val="right" w:leader="dot" w:pos="10456"/>
        </w:tabs>
        <w:rPr>
          <w:rFonts w:asciiTheme="minorHAnsi" w:eastAsiaTheme="minorEastAsia" w:hAnsiTheme="minorHAnsi" w:cstheme="minorBidi"/>
          <w:noProof/>
          <w:sz w:val="22"/>
          <w:szCs w:val="22"/>
          <w:lang w:eastAsia="en-GB"/>
        </w:rPr>
      </w:pPr>
      <w:hyperlink w:anchor="_Toc40452006" w:history="1">
        <w:r>
          <w:rPr>
            <w:rStyle w:val="Hyperlink"/>
            <w:noProof/>
          </w:rPr>
          <w:t>4.2</w:t>
        </w:r>
        <w:r>
          <w:rPr>
            <w:rFonts w:asciiTheme="minorHAnsi" w:eastAsiaTheme="minorEastAsia" w:hAnsiTheme="minorHAnsi" w:cstheme="minorBidi"/>
            <w:noProof/>
            <w:sz w:val="22"/>
            <w:szCs w:val="22"/>
            <w:lang w:eastAsia="en-GB"/>
          </w:rPr>
          <w:tab/>
        </w:r>
        <w:r>
          <w:rPr>
            <w:rStyle w:val="Hyperlink"/>
            <w:noProof/>
          </w:rPr>
          <w:t>Dissemination of results</w:t>
        </w:r>
        <w:r>
          <w:rPr>
            <w:noProof/>
            <w:webHidden/>
          </w:rPr>
          <w:tab/>
        </w:r>
        <w:r>
          <w:rPr>
            <w:noProof/>
            <w:webHidden/>
          </w:rPr>
          <w:fldChar w:fldCharType="begin"/>
        </w:r>
        <w:r>
          <w:rPr>
            <w:noProof/>
            <w:webHidden/>
          </w:rPr>
          <w:instrText xml:space="preserve"> PAGEREF _Toc40452006 \h </w:instrText>
        </w:r>
        <w:r>
          <w:rPr>
            <w:noProof/>
            <w:webHidden/>
          </w:rPr>
        </w:r>
        <w:r>
          <w:rPr>
            <w:noProof/>
            <w:webHidden/>
          </w:rPr>
          <w:fldChar w:fldCharType="separate"/>
        </w:r>
        <w:r>
          <w:rPr>
            <w:noProof/>
            <w:webHidden/>
          </w:rPr>
          <w:t>24</w:t>
        </w:r>
        <w:r>
          <w:rPr>
            <w:noProof/>
            <w:webHidden/>
          </w:rPr>
          <w:fldChar w:fldCharType="end"/>
        </w:r>
      </w:hyperlink>
    </w:p>
    <w:p>
      <w:pPr>
        <w:pStyle w:val="TOC2"/>
        <w:tabs>
          <w:tab w:val="left" w:pos="880"/>
          <w:tab w:val="right" w:leader="dot" w:pos="10456"/>
        </w:tabs>
        <w:rPr>
          <w:rFonts w:asciiTheme="minorHAnsi" w:eastAsiaTheme="minorEastAsia" w:hAnsiTheme="minorHAnsi" w:cstheme="minorBidi"/>
          <w:noProof/>
          <w:sz w:val="22"/>
          <w:szCs w:val="22"/>
          <w:lang w:eastAsia="en-GB"/>
        </w:rPr>
      </w:pPr>
      <w:hyperlink w:anchor="_Toc40452007" w:history="1">
        <w:r>
          <w:rPr>
            <w:rStyle w:val="Hyperlink"/>
            <w:noProof/>
          </w:rPr>
          <w:t>4.3</w:t>
        </w:r>
        <w:r>
          <w:rPr>
            <w:rFonts w:asciiTheme="minorHAnsi" w:eastAsiaTheme="minorEastAsia" w:hAnsiTheme="minorHAnsi" w:cstheme="minorBidi"/>
            <w:noProof/>
            <w:sz w:val="22"/>
            <w:szCs w:val="22"/>
            <w:lang w:eastAsia="en-GB"/>
          </w:rPr>
          <w:tab/>
        </w:r>
        <w:r>
          <w:rPr>
            <w:rStyle w:val="Hyperlink"/>
            <w:noProof/>
          </w:rPr>
          <w:t>Visibility of EU funding</w:t>
        </w:r>
        <w:r>
          <w:rPr>
            <w:noProof/>
            <w:webHidden/>
          </w:rPr>
          <w:tab/>
        </w:r>
        <w:r>
          <w:rPr>
            <w:noProof/>
            <w:webHidden/>
          </w:rPr>
          <w:fldChar w:fldCharType="begin"/>
        </w:r>
        <w:r>
          <w:rPr>
            <w:noProof/>
            <w:webHidden/>
          </w:rPr>
          <w:instrText xml:space="preserve"> PAGEREF _Toc40452007 \h </w:instrText>
        </w:r>
        <w:r>
          <w:rPr>
            <w:noProof/>
            <w:webHidden/>
          </w:rPr>
        </w:r>
        <w:r>
          <w:rPr>
            <w:noProof/>
            <w:webHidden/>
          </w:rPr>
          <w:fldChar w:fldCharType="separate"/>
        </w:r>
        <w:r>
          <w:rPr>
            <w:noProof/>
            <w:webHidden/>
          </w:rPr>
          <w:t>24</w:t>
        </w:r>
        <w:r>
          <w:rPr>
            <w:noProof/>
            <w:webHidden/>
          </w:rPr>
          <w:fldChar w:fldCharType="end"/>
        </w:r>
      </w:hyperlink>
    </w:p>
    <w:p>
      <w:pPr>
        <w:pStyle w:val="TOC1"/>
        <w:rPr>
          <w:rFonts w:asciiTheme="minorHAnsi" w:eastAsiaTheme="minorEastAsia" w:hAnsiTheme="minorHAnsi" w:cstheme="minorBidi"/>
          <w:szCs w:val="22"/>
          <w:lang w:eastAsia="en-GB"/>
        </w:rPr>
      </w:pPr>
      <w:hyperlink w:anchor="_Toc40452008" w:history="1">
        <w:r>
          <w:rPr>
            <w:rStyle w:val="Hyperlink"/>
          </w:rPr>
          <w:t>5.</w:t>
        </w:r>
        <w:r>
          <w:rPr>
            <w:rFonts w:asciiTheme="minorHAnsi" w:eastAsiaTheme="minorEastAsia" w:hAnsiTheme="minorHAnsi" w:cstheme="minorBidi"/>
            <w:szCs w:val="22"/>
            <w:lang w:eastAsia="en-GB"/>
          </w:rPr>
          <w:tab/>
        </w:r>
        <w:r>
          <w:rPr>
            <w:rStyle w:val="Hyperlink"/>
          </w:rPr>
          <w:t>Feedback from participants of the programme</w:t>
        </w:r>
        <w:r>
          <w:rPr>
            <w:webHidden/>
          </w:rPr>
          <w:tab/>
        </w:r>
        <w:r>
          <w:rPr>
            <w:webHidden/>
          </w:rPr>
          <w:fldChar w:fldCharType="begin"/>
        </w:r>
        <w:r>
          <w:rPr>
            <w:webHidden/>
          </w:rPr>
          <w:instrText xml:space="preserve"> PAGEREF _Toc40452008 \h </w:instrText>
        </w:r>
        <w:r>
          <w:rPr>
            <w:webHidden/>
          </w:rPr>
        </w:r>
        <w:r>
          <w:rPr>
            <w:webHidden/>
          </w:rPr>
          <w:fldChar w:fldCharType="separate"/>
        </w:r>
        <w:r>
          <w:rPr>
            <w:webHidden/>
          </w:rPr>
          <w:t>24</w:t>
        </w:r>
        <w:r>
          <w:rPr>
            <w:webHidden/>
          </w:rPr>
          <w:fldChar w:fldCharType="end"/>
        </w:r>
      </w:hyperlink>
    </w:p>
    <w:p>
      <w:pPr>
        <w:pStyle w:val="TOC1"/>
        <w:rPr>
          <w:rFonts w:asciiTheme="minorHAnsi" w:eastAsiaTheme="minorEastAsia" w:hAnsiTheme="minorHAnsi" w:cstheme="minorBidi"/>
          <w:szCs w:val="22"/>
          <w:lang w:eastAsia="en-GB"/>
        </w:rPr>
      </w:pPr>
      <w:hyperlink w:anchor="_Toc40452009" w:history="1">
        <w:r>
          <w:rPr>
            <w:rStyle w:val="Hyperlink"/>
          </w:rPr>
          <w:t>6.</w:t>
        </w:r>
        <w:r>
          <w:rPr>
            <w:rFonts w:asciiTheme="minorHAnsi" w:eastAsiaTheme="minorEastAsia" w:hAnsiTheme="minorHAnsi" w:cstheme="minorBidi"/>
            <w:szCs w:val="22"/>
            <w:lang w:eastAsia="en-GB"/>
          </w:rPr>
          <w:tab/>
        </w:r>
        <w:r>
          <w:rPr>
            <w:rStyle w:val="Hyperlink"/>
          </w:rPr>
          <w:t>Conclusions and way forward</w:t>
        </w:r>
        <w:r>
          <w:rPr>
            <w:webHidden/>
          </w:rPr>
          <w:tab/>
        </w:r>
        <w:r>
          <w:rPr>
            <w:webHidden/>
          </w:rPr>
          <w:fldChar w:fldCharType="begin"/>
        </w:r>
        <w:r>
          <w:rPr>
            <w:webHidden/>
          </w:rPr>
          <w:instrText xml:space="preserve"> PAGEREF _Toc40452009 \h </w:instrText>
        </w:r>
        <w:r>
          <w:rPr>
            <w:webHidden/>
          </w:rPr>
        </w:r>
        <w:r>
          <w:rPr>
            <w:webHidden/>
          </w:rPr>
          <w:fldChar w:fldCharType="separate"/>
        </w:r>
        <w:r>
          <w:rPr>
            <w:webHidden/>
          </w:rPr>
          <w:t>25</w:t>
        </w:r>
        <w:r>
          <w:rPr>
            <w:webHidden/>
          </w:rPr>
          <w:fldChar w:fldCharType="end"/>
        </w:r>
      </w:hyperlink>
    </w:p>
    <w:p>
      <w:pPr>
        <w:pStyle w:val="Heading1"/>
        <w:tabs>
          <w:tab w:val="center" w:pos="5233"/>
          <w:tab w:val="left" w:pos="7500"/>
        </w:tabs>
        <w:rPr>
          <w:noProof/>
        </w:rPr>
      </w:pPr>
      <w:r>
        <w:rPr>
          <w:noProof/>
        </w:rPr>
        <w:fldChar w:fldCharType="end"/>
      </w:r>
      <w:r>
        <w:rPr>
          <w:noProof/>
        </w:rPr>
        <w:tab/>
      </w:r>
      <w:r>
        <w:rPr>
          <w:noProof/>
        </w:rPr>
        <w:tab/>
      </w:r>
    </w:p>
    <w:p>
      <w:pPr>
        <w:pStyle w:val="Text1"/>
        <w:rPr>
          <w:noProof/>
        </w:rPr>
      </w:pPr>
    </w:p>
    <w:p>
      <w:pPr>
        <w:pStyle w:val="Text1"/>
        <w:ind w:left="0"/>
        <w:rPr>
          <w:noProof/>
        </w:rPr>
      </w:pPr>
    </w:p>
    <w:p>
      <w:pPr>
        <w:pStyle w:val="Text1"/>
        <w:ind w:left="0"/>
        <w:rPr>
          <w:noProof/>
        </w:rPr>
      </w:pPr>
    </w:p>
    <w:p>
      <w:pPr>
        <w:pStyle w:val="Heading1"/>
        <w:rPr>
          <w:noProof/>
        </w:rPr>
      </w:pPr>
      <w:bookmarkStart w:id="3" w:name="_Toc40451987"/>
      <w:r>
        <w:rPr>
          <w:noProof/>
        </w:rPr>
        <w:t>1.</w:t>
      </w:r>
      <w:r>
        <w:rPr>
          <w:noProof/>
        </w:rPr>
        <w:tab/>
        <w:t>Introduction</w:t>
      </w:r>
      <w:bookmarkEnd w:id="0"/>
      <w:bookmarkEnd w:id="3"/>
    </w:p>
    <w:p>
      <w:pPr>
        <w:pStyle w:val="Heading2"/>
        <w:rPr>
          <w:noProof/>
        </w:rPr>
      </w:pPr>
      <w:bookmarkStart w:id="4" w:name="_Toc421687685"/>
      <w:r>
        <w:rPr>
          <w:noProof/>
        </w:rPr>
        <w:tab/>
      </w:r>
      <w:bookmarkStart w:id="5" w:name="_Toc40451988"/>
      <w:r>
        <w:rPr>
          <w:noProof/>
        </w:rPr>
        <w:t>1.1</w:t>
      </w:r>
      <w:r>
        <w:rPr>
          <w:noProof/>
        </w:rPr>
        <w:tab/>
        <w:t>Hercule III Programme</w:t>
      </w:r>
      <w:bookmarkEnd w:id="4"/>
      <w:bookmarkEnd w:id="5"/>
      <w:r>
        <w:rPr>
          <w:noProof/>
        </w:rPr>
        <w:t xml:space="preserve"> </w:t>
      </w:r>
    </w:p>
    <w:p>
      <w:pPr>
        <w:rPr>
          <w:bCs/>
          <w:iCs/>
          <w:noProof/>
          <w:szCs w:val="28"/>
        </w:rPr>
      </w:pPr>
      <w:r>
        <w:rPr>
          <w:bCs/>
          <w:iCs/>
          <w:noProof/>
          <w:szCs w:val="28"/>
        </w:rPr>
        <w:t>The aim of the Hercule III Programme (hereinafter referred to as “the Programme”) is to protect the financial interests of the European Union by fighting fraud, corruption and any other illegal activities. The Programme provides support to national and regional administrations, as well as research and educational institutes and other non-profit making entities which “</w:t>
      </w:r>
      <w:r>
        <w:rPr>
          <w:bCs/>
          <w:i/>
          <w:iCs/>
          <w:noProof/>
          <w:szCs w:val="28"/>
        </w:rPr>
        <w:t>promote the strengthening of action at Union level to protect the financial interests of the Union</w:t>
      </w:r>
      <w:r>
        <w:rPr>
          <w:bCs/>
          <w:iCs/>
          <w:noProof/>
          <w:szCs w:val="28"/>
        </w:rPr>
        <w:t xml:space="preserve">”. The financial support mostly consists of grants awarded to competent authorities in the Member States to strengthen their operational and technical capacity to carry out investigations into activities detrimental to the financial interests of the Union. The financial support is used for the purchase of technical equipment, such as detection, investigation and forensic tools, or the purchase and installation of integrated systems for number plate recognition. The Programme also finances trainings and conferences as well as comparative research and scientific publications. </w:t>
      </w:r>
    </w:p>
    <w:p>
      <w:pPr>
        <w:rPr>
          <w:bCs/>
          <w:iCs/>
          <w:noProof/>
          <w:szCs w:val="28"/>
        </w:rPr>
      </w:pPr>
      <w:r>
        <w:rPr>
          <w:bCs/>
          <w:iCs/>
          <w:noProof/>
          <w:szCs w:val="28"/>
        </w:rPr>
        <w:t>The legal basis</w:t>
      </w:r>
      <w:r>
        <w:rPr>
          <w:rStyle w:val="FootnoteReference"/>
          <w:bCs/>
          <w:iCs/>
          <w:noProof/>
          <w:szCs w:val="28"/>
        </w:rPr>
        <w:footnoteReference w:id="1"/>
      </w:r>
      <w:r>
        <w:rPr>
          <w:bCs/>
          <w:iCs/>
          <w:noProof/>
          <w:szCs w:val="28"/>
        </w:rPr>
        <w:t xml:space="preserve"> of the Programme requires the Commission to adopt an annual work programme</w:t>
      </w:r>
      <w:r>
        <w:rPr>
          <w:rStyle w:val="FootnoteReference"/>
          <w:bCs/>
          <w:iCs/>
          <w:noProof/>
          <w:szCs w:val="28"/>
        </w:rPr>
        <w:footnoteReference w:id="2"/>
      </w:r>
      <w:r>
        <w:rPr>
          <w:bCs/>
          <w:iCs/>
          <w:noProof/>
          <w:szCs w:val="28"/>
        </w:rPr>
        <w:t xml:space="preserve"> for the implementation of the Programme and to submit an annual report</w:t>
      </w:r>
      <w:r>
        <w:rPr>
          <w:rStyle w:val="FootnoteReference"/>
          <w:bCs/>
          <w:iCs/>
          <w:noProof/>
          <w:szCs w:val="28"/>
        </w:rPr>
        <w:footnoteReference w:id="3"/>
      </w:r>
      <w:r>
        <w:rPr>
          <w:bCs/>
          <w:iCs/>
          <w:noProof/>
          <w:szCs w:val="28"/>
        </w:rPr>
        <w:t xml:space="preserve"> on the main results and achievements to the European Parliament and to the Council. This is the sixth annual overview of the achievements and results of the Programme. </w:t>
      </w:r>
    </w:p>
    <w:p>
      <w:pPr>
        <w:rPr>
          <w:bCs/>
          <w:iCs/>
          <w:noProof/>
          <w:szCs w:val="28"/>
        </w:rPr>
      </w:pPr>
      <w:r>
        <w:rPr>
          <w:bCs/>
          <w:iCs/>
          <w:noProof/>
          <w:szCs w:val="28"/>
        </w:rPr>
        <w:t>The Programme was implemented in 2019 in accordance with Regulation (EU, Euratom) No. 2018/1046</w:t>
      </w:r>
      <w:r>
        <w:rPr>
          <w:rStyle w:val="FootnoteReference"/>
          <w:bCs/>
          <w:iCs/>
          <w:noProof/>
          <w:szCs w:val="28"/>
        </w:rPr>
        <w:footnoteReference w:id="4"/>
      </w:r>
      <w:r>
        <w:rPr>
          <w:bCs/>
          <w:iCs/>
          <w:noProof/>
          <w:szCs w:val="28"/>
        </w:rPr>
        <w:t xml:space="preserve">. </w:t>
      </w:r>
    </w:p>
    <w:p>
      <w:pPr>
        <w:autoSpaceDE w:val="0"/>
        <w:autoSpaceDN w:val="0"/>
        <w:adjustRightInd w:val="0"/>
        <w:rPr>
          <w:noProof/>
        </w:rPr>
      </w:pPr>
      <w:r>
        <w:rPr>
          <w:noProof/>
        </w:rPr>
        <w:t xml:space="preserve">The Programme is the only instrument </w:t>
      </w:r>
      <w:r>
        <w:rPr>
          <w:b/>
          <w:bCs/>
          <w:noProof/>
        </w:rPr>
        <w:t xml:space="preserve">specifically </w:t>
      </w:r>
      <w:r>
        <w:rPr>
          <w:noProof/>
        </w:rPr>
        <w:t>dedicated to protecting the Union’s financial interests and is administered by the European Anti-Fraud Office (OLAF), which in the field of anti-fraud policy operates as a Directorate-General of the European Commission.</w:t>
      </w:r>
    </w:p>
    <w:p>
      <w:pPr>
        <w:rPr>
          <w:noProof/>
        </w:rPr>
      </w:pPr>
      <w:r>
        <w:rPr>
          <w:noProof/>
        </w:rPr>
        <w:t>The general objective of the Programme is “</w:t>
      </w:r>
      <w:r>
        <w:rPr>
          <w:i/>
          <w:noProof/>
        </w:rPr>
        <w:t>to protect the financial interests of the Union thus enhancing the competitiveness of the Union's economy and ensuring the protection of the taxpayers' money”</w:t>
      </w:r>
      <w:r>
        <w:rPr>
          <w:rStyle w:val="FootnoteReference"/>
          <w:noProof/>
        </w:rPr>
        <w:footnoteReference w:id="5"/>
      </w:r>
      <w:r>
        <w:rPr>
          <w:noProof/>
        </w:rPr>
        <w:t>,</w:t>
      </w:r>
      <w:r>
        <w:rPr>
          <w:i/>
          <w:noProof/>
        </w:rPr>
        <w:t xml:space="preserve"> </w:t>
      </w:r>
      <w:r>
        <w:rPr>
          <w:noProof/>
        </w:rPr>
        <w:t>whereas the Programme’s specific objective is “</w:t>
      </w:r>
      <w:r>
        <w:rPr>
          <w:i/>
          <w:noProof/>
        </w:rPr>
        <w:t>to prevent and combat fraud, corruption and any other illegal activities affecting the financial interests of the Union”</w:t>
      </w:r>
      <w:r>
        <w:rPr>
          <w:rStyle w:val="FootnoteReference"/>
          <w:i/>
          <w:noProof/>
        </w:rPr>
        <w:footnoteReference w:id="6"/>
      </w:r>
      <w:r>
        <w:rPr>
          <w:noProof/>
        </w:rPr>
        <w:t>. The five operational objectives</w:t>
      </w:r>
      <w:r>
        <w:rPr>
          <w:rStyle w:val="FootnoteReference"/>
          <w:noProof/>
        </w:rPr>
        <w:footnoteReference w:id="7"/>
      </w:r>
      <w:r>
        <w:rPr>
          <w:noProof/>
        </w:rPr>
        <w:t xml:space="preserve"> of the Programme are described in section 3 of this report, together with an overview of the main results of the actions carried out under the Programme and their contribution to the operational objectives.</w:t>
      </w:r>
      <w:bookmarkStart w:id="6" w:name="_Toc421687686"/>
    </w:p>
    <w:p>
      <w:pPr>
        <w:pStyle w:val="Heading2"/>
        <w:rPr>
          <w:noProof/>
          <w:lang w:eastAsia="en-GB"/>
        </w:rPr>
      </w:pPr>
      <w:r>
        <w:rPr>
          <w:noProof/>
        </w:rPr>
        <w:tab/>
      </w:r>
      <w:bookmarkStart w:id="7" w:name="_Toc40451989"/>
      <w:r>
        <w:rPr>
          <w:noProof/>
        </w:rPr>
        <w:t>1.2</w:t>
      </w:r>
      <w:r>
        <w:rPr>
          <w:noProof/>
        </w:rPr>
        <w:tab/>
        <w:t>Hercule III: eligible actions, beneficiaries and budget</w:t>
      </w:r>
      <w:bookmarkEnd w:id="6"/>
      <w:bookmarkEnd w:id="7"/>
      <w:r>
        <w:rPr>
          <w:noProof/>
        </w:rPr>
        <w:t xml:space="preserve">  </w:t>
      </w:r>
    </w:p>
    <w:p>
      <w:pPr>
        <w:spacing w:before="0" w:after="200"/>
        <w:rPr>
          <w:noProof/>
          <w:lang w:eastAsia="en-GB"/>
        </w:rPr>
      </w:pPr>
      <w:r>
        <w:rPr>
          <w:noProof/>
          <w:lang w:eastAsia="en-GB"/>
        </w:rPr>
        <w:t>There are three types of eligible actions</w:t>
      </w:r>
      <w:r>
        <w:rPr>
          <w:rStyle w:val="FootnoteReference"/>
          <w:noProof/>
          <w:lang w:eastAsia="en-GB"/>
        </w:rPr>
        <w:footnoteReference w:id="8"/>
      </w:r>
      <w:r>
        <w:rPr>
          <w:noProof/>
          <w:lang w:eastAsia="en-GB"/>
        </w:rPr>
        <w:t xml:space="preserve"> supported by the Programme:</w:t>
      </w:r>
    </w:p>
    <w:p>
      <w:pPr>
        <w:pStyle w:val="ListNumber2"/>
        <w:rPr>
          <w:noProof/>
          <w:lang w:eastAsia="en-GB"/>
        </w:rPr>
      </w:pPr>
      <w:r>
        <w:rPr>
          <w:noProof/>
          <w:lang w:eastAsia="en-GB"/>
        </w:rPr>
        <w:t>“Technical Assistance”</w:t>
      </w:r>
      <w:r>
        <w:rPr>
          <w:rStyle w:val="FootnoteReference"/>
          <w:noProof/>
          <w:lang w:eastAsia="en-GB"/>
        </w:rPr>
        <w:footnoteReference w:id="9"/>
      </w:r>
      <w:r>
        <w:rPr>
          <w:noProof/>
          <w:lang w:eastAsia="en-GB"/>
        </w:rPr>
        <w:t>: support aimed at providing specific knowledge, equipment and information technology (IT) tools to national authorities, as well as providing specific databases and IT tools facilitating data access and analysis;</w:t>
      </w:r>
    </w:p>
    <w:p>
      <w:pPr>
        <w:pStyle w:val="ListNumber2"/>
        <w:rPr>
          <w:noProof/>
          <w:lang w:eastAsia="en-GB"/>
        </w:rPr>
      </w:pPr>
      <w:r>
        <w:rPr>
          <w:noProof/>
          <w:lang w:eastAsia="en-GB"/>
        </w:rPr>
        <w:t>“Training”: support for training activities, conferences and legal studies focused on the protection of the Union’s financial interests;</w:t>
      </w:r>
    </w:p>
    <w:p>
      <w:pPr>
        <w:pStyle w:val="ListNumber2"/>
        <w:rPr>
          <w:noProof/>
          <w:lang w:eastAsia="en-GB"/>
        </w:rPr>
      </w:pPr>
      <w:r>
        <w:rPr>
          <w:noProof/>
          <w:lang w:eastAsia="en-GB"/>
        </w:rPr>
        <w:t xml:space="preserve">“Any other action”: other actions necessary for attaining the general, the specific and the operational objectives of the Programme. </w:t>
      </w:r>
    </w:p>
    <w:p>
      <w:pPr>
        <w:autoSpaceDE w:val="0"/>
        <w:autoSpaceDN w:val="0"/>
        <w:adjustRightInd w:val="0"/>
        <w:rPr>
          <w:noProof/>
        </w:rPr>
      </w:pPr>
      <w:r>
        <w:rPr>
          <w:noProof/>
        </w:rPr>
        <w:t>The beneficiaries</w:t>
      </w:r>
      <w:r>
        <w:rPr>
          <w:rStyle w:val="FootnoteReference"/>
          <w:noProof/>
        </w:rPr>
        <w:footnoteReference w:id="10"/>
      </w:r>
      <w:r>
        <w:rPr>
          <w:noProof/>
        </w:rPr>
        <w:t xml:space="preserve"> of the Programme are eligible bodies that are: </w:t>
      </w:r>
    </w:p>
    <w:p>
      <w:pPr>
        <w:pStyle w:val="ListNumber2"/>
        <w:numPr>
          <w:ilvl w:val="0"/>
          <w:numId w:val="5"/>
        </w:numPr>
        <w:spacing w:before="0" w:after="0"/>
        <w:rPr>
          <w:noProof/>
        </w:rPr>
      </w:pPr>
      <w:r>
        <w:rPr>
          <w:noProof/>
        </w:rPr>
        <w:t>National or regional administrations of a Member State;</w:t>
      </w:r>
    </w:p>
    <w:p>
      <w:pPr>
        <w:pStyle w:val="ListNumber2"/>
        <w:numPr>
          <w:ilvl w:val="0"/>
          <w:numId w:val="5"/>
        </w:numPr>
        <w:spacing w:before="0" w:after="0"/>
        <w:rPr>
          <w:noProof/>
        </w:rPr>
      </w:pPr>
      <w:r>
        <w:rPr>
          <w:noProof/>
        </w:rPr>
        <w:t>Research and educational institutes and non-profit-making entities in Member States.</w:t>
      </w:r>
    </w:p>
    <w:p>
      <w:pPr>
        <w:rPr>
          <w:noProof/>
        </w:rPr>
      </w:pPr>
      <w:r>
        <w:rPr>
          <w:noProof/>
        </w:rPr>
        <w:t>Both types of beneficiaries shall “</w:t>
      </w:r>
      <w:r>
        <w:rPr>
          <w:i/>
          <w:noProof/>
        </w:rPr>
        <w:t>promote the strengthening of action at Union level to protect the financial interests of the Union</w:t>
      </w:r>
      <w:r>
        <w:rPr>
          <w:noProof/>
        </w:rPr>
        <w:t>”. Costs incurred for the participation of persons from third countries in an event funded under the Programme, such as conferences, seminars or training sessions, can be considered eligible for funding under certain conditions.</w:t>
      </w:r>
    </w:p>
    <w:p>
      <w:pPr>
        <w:pStyle w:val="NormalLeft"/>
        <w:spacing w:before="0" w:after="0"/>
        <w:jc w:val="both"/>
        <w:rPr>
          <w:noProof/>
        </w:rPr>
      </w:pPr>
      <w:r>
        <w:rPr>
          <w:noProof/>
        </w:rPr>
        <w:t>The budget for the implementation of the Programme in 2019 amounted to EUR 15.89 million in commitment appropriations and EUR 16.06 million in payment appropriations and is financed under item 24.0201 of the European Union budget for 2019.</w:t>
      </w:r>
    </w:p>
    <w:p>
      <w:pPr>
        <w:pStyle w:val="Heading2"/>
        <w:rPr>
          <w:noProof/>
        </w:rPr>
      </w:pPr>
      <w:bookmarkStart w:id="8" w:name="_Toc358287365"/>
      <w:bookmarkStart w:id="9" w:name="_Toc421687687"/>
      <w:r>
        <w:rPr>
          <w:noProof/>
        </w:rPr>
        <w:tab/>
      </w:r>
      <w:bookmarkStart w:id="10" w:name="_Toc40451990"/>
      <w:r>
        <w:rPr>
          <w:noProof/>
        </w:rPr>
        <w:t>1.3</w:t>
      </w:r>
      <w:r>
        <w:rPr>
          <w:noProof/>
        </w:rPr>
        <w:tab/>
        <w:t>Purpose and scope of this overview</w:t>
      </w:r>
      <w:bookmarkEnd w:id="8"/>
      <w:bookmarkEnd w:id="9"/>
      <w:bookmarkEnd w:id="10"/>
    </w:p>
    <w:p>
      <w:pPr>
        <w:pStyle w:val="NormalLeft"/>
        <w:spacing w:before="0" w:after="0"/>
        <w:jc w:val="both"/>
        <w:rPr>
          <w:noProof/>
        </w:rPr>
      </w:pPr>
      <w:r>
        <w:rPr>
          <w:noProof/>
        </w:rPr>
        <w:t>The annual overview is intended to fulfil the requirement under Article 13(1) of Regulation (EU) 250/2014 to "</w:t>
      </w:r>
      <w:r>
        <w:rPr>
          <w:i/>
          <w:noProof/>
        </w:rPr>
        <w:t>provide the European Parliament and the Council, on an annual basis, with information on the implementation of the Programme, including on the achievement of the objectives of the Programme and the results</w:t>
      </w:r>
      <w:r>
        <w:rPr>
          <w:noProof/>
        </w:rPr>
        <w:t xml:space="preserve">". To this end, this overview covers information on actions for which financial commitments were made under the 2019 Annual Work Programme (section 2), as well as the results of actions that were finalised in 2019, but committed under the Programme in previous years (section 3).  </w:t>
      </w:r>
    </w:p>
    <w:p>
      <w:pPr>
        <w:pStyle w:val="Heading1"/>
        <w:spacing w:before="120"/>
        <w:rPr>
          <w:noProof/>
        </w:rPr>
      </w:pPr>
      <w:bookmarkStart w:id="11" w:name="_Toc421687688"/>
      <w:bookmarkStart w:id="12" w:name="_Toc40451991"/>
      <w:r>
        <w:rPr>
          <w:noProof/>
        </w:rPr>
        <w:t>2.</w:t>
      </w:r>
      <w:r>
        <w:rPr>
          <w:noProof/>
        </w:rPr>
        <w:tab/>
        <w:t xml:space="preserve">Budget implementation in </w:t>
      </w:r>
      <w:bookmarkEnd w:id="11"/>
      <w:r>
        <w:rPr>
          <w:noProof/>
        </w:rPr>
        <w:t>2019</w:t>
      </w:r>
      <w:bookmarkEnd w:id="12"/>
      <w:r>
        <w:rPr>
          <w:noProof/>
        </w:rPr>
        <w:t xml:space="preserve"> </w:t>
      </w:r>
      <w:r>
        <w:rPr>
          <w:noProof/>
        </w:rPr>
        <w:tab/>
      </w:r>
    </w:p>
    <w:p>
      <w:pPr>
        <w:rPr>
          <w:bCs/>
          <w:noProof/>
        </w:rPr>
      </w:pPr>
      <w:r>
        <w:rPr>
          <w:bCs/>
          <w:noProof/>
        </w:rPr>
        <w:t xml:space="preserve">The budget for the implementation of the Programme amounted to EUR 15.89 million in commitment appropriations. Table 1 gives an overview of the available </w:t>
      </w:r>
      <w:r>
        <w:rPr>
          <w:b/>
          <w:bCs/>
          <w:noProof/>
        </w:rPr>
        <w:t>budget</w:t>
      </w:r>
      <w:r>
        <w:rPr>
          <w:bCs/>
          <w:noProof/>
        </w:rPr>
        <w:t xml:space="preserve"> and the </w:t>
      </w:r>
      <w:r>
        <w:rPr>
          <w:b/>
          <w:bCs/>
          <w:noProof/>
        </w:rPr>
        <w:t>commitments</w:t>
      </w:r>
      <w:r>
        <w:rPr>
          <w:bCs/>
          <w:noProof/>
        </w:rPr>
        <w:t xml:space="preserve"> made in 2019.</w:t>
      </w:r>
    </w:p>
    <w:p>
      <w:pPr>
        <w:spacing w:before="360"/>
        <w:rPr>
          <w:b/>
          <w:bCs/>
          <w:noProof/>
        </w:rPr>
      </w:pPr>
      <w:r>
        <w:rPr>
          <w:b/>
          <w:bCs/>
          <w:noProof/>
        </w:rPr>
        <w:t>Table 1: Available budget and commitments made in 2019</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1417"/>
        <w:gridCol w:w="1418"/>
        <w:gridCol w:w="1417"/>
        <w:gridCol w:w="992"/>
      </w:tblGrid>
      <w:tr>
        <w:trPr>
          <w:trHeight w:val="315"/>
          <w:jc w:val="center"/>
        </w:trPr>
        <w:tc>
          <w:tcPr>
            <w:tcW w:w="5245" w:type="dxa"/>
            <w:gridSpan w:val="2"/>
            <w:shd w:val="clear" w:color="auto" w:fill="auto"/>
            <w:noWrap/>
            <w:vAlign w:val="center"/>
          </w:tcPr>
          <w:p>
            <w:pPr>
              <w:spacing w:before="0" w:after="0"/>
              <w:rPr>
                <w:b/>
                <w:noProof/>
                <w:sz w:val="22"/>
                <w:szCs w:val="22"/>
                <w:lang w:eastAsia="en-GB"/>
              </w:rPr>
            </w:pPr>
            <w:r>
              <w:rPr>
                <w:b/>
                <w:noProof/>
                <w:sz w:val="22"/>
                <w:szCs w:val="22"/>
                <w:lang w:eastAsia="en-GB"/>
              </w:rPr>
              <w:t>TYPES OF ELIGIBLE ACTIONS 2019</w:t>
            </w:r>
          </w:p>
        </w:tc>
        <w:tc>
          <w:tcPr>
            <w:tcW w:w="1418" w:type="dxa"/>
            <w:shd w:val="clear" w:color="auto" w:fill="auto"/>
            <w:noWrap/>
            <w:vAlign w:val="center"/>
          </w:tcPr>
          <w:p>
            <w:pPr>
              <w:spacing w:before="0" w:after="0"/>
              <w:jc w:val="right"/>
              <w:rPr>
                <w:b/>
                <w:noProof/>
                <w:sz w:val="22"/>
                <w:szCs w:val="22"/>
                <w:lang w:eastAsia="en-GB"/>
              </w:rPr>
            </w:pPr>
            <w:r>
              <w:rPr>
                <w:b/>
                <w:noProof/>
                <w:sz w:val="22"/>
                <w:szCs w:val="22"/>
                <w:lang w:eastAsia="en-GB"/>
              </w:rPr>
              <w:t>BUDGET</w:t>
            </w:r>
            <w:r>
              <w:rPr>
                <w:b/>
                <w:noProof/>
                <w:sz w:val="22"/>
                <w:szCs w:val="22"/>
                <w:vertAlign w:val="superscript"/>
                <w:lang w:eastAsia="en-GB"/>
              </w:rPr>
              <w:footnoteReference w:id="11"/>
            </w:r>
          </w:p>
        </w:tc>
        <w:tc>
          <w:tcPr>
            <w:tcW w:w="1417" w:type="dxa"/>
            <w:shd w:val="clear" w:color="auto" w:fill="auto"/>
            <w:noWrap/>
            <w:vAlign w:val="center"/>
          </w:tcPr>
          <w:p>
            <w:pPr>
              <w:spacing w:before="0" w:after="0"/>
              <w:jc w:val="right"/>
              <w:rPr>
                <w:b/>
                <w:noProof/>
                <w:sz w:val="22"/>
                <w:szCs w:val="22"/>
                <w:lang w:eastAsia="en-GB"/>
              </w:rPr>
            </w:pPr>
            <w:r>
              <w:rPr>
                <w:b/>
                <w:noProof/>
                <w:sz w:val="22"/>
                <w:szCs w:val="22"/>
                <w:lang w:eastAsia="en-GB"/>
              </w:rPr>
              <w:t>COMMIT</w:t>
            </w:r>
            <w:r>
              <w:rPr>
                <w:b/>
                <w:noProof/>
                <w:sz w:val="22"/>
                <w:szCs w:val="22"/>
                <w:vertAlign w:val="superscript"/>
                <w:lang w:eastAsia="en-GB"/>
              </w:rPr>
              <w:footnoteReference w:id="12"/>
            </w:r>
          </w:p>
        </w:tc>
        <w:tc>
          <w:tcPr>
            <w:tcW w:w="992" w:type="dxa"/>
            <w:shd w:val="clear" w:color="auto" w:fill="auto"/>
            <w:noWrap/>
            <w:vAlign w:val="center"/>
          </w:tcPr>
          <w:p>
            <w:pPr>
              <w:spacing w:before="0" w:after="0"/>
              <w:jc w:val="right"/>
              <w:rPr>
                <w:b/>
                <w:noProof/>
                <w:sz w:val="22"/>
                <w:szCs w:val="22"/>
                <w:lang w:eastAsia="en-GB"/>
              </w:rPr>
            </w:pPr>
            <w:r>
              <w:rPr>
                <w:b/>
                <w:noProof/>
                <w:sz w:val="22"/>
                <w:szCs w:val="22"/>
                <w:lang w:eastAsia="en-GB"/>
              </w:rPr>
              <w:t>%</w:t>
            </w:r>
          </w:p>
        </w:tc>
      </w:tr>
      <w:tr>
        <w:trPr>
          <w:trHeight w:val="315"/>
          <w:jc w:val="center"/>
        </w:trPr>
        <w:tc>
          <w:tcPr>
            <w:tcW w:w="5245" w:type="dxa"/>
            <w:gridSpan w:val="2"/>
            <w:shd w:val="clear" w:color="000000" w:fill="DCE6F1"/>
            <w:noWrap/>
            <w:vAlign w:val="center"/>
          </w:tcPr>
          <w:p>
            <w:pPr>
              <w:spacing w:before="0" w:after="0"/>
              <w:rPr>
                <w:b/>
                <w:bCs/>
                <w:noProof/>
                <w:sz w:val="22"/>
                <w:szCs w:val="22"/>
                <w:lang w:eastAsia="en-GB"/>
              </w:rPr>
            </w:pPr>
            <w:r>
              <w:rPr>
                <w:b/>
                <w:bCs/>
                <w:noProof/>
                <w:sz w:val="22"/>
                <w:szCs w:val="22"/>
                <w:lang w:eastAsia="en-GB"/>
              </w:rPr>
              <w:t>TECHNICAL ASSISTANCE (min. 70%)</w:t>
            </w:r>
          </w:p>
        </w:tc>
        <w:tc>
          <w:tcPr>
            <w:tcW w:w="1418" w:type="dxa"/>
            <w:shd w:val="clear" w:color="000000" w:fill="DCE6F1"/>
            <w:noWrap/>
            <w:vAlign w:val="center"/>
          </w:tcPr>
          <w:p>
            <w:pPr>
              <w:spacing w:before="0" w:after="0"/>
              <w:jc w:val="right"/>
              <w:rPr>
                <w:b/>
                <w:noProof/>
                <w:sz w:val="22"/>
                <w:szCs w:val="22"/>
                <w:lang w:eastAsia="en-GB"/>
              </w:rPr>
            </w:pPr>
            <w:r>
              <w:rPr>
                <w:b/>
                <w:noProof/>
                <w:sz w:val="22"/>
                <w:szCs w:val="22"/>
                <w:lang w:eastAsia="en-GB"/>
              </w:rPr>
              <w:t>11 741 200</w:t>
            </w:r>
          </w:p>
        </w:tc>
        <w:tc>
          <w:tcPr>
            <w:tcW w:w="1417" w:type="dxa"/>
            <w:shd w:val="clear" w:color="000000" w:fill="DCE6F1"/>
            <w:noWrap/>
            <w:vAlign w:val="center"/>
          </w:tcPr>
          <w:p>
            <w:pPr>
              <w:spacing w:before="0" w:after="0"/>
              <w:jc w:val="right"/>
              <w:rPr>
                <w:b/>
                <w:noProof/>
                <w:sz w:val="22"/>
                <w:szCs w:val="22"/>
                <w:lang w:eastAsia="en-GB"/>
              </w:rPr>
            </w:pPr>
            <w:r>
              <w:rPr>
                <w:b/>
                <w:noProof/>
                <w:sz w:val="22"/>
                <w:szCs w:val="22"/>
                <w:lang w:eastAsia="en-GB"/>
              </w:rPr>
              <w:t>12 062 616</w:t>
            </w:r>
          </w:p>
        </w:tc>
        <w:tc>
          <w:tcPr>
            <w:tcW w:w="992" w:type="dxa"/>
            <w:shd w:val="clear" w:color="000000" w:fill="DCE6F1"/>
            <w:noWrap/>
            <w:vAlign w:val="center"/>
          </w:tcPr>
          <w:p>
            <w:pPr>
              <w:spacing w:before="0" w:after="0"/>
              <w:jc w:val="right"/>
              <w:rPr>
                <w:b/>
                <w:noProof/>
                <w:sz w:val="22"/>
                <w:szCs w:val="22"/>
                <w:lang w:eastAsia="en-GB"/>
              </w:rPr>
            </w:pPr>
            <w:r>
              <w:rPr>
                <w:b/>
                <w:noProof/>
                <w:sz w:val="22"/>
                <w:szCs w:val="22"/>
                <w:lang w:eastAsia="en-GB"/>
              </w:rPr>
              <w:t>103</w:t>
            </w:r>
          </w:p>
        </w:tc>
      </w:tr>
      <w:tr>
        <w:trPr>
          <w:trHeight w:val="300"/>
          <w:jc w:val="center"/>
        </w:trPr>
        <w:tc>
          <w:tcPr>
            <w:tcW w:w="3828" w:type="dxa"/>
            <w:shd w:val="clear" w:color="auto" w:fill="auto"/>
            <w:noWrap/>
            <w:vAlign w:val="center"/>
          </w:tcPr>
          <w:p>
            <w:pPr>
              <w:spacing w:before="0" w:after="0"/>
              <w:rPr>
                <w:noProof/>
                <w:sz w:val="20"/>
                <w:szCs w:val="20"/>
                <w:lang w:eastAsia="en-GB"/>
              </w:rPr>
            </w:pPr>
            <w:r>
              <w:rPr>
                <w:noProof/>
                <w:sz w:val="20"/>
                <w:szCs w:val="20"/>
                <w:lang w:eastAsia="en-GB"/>
              </w:rPr>
              <w:t>Grants: Cigarettes and Investigation support</w:t>
            </w:r>
          </w:p>
        </w:tc>
        <w:tc>
          <w:tcPr>
            <w:tcW w:w="1417" w:type="dxa"/>
            <w:shd w:val="clear" w:color="auto" w:fill="auto"/>
            <w:noWrap/>
            <w:vAlign w:val="center"/>
          </w:tcPr>
          <w:p>
            <w:pPr>
              <w:spacing w:before="0" w:after="0"/>
              <w:rPr>
                <w:noProof/>
                <w:sz w:val="20"/>
                <w:szCs w:val="20"/>
                <w:lang w:eastAsia="en-GB"/>
              </w:rPr>
            </w:pPr>
            <w:r>
              <w:rPr>
                <w:noProof/>
                <w:sz w:val="20"/>
                <w:szCs w:val="20"/>
                <w:lang w:eastAsia="en-GB"/>
              </w:rPr>
              <w:t>Grants</w:t>
            </w:r>
          </w:p>
        </w:tc>
        <w:tc>
          <w:tcPr>
            <w:tcW w:w="1418" w:type="dxa"/>
            <w:shd w:val="clear" w:color="auto" w:fill="auto"/>
            <w:noWrap/>
            <w:vAlign w:val="center"/>
          </w:tcPr>
          <w:p>
            <w:pPr>
              <w:spacing w:before="0" w:after="0"/>
              <w:jc w:val="right"/>
              <w:rPr>
                <w:noProof/>
                <w:sz w:val="20"/>
                <w:szCs w:val="20"/>
                <w:lang w:eastAsia="en-GB"/>
              </w:rPr>
            </w:pPr>
            <w:r>
              <w:rPr>
                <w:noProof/>
                <w:sz w:val="20"/>
                <w:szCs w:val="20"/>
                <w:lang w:eastAsia="en-GB"/>
              </w:rPr>
              <w:t>9 866 200</w:t>
            </w:r>
          </w:p>
        </w:tc>
        <w:tc>
          <w:tcPr>
            <w:tcW w:w="1417" w:type="dxa"/>
            <w:shd w:val="clear" w:color="auto" w:fill="auto"/>
            <w:noWrap/>
            <w:vAlign w:val="center"/>
          </w:tcPr>
          <w:p>
            <w:pPr>
              <w:spacing w:before="0" w:after="0"/>
              <w:jc w:val="right"/>
              <w:rPr>
                <w:noProof/>
                <w:sz w:val="20"/>
                <w:szCs w:val="20"/>
                <w:lang w:eastAsia="en-GB"/>
              </w:rPr>
            </w:pPr>
            <w:r>
              <w:rPr>
                <w:noProof/>
                <w:sz w:val="20"/>
                <w:szCs w:val="20"/>
                <w:lang w:eastAsia="en-GB"/>
              </w:rPr>
              <w:t xml:space="preserve">10 901 200 </w:t>
            </w:r>
          </w:p>
        </w:tc>
        <w:tc>
          <w:tcPr>
            <w:tcW w:w="992" w:type="dxa"/>
            <w:shd w:val="clear" w:color="auto" w:fill="auto"/>
            <w:noWrap/>
            <w:vAlign w:val="center"/>
          </w:tcPr>
          <w:p>
            <w:pPr>
              <w:spacing w:before="0" w:after="0"/>
              <w:jc w:val="right"/>
              <w:rPr>
                <w:noProof/>
                <w:sz w:val="20"/>
                <w:szCs w:val="20"/>
                <w:lang w:eastAsia="en-GB"/>
              </w:rPr>
            </w:pPr>
            <w:r>
              <w:rPr>
                <w:noProof/>
                <w:sz w:val="20"/>
                <w:szCs w:val="20"/>
                <w:lang w:eastAsia="en-GB"/>
              </w:rPr>
              <w:t>110</w:t>
            </w:r>
          </w:p>
        </w:tc>
      </w:tr>
      <w:tr>
        <w:trPr>
          <w:trHeight w:val="300"/>
          <w:jc w:val="center"/>
        </w:trPr>
        <w:tc>
          <w:tcPr>
            <w:tcW w:w="3828" w:type="dxa"/>
            <w:shd w:val="clear" w:color="auto" w:fill="auto"/>
            <w:noWrap/>
            <w:vAlign w:val="center"/>
          </w:tcPr>
          <w:p>
            <w:pPr>
              <w:spacing w:before="0" w:after="0"/>
              <w:rPr>
                <w:noProof/>
                <w:sz w:val="20"/>
                <w:szCs w:val="20"/>
                <w:lang w:eastAsia="en-GB"/>
              </w:rPr>
            </w:pPr>
            <w:r>
              <w:rPr>
                <w:noProof/>
                <w:sz w:val="20"/>
                <w:szCs w:val="20"/>
                <w:lang w:eastAsia="en-GB"/>
              </w:rPr>
              <w:t>IT Databases</w:t>
            </w:r>
          </w:p>
        </w:tc>
        <w:tc>
          <w:tcPr>
            <w:tcW w:w="1417" w:type="dxa"/>
            <w:shd w:val="clear" w:color="auto" w:fill="auto"/>
            <w:noWrap/>
            <w:vAlign w:val="center"/>
          </w:tcPr>
          <w:p>
            <w:pPr>
              <w:spacing w:before="0" w:after="0"/>
              <w:rPr>
                <w:noProof/>
                <w:sz w:val="20"/>
                <w:szCs w:val="20"/>
                <w:lang w:eastAsia="en-GB"/>
              </w:rPr>
            </w:pPr>
            <w:r>
              <w:rPr>
                <w:noProof/>
                <w:sz w:val="20"/>
                <w:szCs w:val="20"/>
                <w:lang w:eastAsia="en-GB"/>
              </w:rPr>
              <w:t>Procurement</w:t>
            </w:r>
          </w:p>
        </w:tc>
        <w:tc>
          <w:tcPr>
            <w:tcW w:w="1418" w:type="dxa"/>
            <w:shd w:val="clear" w:color="auto" w:fill="auto"/>
            <w:noWrap/>
            <w:vAlign w:val="center"/>
          </w:tcPr>
          <w:p>
            <w:pPr>
              <w:spacing w:before="0" w:after="0"/>
              <w:jc w:val="right"/>
              <w:rPr>
                <w:noProof/>
                <w:sz w:val="20"/>
                <w:szCs w:val="20"/>
                <w:lang w:eastAsia="en-GB"/>
              </w:rPr>
            </w:pPr>
            <w:r>
              <w:rPr>
                <w:noProof/>
                <w:sz w:val="20"/>
                <w:szCs w:val="20"/>
                <w:lang w:eastAsia="en-GB"/>
              </w:rPr>
              <w:t>1 350 000</w:t>
            </w:r>
          </w:p>
        </w:tc>
        <w:tc>
          <w:tcPr>
            <w:tcW w:w="1417" w:type="dxa"/>
            <w:shd w:val="clear" w:color="auto" w:fill="auto"/>
            <w:noWrap/>
            <w:vAlign w:val="center"/>
          </w:tcPr>
          <w:p>
            <w:pPr>
              <w:spacing w:before="0" w:after="0"/>
              <w:jc w:val="right"/>
              <w:rPr>
                <w:noProof/>
                <w:sz w:val="20"/>
                <w:szCs w:val="20"/>
                <w:lang w:eastAsia="en-GB"/>
              </w:rPr>
            </w:pPr>
            <w:r>
              <w:rPr>
                <w:noProof/>
                <w:sz w:val="20"/>
                <w:szCs w:val="20"/>
                <w:lang w:eastAsia="en-GB"/>
              </w:rPr>
              <w:t>666 442</w:t>
            </w:r>
          </w:p>
        </w:tc>
        <w:tc>
          <w:tcPr>
            <w:tcW w:w="992" w:type="dxa"/>
            <w:shd w:val="clear" w:color="auto" w:fill="auto"/>
            <w:noWrap/>
            <w:vAlign w:val="center"/>
          </w:tcPr>
          <w:p>
            <w:pPr>
              <w:spacing w:before="0" w:after="0"/>
              <w:jc w:val="right"/>
              <w:rPr>
                <w:noProof/>
                <w:sz w:val="20"/>
                <w:szCs w:val="20"/>
                <w:lang w:eastAsia="en-GB"/>
              </w:rPr>
            </w:pPr>
            <w:r>
              <w:rPr>
                <w:noProof/>
                <w:sz w:val="20"/>
                <w:szCs w:val="20"/>
                <w:lang w:eastAsia="en-GB"/>
              </w:rPr>
              <w:t>49</w:t>
            </w:r>
          </w:p>
        </w:tc>
      </w:tr>
      <w:tr>
        <w:trPr>
          <w:trHeight w:val="300"/>
          <w:jc w:val="center"/>
        </w:trPr>
        <w:tc>
          <w:tcPr>
            <w:tcW w:w="3828" w:type="dxa"/>
            <w:shd w:val="clear" w:color="auto" w:fill="auto"/>
            <w:noWrap/>
            <w:vAlign w:val="center"/>
          </w:tcPr>
          <w:p>
            <w:pPr>
              <w:spacing w:before="0" w:after="0"/>
              <w:rPr>
                <w:noProof/>
                <w:sz w:val="20"/>
                <w:szCs w:val="20"/>
                <w:lang w:eastAsia="en-GB"/>
              </w:rPr>
            </w:pPr>
            <w:r>
              <w:rPr>
                <w:noProof/>
                <w:sz w:val="20"/>
                <w:szCs w:val="20"/>
                <w:lang w:eastAsia="en-GB"/>
              </w:rPr>
              <w:t xml:space="preserve">IT Tools and tobacco analysis </w:t>
            </w:r>
          </w:p>
        </w:tc>
        <w:tc>
          <w:tcPr>
            <w:tcW w:w="1417" w:type="dxa"/>
            <w:shd w:val="clear" w:color="auto" w:fill="auto"/>
            <w:noWrap/>
            <w:vAlign w:val="center"/>
          </w:tcPr>
          <w:p>
            <w:pPr>
              <w:spacing w:before="0" w:after="0"/>
              <w:rPr>
                <w:noProof/>
                <w:sz w:val="20"/>
                <w:szCs w:val="20"/>
                <w:lang w:eastAsia="en-GB"/>
              </w:rPr>
            </w:pPr>
            <w:r>
              <w:rPr>
                <w:noProof/>
                <w:sz w:val="20"/>
                <w:szCs w:val="20"/>
                <w:lang w:eastAsia="en-GB"/>
              </w:rPr>
              <w:t>Procurement</w:t>
            </w:r>
          </w:p>
        </w:tc>
        <w:tc>
          <w:tcPr>
            <w:tcW w:w="1418" w:type="dxa"/>
            <w:shd w:val="clear" w:color="auto" w:fill="auto"/>
            <w:noWrap/>
            <w:vAlign w:val="center"/>
          </w:tcPr>
          <w:p>
            <w:pPr>
              <w:spacing w:before="0" w:after="0"/>
              <w:jc w:val="right"/>
              <w:rPr>
                <w:noProof/>
                <w:sz w:val="20"/>
                <w:szCs w:val="20"/>
                <w:lang w:eastAsia="en-GB"/>
              </w:rPr>
            </w:pPr>
            <w:r>
              <w:rPr>
                <w:noProof/>
                <w:sz w:val="20"/>
                <w:szCs w:val="20"/>
                <w:lang w:eastAsia="en-GB"/>
              </w:rPr>
              <w:t>525 000</w:t>
            </w:r>
          </w:p>
        </w:tc>
        <w:tc>
          <w:tcPr>
            <w:tcW w:w="1417" w:type="dxa"/>
            <w:shd w:val="clear" w:color="auto" w:fill="auto"/>
            <w:noWrap/>
            <w:vAlign w:val="center"/>
          </w:tcPr>
          <w:p>
            <w:pPr>
              <w:spacing w:before="0" w:after="0"/>
              <w:jc w:val="right"/>
              <w:rPr>
                <w:noProof/>
                <w:sz w:val="20"/>
                <w:szCs w:val="20"/>
                <w:lang w:eastAsia="en-GB"/>
              </w:rPr>
            </w:pPr>
            <w:r>
              <w:rPr>
                <w:noProof/>
                <w:sz w:val="20"/>
                <w:szCs w:val="20"/>
                <w:lang w:eastAsia="en-GB"/>
              </w:rPr>
              <w:t>494 974</w:t>
            </w:r>
          </w:p>
        </w:tc>
        <w:tc>
          <w:tcPr>
            <w:tcW w:w="992" w:type="dxa"/>
            <w:shd w:val="clear" w:color="auto" w:fill="auto"/>
            <w:noWrap/>
            <w:vAlign w:val="center"/>
          </w:tcPr>
          <w:p>
            <w:pPr>
              <w:spacing w:before="0" w:after="0"/>
              <w:jc w:val="right"/>
              <w:rPr>
                <w:noProof/>
                <w:sz w:val="20"/>
                <w:szCs w:val="20"/>
                <w:highlight w:val="yellow"/>
                <w:lang w:eastAsia="en-GB"/>
              </w:rPr>
            </w:pPr>
            <w:r>
              <w:rPr>
                <w:noProof/>
                <w:sz w:val="20"/>
                <w:szCs w:val="20"/>
                <w:lang w:eastAsia="en-GB"/>
              </w:rPr>
              <w:t>94</w:t>
            </w:r>
          </w:p>
        </w:tc>
      </w:tr>
      <w:tr>
        <w:trPr>
          <w:trHeight w:val="315"/>
          <w:jc w:val="center"/>
        </w:trPr>
        <w:tc>
          <w:tcPr>
            <w:tcW w:w="5245" w:type="dxa"/>
            <w:gridSpan w:val="2"/>
            <w:shd w:val="clear" w:color="000000" w:fill="DCE6F1"/>
            <w:noWrap/>
            <w:vAlign w:val="center"/>
          </w:tcPr>
          <w:p>
            <w:pPr>
              <w:spacing w:before="0" w:after="0"/>
              <w:rPr>
                <w:b/>
                <w:noProof/>
                <w:sz w:val="22"/>
                <w:szCs w:val="22"/>
                <w:lang w:eastAsia="en-GB"/>
              </w:rPr>
            </w:pPr>
            <w:r>
              <w:rPr>
                <w:b/>
                <w:bCs/>
                <w:noProof/>
                <w:sz w:val="22"/>
                <w:szCs w:val="22"/>
                <w:lang w:eastAsia="en-GB"/>
              </w:rPr>
              <w:t>ANTI-FRAUD TRAINING</w:t>
            </w:r>
            <w:r>
              <w:rPr>
                <w:noProof/>
                <w:sz w:val="22"/>
                <w:szCs w:val="22"/>
                <w:lang w:eastAsia="en-GB"/>
              </w:rPr>
              <w:t xml:space="preserve"> </w:t>
            </w:r>
            <w:r>
              <w:rPr>
                <w:b/>
                <w:noProof/>
                <w:sz w:val="22"/>
                <w:szCs w:val="22"/>
                <w:lang w:eastAsia="en-GB"/>
              </w:rPr>
              <w:t>(max. 25%)</w:t>
            </w:r>
          </w:p>
        </w:tc>
        <w:tc>
          <w:tcPr>
            <w:tcW w:w="1418" w:type="dxa"/>
            <w:shd w:val="clear" w:color="000000" w:fill="DCE6F1"/>
            <w:noWrap/>
            <w:vAlign w:val="center"/>
          </w:tcPr>
          <w:p>
            <w:pPr>
              <w:spacing w:before="0" w:after="0"/>
              <w:jc w:val="right"/>
              <w:rPr>
                <w:b/>
                <w:noProof/>
                <w:sz w:val="22"/>
                <w:szCs w:val="22"/>
                <w:lang w:eastAsia="en-GB"/>
              </w:rPr>
            </w:pPr>
            <w:r>
              <w:rPr>
                <w:b/>
                <w:noProof/>
                <w:sz w:val="22"/>
                <w:szCs w:val="22"/>
                <w:lang w:eastAsia="en-GB"/>
              </w:rPr>
              <w:t>4 150 000 </w:t>
            </w:r>
          </w:p>
        </w:tc>
        <w:tc>
          <w:tcPr>
            <w:tcW w:w="1417" w:type="dxa"/>
            <w:shd w:val="clear" w:color="000000" w:fill="DCE6F1"/>
            <w:noWrap/>
            <w:vAlign w:val="center"/>
          </w:tcPr>
          <w:p>
            <w:pPr>
              <w:spacing w:before="0" w:after="0"/>
              <w:jc w:val="right"/>
              <w:rPr>
                <w:b/>
                <w:noProof/>
                <w:sz w:val="22"/>
                <w:szCs w:val="22"/>
                <w:lang w:eastAsia="en-GB"/>
              </w:rPr>
            </w:pPr>
            <w:r>
              <w:rPr>
                <w:b/>
                <w:noProof/>
                <w:sz w:val="22"/>
                <w:szCs w:val="22"/>
                <w:lang w:eastAsia="en-GB"/>
              </w:rPr>
              <w:t>3 719 865</w:t>
            </w:r>
          </w:p>
        </w:tc>
        <w:tc>
          <w:tcPr>
            <w:tcW w:w="992" w:type="dxa"/>
            <w:shd w:val="clear" w:color="000000" w:fill="DCE6F1"/>
            <w:noWrap/>
            <w:vAlign w:val="center"/>
          </w:tcPr>
          <w:p>
            <w:pPr>
              <w:spacing w:before="0" w:after="0"/>
              <w:jc w:val="right"/>
              <w:rPr>
                <w:b/>
                <w:noProof/>
                <w:sz w:val="22"/>
                <w:szCs w:val="22"/>
                <w:lang w:eastAsia="en-GB"/>
              </w:rPr>
            </w:pPr>
            <w:r>
              <w:rPr>
                <w:b/>
                <w:noProof/>
                <w:sz w:val="22"/>
                <w:szCs w:val="22"/>
                <w:lang w:eastAsia="en-GB"/>
              </w:rPr>
              <w:t>90</w:t>
            </w:r>
          </w:p>
        </w:tc>
      </w:tr>
      <w:tr>
        <w:trPr>
          <w:trHeight w:val="300"/>
          <w:jc w:val="center"/>
        </w:trPr>
        <w:tc>
          <w:tcPr>
            <w:tcW w:w="3828" w:type="dxa"/>
            <w:shd w:val="clear" w:color="auto" w:fill="auto"/>
            <w:noWrap/>
            <w:vAlign w:val="center"/>
          </w:tcPr>
          <w:p>
            <w:pPr>
              <w:spacing w:before="0" w:after="0"/>
              <w:rPr>
                <w:noProof/>
                <w:sz w:val="20"/>
                <w:szCs w:val="20"/>
                <w:lang w:eastAsia="en-GB"/>
              </w:rPr>
            </w:pPr>
            <w:r>
              <w:rPr>
                <w:noProof/>
                <w:sz w:val="20"/>
                <w:szCs w:val="20"/>
                <w:lang w:eastAsia="en-GB"/>
              </w:rPr>
              <w:t>Grants: Anti-fraud training</w:t>
            </w:r>
          </w:p>
        </w:tc>
        <w:tc>
          <w:tcPr>
            <w:tcW w:w="1417" w:type="dxa"/>
            <w:shd w:val="clear" w:color="auto" w:fill="auto"/>
            <w:noWrap/>
            <w:vAlign w:val="center"/>
          </w:tcPr>
          <w:p>
            <w:pPr>
              <w:spacing w:before="0" w:after="0"/>
              <w:rPr>
                <w:noProof/>
                <w:sz w:val="20"/>
                <w:szCs w:val="20"/>
                <w:lang w:eastAsia="en-GB"/>
              </w:rPr>
            </w:pPr>
            <w:r>
              <w:rPr>
                <w:noProof/>
                <w:sz w:val="20"/>
                <w:szCs w:val="20"/>
                <w:lang w:eastAsia="en-GB"/>
              </w:rPr>
              <w:t>Grants</w:t>
            </w:r>
          </w:p>
        </w:tc>
        <w:tc>
          <w:tcPr>
            <w:tcW w:w="1418" w:type="dxa"/>
            <w:shd w:val="clear" w:color="auto" w:fill="auto"/>
            <w:noWrap/>
            <w:vAlign w:val="center"/>
          </w:tcPr>
          <w:p>
            <w:pPr>
              <w:spacing w:before="0" w:after="0"/>
              <w:jc w:val="right"/>
              <w:rPr>
                <w:noProof/>
                <w:sz w:val="20"/>
                <w:szCs w:val="20"/>
                <w:lang w:eastAsia="en-GB"/>
              </w:rPr>
            </w:pPr>
            <w:r>
              <w:rPr>
                <w:noProof/>
                <w:sz w:val="20"/>
                <w:szCs w:val="20"/>
                <w:lang w:eastAsia="en-GB"/>
              </w:rPr>
              <w:t>1 100 000</w:t>
            </w:r>
          </w:p>
        </w:tc>
        <w:tc>
          <w:tcPr>
            <w:tcW w:w="1417" w:type="dxa"/>
            <w:shd w:val="clear" w:color="auto" w:fill="auto"/>
            <w:noWrap/>
            <w:vAlign w:val="center"/>
          </w:tcPr>
          <w:p>
            <w:pPr>
              <w:spacing w:before="0" w:after="0"/>
              <w:jc w:val="right"/>
              <w:rPr>
                <w:noProof/>
                <w:sz w:val="20"/>
                <w:szCs w:val="20"/>
                <w:lang w:eastAsia="en-GB"/>
              </w:rPr>
            </w:pPr>
            <w:r>
              <w:rPr>
                <w:noProof/>
                <w:sz w:val="20"/>
                <w:szCs w:val="20"/>
                <w:lang w:eastAsia="en-GB"/>
              </w:rPr>
              <w:t>605 056</w:t>
            </w:r>
          </w:p>
        </w:tc>
        <w:tc>
          <w:tcPr>
            <w:tcW w:w="992" w:type="dxa"/>
            <w:shd w:val="clear" w:color="auto" w:fill="auto"/>
            <w:noWrap/>
            <w:vAlign w:val="center"/>
          </w:tcPr>
          <w:p>
            <w:pPr>
              <w:spacing w:before="0" w:after="0"/>
              <w:jc w:val="right"/>
              <w:rPr>
                <w:noProof/>
                <w:sz w:val="20"/>
                <w:szCs w:val="20"/>
                <w:lang w:eastAsia="en-GB"/>
              </w:rPr>
            </w:pPr>
            <w:r>
              <w:rPr>
                <w:noProof/>
                <w:sz w:val="20"/>
                <w:szCs w:val="20"/>
                <w:lang w:eastAsia="en-GB"/>
              </w:rPr>
              <w:t>55</w:t>
            </w:r>
          </w:p>
        </w:tc>
      </w:tr>
      <w:tr>
        <w:trPr>
          <w:trHeight w:val="300"/>
          <w:jc w:val="center"/>
        </w:trPr>
        <w:tc>
          <w:tcPr>
            <w:tcW w:w="3828" w:type="dxa"/>
            <w:shd w:val="clear" w:color="auto" w:fill="auto"/>
            <w:noWrap/>
            <w:vAlign w:val="center"/>
          </w:tcPr>
          <w:p>
            <w:pPr>
              <w:spacing w:before="0" w:after="0"/>
              <w:rPr>
                <w:noProof/>
                <w:sz w:val="20"/>
                <w:szCs w:val="20"/>
                <w:lang w:eastAsia="en-GB"/>
              </w:rPr>
            </w:pPr>
            <w:r>
              <w:rPr>
                <w:noProof/>
                <w:sz w:val="20"/>
                <w:szCs w:val="20"/>
                <w:lang w:eastAsia="en-GB"/>
              </w:rPr>
              <w:t xml:space="preserve">Procured conferences </w:t>
            </w:r>
          </w:p>
        </w:tc>
        <w:tc>
          <w:tcPr>
            <w:tcW w:w="1417" w:type="dxa"/>
            <w:shd w:val="clear" w:color="auto" w:fill="auto"/>
            <w:noWrap/>
            <w:vAlign w:val="center"/>
          </w:tcPr>
          <w:p>
            <w:pPr>
              <w:spacing w:before="0" w:after="0"/>
              <w:rPr>
                <w:noProof/>
                <w:sz w:val="20"/>
                <w:szCs w:val="20"/>
                <w:lang w:eastAsia="en-GB"/>
              </w:rPr>
            </w:pPr>
            <w:r>
              <w:rPr>
                <w:noProof/>
                <w:sz w:val="20"/>
                <w:szCs w:val="20"/>
                <w:lang w:eastAsia="en-GB"/>
              </w:rPr>
              <w:t>Procurement</w:t>
            </w:r>
          </w:p>
        </w:tc>
        <w:tc>
          <w:tcPr>
            <w:tcW w:w="1418" w:type="dxa"/>
            <w:shd w:val="clear" w:color="auto" w:fill="auto"/>
            <w:noWrap/>
            <w:vAlign w:val="center"/>
          </w:tcPr>
          <w:p>
            <w:pPr>
              <w:spacing w:before="0" w:after="0"/>
              <w:jc w:val="right"/>
              <w:rPr>
                <w:noProof/>
                <w:sz w:val="20"/>
                <w:szCs w:val="20"/>
                <w:lang w:eastAsia="en-GB"/>
              </w:rPr>
            </w:pPr>
            <w:r>
              <w:rPr>
                <w:noProof/>
                <w:sz w:val="20"/>
                <w:szCs w:val="20"/>
                <w:lang w:eastAsia="en-GB"/>
              </w:rPr>
              <w:t>1 000 000</w:t>
            </w:r>
          </w:p>
        </w:tc>
        <w:tc>
          <w:tcPr>
            <w:tcW w:w="1417" w:type="dxa"/>
            <w:shd w:val="clear" w:color="auto" w:fill="auto"/>
            <w:noWrap/>
            <w:vAlign w:val="center"/>
          </w:tcPr>
          <w:p>
            <w:pPr>
              <w:spacing w:before="0" w:after="0"/>
              <w:jc w:val="right"/>
              <w:rPr>
                <w:noProof/>
                <w:sz w:val="20"/>
                <w:szCs w:val="20"/>
                <w:lang w:eastAsia="en-GB"/>
              </w:rPr>
            </w:pPr>
            <w:r>
              <w:rPr>
                <w:noProof/>
                <w:sz w:val="20"/>
                <w:szCs w:val="20"/>
                <w:lang w:eastAsia="en-GB"/>
              </w:rPr>
              <w:t>952 460</w:t>
            </w:r>
          </w:p>
        </w:tc>
        <w:tc>
          <w:tcPr>
            <w:tcW w:w="992" w:type="dxa"/>
            <w:shd w:val="clear" w:color="auto" w:fill="auto"/>
            <w:noWrap/>
            <w:vAlign w:val="center"/>
          </w:tcPr>
          <w:p>
            <w:pPr>
              <w:spacing w:before="0" w:after="0"/>
              <w:jc w:val="right"/>
              <w:rPr>
                <w:noProof/>
                <w:sz w:val="20"/>
                <w:szCs w:val="20"/>
                <w:highlight w:val="yellow"/>
                <w:lang w:eastAsia="en-GB"/>
              </w:rPr>
            </w:pPr>
            <w:r>
              <w:rPr>
                <w:noProof/>
                <w:sz w:val="20"/>
                <w:szCs w:val="20"/>
                <w:lang w:eastAsia="en-GB"/>
              </w:rPr>
              <w:t>95</w:t>
            </w:r>
          </w:p>
        </w:tc>
      </w:tr>
      <w:tr>
        <w:trPr>
          <w:trHeight w:val="300"/>
          <w:jc w:val="center"/>
        </w:trPr>
        <w:tc>
          <w:tcPr>
            <w:tcW w:w="3828" w:type="dxa"/>
            <w:shd w:val="clear" w:color="auto" w:fill="auto"/>
            <w:noWrap/>
            <w:vAlign w:val="center"/>
          </w:tcPr>
          <w:p>
            <w:pPr>
              <w:spacing w:before="0" w:after="0"/>
              <w:rPr>
                <w:noProof/>
                <w:sz w:val="20"/>
                <w:szCs w:val="20"/>
                <w:lang w:eastAsia="en-GB"/>
              </w:rPr>
            </w:pPr>
            <w:r>
              <w:rPr>
                <w:noProof/>
                <w:sz w:val="20"/>
                <w:szCs w:val="20"/>
                <w:lang w:eastAsia="en-GB"/>
              </w:rPr>
              <w:t>Digital Forensics Training sessions</w:t>
            </w:r>
          </w:p>
        </w:tc>
        <w:tc>
          <w:tcPr>
            <w:tcW w:w="1417" w:type="dxa"/>
            <w:shd w:val="clear" w:color="auto" w:fill="auto"/>
            <w:noWrap/>
            <w:vAlign w:val="center"/>
          </w:tcPr>
          <w:p>
            <w:pPr>
              <w:spacing w:before="0" w:after="0"/>
              <w:rPr>
                <w:noProof/>
                <w:sz w:val="20"/>
                <w:szCs w:val="20"/>
                <w:lang w:eastAsia="en-GB"/>
              </w:rPr>
            </w:pPr>
            <w:r>
              <w:rPr>
                <w:noProof/>
                <w:sz w:val="20"/>
                <w:szCs w:val="20"/>
                <w:lang w:eastAsia="en-GB"/>
              </w:rPr>
              <w:t>Procurement</w:t>
            </w:r>
          </w:p>
        </w:tc>
        <w:tc>
          <w:tcPr>
            <w:tcW w:w="1418" w:type="dxa"/>
            <w:shd w:val="clear" w:color="auto" w:fill="auto"/>
            <w:noWrap/>
            <w:vAlign w:val="center"/>
          </w:tcPr>
          <w:p>
            <w:pPr>
              <w:spacing w:before="0" w:after="0"/>
              <w:jc w:val="right"/>
              <w:rPr>
                <w:noProof/>
                <w:sz w:val="20"/>
                <w:szCs w:val="20"/>
                <w:lang w:eastAsia="en-GB"/>
              </w:rPr>
            </w:pPr>
            <w:r>
              <w:rPr>
                <w:noProof/>
                <w:sz w:val="20"/>
                <w:szCs w:val="20"/>
                <w:lang w:eastAsia="en-GB"/>
              </w:rPr>
              <w:t>1 550 000</w:t>
            </w:r>
          </w:p>
        </w:tc>
        <w:tc>
          <w:tcPr>
            <w:tcW w:w="1417" w:type="dxa"/>
            <w:shd w:val="clear" w:color="auto" w:fill="auto"/>
            <w:noWrap/>
            <w:vAlign w:val="center"/>
          </w:tcPr>
          <w:p>
            <w:pPr>
              <w:spacing w:before="0" w:after="0"/>
              <w:jc w:val="right"/>
              <w:rPr>
                <w:noProof/>
                <w:sz w:val="20"/>
                <w:szCs w:val="20"/>
                <w:lang w:eastAsia="en-GB"/>
              </w:rPr>
            </w:pPr>
            <w:r>
              <w:rPr>
                <w:noProof/>
                <w:sz w:val="20"/>
                <w:szCs w:val="20"/>
                <w:lang w:eastAsia="en-GB"/>
              </w:rPr>
              <w:t>1 730 273</w:t>
            </w:r>
          </w:p>
        </w:tc>
        <w:tc>
          <w:tcPr>
            <w:tcW w:w="992" w:type="dxa"/>
            <w:shd w:val="clear" w:color="auto" w:fill="auto"/>
            <w:noWrap/>
            <w:vAlign w:val="center"/>
          </w:tcPr>
          <w:p>
            <w:pPr>
              <w:spacing w:before="0" w:after="0"/>
              <w:jc w:val="right"/>
              <w:rPr>
                <w:noProof/>
                <w:sz w:val="20"/>
                <w:szCs w:val="20"/>
                <w:highlight w:val="yellow"/>
                <w:lang w:eastAsia="en-GB"/>
              </w:rPr>
            </w:pPr>
            <w:r>
              <w:rPr>
                <w:noProof/>
                <w:sz w:val="20"/>
                <w:szCs w:val="20"/>
                <w:lang w:eastAsia="en-GB"/>
              </w:rPr>
              <w:t>112</w:t>
            </w:r>
          </w:p>
        </w:tc>
      </w:tr>
      <w:tr>
        <w:trPr>
          <w:trHeight w:val="300"/>
          <w:jc w:val="center"/>
        </w:trPr>
        <w:tc>
          <w:tcPr>
            <w:tcW w:w="3828" w:type="dxa"/>
            <w:tcBorders>
              <w:bottom w:val="single" w:sz="4" w:space="0" w:color="auto"/>
            </w:tcBorders>
            <w:shd w:val="clear" w:color="auto" w:fill="auto"/>
            <w:noWrap/>
            <w:vAlign w:val="center"/>
          </w:tcPr>
          <w:p>
            <w:pPr>
              <w:spacing w:before="0" w:after="0"/>
              <w:rPr>
                <w:noProof/>
                <w:sz w:val="20"/>
                <w:szCs w:val="20"/>
                <w:lang w:eastAsia="en-GB"/>
              </w:rPr>
            </w:pPr>
            <w:r>
              <w:rPr>
                <w:noProof/>
                <w:sz w:val="20"/>
                <w:szCs w:val="20"/>
                <w:lang w:eastAsia="en-GB"/>
              </w:rPr>
              <w:t>Grants: Legal Training and Studies</w:t>
            </w:r>
          </w:p>
        </w:tc>
        <w:tc>
          <w:tcPr>
            <w:tcW w:w="1417" w:type="dxa"/>
            <w:tcBorders>
              <w:bottom w:val="single" w:sz="4" w:space="0" w:color="auto"/>
            </w:tcBorders>
            <w:shd w:val="clear" w:color="auto" w:fill="auto"/>
            <w:noWrap/>
            <w:vAlign w:val="center"/>
          </w:tcPr>
          <w:p>
            <w:pPr>
              <w:spacing w:before="0" w:after="0"/>
              <w:rPr>
                <w:noProof/>
                <w:sz w:val="20"/>
                <w:szCs w:val="20"/>
                <w:lang w:eastAsia="en-GB"/>
              </w:rPr>
            </w:pPr>
            <w:r>
              <w:rPr>
                <w:noProof/>
                <w:sz w:val="20"/>
                <w:szCs w:val="20"/>
                <w:lang w:eastAsia="en-GB"/>
              </w:rPr>
              <w:t>Grants</w:t>
            </w:r>
          </w:p>
        </w:tc>
        <w:tc>
          <w:tcPr>
            <w:tcW w:w="1418" w:type="dxa"/>
            <w:tcBorders>
              <w:bottom w:val="single" w:sz="4" w:space="0" w:color="auto"/>
            </w:tcBorders>
            <w:shd w:val="clear" w:color="auto" w:fill="auto"/>
            <w:noWrap/>
            <w:vAlign w:val="center"/>
          </w:tcPr>
          <w:p>
            <w:pPr>
              <w:spacing w:before="0" w:after="0"/>
              <w:jc w:val="right"/>
              <w:rPr>
                <w:noProof/>
                <w:sz w:val="20"/>
                <w:szCs w:val="20"/>
                <w:lang w:eastAsia="en-GB"/>
              </w:rPr>
            </w:pPr>
            <w:r>
              <w:rPr>
                <w:noProof/>
                <w:sz w:val="20"/>
                <w:szCs w:val="20"/>
                <w:lang w:eastAsia="en-GB"/>
              </w:rPr>
              <w:t>500 000</w:t>
            </w:r>
          </w:p>
        </w:tc>
        <w:tc>
          <w:tcPr>
            <w:tcW w:w="1417" w:type="dxa"/>
            <w:tcBorders>
              <w:bottom w:val="single" w:sz="4" w:space="0" w:color="auto"/>
            </w:tcBorders>
            <w:shd w:val="clear" w:color="auto" w:fill="auto"/>
            <w:noWrap/>
            <w:vAlign w:val="center"/>
          </w:tcPr>
          <w:p>
            <w:pPr>
              <w:spacing w:before="0" w:after="0"/>
              <w:jc w:val="right"/>
              <w:rPr>
                <w:noProof/>
                <w:sz w:val="20"/>
                <w:szCs w:val="20"/>
                <w:lang w:eastAsia="en-GB"/>
              </w:rPr>
            </w:pPr>
            <w:r>
              <w:rPr>
                <w:noProof/>
                <w:sz w:val="20"/>
                <w:szCs w:val="20"/>
                <w:lang w:eastAsia="en-GB"/>
              </w:rPr>
              <w:t>432 076</w:t>
            </w:r>
          </w:p>
        </w:tc>
        <w:tc>
          <w:tcPr>
            <w:tcW w:w="992" w:type="dxa"/>
            <w:tcBorders>
              <w:bottom w:val="single" w:sz="4" w:space="0" w:color="auto"/>
            </w:tcBorders>
            <w:shd w:val="clear" w:color="auto" w:fill="auto"/>
            <w:noWrap/>
            <w:vAlign w:val="center"/>
          </w:tcPr>
          <w:p>
            <w:pPr>
              <w:spacing w:before="0" w:after="0"/>
              <w:jc w:val="right"/>
              <w:rPr>
                <w:noProof/>
                <w:sz w:val="20"/>
                <w:szCs w:val="20"/>
                <w:highlight w:val="yellow"/>
                <w:lang w:eastAsia="en-GB"/>
              </w:rPr>
            </w:pPr>
            <w:r>
              <w:rPr>
                <w:noProof/>
                <w:sz w:val="20"/>
                <w:szCs w:val="20"/>
                <w:lang w:eastAsia="en-GB"/>
              </w:rPr>
              <w:t>86</w:t>
            </w:r>
          </w:p>
        </w:tc>
      </w:tr>
      <w:tr>
        <w:trPr>
          <w:trHeight w:val="315"/>
          <w:jc w:val="center"/>
        </w:trPr>
        <w:tc>
          <w:tcPr>
            <w:tcW w:w="5245" w:type="dxa"/>
            <w:gridSpan w:val="2"/>
            <w:shd w:val="clear" w:color="000000" w:fill="B8CCE4"/>
            <w:noWrap/>
            <w:vAlign w:val="center"/>
          </w:tcPr>
          <w:p>
            <w:pPr>
              <w:spacing w:before="0" w:after="0"/>
              <w:rPr>
                <w:noProof/>
                <w:sz w:val="22"/>
                <w:szCs w:val="22"/>
                <w:lang w:eastAsia="en-GB"/>
              </w:rPr>
            </w:pPr>
            <w:r>
              <w:rPr>
                <w:b/>
                <w:bCs/>
                <w:noProof/>
                <w:sz w:val="22"/>
                <w:szCs w:val="22"/>
                <w:lang w:eastAsia="en-GB"/>
              </w:rPr>
              <w:t>TOTAL 2019</w:t>
            </w:r>
          </w:p>
        </w:tc>
        <w:tc>
          <w:tcPr>
            <w:tcW w:w="1418" w:type="dxa"/>
            <w:shd w:val="clear" w:color="000000" w:fill="B8CCE4"/>
            <w:noWrap/>
            <w:vAlign w:val="center"/>
          </w:tcPr>
          <w:p>
            <w:pPr>
              <w:spacing w:before="0" w:after="0"/>
              <w:jc w:val="right"/>
              <w:rPr>
                <w:b/>
                <w:bCs/>
                <w:noProof/>
                <w:sz w:val="22"/>
                <w:szCs w:val="22"/>
                <w:lang w:eastAsia="en-GB"/>
              </w:rPr>
            </w:pPr>
            <w:r>
              <w:rPr>
                <w:b/>
                <w:bCs/>
                <w:noProof/>
                <w:sz w:val="22"/>
                <w:szCs w:val="22"/>
                <w:lang w:eastAsia="en-GB"/>
              </w:rPr>
              <w:t>15 891 200</w:t>
            </w:r>
          </w:p>
        </w:tc>
        <w:tc>
          <w:tcPr>
            <w:tcW w:w="1417" w:type="dxa"/>
            <w:shd w:val="clear" w:color="000000" w:fill="B8CCE4"/>
            <w:noWrap/>
            <w:vAlign w:val="center"/>
          </w:tcPr>
          <w:p>
            <w:pPr>
              <w:spacing w:before="0" w:after="0"/>
              <w:jc w:val="right"/>
              <w:rPr>
                <w:b/>
                <w:bCs/>
                <w:noProof/>
                <w:sz w:val="22"/>
                <w:szCs w:val="22"/>
                <w:lang w:eastAsia="en-GB"/>
              </w:rPr>
            </w:pPr>
            <w:r>
              <w:rPr>
                <w:b/>
                <w:bCs/>
                <w:noProof/>
                <w:sz w:val="22"/>
                <w:szCs w:val="22"/>
                <w:lang w:eastAsia="en-GB"/>
              </w:rPr>
              <w:t>15 782 481</w:t>
            </w:r>
          </w:p>
        </w:tc>
        <w:tc>
          <w:tcPr>
            <w:tcW w:w="992" w:type="dxa"/>
            <w:shd w:val="clear" w:color="000000" w:fill="B8CCE4"/>
            <w:noWrap/>
            <w:vAlign w:val="center"/>
          </w:tcPr>
          <w:p>
            <w:pPr>
              <w:spacing w:before="0" w:after="0"/>
              <w:jc w:val="right"/>
              <w:rPr>
                <w:b/>
                <w:noProof/>
                <w:sz w:val="22"/>
                <w:szCs w:val="22"/>
                <w:highlight w:val="yellow"/>
                <w:lang w:eastAsia="en-GB"/>
              </w:rPr>
            </w:pPr>
            <w:r>
              <w:rPr>
                <w:b/>
                <w:noProof/>
                <w:sz w:val="22"/>
                <w:szCs w:val="22"/>
                <w:lang w:eastAsia="en-GB"/>
              </w:rPr>
              <w:t>99.32</w:t>
            </w:r>
          </w:p>
        </w:tc>
      </w:tr>
    </w:tbl>
    <w:p>
      <w:pPr>
        <w:rPr>
          <w:bCs/>
          <w:noProof/>
        </w:rPr>
      </w:pPr>
      <w:r>
        <w:rPr>
          <w:noProof/>
        </w:rPr>
        <w:t xml:space="preserve">The information in the table above relates to commitments made on the 2019 available budget. </w:t>
      </w:r>
      <w:r>
        <w:rPr>
          <w:iCs/>
          <w:noProof/>
        </w:rPr>
        <w:t>The amount committed for technical assistance was higher than the earmarked budget in the annual work programme. During 2019, appropriations that were not committed for the procurement of databases and the “Training, Conference and Staff Exchange” call for proposals were transferred to the Technical Assistance grants</w:t>
      </w:r>
      <w:r>
        <w:rPr>
          <w:noProof/>
        </w:rPr>
        <w:t xml:space="preserve">. </w:t>
      </w:r>
      <w:r>
        <w:rPr>
          <w:bCs/>
          <w:noProof/>
        </w:rPr>
        <w:t xml:space="preserve">The </w:t>
      </w:r>
      <w:r>
        <w:rPr>
          <w:b/>
          <w:bCs/>
          <w:noProof/>
        </w:rPr>
        <w:t>payments</w:t>
      </w:r>
      <w:r>
        <w:rPr>
          <w:bCs/>
          <w:noProof/>
        </w:rPr>
        <w:t xml:space="preserve"> under the grant agreements and most of the contracts signed in 2019 cannot be reported as most of them will only be made in 2020 and beyond.</w:t>
      </w:r>
    </w:p>
    <w:p>
      <w:pPr>
        <w:pStyle w:val="Heading2"/>
        <w:rPr>
          <w:noProof/>
        </w:rPr>
      </w:pPr>
      <w:bookmarkStart w:id="13" w:name="_Toc421687689"/>
      <w:r>
        <w:rPr>
          <w:noProof/>
        </w:rPr>
        <w:tab/>
      </w:r>
      <w:bookmarkStart w:id="14" w:name="_Toc40451992"/>
      <w:r>
        <w:rPr>
          <w:noProof/>
        </w:rPr>
        <w:t>2.1</w:t>
      </w:r>
      <w:r>
        <w:rPr>
          <w:noProof/>
        </w:rPr>
        <w:tab/>
        <w:t>Budget implementation by type of financial</w:t>
      </w:r>
      <w:bookmarkEnd w:id="13"/>
      <w:r>
        <w:rPr>
          <w:noProof/>
        </w:rPr>
        <w:t xml:space="preserve"> intervention</w:t>
      </w:r>
      <w:bookmarkEnd w:id="14"/>
    </w:p>
    <w:p>
      <w:pPr>
        <w:rPr>
          <w:noProof/>
        </w:rPr>
      </w:pPr>
      <w:r>
        <w:rPr>
          <w:noProof/>
        </w:rPr>
        <w:t xml:space="preserve">The Programme was implemented by making use of </w:t>
      </w:r>
      <w:r>
        <w:rPr>
          <w:b/>
          <w:noProof/>
        </w:rPr>
        <w:t>public procurement</w:t>
      </w:r>
      <w:r>
        <w:rPr>
          <w:noProof/>
        </w:rPr>
        <w:t xml:space="preserve"> (for contracts) and </w:t>
      </w:r>
      <w:r>
        <w:rPr>
          <w:b/>
          <w:noProof/>
        </w:rPr>
        <w:t>calls for proposals</w:t>
      </w:r>
      <w:r>
        <w:rPr>
          <w:noProof/>
        </w:rPr>
        <w:t xml:space="preserve"> (for grants)</w:t>
      </w:r>
      <w:r>
        <w:rPr>
          <w:rStyle w:val="FootnoteReference"/>
          <w:noProof/>
        </w:rPr>
        <w:footnoteReference w:id="13"/>
      </w:r>
      <w:r>
        <w:rPr>
          <w:noProof/>
        </w:rPr>
        <w:t xml:space="preserve">. The Commission concluded contracts for the purchase of goods and services, such as access to databases, the development of IT systems or the organisation of training and conferences. The contracts were concluded on the basis of existing framework contracts (FWC), establishing the terms governing specific contracts to be awarded during a given period. In 2019, the overall amount committed for contracts was EUR 3 844 149 (as shown in graph 1). </w:t>
      </w:r>
    </w:p>
    <w:p>
      <w:pPr>
        <w:rPr>
          <w:noProof/>
        </w:rPr>
      </w:pPr>
      <w:r>
        <w:rPr>
          <w:noProof/>
        </w:rPr>
        <w:t>Grants are direct financial contributions to finance an action intended to help achieve a Union policy objective. The overall budget spent on grants was EUR 11 938 332. Grants are awarded following a call for proposals, inviting applicants to submit proposals for an action that contributes to the achievement of the Programme's objectives. The beneficiary of a grant becomes the legal and economic owner of the goods or services that are purchased with the help of the grant. Under the Programme, grants may cover up to 80% of the eligible costs</w:t>
      </w:r>
      <w:r>
        <w:rPr>
          <w:rStyle w:val="FootnoteReference"/>
          <w:noProof/>
        </w:rPr>
        <w:footnoteReference w:id="14"/>
      </w:r>
      <w:r>
        <w:rPr>
          <w:noProof/>
        </w:rPr>
        <w:t xml:space="preserve"> of the action and up to 90% in exceptional and duly justified cases. In 2019, the Commission awarded one 90% grant request for the “Legal Training and Studies” call for proposal (out of 28 grants awarded).  </w:t>
      </w:r>
    </w:p>
    <w:p>
      <w:pPr>
        <w:autoSpaceDE w:val="0"/>
        <w:autoSpaceDN w:val="0"/>
        <w:adjustRightInd w:val="0"/>
        <w:rPr>
          <w:noProof/>
          <w:lang w:eastAsia="en-GB"/>
        </w:rPr>
      </w:pPr>
      <w:r>
        <w:rPr>
          <w:noProof/>
        </w:rPr>
        <w:t xml:space="preserve">In March 2019, the Commission launched three calls for proposals: "Technical Assistance", "Legal Training and Studies" and "Training, Conferences and Staff Exchange". The deadline for submission of applications was set for 14 May 2019. </w:t>
      </w:r>
    </w:p>
    <w:p>
      <w:pPr>
        <w:rPr>
          <w:noProof/>
          <w:lang w:eastAsia="en-GB"/>
        </w:rPr>
      </w:pPr>
      <w:r>
        <w:rPr>
          <w:noProof/>
        </w:rPr>
        <w:t>The calls were published via the Commission's Funding &amp; Tenders Portal, an IT tool developed for the electronic submission of applications for grants and for the management of grant contracts. Under the three calls, the Commission received 68 applications</w:t>
      </w:r>
      <w:r>
        <w:rPr>
          <w:rStyle w:val="FootnoteReference"/>
          <w:noProof/>
        </w:rPr>
        <w:footnoteReference w:id="15"/>
      </w:r>
      <w:r>
        <w:rPr>
          <w:noProof/>
        </w:rPr>
        <w:t xml:space="preserve"> that were subsequently examined by Evaluation Committees. Each application was examined on the </w:t>
      </w:r>
      <w:r>
        <w:rPr>
          <w:noProof/>
          <w:lang w:eastAsia="en-GB"/>
        </w:rPr>
        <w:t>basis of four criteria: e</w:t>
      </w:r>
      <w:r>
        <w:rPr>
          <w:noProof/>
        </w:rPr>
        <w:t xml:space="preserve">ligibility, exclusion, selection and award </w:t>
      </w:r>
      <w:r>
        <w:rPr>
          <w:noProof/>
          <w:lang w:eastAsia="en-GB"/>
        </w:rPr>
        <w:t>that were listed in the specifications of the call. The applications were ranked on the scores obtained for the following award criteria:</w:t>
      </w:r>
    </w:p>
    <w:p>
      <w:pPr>
        <w:pStyle w:val="ListParagraph"/>
        <w:numPr>
          <w:ilvl w:val="0"/>
          <w:numId w:val="6"/>
        </w:numPr>
        <w:rPr>
          <w:lang w:eastAsia="en-GB"/>
        </w:rPr>
      </w:pPr>
      <w:r>
        <w:rPr>
          <w:lang w:eastAsia="en-GB"/>
        </w:rPr>
        <w:t>Added value of the application for the protection of the financial interests of the Union;</w:t>
      </w:r>
    </w:p>
    <w:p>
      <w:pPr>
        <w:pStyle w:val="ListParagraph"/>
        <w:numPr>
          <w:ilvl w:val="0"/>
          <w:numId w:val="6"/>
        </w:numPr>
        <w:rPr>
          <w:lang w:eastAsia="en-GB"/>
        </w:rPr>
      </w:pPr>
      <w:r>
        <w:rPr>
          <w:lang w:eastAsia="en-GB"/>
        </w:rPr>
        <w:t>Conformity with the operational objectives of the Programme;</w:t>
      </w:r>
    </w:p>
    <w:p>
      <w:pPr>
        <w:pStyle w:val="ListParagraph"/>
        <w:numPr>
          <w:ilvl w:val="0"/>
          <w:numId w:val="6"/>
        </w:numPr>
        <w:rPr>
          <w:lang w:eastAsia="en-GB"/>
        </w:rPr>
      </w:pPr>
      <w:r>
        <w:rPr>
          <w:lang w:eastAsia="en-GB"/>
        </w:rPr>
        <w:t>Quality;</w:t>
      </w:r>
    </w:p>
    <w:p>
      <w:pPr>
        <w:pStyle w:val="ListParagraph"/>
        <w:numPr>
          <w:ilvl w:val="0"/>
          <w:numId w:val="6"/>
        </w:numPr>
        <w:rPr>
          <w:lang w:eastAsia="en-GB"/>
        </w:rPr>
      </w:pPr>
      <w:r>
        <w:rPr>
          <w:lang w:eastAsia="en-GB"/>
        </w:rPr>
        <w:t xml:space="preserve">Value for money. </w:t>
      </w:r>
    </w:p>
    <w:p>
      <w:pPr>
        <w:rPr>
          <w:noProof/>
        </w:rPr>
      </w:pPr>
      <w:r>
        <w:rPr>
          <w:noProof/>
        </w:rPr>
        <w:t>The examination of the applications led to the award of 28 grants</w:t>
      </w:r>
      <w:r>
        <w:rPr>
          <w:rStyle w:val="FootnoteReference"/>
          <w:noProof/>
        </w:rPr>
        <w:footnoteReference w:id="16"/>
      </w:r>
      <w:r>
        <w:rPr>
          <w:noProof/>
        </w:rPr>
        <w:t xml:space="preserve"> at the end of 2019. Table 9 in the Annex provides an overview of the successful and rejected applications, broken down by call, Member State, amount requested and grant awarded.</w:t>
      </w:r>
    </w:p>
    <w:p>
      <w:pPr>
        <w:rPr>
          <w:noProof/>
        </w:rPr>
      </w:pPr>
      <w:r>
        <w:rPr>
          <w:noProof/>
        </w:rPr>
        <w:t xml:space="preserve">Graph 1 below gives a breakdown of the planned budget and achieved commitments in 2019 by type of financial intervention (grants and procurement).  </w:t>
      </w:r>
    </w:p>
    <w:p>
      <w:pPr>
        <w:spacing w:before="360"/>
        <w:rPr>
          <w:b/>
          <w:noProof/>
        </w:rPr>
      </w:pPr>
      <w:r>
        <w:rPr>
          <w:b/>
          <w:noProof/>
        </w:rPr>
        <w:t>Graph 1: Hercule III budget and commitments in 2019 by type of financial intervention</w:t>
      </w:r>
    </w:p>
    <w:p>
      <w:pPr>
        <w:rPr>
          <w:b/>
          <w:noProof/>
        </w:rPr>
      </w:pPr>
      <w:r>
        <w:rPr>
          <w:noProof/>
          <w:lang w:eastAsia="en-GB"/>
        </w:rPr>
        <w:drawing>
          <wp:inline distT="0" distB="0" distL="0" distR="0">
            <wp:extent cx="3305175" cy="2343150"/>
            <wp:effectExtent l="0" t="0" r="9525"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Pr>
          <w:noProof/>
          <w:lang w:eastAsia="en-GB"/>
        </w:rPr>
        <w:t xml:space="preserve"> </w:t>
      </w:r>
      <w:r>
        <w:rPr>
          <w:noProof/>
          <w:lang w:eastAsia="en-GB"/>
        </w:rPr>
        <w:drawing>
          <wp:inline distT="0" distB="0" distL="0" distR="0">
            <wp:extent cx="3238500" cy="2328545"/>
            <wp:effectExtent l="0" t="0" r="0" b="1460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bookmarkStart w:id="15" w:name="_Toc421687690"/>
    </w:p>
    <w:p>
      <w:pPr>
        <w:pStyle w:val="Heading2"/>
        <w:rPr>
          <w:noProof/>
        </w:rPr>
      </w:pPr>
      <w:bookmarkStart w:id="16" w:name="_Toc40451993"/>
      <w:r>
        <w:rPr>
          <w:noProof/>
        </w:rPr>
        <w:t>2.2</w:t>
      </w:r>
      <w:r>
        <w:rPr>
          <w:noProof/>
        </w:rPr>
        <w:tab/>
        <w:t xml:space="preserve">Budget implementation by type of </w:t>
      </w:r>
      <w:bookmarkEnd w:id="15"/>
      <w:r>
        <w:rPr>
          <w:noProof/>
        </w:rPr>
        <w:t>eligible action</w:t>
      </w:r>
      <w:bookmarkEnd w:id="16"/>
    </w:p>
    <w:p>
      <w:pPr>
        <w:rPr>
          <w:noProof/>
        </w:rPr>
      </w:pPr>
      <w:r>
        <w:rPr>
          <w:noProof/>
        </w:rPr>
        <w:t>Graph 2 below gives a breakdown of the planned budget and commitments made in 2019 by type of action. The "Technical Assistance" actions identified in Regulation 250/2014 encompass "Technical Assistance" grant activities, as well as "IT support" (databases and IT tools), whereas the "Training Actions" include the grant activities under "Training, Conferences and Staff exchanges" and "Legal Training and Studies" calls for proposals, as well as the procured conferences and specialised trainings. The planned budget for technical assistance support represented 74% of the total and the commitments represented 76%. These percentages are well above the minimum percentage of 70% foreseen for Technical Assistance in the annex to Regulation 250/2014.</w:t>
      </w:r>
    </w:p>
    <w:p>
      <w:pPr>
        <w:keepNext/>
        <w:rPr>
          <w:b/>
          <w:noProof/>
        </w:rPr>
      </w:pPr>
      <w:r>
        <w:rPr>
          <w:b/>
          <w:noProof/>
        </w:rPr>
        <w:t>Graph 2: Hercule III budget and commitments in 2019 by type of eligible action</w:t>
      </w:r>
    </w:p>
    <w:p>
      <w:pPr>
        <w:keepNext/>
        <w:jc w:val="center"/>
        <w:rPr>
          <w:b/>
          <w:noProof/>
        </w:rPr>
      </w:pPr>
      <w:r>
        <w:rPr>
          <w:noProof/>
          <w:lang w:eastAsia="en-GB"/>
        </w:rPr>
        <w:drawing>
          <wp:inline distT="0" distB="0" distL="0" distR="0">
            <wp:extent cx="3219450" cy="3423920"/>
            <wp:effectExtent l="0" t="0" r="0" b="508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Pr>
          <w:noProof/>
          <w:lang w:eastAsia="en-GB"/>
        </w:rPr>
        <w:drawing>
          <wp:inline distT="0" distB="0" distL="0" distR="0">
            <wp:extent cx="3200400" cy="3414395"/>
            <wp:effectExtent l="0" t="0" r="0" b="1460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pPr>
        <w:spacing w:before="0" w:after="200"/>
        <w:rPr>
          <w:noProof/>
        </w:rPr>
      </w:pPr>
      <w:r>
        <w:rPr>
          <w:noProof/>
        </w:rPr>
        <w:t>Graph 3 gives an overview of the 2019 budget commitments showing the total amounts and number of grants</w:t>
      </w:r>
      <w:r>
        <w:rPr>
          <w:b/>
          <w:noProof/>
        </w:rPr>
        <w:t xml:space="preserve"> </w:t>
      </w:r>
      <w:r>
        <w:rPr>
          <w:noProof/>
        </w:rPr>
        <w:t xml:space="preserve">awarded by Member State for technical assistance, anti-fraud training and legal training. The graph shows that grants were awarded to applicants from 14 Member States. </w:t>
      </w:r>
    </w:p>
    <w:p>
      <w:pPr>
        <w:tabs>
          <w:tab w:val="left" w:pos="3901"/>
        </w:tabs>
        <w:jc w:val="center"/>
        <w:rPr>
          <w:b/>
          <w:noProof/>
        </w:rPr>
      </w:pPr>
      <w:r>
        <w:rPr>
          <w:b/>
          <w:noProof/>
        </w:rPr>
        <w:t>Graph 3: Hercule III commitments (in EUR) and number of grants in 2019 by Member State and by sector of activity</w:t>
      </w:r>
    </w:p>
    <w:p>
      <w:pPr>
        <w:tabs>
          <w:tab w:val="left" w:pos="3901"/>
        </w:tabs>
        <w:jc w:val="center"/>
        <w:rPr>
          <w:b/>
          <w:noProof/>
        </w:rPr>
      </w:pPr>
      <w:r>
        <w:rPr>
          <w:noProof/>
          <w:lang w:eastAsia="en-GB"/>
        </w:rPr>
        <w:drawing>
          <wp:inline distT="0" distB="0" distL="0" distR="0">
            <wp:extent cx="6391275" cy="3857625"/>
            <wp:effectExtent l="0" t="0" r="9525" b="952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pPr>
        <w:pStyle w:val="Heading3"/>
        <w:rPr>
          <w:rFonts w:ascii="Times New Roman" w:hAnsi="Times New Roman" w:cs="Times New Roman"/>
          <w:noProof/>
          <w:color w:val="auto"/>
        </w:rPr>
      </w:pPr>
      <w:bookmarkStart w:id="17" w:name="_Toc421687691"/>
      <w:bookmarkStart w:id="18" w:name="_Toc40451994"/>
      <w:r>
        <w:rPr>
          <w:rFonts w:ascii="Times New Roman" w:hAnsi="Times New Roman" w:cs="Times New Roman"/>
          <w:i/>
          <w:noProof/>
          <w:color w:val="auto"/>
        </w:rPr>
        <w:t xml:space="preserve">2.2.1 </w:t>
      </w:r>
      <w:r>
        <w:rPr>
          <w:rFonts w:ascii="Times New Roman" w:hAnsi="Times New Roman" w:cs="Times New Roman"/>
          <w:i/>
          <w:noProof/>
          <w:color w:val="auto"/>
        </w:rPr>
        <w:tab/>
        <w:t>Technical Assistance grants</w:t>
      </w:r>
      <w:bookmarkEnd w:id="17"/>
      <w:bookmarkEnd w:id="18"/>
      <w:r>
        <w:rPr>
          <w:rFonts w:ascii="Times New Roman" w:hAnsi="Times New Roman" w:cs="Times New Roman"/>
          <w:i/>
          <w:noProof/>
          <w:color w:val="auto"/>
        </w:rPr>
        <w:t xml:space="preserve">  </w:t>
      </w:r>
    </w:p>
    <w:p>
      <w:pPr>
        <w:rPr>
          <w:noProof/>
        </w:rPr>
      </w:pPr>
      <w:r>
        <w:rPr>
          <w:noProof/>
        </w:rPr>
        <w:t>The budget for technical assistance grants was EUR 9 866 200. It was available for funding actions proposed by national and regional authorities for:</w:t>
      </w:r>
    </w:p>
    <w:p>
      <w:pPr>
        <w:pStyle w:val="ListNumber2"/>
        <w:numPr>
          <w:ilvl w:val="0"/>
          <w:numId w:val="4"/>
        </w:numPr>
        <w:rPr>
          <w:noProof/>
        </w:rPr>
      </w:pPr>
      <w:r>
        <w:rPr>
          <w:noProof/>
        </w:rPr>
        <w:t xml:space="preserve">The purchase and maintenance of </w:t>
      </w:r>
      <w:r>
        <w:rPr>
          <w:b/>
          <w:noProof/>
        </w:rPr>
        <w:t>investigation tools and methods</w:t>
      </w:r>
      <w:r>
        <w:rPr>
          <w:noProof/>
        </w:rPr>
        <w:t xml:space="preserve"> used in the fight against irregularities, fraud and corruption perpetrated against the financial interests of the Union, including specialised training needed to operate the investigation tools;</w:t>
      </w:r>
    </w:p>
    <w:p>
      <w:pPr>
        <w:pStyle w:val="ListNumber2"/>
        <w:rPr>
          <w:noProof/>
        </w:rPr>
      </w:pPr>
      <w:r>
        <w:rPr>
          <w:noProof/>
        </w:rPr>
        <w:t xml:space="preserve">The purchase and maintenance of </w:t>
      </w:r>
      <w:r>
        <w:rPr>
          <w:b/>
          <w:noProof/>
        </w:rPr>
        <w:t xml:space="preserve">detection </w:t>
      </w:r>
      <w:r>
        <w:rPr>
          <w:noProof/>
        </w:rPr>
        <w:t xml:space="preserve">devices to carry out inspections of containers, trucks, railway wagons and vehicles at the Union's external borders and within the Union in order to detect smuggled and counterfeited goods imported into the Union with the aim or consequence to evade customs and excise duties; the purchase and maintenance of technical equipment for the </w:t>
      </w:r>
      <w:r>
        <w:rPr>
          <w:b/>
          <w:noProof/>
        </w:rPr>
        <w:t xml:space="preserve">identification </w:t>
      </w:r>
      <w:r>
        <w:rPr>
          <w:noProof/>
        </w:rPr>
        <w:t>of beneficiaries of cash assistance programmes, including by biometric means, in order to prevent fraud and irregularities related to the use of the Union's funds in the migration and refugees management field;</w:t>
      </w:r>
    </w:p>
    <w:p>
      <w:pPr>
        <w:pStyle w:val="ListNumber2"/>
        <w:rPr>
          <w:noProof/>
        </w:rPr>
      </w:pPr>
      <w:r>
        <w:rPr>
          <w:noProof/>
        </w:rPr>
        <w:t>The purchase, maintenance and interconnection of systems for the recognition of vehicle number plates (</w:t>
      </w:r>
      <w:r>
        <w:rPr>
          <w:b/>
          <w:noProof/>
        </w:rPr>
        <w:t>Automated Number Plate Recognition Systems)</w:t>
      </w:r>
      <w:r>
        <w:rPr>
          <w:noProof/>
        </w:rPr>
        <w:t xml:space="preserve"> or container codes for purposes related to the protection of the financial interests of the Union, including specialised training needed to operate these systems;</w:t>
      </w:r>
    </w:p>
    <w:p>
      <w:pPr>
        <w:pStyle w:val="ListNumber2"/>
        <w:rPr>
          <w:noProof/>
        </w:rPr>
      </w:pPr>
      <w:r>
        <w:rPr>
          <w:noProof/>
        </w:rPr>
        <w:t xml:space="preserve">Beneficiaries’ purchase of services for the </w:t>
      </w:r>
      <w:r>
        <w:rPr>
          <w:b/>
          <w:noProof/>
        </w:rPr>
        <w:t xml:space="preserve">analysis, storage and destruction </w:t>
      </w:r>
      <w:r>
        <w:rPr>
          <w:noProof/>
        </w:rPr>
        <w:t>of seized genuine or counterfeited cigarettes and other counterfeited goods detrimental to the Union’s financial interests.</w:t>
      </w:r>
    </w:p>
    <w:p>
      <w:pPr>
        <w:rPr>
          <w:noProof/>
        </w:rPr>
      </w:pPr>
      <w:r>
        <w:rPr>
          <w:noProof/>
        </w:rPr>
        <w:t xml:space="preserve">The Commission received 43 applications from 16 Member States by the deadline of 14 May 2019. The total budget of the proposed actions was EUR 36.5 million and the requested financial support amounted to EUR 30.9 million. This amount exceeded the available budget of EUR 9.87 million more than threefold. The Evaluation Committee adopted its recommendations in October 2019 and the decision to award grants for 13 actions was also adopted in October 2019. </w:t>
      </w:r>
    </w:p>
    <w:p>
      <w:pPr>
        <w:rPr>
          <w:noProof/>
        </w:rPr>
      </w:pPr>
      <w:r>
        <w:rPr>
          <w:noProof/>
        </w:rPr>
        <w:t>All applicants were informed of the outcome of the evaluation procedure. The overall amount approved for technical assistance grants was EUR 10.9 million. The average co-financing percentage for the awarded grants was 78.5% of the eligible costs</w:t>
      </w:r>
      <w:r>
        <w:rPr>
          <w:rStyle w:val="FootnoteReference"/>
          <w:noProof/>
        </w:rPr>
        <w:footnoteReference w:id="17"/>
      </w:r>
      <w:r>
        <w:rPr>
          <w:noProof/>
        </w:rPr>
        <w:t xml:space="preserve"> of the action. Grants were awarded for the purchase of investigation equipment (including forensics equipment), data analysis systems and large x-rays scanners as well as a plant laboratory and Automated Number Plate Recognition Systems. Table 1 in Annex 1 gives an overview of the beneficiaries,  project title as well as the grant amount and awarded co-financing rate. </w:t>
      </w:r>
    </w:p>
    <w:p>
      <w:pPr>
        <w:pStyle w:val="Heading3"/>
        <w:rPr>
          <w:rFonts w:ascii="Times New Roman" w:hAnsi="Times New Roman" w:cs="Times New Roman"/>
          <w:i/>
          <w:noProof/>
          <w:color w:val="auto"/>
        </w:rPr>
      </w:pPr>
      <w:bookmarkStart w:id="19" w:name="_Toc421687692"/>
      <w:bookmarkStart w:id="20" w:name="_Toc40451995"/>
      <w:r>
        <w:rPr>
          <w:rFonts w:ascii="Times New Roman" w:hAnsi="Times New Roman" w:cs="Times New Roman"/>
          <w:i/>
          <w:noProof/>
          <w:color w:val="auto"/>
        </w:rPr>
        <w:t xml:space="preserve">2.2.2 </w:t>
      </w:r>
      <w:r>
        <w:rPr>
          <w:rFonts w:ascii="Times New Roman" w:hAnsi="Times New Roman" w:cs="Times New Roman"/>
          <w:i/>
          <w:noProof/>
          <w:color w:val="auto"/>
        </w:rPr>
        <w:tab/>
        <w:t>IT Support: Databases, IT tools and analyses of samples from tobacco seizures</w:t>
      </w:r>
      <w:bookmarkEnd w:id="19"/>
      <w:bookmarkEnd w:id="20"/>
      <w:r>
        <w:rPr>
          <w:rFonts w:ascii="Times New Roman" w:hAnsi="Times New Roman" w:cs="Times New Roman"/>
          <w:i/>
          <w:noProof/>
          <w:color w:val="auto"/>
        </w:rPr>
        <w:t xml:space="preserve"> </w:t>
      </w:r>
    </w:p>
    <w:p>
      <w:pPr>
        <w:rPr>
          <w:i/>
          <w:noProof/>
        </w:rPr>
      </w:pPr>
      <w:r>
        <w:rPr>
          <w:i/>
          <w:noProof/>
        </w:rPr>
        <w:t>Databases</w:t>
      </w:r>
    </w:p>
    <w:p>
      <w:pPr>
        <w:spacing w:before="0" w:after="0"/>
        <w:rPr>
          <w:rFonts w:eastAsiaTheme="minorHAnsi"/>
          <w:noProof/>
        </w:rPr>
      </w:pPr>
      <w:r>
        <w:rPr>
          <w:rFonts w:eastAsiaTheme="minorHAnsi"/>
          <w:noProof/>
        </w:rPr>
        <w:t>The Programme provides funds for the procurement of subscriptions to databases, on behalf of law enforcement authorities in Member States to support operations and investigations. The Commission procures and manages the access to these databases enabling substantial economies of scale. Within the framework of investigations that are jointly undertaken with its Member State partners and for its own investigations, OLAF staff also makes a limited use of these databases</w:t>
      </w:r>
      <w:r>
        <w:rPr>
          <w:rFonts w:eastAsiaTheme="minorHAnsi"/>
          <w:noProof/>
          <w:vertAlign w:val="superscript"/>
        </w:rPr>
        <w:footnoteReference w:id="18"/>
      </w:r>
      <w:r>
        <w:rPr>
          <w:rFonts w:eastAsiaTheme="minorHAnsi"/>
          <w:noProof/>
        </w:rPr>
        <w:t xml:space="preserve">. </w:t>
      </w:r>
    </w:p>
    <w:p>
      <w:pPr>
        <w:spacing w:before="0" w:after="200"/>
        <w:rPr>
          <w:noProof/>
        </w:rPr>
      </w:pPr>
      <w:r>
        <w:rPr>
          <w:rFonts w:eastAsiaTheme="minorHAnsi"/>
          <w:noProof/>
        </w:rPr>
        <w:t>Access to databases for trade and company data as well as for vessel movements were purchased in 2019 by concluding specific contracts under existing framework contracts</w:t>
      </w:r>
      <w:r>
        <w:rPr>
          <w:rFonts w:eastAsiaTheme="minorHAnsi"/>
          <w:noProof/>
          <w:vertAlign w:val="superscript"/>
        </w:rPr>
        <w:footnoteReference w:id="19"/>
      </w:r>
      <w:r>
        <w:rPr>
          <w:rFonts w:eastAsiaTheme="minorHAnsi"/>
          <w:noProof/>
        </w:rPr>
        <w:t xml:space="preserve">. Table 3 in Annex 1 gives an overview of the contracts awarded in 2019. </w:t>
      </w:r>
    </w:p>
    <w:p>
      <w:pPr>
        <w:rPr>
          <w:i/>
          <w:noProof/>
        </w:rPr>
      </w:pPr>
      <w:bookmarkStart w:id="21" w:name="_Toc358287380"/>
      <w:r>
        <w:rPr>
          <w:i/>
          <w:noProof/>
        </w:rPr>
        <w:t>Development of specific IT tools for data analyses</w:t>
      </w:r>
      <w:bookmarkEnd w:id="21"/>
      <w:r>
        <w:rPr>
          <w:i/>
          <w:noProof/>
        </w:rPr>
        <w:t xml:space="preserve"> </w:t>
      </w:r>
    </w:p>
    <w:p>
      <w:pPr>
        <w:rPr>
          <w:rFonts w:eastAsiaTheme="minorHAnsi"/>
          <w:noProof/>
        </w:rPr>
      </w:pPr>
      <w:r>
        <w:rPr>
          <w:rFonts w:eastAsiaTheme="minorHAnsi"/>
          <w:b/>
          <w:noProof/>
        </w:rPr>
        <w:t>The Automated Monitoring Tool (AMT)</w:t>
      </w:r>
      <w:r>
        <w:rPr>
          <w:rFonts w:eastAsiaTheme="minorHAnsi"/>
          <w:noProof/>
        </w:rPr>
        <w:t xml:space="preserve"> project for the analysis of “big data” on external trade, carried out by the Joint Research Centre (JRC) of the European Commission in Ispra (Italy), was continued in 2019 under an existing administrative arrangement funded from previous years and lasting until January 2021. It aims to enhance and implement specific statistical methods and tools for the analysis of data from customs declarations to detect anomalies in trade patterns. In this way, it supports risk management activities undertaken by Member States’ customs authorities to fight evasion and fraud. </w:t>
      </w:r>
    </w:p>
    <w:p>
      <w:pPr>
        <w:rPr>
          <w:rFonts w:eastAsiaTheme="minorHAnsi"/>
          <w:noProof/>
        </w:rPr>
      </w:pPr>
      <w:r>
        <w:rPr>
          <w:rFonts w:eastAsiaTheme="minorHAnsi"/>
          <w:noProof/>
        </w:rPr>
        <w:t>The AMT generates automated alerts for outliers in trade data. It generates estimates for average import prices, at EU and national level, by applying statistical methods for each combination of product, third country of origin and Member State of destination. It is a risk analysis tool for Member States’ customs authorities to monitor trade flows for intelligence analyses, target their controls and produce risk profiles to identify cases of potential customs fraud. It also provides realistic scenarios for joint customs operations and is a tool for estimation of  the customs duties that should be collected and the related potential total losses due to undervaluation in the EU in such cases. The use of AMT has improved authorities’ ability to detect the undervaluation of imported goods and thereby helped to reduce the level of losses to the EU and Member States' budgets in customs duties and taxes. In 2019, several Member States broadened the use of the AMT during a pilot project where Member States’ customs shared best practices and data for the development of new data analysis techniques to detect undervaluation and to improve estimates of import prices. This pilot took place under the INTEL4CUSTAF project, which is also a Hercule funded project to improve and strengthen cooperation between customs authorities in the area of data analysis for anti-fraud activities, described below.</w:t>
      </w:r>
    </w:p>
    <w:p>
      <w:pPr>
        <w:rPr>
          <w:rFonts w:eastAsiaTheme="minorHAnsi"/>
          <w:noProof/>
        </w:rPr>
      </w:pPr>
      <w:r>
        <w:rPr>
          <w:rFonts w:eastAsiaTheme="minorHAnsi"/>
          <w:noProof/>
        </w:rPr>
        <w:t xml:space="preserve">OLAF and the JRC extended the administrative arrangement (for an amount of EUR 322 763) for the </w:t>
      </w:r>
      <w:r>
        <w:rPr>
          <w:rFonts w:eastAsiaTheme="minorHAnsi"/>
          <w:b/>
          <w:noProof/>
        </w:rPr>
        <w:t>“Data Analysis for Customs Anti-Fraud” project (INTEL4CUSTAF)</w:t>
      </w:r>
      <w:r>
        <w:rPr>
          <w:rFonts w:eastAsiaTheme="minorHAnsi"/>
          <w:noProof/>
        </w:rPr>
        <w:t xml:space="preserve">. Work on this project started in 2018, at the request of Member States, to provide “scientific and technical support in advancing the anti-fraud EU customs data analytics capacity”. It covers activities falling within the scope of Regulation (EC) No 515/97 on mutual administrative assistance in the areas of customs and agriculture matters to ensure the correct application of customs legislation. The longer term goal of the project is to provide knowledge and to facilitate and support the work of customs authorities in the Member States for the effective and efficient use of data and analytical approaches in the area of customs anti-fraud. </w:t>
      </w:r>
    </w:p>
    <w:p>
      <w:pPr>
        <w:rPr>
          <w:rFonts w:eastAsiaTheme="minorHAnsi"/>
          <w:noProof/>
        </w:rPr>
      </w:pPr>
      <w:r>
        <w:rPr>
          <w:rFonts w:eastAsiaTheme="minorHAnsi"/>
          <w:noProof/>
        </w:rPr>
        <w:t>During 2019, as in 2018, networking activities were conducted. In two years, the project has established and strengthened a community of practitioners in the domain of customs data analysis, bringing together around 150 experts drawn from all Member States and the Commission. The 3</w:t>
      </w:r>
      <w:r>
        <w:rPr>
          <w:rFonts w:eastAsiaTheme="minorHAnsi"/>
          <w:noProof/>
          <w:vertAlign w:val="superscript"/>
        </w:rPr>
        <w:t>rd</w:t>
      </w:r>
      <w:r>
        <w:rPr>
          <w:rFonts w:eastAsiaTheme="minorHAnsi"/>
          <w:noProof/>
        </w:rPr>
        <w:t xml:space="preserve"> workshop, organised in Prague with the assistance of the Czech Customs Administration, attracted 58 participants from 27 Member States, who discussed new work, good practices and progress with the pilot research projects. Visits were also undertaken by the Commission to two Member State customs authorities. Such activities have improved collaboration among Member States' customs authorities and with the Commission. Also in 2019, five concrete data analysis (pilot) exercises started, to research and develop new data analytical tools and methods intended to help detect customs fraud in key areas of interest to Member States. The projects looked at issues related to: undervaluation, misdescription of goods, automatic identification of possible e-Traders (linked to e-commerce), the potential of comparing the results from different ways of measuring container weight to identify possible fraud, using text mining and media monitoring to identify reports of illicit tobacco. In addition to this analysis, the pilot projects facilitated data and knowledge sharing between participants in the Member States and the Commission and work on joint analysis.</w:t>
      </w:r>
    </w:p>
    <w:p>
      <w:pPr>
        <w:rPr>
          <w:rFonts w:eastAsiaTheme="minorHAnsi"/>
          <w:noProof/>
        </w:rPr>
      </w:pPr>
      <w:r>
        <w:rPr>
          <w:rFonts w:eastAsiaTheme="minorHAnsi"/>
          <w:noProof/>
        </w:rPr>
        <w:t>The results of the project contributed to improve fraud detection and investigation, through the strengthening of the customs analytical community and the work performed in the pilots. Thus, the project improved the transnational cooperation and collaboration with the Commission, the sharing of good data analysis practices among Member States and supported the strengthening of Member States capacity to combat fraud, and, overall, of the protection of the financial interests of the EU.</w:t>
      </w:r>
    </w:p>
    <w:p>
      <w:pPr>
        <w:rPr>
          <w:rFonts w:eastAsiaTheme="minorHAnsi"/>
          <w:noProof/>
        </w:rPr>
      </w:pPr>
      <w:r>
        <w:rPr>
          <w:rFonts w:eastAsiaTheme="minorHAnsi"/>
          <w:noProof/>
        </w:rPr>
        <w:t xml:space="preserve">Following positive feedback from the Member States customs experts, the administrative arrangement was extended for a third phase in 2020. It was decided to continue four of the 2019 pilot projects and to implement two new pilots: i) using text mining for the validation of commodity descriptions in customs declarations; and ii) a study to understand the potential use of the new tobacco track and trace data in tackling tobacco fraud. </w:t>
      </w:r>
    </w:p>
    <w:p>
      <w:pPr>
        <w:rPr>
          <w:rFonts w:eastAsiaTheme="minorHAnsi"/>
          <w:noProof/>
        </w:rPr>
      </w:pPr>
      <w:r>
        <w:rPr>
          <w:rFonts w:eastAsiaTheme="minorHAnsi"/>
          <w:noProof/>
        </w:rPr>
        <w:t>Section 3 provides examples of the results obtained in 2019 using the AMT tool and the data analysis project.</w:t>
      </w:r>
    </w:p>
    <w:p>
      <w:pPr>
        <w:rPr>
          <w:i/>
          <w:noProof/>
        </w:rPr>
      </w:pPr>
      <w:bookmarkStart w:id="22" w:name="_Toc358287381"/>
      <w:r>
        <w:rPr>
          <w:i/>
          <w:noProof/>
        </w:rPr>
        <w:t>Tobacco analyses</w:t>
      </w:r>
      <w:bookmarkEnd w:id="22"/>
      <w:r>
        <w:rPr>
          <w:i/>
          <w:noProof/>
        </w:rPr>
        <w:t xml:space="preserve"> </w:t>
      </w:r>
    </w:p>
    <w:p>
      <w:pPr>
        <w:spacing w:before="0" w:after="200" w:line="276" w:lineRule="auto"/>
        <w:rPr>
          <w:rFonts w:eastAsiaTheme="minorHAnsi"/>
          <w:noProof/>
        </w:rPr>
      </w:pPr>
      <w:bookmarkStart w:id="23" w:name="_Toc358287373"/>
      <w:bookmarkStart w:id="24" w:name="_Toc421687693"/>
      <w:r>
        <w:rPr>
          <w:rFonts w:eastAsiaTheme="minorHAnsi"/>
          <w:noProof/>
        </w:rPr>
        <w:t xml:space="preserve">The illicit tobacco trade causes losses of taxes to the EU and Member States, is a revenue source for organised crime groups, and undermines health policies. Fighting the illicit tobacco trade is therefore key to protecting the financial interests of the EU and Member States, as well as protecting public health and security. To help tackle this phenomenon </w:t>
      </w:r>
      <w:r>
        <w:rPr>
          <w:rFonts w:eastAsiaTheme="minorHAnsi"/>
          <w:b/>
          <w:noProof/>
        </w:rPr>
        <w:t>TOBLAB, a laboratory for the analysis of tobacco products</w:t>
      </w:r>
      <w:r>
        <w:rPr>
          <w:rFonts w:eastAsiaTheme="minorHAnsi"/>
          <w:noProof/>
        </w:rPr>
        <w:t>, was set up in 2016 by the JRC's Institute for Reference Materials and Measurements in Geel (Belgium). TOBLAB provides and develops independent testing facilities, IT infrastructure and analysis methods to determine whether tobacco products are genuine or counterfeit and to support investigations, in response to needs expressed by the Member States.</w:t>
      </w:r>
      <w:r>
        <w:rPr>
          <w:rFonts w:eastAsiaTheme="minorHAnsi"/>
          <w:noProof/>
          <w:vertAlign w:val="superscript"/>
        </w:rPr>
        <w:footnoteReference w:id="20"/>
      </w:r>
      <w:r>
        <w:rPr>
          <w:rFonts w:eastAsiaTheme="minorHAnsi"/>
          <w:noProof/>
        </w:rPr>
        <w:t xml:space="preserve"> The annual administrative arrangement with the JRC's Geel Institute was renewed in 2019 with Programme funding for an amount of EUR 171 771. The analyses carried out confirmed an increase in seizures of cheap whites. In this context, providing chemical and technical analysis on selected samples of seized tobacco products and promoting the capacities of the laboratory facility is an action to strengthen analytical tools in the 2</w:t>
      </w:r>
      <w:r>
        <w:rPr>
          <w:rFonts w:eastAsiaTheme="minorHAnsi"/>
          <w:noProof/>
          <w:vertAlign w:val="superscript"/>
        </w:rPr>
        <w:t>nd</w:t>
      </w:r>
      <w:r>
        <w:rPr>
          <w:rFonts w:eastAsiaTheme="minorHAnsi"/>
          <w:noProof/>
        </w:rPr>
        <w:t xml:space="preserve"> Action Plan to fight the illicit tobacco trade adopted by the Commission in 2018</w:t>
      </w:r>
      <w:r>
        <w:rPr>
          <w:rFonts w:eastAsiaTheme="minorHAnsi"/>
          <w:noProof/>
          <w:vertAlign w:val="superscript"/>
        </w:rPr>
        <w:footnoteReference w:id="21"/>
      </w:r>
      <w:r>
        <w:rPr>
          <w:rFonts w:eastAsiaTheme="minorHAnsi"/>
          <w:noProof/>
        </w:rPr>
        <w:t xml:space="preserve">. </w:t>
      </w:r>
    </w:p>
    <w:p>
      <w:pPr>
        <w:spacing w:before="0" w:after="200" w:line="276" w:lineRule="auto"/>
        <w:rPr>
          <w:rFonts w:eastAsiaTheme="minorHAnsi"/>
          <w:noProof/>
        </w:rPr>
      </w:pPr>
      <w:r>
        <w:rPr>
          <w:rFonts w:eastAsiaTheme="minorHAnsi"/>
          <w:noProof/>
        </w:rPr>
        <w:t>In its 2018 Action Plan, the Commission acknowledges a need to focus on input materials, including raw tobacco, also in the context of increased detection of illicit production sites within the EU. The number of requests from Member States for JRC analysis of seized raw tobacco and fine cut tobacco samples increased significantly in 2018-2019. Such illicit trade has negative consequences in terms of revenues and broader tobacco control policy. To address the situation, and in line with the objectives of the Action Plan, the JRC strives to populate its databases on raw tobacco while continuing to increase the samples of cigarettes analysed under the project. The creation of a mapping of raw tobacco in Europe would help to monitor cross-border movements of raw and fine cut tobacco.  Section 3 describes some concrete results.</w:t>
      </w:r>
    </w:p>
    <w:p>
      <w:pPr>
        <w:pStyle w:val="Heading3"/>
        <w:rPr>
          <w:rFonts w:ascii="Times New Roman" w:hAnsi="Times New Roman" w:cs="Times New Roman"/>
          <w:i/>
          <w:noProof/>
          <w:color w:val="auto"/>
        </w:rPr>
      </w:pPr>
      <w:bookmarkStart w:id="25" w:name="_Toc40451996"/>
      <w:r>
        <w:rPr>
          <w:rFonts w:ascii="Times New Roman" w:hAnsi="Times New Roman" w:cs="Times New Roman"/>
          <w:i/>
          <w:noProof/>
          <w:color w:val="auto"/>
        </w:rPr>
        <w:t>2.2.3</w:t>
      </w:r>
      <w:r>
        <w:rPr>
          <w:rFonts w:ascii="Times New Roman" w:hAnsi="Times New Roman" w:cs="Times New Roman"/>
          <w:i/>
          <w:noProof/>
          <w:color w:val="auto"/>
        </w:rPr>
        <w:tab/>
        <w:t>Conferences, seminars and digital forensics and analysts training</w:t>
      </w:r>
      <w:bookmarkEnd w:id="23"/>
      <w:bookmarkEnd w:id="24"/>
      <w:bookmarkEnd w:id="25"/>
      <w:r>
        <w:rPr>
          <w:rFonts w:ascii="Times New Roman" w:hAnsi="Times New Roman" w:cs="Times New Roman"/>
          <w:i/>
          <w:noProof/>
          <w:color w:val="auto"/>
        </w:rPr>
        <w:t xml:space="preserve">  </w:t>
      </w:r>
    </w:p>
    <w:p>
      <w:pPr>
        <w:rPr>
          <w:i/>
          <w:noProof/>
        </w:rPr>
      </w:pPr>
      <w:bookmarkStart w:id="26" w:name="_Toc421687694"/>
      <w:r>
        <w:rPr>
          <w:i/>
          <w:noProof/>
        </w:rPr>
        <w:t>Training, conferences and staff exchanges organised under grants</w:t>
      </w:r>
    </w:p>
    <w:p>
      <w:pPr>
        <w:rPr>
          <w:noProof/>
        </w:rPr>
      </w:pPr>
      <w:bookmarkStart w:id="27" w:name="_Toc358287374"/>
      <w:bookmarkStart w:id="28" w:name="_Toc358287375"/>
      <w:r>
        <w:rPr>
          <w:noProof/>
        </w:rPr>
        <w:t>Training activities financed under the Programme aim to provide grants to beneficiaries for the organisation of targeted specialised trainings, conferences and staff exchanges. These activities aim to strengthen cross-border cooperation and networking activities between experts and to facilitate the exchange of information on best practice in relation to the protection of the financial interests of the Union. The topics addressed by the 2019 applicants emphasised transnational cooperation and the further development, improvement and update of staff's skills and competences through risk-analysis workshops and conferences (50% of applications received), specialised trainings (33%) and staff exchange (17%).</w:t>
      </w:r>
    </w:p>
    <w:p>
      <w:pPr>
        <w:rPr>
          <w:noProof/>
        </w:rPr>
      </w:pPr>
      <w:r>
        <w:rPr>
          <w:noProof/>
        </w:rPr>
        <w:t>The Commission received 19 applications from 10 Member States by the deadline of 14 May 2019. The total amount of requested grants was EUR 1.5 million whereas a maximum of EUR 1.1 million was available. The Commission selected for award ten projects for the amount of EUR 605 056. Table 4 in Annex 1 gives an overview of the awarded grants and co-financing rate.</w:t>
      </w:r>
    </w:p>
    <w:p>
      <w:pPr>
        <w:rPr>
          <w:i/>
          <w:noProof/>
        </w:rPr>
      </w:pPr>
      <w:r>
        <w:rPr>
          <w:i/>
          <w:noProof/>
        </w:rPr>
        <w:t xml:space="preserve">Conferences organised under procurement </w:t>
      </w:r>
    </w:p>
    <w:p>
      <w:pPr>
        <w:rPr>
          <w:noProof/>
        </w:rPr>
      </w:pPr>
      <w:r>
        <w:rPr>
          <w:noProof/>
        </w:rPr>
        <w:t xml:space="preserve">The Programme also finances high-level conferences and training activities focused on the protection of the Union’s financial interests organised by the Commission. Nine events were funded in 2019 through the use of an existing framework service contract. The overall budget available for procured conferences was EUR 1 million. Table 5 in Annex 1 provides an overview of the nine events that were procured in 2019. </w:t>
      </w:r>
    </w:p>
    <w:p>
      <w:pPr>
        <w:rPr>
          <w:i/>
          <w:noProof/>
        </w:rPr>
      </w:pPr>
      <w:r>
        <w:rPr>
          <w:i/>
          <w:noProof/>
        </w:rPr>
        <w:t xml:space="preserve">Training organised under procurement: digital forensics and analysts training </w:t>
      </w:r>
    </w:p>
    <w:p>
      <w:pPr>
        <w:rPr>
          <w:noProof/>
        </w:rPr>
      </w:pPr>
      <w:r>
        <w:rPr>
          <w:noProof/>
        </w:rPr>
        <w:t xml:space="preserve">The "Digital forensics and analysts training" (DFAT) aims to reinforce the capacity of law enforcement agencies to combat fraud, including cigarette smuggling and counterfeiting. This training provides improved detection skills to extract and use data from digital devices. A network of certified digital forensic specialists was created in 2007 as a result of this annual training.   </w:t>
      </w:r>
    </w:p>
    <w:p>
      <w:pPr>
        <w:rPr>
          <w:noProof/>
        </w:rPr>
      </w:pPr>
      <w:r>
        <w:rPr>
          <w:noProof/>
        </w:rPr>
        <w:t>The complexity of EU funds-related investigations has increased, creating larger volumes of data to process as well as a growing need to train analysts. To address this need, analysts training courses have been added since 2018 to the original "Digital forensics training" (DFT) of 2007-2017, complementing digital forensics investigations by ensuring that data will be processed with a view to enhancing the quality, accuracy and efficiency of investigations related to EU funds.</w:t>
      </w:r>
    </w:p>
    <w:p>
      <w:pPr>
        <w:rPr>
          <w:noProof/>
        </w:rPr>
      </w:pPr>
      <w:r>
        <w:rPr>
          <w:noProof/>
        </w:rPr>
        <w:t>In 2019, a total of 233 officials attended two training sessions financed by Hercule III in Spain, in Seville (September 2019) and  Malaga (November 2019). These sessions were managed under the collaboration of a professional conference organiser and a training provider. The first session was attended by 106 national officials. The second session was attended by 107 national officials. The trainees came from 28 Members States and 9 third countries. In addition, 20 EU officials participated, financed by the EU administrative budget.</w:t>
      </w:r>
    </w:p>
    <w:p>
      <w:pPr>
        <w:pStyle w:val="Heading3"/>
        <w:rPr>
          <w:b w:val="0"/>
          <w:i/>
          <w:noProof/>
          <w:color w:val="auto"/>
        </w:rPr>
      </w:pPr>
      <w:bookmarkStart w:id="29" w:name="_Toc40451997"/>
      <w:bookmarkEnd w:id="27"/>
      <w:bookmarkEnd w:id="28"/>
      <w:r>
        <w:rPr>
          <w:rFonts w:ascii="Times New Roman" w:hAnsi="Times New Roman" w:cs="Times New Roman"/>
          <w:i/>
          <w:noProof/>
          <w:color w:val="auto"/>
        </w:rPr>
        <w:t>2.2.4</w:t>
      </w:r>
      <w:r>
        <w:rPr>
          <w:rFonts w:ascii="Times New Roman" w:hAnsi="Times New Roman" w:cs="Times New Roman"/>
          <w:i/>
          <w:noProof/>
          <w:color w:val="auto"/>
        </w:rPr>
        <w:tab/>
        <w:t>Legal training and studies</w:t>
      </w:r>
      <w:bookmarkEnd w:id="26"/>
      <w:bookmarkEnd w:id="29"/>
      <w:r>
        <w:rPr>
          <w:rFonts w:ascii="Times New Roman" w:hAnsi="Times New Roman" w:cs="Times New Roman"/>
          <w:i/>
          <w:noProof/>
          <w:color w:val="auto"/>
        </w:rPr>
        <w:t xml:space="preserve">  </w:t>
      </w:r>
    </w:p>
    <w:p>
      <w:pPr>
        <w:rPr>
          <w:noProof/>
        </w:rPr>
      </w:pPr>
      <w:r>
        <w:rPr>
          <w:noProof/>
        </w:rPr>
        <w:t>The legal training and studies grants aim at enhancing the development of the legal and judicial protection of the financial interests of the Union. In 2019, the Commission awarded grants to applications that proposed actions covering three types of specific topics:</w:t>
      </w:r>
    </w:p>
    <w:p>
      <w:pPr>
        <w:ind w:left="851" w:hanging="567"/>
        <w:rPr>
          <w:noProof/>
        </w:rPr>
      </w:pPr>
      <w:r>
        <w:rPr>
          <w:noProof/>
        </w:rPr>
        <w:t>1.    Developing high-profile research activities, including studies in comparative law;</w:t>
      </w:r>
    </w:p>
    <w:p>
      <w:pPr>
        <w:ind w:left="709" w:hanging="425"/>
        <w:rPr>
          <w:noProof/>
        </w:rPr>
      </w:pPr>
      <w:r>
        <w:rPr>
          <w:noProof/>
        </w:rPr>
        <w:t xml:space="preserve">2. </w:t>
      </w:r>
      <w:r>
        <w:rPr>
          <w:noProof/>
        </w:rPr>
        <w:tab/>
        <w:t>Increasing cooperation and awareness among practitioners and academics through conferences;</w:t>
      </w:r>
    </w:p>
    <w:p>
      <w:pPr>
        <w:ind w:left="709" w:hanging="425"/>
        <w:rPr>
          <w:noProof/>
        </w:rPr>
      </w:pPr>
      <w:r>
        <w:rPr>
          <w:noProof/>
        </w:rPr>
        <w:t>3.  Developing periodical scientific publications and other tools for the dissemination of scientific knowledge.</w:t>
      </w:r>
    </w:p>
    <w:p>
      <w:pPr>
        <w:rPr>
          <w:noProof/>
        </w:rPr>
      </w:pPr>
      <w:r>
        <w:rPr>
          <w:noProof/>
        </w:rPr>
        <w:t>The Commission received six</w:t>
      </w:r>
      <w:r>
        <w:rPr>
          <w:b/>
          <w:noProof/>
        </w:rPr>
        <w:t xml:space="preserve"> </w:t>
      </w:r>
      <w:r>
        <w:rPr>
          <w:noProof/>
        </w:rPr>
        <w:t>applications from five Member States by the deadline of the call for proposals on 14 May 2019. The aggregate budget of the six projects totalled EUR 0.68 million and the Commission was requested to contribute an amount of EUR 0.54 million, where EUR 0.5 million was available. The Commission decided to award a grant to five applications for an overall amount of about EUR 0.43 with an average co-financing rate of 81%. The grants were awarded, amongst others, for conducting studies on EU VAT fraud, fraud prevention, national transposition of the Directive on the fight against fraud to the Union's financial interests by means of criminal law, as well as for the publication of a periodical on the protection of the Union’s financial interests. Table 7 in Annex 1 gives an overview of the awarded grants in 2019.</w:t>
      </w:r>
    </w:p>
    <w:p>
      <w:pPr>
        <w:pStyle w:val="Heading1"/>
        <w:rPr>
          <w:noProof/>
        </w:rPr>
      </w:pPr>
      <w:bookmarkStart w:id="30" w:name="_Toc40451998"/>
      <w:r>
        <w:rPr>
          <w:noProof/>
        </w:rPr>
        <w:t>3.</w:t>
      </w:r>
      <w:r>
        <w:rPr>
          <w:noProof/>
        </w:rPr>
        <w:tab/>
        <w:t>Achievements 2019</w:t>
      </w:r>
      <w:bookmarkEnd w:id="30"/>
      <w:r>
        <w:rPr>
          <w:noProof/>
        </w:rPr>
        <w:t xml:space="preserve">   </w:t>
      </w:r>
    </w:p>
    <w:p>
      <w:pPr>
        <w:rPr>
          <w:noProof/>
          <w:lang w:eastAsia="de-DE"/>
        </w:rPr>
      </w:pPr>
      <w:r>
        <w:rPr>
          <w:noProof/>
          <w:lang w:eastAsia="de-DE"/>
        </w:rPr>
        <w:t xml:space="preserve">This section provides an overview of the main results achieved by beneficiaries implementing awarded grants coming to an end in 2019. The outcomes of projects are reported in the final technical report submitted by beneficiaries with their payment requests. Final technical reports also describe issues encountered during the implementation of the action, such as delays or staff changes. It records how they were resolved and eventual impacts on the project’s outcome. </w:t>
      </w:r>
    </w:p>
    <w:p>
      <w:pPr>
        <w:rPr>
          <w:noProof/>
          <w:lang w:eastAsia="de-DE"/>
        </w:rPr>
      </w:pPr>
      <w:r>
        <w:rPr>
          <w:noProof/>
          <w:lang w:eastAsia="de-DE"/>
        </w:rPr>
        <w:t>Beneficiaries of grants for training activities (conferences, seminars and training sessions) also conduct a participant survey to measure the relevance, quality and overall user satisfaction of the event. The findings of these surveys are included in the final technical report submitted at the end of the action.</w:t>
      </w:r>
    </w:p>
    <w:p>
      <w:pPr>
        <w:rPr>
          <w:noProof/>
          <w:lang w:eastAsia="de-DE"/>
        </w:rPr>
      </w:pPr>
      <w:r>
        <w:rPr>
          <w:noProof/>
          <w:lang w:eastAsia="de-DE"/>
        </w:rPr>
        <w:t xml:space="preserve">Training activities finalised in 2019 consisted of conferences (83%) and staff exchanges (17%) and concerned a wide range of disciplines and topics such as: combating irregularities in the use of EU funds, corruption and conflicts of interests, fighting intra-community VAT fraud and cross border tobacco-related crimes, enhancing the legal protection for the Union’s financial interests, enhancing cooperation for the establishment of the European Public Prosecutor’s Office (EPPO), preventing frauds and irregularities in international cooperation and development projects, and strengthening actions to fight frauds in public procurement. </w:t>
      </w:r>
    </w:p>
    <w:p>
      <w:pPr>
        <w:rPr>
          <w:noProof/>
          <w:lang w:eastAsia="de-DE"/>
        </w:rPr>
      </w:pPr>
      <w:r>
        <w:rPr>
          <w:noProof/>
          <w:lang w:eastAsia="de-DE"/>
        </w:rPr>
        <w:t>While most of the training projects addressed representatives of administrations responsible for managing EU funds and law enforcement agencies (police, customs), the participation of students, professionals, NGO's and educational institutions was also noteworthy. A total of 1 551 persons attended anti-fraud trainings and conferences and 1 095 event evaluation forms were received. The feedback received was overwhelmingly positive, with 99% of the participants giving the events “excellent” or “good” assessments. The evaluations of the projects finalised in 2019 confirmed a growing international dimension. Participants came from the 28 EU Member States, 5 candidate countries and 9 third countries.</w:t>
      </w:r>
    </w:p>
    <w:p>
      <w:pPr>
        <w:rPr>
          <w:noProof/>
          <w:lang w:eastAsia="de-DE"/>
        </w:rPr>
      </w:pPr>
      <w:r>
        <w:rPr>
          <w:noProof/>
          <w:lang w:eastAsia="de-DE"/>
        </w:rPr>
        <w:t>Technical assistance grants are awarded for the purchase and installation of technical equipment which, at the time of final reporting, has only been operational for a short period. The first tangible results of the equipment, such as the seizures of cigarettes, arrests made of suspected persons or estimates of prevented losses to the national or the Union budget, can only be reported several months after the closing date of the action. For this reason, beneficiaries are also required to submit a final implementation report one year after the closing date of their actions to report on the results from the use of equipment.</w:t>
      </w:r>
    </w:p>
    <w:p>
      <w:pPr>
        <w:rPr>
          <w:noProof/>
          <w:lang w:eastAsia="de-DE"/>
        </w:rPr>
      </w:pPr>
      <w:r>
        <w:rPr>
          <w:noProof/>
          <w:lang w:eastAsia="de-DE"/>
        </w:rPr>
        <w:t>The reported results are examined in the light of the operational objectives of the Programme. Sections 3.1 to 3.5 below describe the Programme’s achievements in the framework of these objectives.</w:t>
      </w:r>
    </w:p>
    <w:p>
      <w:pPr>
        <w:pStyle w:val="Heading2"/>
        <w:rPr>
          <w:noProof/>
        </w:rPr>
      </w:pPr>
      <w:bookmarkStart w:id="31" w:name="_Toc40451999"/>
      <w:r>
        <w:rPr>
          <w:noProof/>
        </w:rPr>
        <w:t>3.1</w:t>
      </w:r>
      <w:r>
        <w:rPr>
          <w:noProof/>
        </w:rPr>
        <w:tab/>
        <w:t>Operational objective 1 - To improve the prevention and investigation of fraud and other illegal activities beyond current levels by enhancing transnational and multi-disciplinary cooperation</w:t>
      </w:r>
      <w:r>
        <w:rPr>
          <w:rStyle w:val="FootnoteReference"/>
          <w:b w:val="0"/>
          <w:noProof/>
        </w:rPr>
        <w:footnoteReference w:id="22"/>
      </w:r>
      <w:bookmarkEnd w:id="31"/>
      <w:r>
        <w:rPr>
          <w:noProof/>
        </w:rPr>
        <w:t xml:space="preserve">    </w:t>
      </w:r>
    </w:p>
    <w:p>
      <w:pPr>
        <w:autoSpaceDE w:val="0"/>
        <w:autoSpaceDN w:val="0"/>
        <w:adjustRightInd w:val="0"/>
        <w:spacing w:before="0" w:after="240"/>
        <w:rPr>
          <w:noProof/>
        </w:rPr>
      </w:pPr>
      <w:r>
        <w:rPr>
          <w:noProof/>
        </w:rPr>
        <w:t>This operational objective is fulfilled mainly through the projects that are funded under the training component of the Programme. A vast array of anti-fraud related topics were covered during the training actions finalised in 2019. The projects had the following main results:</w:t>
      </w:r>
    </w:p>
    <w:p>
      <w:pPr>
        <w:pStyle w:val="ListParagraph"/>
        <w:numPr>
          <w:ilvl w:val="0"/>
          <w:numId w:val="48"/>
        </w:numPr>
        <w:autoSpaceDE w:val="0"/>
        <w:autoSpaceDN w:val="0"/>
        <w:adjustRightInd w:val="0"/>
        <w:spacing w:before="120" w:after="120"/>
        <w:ind w:left="714" w:hanging="357"/>
      </w:pPr>
      <w:r>
        <w:t>Widespread dissemination of strategies, experiences and good practices to fight corruption and other criminal activities affecting EU-funded projects in various countries;</w:t>
      </w:r>
    </w:p>
    <w:p>
      <w:pPr>
        <w:pStyle w:val="ListParagraph"/>
        <w:numPr>
          <w:ilvl w:val="0"/>
          <w:numId w:val="48"/>
        </w:numPr>
        <w:autoSpaceDE w:val="0"/>
        <w:autoSpaceDN w:val="0"/>
        <w:adjustRightInd w:val="0"/>
        <w:spacing w:before="120" w:after="120"/>
        <w:ind w:left="714" w:hanging="357"/>
      </w:pPr>
      <w:r>
        <w:t>Increased awareness on fraud risk indicators and EU anti-fraud policy;</w:t>
      </w:r>
    </w:p>
    <w:p>
      <w:pPr>
        <w:pStyle w:val="ListParagraph"/>
        <w:numPr>
          <w:ilvl w:val="0"/>
          <w:numId w:val="48"/>
        </w:numPr>
        <w:autoSpaceDE w:val="0"/>
        <w:autoSpaceDN w:val="0"/>
        <w:adjustRightInd w:val="0"/>
        <w:spacing w:before="120" w:after="120"/>
        <w:ind w:left="714" w:hanging="357"/>
      </w:pPr>
      <w:r>
        <w:t>Enhanced use of specialised methodologies, tools and techniques to fight against fraud affecting the Union’s financial interests.</w:t>
      </w:r>
    </w:p>
    <w:p>
      <w:pPr>
        <w:autoSpaceDE w:val="0"/>
        <w:autoSpaceDN w:val="0"/>
        <w:adjustRightInd w:val="0"/>
        <w:spacing w:before="0" w:after="240"/>
        <w:rPr>
          <w:noProof/>
        </w:rPr>
      </w:pPr>
      <w:r>
        <w:rPr>
          <w:noProof/>
        </w:rPr>
        <w:t>An overview of the finalised training events is given in Annex 1, Table 6 (Training, Conferences and Staff Exchange) and Table 8 (Legal Training and Studies).</w:t>
      </w:r>
    </w:p>
    <w:p>
      <w:pPr>
        <w:pStyle w:val="Default"/>
        <w:pBdr>
          <w:top w:val="single" w:sz="4" w:space="1" w:color="auto"/>
          <w:left w:val="single" w:sz="4" w:space="4" w:color="auto"/>
          <w:bottom w:val="single" w:sz="4" w:space="1" w:color="auto"/>
          <w:right w:val="single" w:sz="4" w:space="4" w:color="auto"/>
        </w:pBdr>
        <w:tabs>
          <w:tab w:val="left" w:pos="142"/>
        </w:tabs>
        <w:spacing w:before="120" w:after="120"/>
        <w:jc w:val="both"/>
        <w:rPr>
          <w:noProof/>
          <w:color w:val="auto"/>
        </w:rPr>
      </w:pPr>
      <w:r>
        <w:rPr>
          <w:b/>
          <w:noProof/>
          <w:color w:val="auto"/>
        </w:rPr>
        <w:t xml:space="preserve">The Romanian Centre of Legal Resources </w:t>
      </w:r>
      <w:r>
        <w:rPr>
          <w:noProof/>
          <w:color w:val="auto"/>
        </w:rPr>
        <w:t xml:space="preserve">implemented an action aimed to review corruption schemes, prevention mechanisms and investigation strategies. </w:t>
      </w:r>
    </w:p>
    <w:p>
      <w:pPr>
        <w:pStyle w:val="Default"/>
        <w:pBdr>
          <w:top w:val="single" w:sz="4" w:space="1" w:color="auto"/>
          <w:left w:val="single" w:sz="4" w:space="4" w:color="auto"/>
          <w:bottom w:val="single" w:sz="4" w:space="1" w:color="auto"/>
          <w:right w:val="single" w:sz="4" w:space="4" w:color="auto"/>
        </w:pBdr>
        <w:tabs>
          <w:tab w:val="left" w:pos="142"/>
        </w:tabs>
        <w:spacing w:before="120" w:after="120"/>
        <w:jc w:val="both"/>
        <w:rPr>
          <w:noProof/>
          <w:color w:val="auto"/>
        </w:rPr>
      </w:pPr>
      <w:r>
        <w:rPr>
          <w:noProof/>
          <w:color w:val="auto"/>
        </w:rPr>
        <w:t>Between January 2018 and March 2019, it organised the following three international conferences in Bucharest (Romania):</w:t>
      </w:r>
    </w:p>
    <w:p>
      <w:pPr>
        <w:pStyle w:val="Default"/>
        <w:pBdr>
          <w:top w:val="single" w:sz="4" w:space="1" w:color="auto"/>
          <w:left w:val="single" w:sz="4" w:space="4" w:color="auto"/>
          <w:bottom w:val="single" w:sz="4" w:space="1" w:color="auto"/>
          <w:right w:val="single" w:sz="4" w:space="4" w:color="auto"/>
        </w:pBdr>
        <w:spacing w:before="120" w:after="120"/>
        <w:jc w:val="both"/>
        <w:rPr>
          <w:noProof/>
          <w:color w:val="auto"/>
        </w:rPr>
      </w:pPr>
      <w:r>
        <w:rPr>
          <w:noProof/>
          <w:color w:val="auto"/>
        </w:rPr>
        <w:t xml:space="preserve">- Two-day conference “Mapping corruption schemes involving EU funds” gathering 78 participants from Romania, Croatia, Serbia, Albania, Bulgaria, Hungary and Macedonia. </w:t>
      </w:r>
    </w:p>
    <w:p>
      <w:pPr>
        <w:pStyle w:val="Default"/>
        <w:pBdr>
          <w:top w:val="single" w:sz="4" w:space="1" w:color="auto"/>
          <w:left w:val="single" w:sz="4" w:space="4" w:color="auto"/>
          <w:bottom w:val="single" w:sz="4" w:space="1" w:color="auto"/>
          <w:right w:val="single" w:sz="4" w:space="4" w:color="auto"/>
        </w:pBdr>
        <w:spacing w:before="120" w:after="120"/>
        <w:jc w:val="both"/>
        <w:rPr>
          <w:noProof/>
          <w:color w:val="auto"/>
        </w:rPr>
      </w:pPr>
      <w:r>
        <w:rPr>
          <w:noProof/>
          <w:color w:val="auto"/>
        </w:rPr>
        <w:t xml:space="preserve">- One-day conference “Corruption prevention mechanisms related to EU funded projects” with 60 participants from Romania, Italy, Albania, France, Netherlands and United Kingdom. </w:t>
      </w:r>
    </w:p>
    <w:p>
      <w:pPr>
        <w:pStyle w:val="Default"/>
        <w:pBdr>
          <w:top w:val="single" w:sz="4" w:space="1" w:color="auto"/>
          <w:left w:val="single" w:sz="4" w:space="4" w:color="auto"/>
          <w:bottom w:val="single" w:sz="4" w:space="1" w:color="auto"/>
          <w:right w:val="single" w:sz="4" w:space="4" w:color="auto"/>
        </w:pBdr>
        <w:spacing w:before="120" w:after="120"/>
        <w:jc w:val="both"/>
        <w:rPr>
          <w:noProof/>
          <w:color w:val="auto"/>
        </w:rPr>
      </w:pPr>
      <w:r>
        <w:rPr>
          <w:noProof/>
          <w:color w:val="auto"/>
        </w:rPr>
        <w:t xml:space="preserve">- One-day conference “New investigation strategies to uncover corruption in the EU financed projects” gathering 45 participants from Romania, Hungary, Bulgaria, United Kingdom, Greece, Serbia, and Netherlands. </w:t>
      </w:r>
    </w:p>
    <w:p>
      <w:pPr>
        <w:pStyle w:val="Default"/>
        <w:pBdr>
          <w:top w:val="single" w:sz="4" w:space="1" w:color="auto"/>
          <w:left w:val="single" w:sz="4" w:space="4" w:color="auto"/>
          <w:bottom w:val="single" w:sz="4" w:space="1" w:color="auto"/>
          <w:right w:val="single" w:sz="4" w:space="4" w:color="auto"/>
        </w:pBdr>
        <w:tabs>
          <w:tab w:val="left" w:pos="142"/>
        </w:tabs>
        <w:spacing w:after="240"/>
        <w:jc w:val="both"/>
        <w:rPr>
          <w:noProof/>
          <w:color w:val="auto"/>
        </w:rPr>
      </w:pPr>
      <w:r>
        <w:rPr>
          <w:noProof/>
          <w:color w:val="auto"/>
        </w:rPr>
        <w:t xml:space="preserve">The participants were customs and police officers, magistrates, representatives of administrations and non-profit organisations. The project had a strong transnational dimension, bringing together 183 attendees from 12 countries </w:t>
      </w:r>
      <w:bookmarkStart w:id="32" w:name="_Toc421687697"/>
      <w:r>
        <w:rPr>
          <w:noProof/>
          <w:color w:val="auto"/>
        </w:rPr>
        <w:t>and contributed to disseminate strategies, experiences and best practice to fight corruption affecting EU-funded projects throughout the EU and abroad.</w:t>
      </w:r>
    </w:p>
    <w:tbl>
      <w:tblPr>
        <w:tblStyle w:val="TableGrid"/>
        <w:tblW w:w="0" w:type="auto"/>
        <w:tblLook w:val="04A0" w:firstRow="1" w:lastRow="0" w:firstColumn="1" w:lastColumn="0" w:noHBand="0" w:noVBand="1"/>
      </w:tblPr>
      <w:tblGrid>
        <w:gridCol w:w="10682"/>
      </w:tblGrid>
      <w:tr>
        <w:tc>
          <w:tcPr>
            <w:tcW w:w="10682" w:type="dxa"/>
          </w:tcPr>
          <w:p>
            <w:pPr>
              <w:pStyle w:val="Default"/>
              <w:pBdr>
                <w:top w:val="single" w:sz="4" w:space="1" w:color="auto"/>
                <w:left w:val="single" w:sz="4" w:space="4" w:color="auto"/>
                <w:bottom w:val="single" w:sz="4" w:space="1" w:color="auto"/>
                <w:right w:val="single" w:sz="4" w:space="4" w:color="auto"/>
              </w:pBdr>
              <w:tabs>
                <w:tab w:val="left" w:pos="142"/>
              </w:tabs>
              <w:spacing w:before="120" w:after="120"/>
              <w:jc w:val="both"/>
              <w:rPr>
                <w:noProof/>
                <w:color w:val="auto"/>
              </w:rPr>
            </w:pPr>
            <w:r>
              <w:rPr>
                <w:b/>
                <w:noProof/>
                <w:color w:val="auto"/>
              </w:rPr>
              <w:t>The Italian Ministry of Economy and Finance</w:t>
            </w:r>
            <w:r>
              <w:rPr>
                <w:noProof/>
                <w:color w:val="auto"/>
              </w:rPr>
              <w:t xml:space="preserve"> carried-out an action aimed to strengthen the cooperation between anti-fraud coordination services (AFCOS) in the Member States and similar services in candidate and neighbouring countries. </w:t>
            </w:r>
          </w:p>
          <w:p>
            <w:pPr>
              <w:pStyle w:val="Default"/>
              <w:pBdr>
                <w:top w:val="single" w:sz="4" w:space="1" w:color="auto"/>
                <w:left w:val="single" w:sz="4" w:space="4" w:color="auto"/>
                <w:bottom w:val="single" w:sz="4" w:space="1" w:color="auto"/>
                <w:right w:val="single" w:sz="4" w:space="4" w:color="auto"/>
              </w:pBdr>
              <w:tabs>
                <w:tab w:val="left" w:pos="142"/>
              </w:tabs>
              <w:spacing w:before="120" w:after="120"/>
              <w:jc w:val="both"/>
              <w:rPr>
                <w:noProof/>
                <w:color w:val="auto"/>
              </w:rPr>
            </w:pPr>
            <w:r>
              <w:rPr>
                <w:noProof/>
                <w:color w:val="auto"/>
              </w:rPr>
              <w:t>Between January and December 2018, it organised the following events:</w:t>
            </w:r>
          </w:p>
          <w:p>
            <w:pPr>
              <w:pStyle w:val="Default"/>
              <w:pBdr>
                <w:top w:val="single" w:sz="4" w:space="1" w:color="auto"/>
                <w:left w:val="single" w:sz="4" w:space="4" w:color="auto"/>
                <w:bottom w:val="single" w:sz="4" w:space="1" w:color="auto"/>
                <w:right w:val="single" w:sz="4" w:space="4" w:color="auto"/>
              </w:pBdr>
              <w:spacing w:before="120" w:after="120"/>
              <w:jc w:val="both"/>
              <w:rPr>
                <w:noProof/>
                <w:color w:val="auto"/>
              </w:rPr>
            </w:pPr>
            <w:r>
              <w:rPr>
                <w:noProof/>
                <w:color w:val="auto"/>
              </w:rPr>
              <w:t xml:space="preserve">- Two-day international conference in Rome gathering authorities of the 28 countries involved. </w:t>
            </w:r>
          </w:p>
          <w:p>
            <w:pPr>
              <w:pStyle w:val="Default"/>
              <w:pBdr>
                <w:top w:val="single" w:sz="4" w:space="1" w:color="auto"/>
                <w:left w:val="single" w:sz="4" w:space="4" w:color="auto"/>
                <w:bottom w:val="single" w:sz="4" w:space="1" w:color="auto"/>
                <w:right w:val="single" w:sz="4" w:space="4" w:color="auto"/>
              </w:pBdr>
              <w:spacing w:before="120" w:after="120"/>
              <w:jc w:val="both"/>
              <w:rPr>
                <w:noProof/>
                <w:color w:val="auto"/>
              </w:rPr>
            </w:pPr>
            <w:r>
              <w:rPr>
                <w:noProof/>
                <w:color w:val="auto"/>
              </w:rPr>
              <w:t xml:space="preserve">- Several round tables on anti-fraud issues gathering representatives of the AFCOS in Tallinn (Estonia), Helsinki (Finland), Kiev (Ukraine) and Prague (Czech Republic). </w:t>
            </w:r>
          </w:p>
          <w:p>
            <w:pPr>
              <w:pStyle w:val="Default"/>
              <w:pBdr>
                <w:top w:val="single" w:sz="4" w:space="1" w:color="auto"/>
                <w:left w:val="single" w:sz="4" w:space="4" w:color="auto"/>
                <w:bottom w:val="single" w:sz="4" w:space="1" w:color="auto"/>
                <w:right w:val="single" w:sz="4" w:space="4" w:color="auto"/>
              </w:pBdr>
              <w:spacing w:before="120" w:after="120"/>
              <w:jc w:val="both"/>
              <w:rPr>
                <w:noProof/>
                <w:color w:val="auto"/>
              </w:rPr>
            </w:pPr>
            <w:r>
              <w:rPr>
                <w:noProof/>
                <w:color w:val="auto"/>
              </w:rPr>
              <w:t xml:space="preserve">- One-day international conference at the European Parliament in Brussels gathering representatives of EU institutions and of the 28 participating countries. </w:t>
            </w:r>
          </w:p>
          <w:p>
            <w:pPr>
              <w:pStyle w:val="Default"/>
              <w:pBdr>
                <w:top w:val="single" w:sz="4" w:space="1" w:color="auto"/>
                <w:left w:val="single" w:sz="4" w:space="4" w:color="auto"/>
                <w:bottom w:val="single" w:sz="4" w:space="1" w:color="auto"/>
                <w:right w:val="single" w:sz="4" w:space="4" w:color="auto"/>
              </w:pBdr>
              <w:tabs>
                <w:tab w:val="left" w:pos="142"/>
              </w:tabs>
              <w:spacing w:before="120" w:after="120"/>
              <w:jc w:val="both"/>
              <w:rPr>
                <w:noProof/>
                <w:color w:val="auto"/>
              </w:rPr>
            </w:pPr>
            <w:r>
              <w:rPr>
                <w:noProof/>
                <w:color w:val="auto"/>
              </w:rPr>
              <w:t>This action gathered a total of 155 participants (21 Members States, 4 candidate countries and 3 third countries) mainly from the AFCOS and law enforcement authorities. It contributed to a reflection on the needs for further developments aiming to improve the fight against fraud, such as:</w:t>
            </w:r>
          </w:p>
          <w:p>
            <w:pPr>
              <w:pStyle w:val="Default"/>
              <w:pBdr>
                <w:top w:val="single" w:sz="4" w:space="1" w:color="auto"/>
                <w:left w:val="single" w:sz="4" w:space="4" w:color="auto"/>
                <w:bottom w:val="single" w:sz="4" w:space="1" w:color="auto"/>
                <w:right w:val="single" w:sz="4" w:space="4" w:color="auto"/>
              </w:pBdr>
              <w:spacing w:before="120" w:after="120"/>
              <w:jc w:val="both"/>
              <w:rPr>
                <w:noProof/>
                <w:color w:val="auto"/>
              </w:rPr>
            </w:pPr>
            <w:r>
              <w:rPr>
                <w:noProof/>
                <w:color w:val="auto"/>
              </w:rPr>
              <w:t xml:space="preserve">- Increased cooperation between European and national authorities and real-time information sharing between AFCOS (improvement of communication systems); </w:t>
            </w:r>
          </w:p>
          <w:p>
            <w:pPr>
              <w:pStyle w:val="Default"/>
              <w:pBdr>
                <w:top w:val="single" w:sz="4" w:space="1" w:color="auto"/>
                <w:left w:val="single" w:sz="4" w:space="4" w:color="auto"/>
                <w:bottom w:val="single" w:sz="4" w:space="1" w:color="auto"/>
                <w:right w:val="single" w:sz="4" w:space="4" w:color="auto"/>
              </w:pBdr>
              <w:spacing w:before="120" w:after="120"/>
              <w:ind w:left="567" w:hanging="567"/>
              <w:jc w:val="both"/>
              <w:rPr>
                <w:noProof/>
                <w:color w:val="auto"/>
              </w:rPr>
            </w:pPr>
            <w:r>
              <w:rPr>
                <w:noProof/>
                <w:color w:val="auto"/>
              </w:rPr>
              <w:t>- Improvement of the structure, powers and tasks of the AFCOS;</w:t>
            </w:r>
          </w:p>
          <w:p>
            <w:pPr>
              <w:pStyle w:val="Default"/>
              <w:pBdr>
                <w:top w:val="single" w:sz="4" w:space="1" w:color="auto"/>
                <w:left w:val="single" w:sz="4" w:space="4" w:color="auto"/>
                <w:bottom w:val="single" w:sz="4" w:space="1" w:color="auto"/>
                <w:right w:val="single" w:sz="4" w:space="4" w:color="auto"/>
              </w:pBdr>
              <w:spacing w:before="120" w:after="120"/>
              <w:ind w:left="142" w:hanging="142"/>
              <w:jc w:val="both"/>
              <w:rPr>
                <w:noProof/>
                <w:color w:val="auto"/>
              </w:rPr>
            </w:pPr>
            <w:r>
              <w:rPr>
                <w:noProof/>
                <w:color w:val="auto"/>
              </w:rPr>
              <w:t>- More effective methodologies and guidelines for risk assessment in the management of irregularities and fraud within the national anti-fraud strategy;</w:t>
            </w:r>
          </w:p>
          <w:p>
            <w:pPr>
              <w:pStyle w:val="Default"/>
              <w:pBdr>
                <w:top w:val="single" w:sz="4" w:space="1" w:color="auto"/>
                <w:left w:val="single" w:sz="4" w:space="4" w:color="auto"/>
                <w:bottom w:val="single" w:sz="4" w:space="1" w:color="auto"/>
                <w:right w:val="single" w:sz="4" w:space="4" w:color="auto"/>
              </w:pBdr>
              <w:spacing w:before="120" w:after="120"/>
              <w:ind w:left="142" w:hanging="142"/>
              <w:jc w:val="both"/>
              <w:rPr>
                <w:noProof/>
                <w:color w:val="auto"/>
              </w:rPr>
            </w:pPr>
            <w:r>
              <w:rPr>
                <w:noProof/>
                <w:color w:val="auto"/>
              </w:rPr>
              <w:t xml:space="preserve">- Implementation of an “early warning” system to improve information exchange and risk assessment procedures; </w:t>
            </w:r>
          </w:p>
          <w:p>
            <w:pPr>
              <w:pStyle w:val="Default"/>
              <w:pBdr>
                <w:top w:val="single" w:sz="4" w:space="1" w:color="auto"/>
                <w:left w:val="single" w:sz="4" w:space="4" w:color="auto"/>
                <w:bottom w:val="single" w:sz="4" w:space="1" w:color="auto"/>
                <w:right w:val="single" w:sz="4" w:space="4" w:color="auto"/>
              </w:pBdr>
              <w:tabs>
                <w:tab w:val="left" w:pos="142"/>
              </w:tabs>
              <w:spacing w:before="120" w:after="120"/>
              <w:jc w:val="both"/>
              <w:rPr>
                <w:noProof/>
                <w:color w:val="auto"/>
              </w:rPr>
            </w:pPr>
            <w:r>
              <w:rPr>
                <w:noProof/>
                <w:color w:val="auto"/>
              </w:rPr>
              <w:t>-</w:t>
            </w:r>
            <w:r>
              <w:rPr>
                <w:noProof/>
                <w:color w:val="auto"/>
              </w:rPr>
              <w:tab/>
              <w:t>Development of tools for effective collaboration between European and national authorities.</w:t>
            </w:r>
          </w:p>
        </w:tc>
      </w:tr>
    </w:tbl>
    <w:p>
      <w:pPr>
        <w:pStyle w:val="Heading2"/>
        <w:rPr>
          <w:noProof/>
        </w:rPr>
      </w:pPr>
      <w:bookmarkStart w:id="33" w:name="_Toc40452000"/>
    </w:p>
    <w:tbl>
      <w:tblPr>
        <w:tblStyle w:val="TableGrid"/>
        <w:tblW w:w="0" w:type="auto"/>
        <w:tblLook w:val="04A0" w:firstRow="1" w:lastRow="0" w:firstColumn="1" w:lastColumn="0" w:noHBand="0" w:noVBand="1"/>
      </w:tblPr>
      <w:tblGrid>
        <w:gridCol w:w="10682"/>
      </w:tblGrid>
      <w:tr>
        <w:tc>
          <w:tcPr>
            <w:tcW w:w="10682" w:type="dxa"/>
          </w:tcPr>
          <w:p>
            <w:pPr>
              <w:rPr>
                <w:noProof/>
                <w:color w:val="1F497D"/>
                <w:sz w:val="22"/>
                <w:szCs w:val="22"/>
              </w:rPr>
            </w:pPr>
            <w:r>
              <w:rPr>
                <w:noProof/>
              </w:rPr>
              <w:t xml:space="preserve">Two sessions of the </w:t>
            </w:r>
            <w:r>
              <w:rPr>
                <w:b/>
                <w:noProof/>
              </w:rPr>
              <w:t>Digital Forensic and Analyst Training</w:t>
            </w:r>
            <w:r>
              <w:rPr>
                <w:noProof/>
              </w:rPr>
              <w:t xml:space="preserve"> were organised by OLAF in 2019, improving the detection, collection and analysis skills of staff in charge of extracting and using data from digital devices. The first session took place in September 2019 in Seville (Spain) and was attended by 116 trainees. Courses such as “advanced Windows forensic examiner” and “access data forensics” were held. The second session was organised in November 2019 in Malaga (Spain) with 117 participants and included, among others, an “advanced forensic” course and an “operational analysis” training. The trainees originated from all 28 Member States, 3 candidate countries and 5 third countries, coming from various public organisations such as Police, Customs, Ministries, etc.</w:t>
            </w:r>
          </w:p>
        </w:tc>
      </w:tr>
    </w:tbl>
    <w:p>
      <w:pPr>
        <w:pStyle w:val="Heading2"/>
        <w:rPr>
          <w:noProof/>
        </w:rPr>
      </w:pPr>
    </w:p>
    <w:p>
      <w:pPr>
        <w:pStyle w:val="Heading2"/>
        <w:rPr>
          <w:noProof/>
        </w:rPr>
      </w:pPr>
      <w:r>
        <w:rPr>
          <w:noProof/>
        </w:rPr>
        <w:t>3.2</w:t>
      </w:r>
      <w:r>
        <w:rPr>
          <w:noProof/>
        </w:rPr>
        <w:tab/>
        <w:t>Operational objective 2 - To increase the protection of the financial interests of the Union against fraud by facilitating the exchange of information, experiences and best practices, including staff exchanges</w:t>
      </w:r>
      <w:r>
        <w:rPr>
          <w:rStyle w:val="FootnoteReference"/>
          <w:b w:val="0"/>
          <w:noProof/>
        </w:rPr>
        <w:footnoteReference w:id="23"/>
      </w:r>
      <w:bookmarkEnd w:id="32"/>
      <w:bookmarkEnd w:id="33"/>
      <w:r>
        <w:rPr>
          <w:noProof/>
        </w:rPr>
        <w:t xml:space="preserve">   </w:t>
      </w:r>
    </w:p>
    <w:p>
      <w:pPr>
        <w:pStyle w:val="Text1"/>
        <w:ind w:left="0"/>
        <w:rPr>
          <w:noProof/>
        </w:rPr>
      </w:pPr>
      <w:r>
        <w:rPr>
          <w:noProof/>
        </w:rPr>
        <w:t>The anti-fraud training activities and staff exchanges contributed to the achievement of this objective. Each of the co-financed projects involved several Member States and created opportunities for the exchange of information and experience among participants. Manuals and "best practice" guidelines were produced and disseminated throughout the Union. The staff exchanges impoved participants' knowledge and expertise and established cooperation channels.</w:t>
      </w:r>
    </w:p>
    <w:tbl>
      <w:tblPr>
        <w:tblStyle w:val="TableGrid"/>
        <w:tblW w:w="0" w:type="auto"/>
        <w:tblLook w:val="04A0" w:firstRow="1" w:lastRow="0" w:firstColumn="1" w:lastColumn="0" w:noHBand="0" w:noVBand="1"/>
      </w:tblPr>
      <w:tblGrid>
        <w:gridCol w:w="10682"/>
      </w:tblGrid>
      <w:tr>
        <w:tc>
          <w:tcPr>
            <w:tcW w:w="10682" w:type="dxa"/>
          </w:tcPr>
          <w:p>
            <w:pPr>
              <w:pStyle w:val="Text1"/>
              <w:ind w:left="0"/>
              <w:rPr>
                <w:noProof/>
              </w:rPr>
            </w:pPr>
            <w:r>
              <w:rPr>
                <w:b/>
                <w:noProof/>
              </w:rPr>
              <w:t>The Agency for Agricultural Payments from the Region of Venice</w:t>
            </w:r>
            <w:r>
              <w:rPr>
                <w:noProof/>
              </w:rPr>
              <w:t>, Italy (AVEPA) organised four staff exchanges gathering a total of 79 participants representing AVEPA (Veneto Region, Italy), the National Paying Agency (NPA) under the Ministry of Agriculture of Lithuania, the Agricultural Registers and Information Board (ARIB) of Estonia, and the Agrarmarkt Austria (AMA) of Austria - as well as other related institutions (e.g. relevant ministries).</w:t>
            </w:r>
          </w:p>
          <w:p>
            <w:pPr>
              <w:pStyle w:val="Text1"/>
              <w:ind w:left="0"/>
              <w:rPr>
                <w:noProof/>
              </w:rPr>
            </w:pPr>
            <w:r>
              <w:rPr>
                <w:noProof/>
              </w:rPr>
              <w:t>The four staff exchanges took place in Vilnius (Lithuania), Tartu (Estonia), Vienna (Austria) and Padua (Italy).</w:t>
            </w:r>
          </w:p>
          <w:p>
            <w:pPr>
              <w:pStyle w:val="Text1"/>
              <w:ind w:left="0"/>
              <w:rPr>
                <w:noProof/>
              </w:rPr>
            </w:pPr>
            <w:r>
              <w:rPr>
                <w:noProof/>
              </w:rPr>
              <w:t>Competent authorities in the participating countries/regions exchanged experiences and best practices and shared knowledge to better identify risks of irregularities and fraud in private and public procurement.</w:t>
            </w:r>
          </w:p>
          <w:p>
            <w:pPr>
              <w:pStyle w:val="Text1"/>
              <w:ind w:left="0"/>
              <w:rPr>
                <w:noProof/>
              </w:rPr>
            </w:pPr>
            <w:r>
              <w:rPr>
                <w:noProof/>
              </w:rPr>
              <w:t>Partners collaborated to produce a collection of contributions entitled “Strengthening Actions to Fight Fraud in Procurement - Private and public procurement procedures: some practical solutions for Paying Agencies to get more value for money and reduce irregularity and fraud risks”. The volume provides a targeted summary of  effective measures taken by the participating agencies. It contributes to:</w:t>
            </w:r>
          </w:p>
          <w:p>
            <w:pPr>
              <w:pStyle w:val="Text1"/>
              <w:ind w:left="0"/>
              <w:rPr>
                <w:noProof/>
              </w:rPr>
            </w:pPr>
            <w:r>
              <w:rPr>
                <w:noProof/>
              </w:rPr>
              <w:t>- Increasing the awareness of the paying agencies’ staff on specific issues related to the fight against fraud and irregularities in public and private procurement;</w:t>
            </w:r>
          </w:p>
          <w:p>
            <w:pPr>
              <w:pStyle w:val="Text1"/>
              <w:ind w:left="0"/>
              <w:rPr>
                <w:noProof/>
              </w:rPr>
            </w:pPr>
            <w:r>
              <w:rPr>
                <w:noProof/>
              </w:rPr>
              <w:t xml:space="preserve">- Developing the theme of public and private procurement from a "value for money" perspective; </w:t>
            </w:r>
          </w:p>
          <w:p>
            <w:pPr>
              <w:pStyle w:val="Text1"/>
              <w:ind w:left="0"/>
              <w:rPr>
                <w:noProof/>
              </w:rPr>
            </w:pPr>
            <w:r>
              <w:rPr>
                <w:noProof/>
              </w:rPr>
              <w:t>- Sharing tested solutions to common problems.</w:t>
            </w:r>
          </w:p>
          <w:p>
            <w:pPr>
              <w:pStyle w:val="Text1"/>
              <w:ind w:left="0"/>
              <w:rPr>
                <w:noProof/>
              </w:rPr>
            </w:pPr>
            <w:r>
              <w:rPr>
                <w:noProof/>
              </w:rPr>
              <w:t>The activities and results of the project were published on the institutional website of the beneficiary. The beneficiary reported that all conference materials, a description of the project and results were sent to the EU paying agencies and were also disseminated via its social media channels. The project was presented to the directors of the European Paying Agencies during an annual meeting in Bucharest where representatives of the European Commission and the European Court of Auditors participated as speakers.</w:t>
            </w:r>
          </w:p>
        </w:tc>
      </w:tr>
    </w:tbl>
    <w:p>
      <w:pPr>
        <w:rPr>
          <w:noProof/>
        </w:rPr>
      </w:pPr>
    </w:p>
    <w:tbl>
      <w:tblPr>
        <w:tblStyle w:val="TableGrid"/>
        <w:tblW w:w="0" w:type="auto"/>
        <w:tblLook w:val="04A0" w:firstRow="1" w:lastRow="0" w:firstColumn="1" w:lastColumn="0" w:noHBand="0" w:noVBand="1"/>
      </w:tblPr>
      <w:tblGrid>
        <w:gridCol w:w="10682"/>
      </w:tblGrid>
      <w:tr>
        <w:tc>
          <w:tcPr>
            <w:tcW w:w="10682" w:type="dxa"/>
          </w:tcPr>
          <w:p>
            <w:pPr>
              <w:rPr>
                <w:noProof/>
              </w:rPr>
            </w:pPr>
            <w:r>
              <w:rPr>
                <w:b/>
                <w:noProof/>
              </w:rPr>
              <w:t>The Hungarian National Tax and Customs Administration</w:t>
            </w:r>
            <w:r>
              <w:rPr>
                <w:noProof/>
              </w:rPr>
              <w:t xml:space="preserve"> (NTCA) implemented a staff exchange program with the participation of six Member States’ counterpart administrations (Slovakia, Bulgaria, Estonia, Lithuania, Poland, Romania). </w:t>
            </w:r>
          </w:p>
          <w:p>
            <w:pPr>
              <w:rPr>
                <w:noProof/>
              </w:rPr>
            </w:pPr>
            <w:r>
              <w:rPr>
                <w:noProof/>
              </w:rPr>
              <w:t xml:space="preserve">After a kick-off meeting where representatives discussed technical aspects and expectations, and created a staff-exchange coordination group, the NTCA organised six one-month staff exchanges between May 2018 and January 2019. With each staff exchange, two officers from another EU Member State came to a sensitive external EU border crossing point of Hungary. </w:t>
            </w:r>
          </w:p>
          <w:p>
            <w:pPr>
              <w:rPr>
                <w:noProof/>
              </w:rPr>
            </w:pPr>
            <w:r>
              <w:rPr>
                <w:noProof/>
              </w:rPr>
              <w:t>Officers from the Financial Administration of the Slovak Republic, the National Customs Agency of Bulgaria, the Estonian Tax and Customs Board, the Customs Department under the Ministry of Finance of Republic of Lithuania, the National Revenue Administration of the Republic of Poland and the National Agency for Fiscal Administration of Romania attended. The focus of the event was the control tasks of the NTCA Tax and Customs Directorate with special attention paid to searches of cargo and passenger traffic. Participants reviewed methods and techniques, expanded their knowledge and shared experience. During the closing meeting, 34 participants evaluated the results of the action and selected the most successful and effective control techniques to formulate a set of new best practices.</w:t>
            </w:r>
          </w:p>
          <w:p>
            <w:pPr>
              <w:rPr>
                <w:noProof/>
              </w:rPr>
            </w:pPr>
            <w:r>
              <w:rPr>
                <w:noProof/>
              </w:rPr>
              <w:t>The action contributed to the following improvements in the fight against fraud cigarettes smuggling and counterfeiting:</w:t>
            </w:r>
          </w:p>
          <w:p>
            <w:pPr>
              <w:rPr>
                <w:noProof/>
              </w:rPr>
            </w:pPr>
            <w:r>
              <w:rPr>
                <w:noProof/>
              </w:rPr>
              <w:t>- The customs officers developed working relationships, exchanged their experience on risk analysis, selection for control, and searching techniques applied to cargo and passenger traffic;</w:t>
            </w:r>
          </w:p>
          <w:p>
            <w:pPr>
              <w:rPr>
                <w:noProof/>
              </w:rPr>
            </w:pPr>
            <w:r>
              <w:rPr>
                <w:noProof/>
              </w:rPr>
              <w:t>- The participants became familiar with Hungarian control procedures and best practice;</w:t>
            </w:r>
          </w:p>
          <w:p>
            <w:pPr>
              <w:rPr>
                <w:noProof/>
              </w:rPr>
            </w:pPr>
            <w:r>
              <w:rPr>
                <w:noProof/>
              </w:rPr>
              <w:t>- All participants had the opportunity to implement the newly acquired skills in their own country. In particular, the search experts working at external EU borders of the six participating Member States defined new risk profiles in order to filter cigarette smuggling;</w:t>
            </w:r>
          </w:p>
          <w:p>
            <w:pPr>
              <w:rPr>
                <w:noProof/>
              </w:rPr>
            </w:pPr>
            <w:r>
              <w:rPr>
                <w:noProof/>
              </w:rPr>
              <w:t>- The exchange of information between the participants developed more effective detection procedures;</w:t>
            </w:r>
          </w:p>
          <w:p>
            <w:pPr>
              <w:rPr>
                <w:noProof/>
              </w:rPr>
            </w:pPr>
            <w:r>
              <w:rPr>
                <w:noProof/>
              </w:rPr>
              <w:t>- During the action, the participants controlled 877 vehicles and detected and seized 19 466 packets of cigarettes for a value of more than EUR 65 000. Together with the cigarettes, the participants seized other illegal goods for a similar value (cash, amber stones, alcoholic beverages, pesticide).</w:t>
            </w:r>
          </w:p>
        </w:tc>
      </w:tr>
    </w:tbl>
    <w:p>
      <w:pPr>
        <w:pStyle w:val="Heading2"/>
        <w:rPr>
          <w:noProof/>
        </w:rPr>
      </w:pPr>
      <w:bookmarkStart w:id="34" w:name="_Toc421687698"/>
      <w:bookmarkStart w:id="35" w:name="_Toc40452001"/>
      <w:r>
        <w:rPr>
          <w:noProof/>
        </w:rPr>
        <w:t>3.3</w:t>
      </w:r>
      <w:r>
        <w:rPr>
          <w:noProof/>
        </w:rPr>
        <w:tab/>
        <w:t>Operational objective 3 - Strengthening the fight against fraud and other illegal activities by providing technical and operational support to national investigation, and in particular customs and law enforcement authorities</w:t>
      </w:r>
      <w:r>
        <w:rPr>
          <w:rStyle w:val="FootnoteReference"/>
          <w:b w:val="0"/>
          <w:noProof/>
        </w:rPr>
        <w:footnoteReference w:id="24"/>
      </w:r>
      <w:bookmarkEnd w:id="34"/>
      <w:bookmarkEnd w:id="35"/>
      <w:r>
        <w:rPr>
          <w:noProof/>
        </w:rPr>
        <w:t xml:space="preserve">    </w:t>
      </w:r>
    </w:p>
    <w:p>
      <w:pPr>
        <w:rPr>
          <w:noProof/>
        </w:rPr>
      </w:pPr>
      <w:r>
        <w:rPr>
          <w:noProof/>
        </w:rPr>
        <w:t>Beneficiaries received grants for the purchase of technical equipment in order to:</w:t>
      </w:r>
    </w:p>
    <w:p>
      <w:pPr>
        <w:pStyle w:val="ListParagraph"/>
        <w:numPr>
          <w:ilvl w:val="0"/>
          <w:numId w:val="47"/>
        </w:numPr>
        <w:jc w:val="both"/>
      </w:pPr>
      <w:r>
        <w:t>strengthen the operational and investigative capacity by improving the quality, efficiency and effectiveness of technical hardware and technical support used in detecting and monitoring any illegal activity affecting the EU budget. Actions aim at a faster and more efficient detection of, e.g. smuggled cigarettes and tobacco, illicit goods or the identification of new fraud schemes and modi operandi;</w:t>
      </w:r>
    </w:p>
    <w:p>
      <w:pPr>
        <w:pStyle w:val="ListParagraph"/>
        <w:numPr>
          <w:ilvl w:val="0"/>
          <w:numId w:val="47"/>
        </w:numPr>
        <w:jc w:val="both"/>
      </w:pPr>
      <w:r>
        <w:t>improve skills and qualifications of the beneficiary's staff that are tasked with the daily operations of the new equipment;</w:t>
      </w:r>
    </w:p>
    <w:p>
      <w:pPr>
        <w:pStyle w:val="ListParagraph"/>
        <w:numPr>
          <w:ilvl w:val="0"/>
          <w:numId w:val="47"/>
        </w:numPr>
        <w:jc w:val="both"/>
      </w:pPr>
      <w:r>
        <w:t>improve the quality of evidence gathered during operations in support of fraud investigations. The improvements should speed-up legal proceedings in Member States and reduce the number of dismissals during the prosecution or trial stages.</w:t>
      </w:r>
    </w:p>
    <w:p>
      <w:pPr>
        <w:rPr>
          <w:noProof/>
        </w:rPr>
      </w:pPr>
      <w:r>
        <w:rPr>
          <w:noProof/>
        </w:rPr>
        <w:t>Technical assistance grants can also cover the expenditure for the maintenance of equipment as well as specific technical training for operational staff to ensure its optimal usage and management.</w:t>
      </w:r>
    </w:p>
    <w:p>
      <w:pPr>
        <w:rPr>
          <w:noProof/>
        </w:rPr>
      </w:pPr>
      <w:r>
        <w:rPr>
          <w:noProof/>
        </w:rPr>
        <w:t>The Commission receives, during a given year, final technical reports on the implementation of grants funded in previous years. The duration of technical assistance grants is generally 18 months and, under very exceptional circumstances, may be extended to 24 months. Therefore, final reports received correspond to actions financed under several budget years. Financial support for equipment and technical assistance contributes substantially to a higher number of arrests, seizures and convictions. Seizures made with the help of x-rays scanners, for example, clearly demonstrate a direct relationship. Digital forensics software or devices to monitor vehicles or persons suspected of involvement in illicit activities enables beneficiaries to improve the overall efficiency and effectiveness of the operations carried out in support of investigations to protect the Union's financial interests, as shown in the examples below for technical assistance grants finalised (final technical reports received) in 2019. The complete list of finalised Technical Assistance grants is found in  Annex 1, Table 2.</w:t>
      </w:r>
    </w:p>
    <w:tbl>
      <w:tblPr>
        <w:tblStyle w:val="TableGrid"/>
        <w:tblW w:w="0" w:type="auto"/>
        <w:tblLook w:val="04A0" w:firstRow="1" w:lastRow="0" w:firstColumn="1" w:lastColumn="0" w:noHBand="0" w:noVBand="1"/>
      </w:tblPr>
      <w:tblGrid>
        <w:gridCol w:w="10682"/>
      </w:tblGrid>
      <w:tr>
        <w:tc>
          <w:tcPr>
            <w:tcW w:w="10682" w:type="dxa"/>
          </w:tcPr>
          <w:p>
            <w:pPr>
              <w:rPr>
                <w:noProof/>
              </w:rPr>
            </w:pPr>
            <w:r>
              <w:rPr>
                <w:b/>
                <w:noProof/>
              </w:rPr>
              <w:t>The National Fiscal Administration Agency of Romania (N.A.F.A)</w:t>
            </w:r>
            <w:r>
              <w:rPr>
                <w:noProof/>
              </w:rPr>
              <w:t xml:space="preserve"> reported on its grant for detection equipment aimed at curtailing cigarette smuggling and illicit cross-border trafficking of goods. The equipment purchased includes two detection kits with density scanners and digital cameras, portable x-ray systems and portable endoscopes. Training for the mobile team customs officials from various locations in Romania took place. The use of the equipment leads to increased efficacy combatting the trafficking of illegal goods and diminishing the black market of cigarettes while improving the security of the EU’s external border. The equipment reduces the control time of minibuses, coaches and railway carriages where the dismantling of large panels is required.</w:t>
            </w:r>
          </w:p>
        </w:tc>
      </w:tr>
    </w:tbl>
    <w:p>
      <w:pPr>
        <w:rPr>
          <w:noProof/>
        </w:rPr>
      </w:pPr>
    </w:p>
    <w:tbl>
      <w:tblPr>
        <w:tblStyle w:val="TableGrid"/>
        <w:tblW w:w="0" w:type="auto"/>
        <w:tblLook w:val="04A0" w:firstRow="1" w:lastRow="0" w:firstColumn="1" w:lastColumn="0" w:noHBand="0" w:noVBand="1"/>
      </w:tblPr>
      <w:tblGrid>
        <w:gridCol w:w="10682"/>
      </w:tblGrid>
      <w:tr>
        <w:tc>
          <w:tcPr>
            <w:tcW w:w="10682" w:type="dxa"/>
          </w:tcPr>
          <w:p>
            <w:pPr>
              <w:rPr>
                <w:noProof/>
              </w:rPr>
            </w:pPr>
            <w:r>
              <w:rPr>
                <w:b/>
                <w:noProof/>
              </w:rPr>
              <w:t>The Regional Police Headquarter</w:t>
            </w:r>
            <w:r>
              <w:rPr>
                <w:noProof/>
              </w:rPr>
              <w:t xml:space="preserve"> in Olsztyn, Poland, purchased a mobile intelligence centre. The equipment, designed to detect criminal networks involved in illicit cigarette and tobacco smuggling, increases the investigative capabilities of the beneficiary. Ensuring data collection from the mobile network supports operations and permits the gathering of data for criminal proceedings and the identification of smuggling routes across Poland and the external border of the EU. The identification of suspects and their locations in remote areas is greatly enhanced using this unit. At the time of the first reporting period, the mobile unit had been used in 27 operations and also in cooperation with other law enforcement agencies in the region of Olsztyn.</w:t>
            </w:r>
          </w:p>
        </w:tc>
      </w:tr>
    </w:tbl>
    <w:p>
      <w:pPr>
        <w:rPr>
          <w:noProof/>
        </w:rPr>
      </w:pPr>
    </w:p>
    <w:tbl>
      <w:tblPr>
        <w:tblStyle w:val="TableGrid"/>
        <w:tblW w:w="0" w:type="auto"/>
        <w:tblLook w:val="04A0" w:firstRow="1" w:lastRow="0" w:firstColumn="1" w:lastColumn="0" w:noHBand="0" w:noVBand="1"/>
      </w:tblPr>
      <w:tblGrid>
        <w:gridCol w:w="10682"/>
      </w:tblGrid>
      <w:tr>
        <w:tc>
          <w:tcPr>
            <w:tcW w:w="10682" w:type="dxa"/>
          </w:tcPr>
          <w:p>
            <w:pPr>
              <w:rPr>
                <w:noProof/>
              </w:rPr>
            </w:pPr>
            <w:r>
              <w:rPr>
                <w:b/>
                <w:noProof/>
              </w:rPr>
              <w:t>The State Forensic Examination Office of Latvia</w:t>
            </w:r>
            <w:r>
              <w:rPr>
                <w:noProof/>
              </w:rPr>
              <w:t xml:space="preserve"> purchased spectrometry tools and an ultra performance chromatography system designed to facilitate forensic examinations of documents and inks. Thirty-seven experts from Latvia, Lithuania and Estonia attended trainings carried out by experts from France and Germany. Cooperation with experts from France and Poland has also been established to reinforce skills. The beneficiary reports that its analytical capacity has been enhanced and that its ability to provide high quality forensic evidence for financial and economic crime investigations has been significantly reinforced. It is able to provide better services to various law enforcement institutions including the police, prosecutor’s office, border guard offices and the state revenue service. The equipment is instrumental in cases involving illicit trade and smuggling of tobacco products.</w:t>
            </w:r>
          </w:p>
        </w:tc>
      </w:tr>
    </w:tbl>
    <w:p>
      <w:pPr>
        <w:rPr>
          <w:noProof/>
        </w:rPr>
      </w:pPr>
    </w:p>
    <w:tbl>
      <w:tblPr>
        <w:tblStyle w:val="TableGrid"/>
        <w:tblW w:w="0" w:type="auto"/>
        <w:tblLook w:val="04A0" w:firstRow="1" w:lastRow="0" w:firstColumn="1" w:lastColumn="0" w:noHBand="0" w:noVBand="1"/>
      </w:tblPr>
      <w:tblGrid>
        <w:gridCol w:w="10682"/>
      </w:tblGrid>
      <w:tr>
        <w:tc>
          <w:tcPr>
            <w:tcW w:w="10682" w:type="dxa"/>
          </w:tcPr>
          <w:p>
            <w:pPr>
              <w:rPr>
                <w:noProof/>
                <w:lang w:val="en"/>
              </w:rPr>
            </w:pPr>
            <w:r>
              <w:rPr>
                <w:noProof/>
                <w:lang w:val="en"/>
              </w:rPr>
              <w:t xml:space="preserve">A mobile X-Ray unit was purchased by the </w:t>
            </w:r>
            <w:r>
              <w:rPr>
                <w:b/>
                <w:noProof/>
                <w:lang w:val="en"/>
              </w:rPr>
              <w:t>Customs Administration of the Czech Republic</w:t>
            </w:r>
            <w:r>
              <w:rPr>
                <w:noProof/>
                <w:lang w:val="en"/>
              </w:rPr>
              <w:t>. This unit allows for non-intrusive inspection of road and train transported goods. Twenty customs officers attended the expert training course to learn how to operate the scanner and how to interpret images. This unit will assist in the detection of illicit and smuggled goods and will facilitate fast and effective inspections. The aim is to detect smuggled tobacco and cigarettes in small shipments transported by cars, lorries, buses and planes. The mobile unit can be deployed throughout the country supporting enforcement units. Crossborder cooperation will be enhanced mainly with Germany and Poland. Results and best practices will be shared with the Customs Detection Technology Project Group to enhance international cooperation.</w:t>
            </w:r>
          </w:p>
        </w:tc>
      </w:tr>
    </w:tbl>
    <w:p>
      <w:pPr>
        <w:rPr>
          <w:noProof/>
        </w:rPr>
      </w:pPr>
      <w:r>
        <w:rPr>
          <w:noProof/>
        </w:rPr>
        <w:t xml:space="preserve">Technical assistance </w:t>
      </w:r>
      <w:r>
        <w:rPr>
          <w:i/>
          <w:noProof/>
        </w:rPr>
        <w:t>implementation reports</w:t>
      </w:r>
      <w:r>
        <w:rPr>
          <w:noProof/>
        </w:rPr>
        <w:t xml:space="preserve"> submitted describe the results obtained after 12 months of using purchased equipment. These provide a better overview and understanding of the long term impact of the Programme. Beneficiaries report, for example, on the number and amount of cigarettes and tobacco seizures, estimates of the prevented losses to the national and the Union’s budget, the emergence of new fraud schemes, the detection of networks of organised crime groups or the number of arrests made. In 2019, fourteen implementation reports were received for grants awarded under the annual budgets of 2015 and 2016.</w:t>
      </w:r>
    </w:p>
    <w:tbl>
      <w:tblPr>
        <w:tblStyle w:val="TableGrid"/>
        <w:tblW w:w="0" w:type="auto"/>
        <w:tblLook w:val="04A0" w:firstRow="1" w:lastRow="0" w:firstColumn="1" w:lastColumn="0" w:noHBand="0" w:noVBand="1"/>
      </w:tblPr>
      <w:tblGrid>
        <w:gridCol w:w="10682"/>
      </w:tblGrid>
      <w:tr>
        <w:tc>
          <w:tcPr>
            <w:tcW w:w="10682" w:type="dxa"/>
          </w:tcPr>
          <w:p>
            <w:pPr>
              <w:rPr>
                <w:noProof/>
              </w:rPr>
            </w:pPr>
            <w:r>
              <w:rPr>
                <w:b/>
                <w:noProof/>
              </w:rPr>
              <w:t>The Customs Administration of the Republic of Croatia</w:t>
            </w:r>
            <w:r>
              <w:rPr>
                <w:noProof/>
              </w:rPr>
              <w:t xml:space="preserve"> reported on the outcomes from the purchase of a mobile x-ray scanner mainly used in the port of Rijeka and the surrounding motorway and border crossing. The equipment aims to strengthen its operational and technical capacity to detect smuggled and counterfeited goods, in particular cigarettes and tobacco, imported into the European Union resulting in the evasion of VAT, customs duties and excise taxes. The scanner has improved the efficiency of customs controls resulting in significant seizures including more than 3 million cigarettes.  The beneficiary reported overall in the 12-month period, a collection of EUR 590 000 in import duties, evaded VAT and excise taxes and penalties.</w:t>
            </w:r>
          </w:p>
        </w:tc>
      </w:tr>
    </w:tbl>
    <w:p>
      <w:pPr>
        <w:rPr>
          <w:noProof/>
        </w:rPr>
      </w:pPr>
    </w:p>
    <w:tbl>
      <w:tblPr>
        <w:tblStyle w:val="TableGrid"/>
        <w:tblW w:w="0" w:type="auto"/>
        <w:tblLook w:val="04A0" w:firstRow="1" w:lastRow="0" w:firstColumn="1" w:lastColumn="0" w:noHBand="0" w:noVBand="1"/>
      </w:tblPr>
      <w:tblGrid>
        <w:gridCol w:w="10682"/>
      </w:tblGrid>
      <w:tr>
        <w:tc>
          <w:tcPr>
            <w:tcW w:w="10682" w:type="dxa"/>
          </w:tcPr>
          <w:p>
            <w:pPr>
              <w:rPr>
                <w:noProof/>
              </w:rPr>
            </w:pPr>
            <w:r>
              <w:rPr>
                <w:b/>
                <w:noProof/>
              </w:rPr>
              <w:t xml:space="preserve">The Maritime Unit of Border Guard in Gdansk, </w:t>
            </w:r>
            <w:r>
              <w:rPr>
                <w:noProof/>
              </w:rPr>
              <w:t>Poland reported on the results of its purchase of mobile x-ray scanners type ‘Mini-Z’. These devices improved detection ability during checks on cargo ships, fishing vessels and other watercraft. The portable size of the scanners permits effective controls in closed and inaccessible spaces. The gathering of evidence for criminal proceedings has also improved. The report outlines various controls carried out on passenger cars, merchant vessels and recreational vehicles. 33 maritime border guard officers were trained and certified and a further 24 officers from Szinoujscie and Elblag were trained. Cigarette seizures amount to 7 420 pieces and 768 packs during the reporting period; other seized items including ammunition were also reported.</w:t>
            </w:r>
            <w:r>
              <w:rPr>
                <w:b/>
                <w:noProof/>
              </w:rPr>
              <w:t xml:space="preserve">  </w:t>
            </w:r>
          </w:p>
        </w:tc>
      </w:tr>
    </w:tbl>
    <w:p>
      <w:pPr>
        <w:rPr>
          <w:noProof/>
          <w:highlight w:val="yellow"/>
        </w:rPr>
      </w:pPr>
    </w:p>
    <w:tbl>
      <w:tblPr>
        <w:tblStyle w:val="TableGrid"/>
        <w:tblW w:w="0" w:type="auto"/>
        <w:tblLook w:val="04A0" w:firstRow="1" w:lastRow="0" w:firstColumn="1" w:lastColumn="0" w:noHBand="0" w:noVBand="1"/>
      </w:tblPr>
      <w:tblGrid>
        <w:gridCol w:w="10682"/>
      </w:tblGrid>
      <w:tr>
        <w:tc>
          <w:tcPr>
            <w:tcW w:w="10682" w:type="dxa"/>
          </w:tcPr>
          <w:p>
            <w:pPr>
              <w:rPr>
                <w:noProof/>
              </w:rPr>
            </w:pPr>
            <w:r>
              <w:rPr>
                <w:noProof/>
              </w:rPr>
              <w:t>The purchase of technical updates for an Automated Number Plate Recognition System (ANPRS) for nine patrol cars for the</w:t>
            </w:r>
            <w:r>
              <w:rPr>
                <w:b/>
                <w:noProof/>
              </w:rPr>
              <w:t xml:space="preserve"> Customs Department of the Ministry of Finance of Lithuania</w:t>
            </w:r>
            <w:r>
              <w:rPr>
                <w:noProof/>
              </w:rPr>
              <w:t xml:space="preserve"> has led to 60 pre-trial investigations involving the smuggling of cigarettes. The replacement of computers for the system has improved its funtioning and data flow, and is now linked to a system used by the Polish customs. The system is also integrated with those of the Baltic countries. 19 stationary ANPRS check points operate at the borders with Lithuania, 7 internal and 12 external. 16 workplaces were were upgraded and 1 400 users have been trained to analyse the data stored. This integrated  system enables data exchange among the 75 regional check points installed at the external borders with Russia, Belorussia and Ukraine. The reporting period of 2018 – first quarter of 2019 indicates that 170 million cigarettes were seized for a value of EUR 26 million, or EUR 19.5 million in losses to the national budget. </w:t>
            </w:r>
          </w:p>
        </w:tc>
      </w:tr>
    </w:tbl>
    <w:p>
      <w:pPr>
        <w:rPr>
          <w:b/>
          <w:noProof/>
        </w:rPr>
      </w:pPr>
      <w:r>
        <w:rPr>
          <w:b/>
          <w:noProof/>
        </w:rPr>
        <w:t xml:space="preserve">Examples of procured access to external databases  </w:t>
      </w:r>
    </w:p>
    <w:p>
      <w:pPr>
        <w:rPr>
          <w:noProof/>
        </w:rPr>
      </w:pPr>
      <w:bookmarkStart w:id="36" w:name="_Toc421687699"/>
      <w:r>
        <w:rPr>
          <w:noProof/>
        </w:rPr>
        <w:t>The Commission procured access to external databases for use by law enforcement authorities of the Member States. The databases containing trade information, company data or vessel movements provide essential operational information for joint investigations carried out with OLAF. The databases also provide input for risk analyses used by customs authorities to target controls.</w:t>
      </w:r>
    </w:p>
    <w:tbl>
      <w:tblPr>
        <w:tblStyle w:val="TableGrid"/>
        <w:tblW w:w="10740" w:type="dxa"/>
        <w:tblLook w:val="04A0" w:firstRow="1" w:lastRow="0" w:firstColumn="1" w:lastColumn="0" w:noHBand="0" w:noVBand="1"/>
      </w:tblPr>
      <w:tblGrid>
        <w:gridCol w:w="10740"/>
      </w:tblGrid>
      <w:tr>
        <w:tc>
          <w:tcPr>
            <w:tcW w:w="10740" w:type="dxa"/>
          </w:tcPr>
          <w:p>
            <w:pPr>
              <w:rPr>
                <w:noProof/>
              </w:rPr>
            </w:pPr>
            <w:r>
              <w:rPr>
                <w:noProof/>
              </w:rPr>
              <w:t xml:space="preserve">The Member State customs services use a commercial database of </w:t>
            </w:r>
            <w:r>
              <w:rPr>
                <w:b/>
                <w:noProof/>
              </w:rPr>
              <w:t>worldwide trade statistics</w:t>
            </w:r>
            <w:r>
              <w:rPr>
                <w:noProof/>
              </w:rPr>
              <w:t xml:space="preserve"> to analyse trade flows (imports and exports) as part of a risk analysis system. In general, Member States use the database for strategic and/or initial analysis to gain an overview of the movement of goods at a world level and focus on specific goods or countries of interest. This enables them to decide what action to take in cases of suspicion of potential customs fraud.</w:t>
            </w:r>
          </w:p>
          <w:p>
            <w:pPr>
              <w:rPr>
                <w:noProof/>
              </w:rPr>
            </w:pPr>
            <w:r>
              <w:rPr>
                <w:noProof/>
              </w:rPr>
              <w:t xml:space="preserve">Specifically, it has been used primarily to assist identification of traffic diversions or transhipment of goods, which are being moved via an intermediate third country to disguise the real origin of goods imported into the EU, usually to avoid anti-dumping duty or to evade a prohibition/restriction. In addition, it provides the basis to cross-check information on exports from third countries with information on imports into a Member State from other sources. </w:t>
            </w:r>
          </w:p>
          <w:p>
            <w:pPr>
              <w:rPr>
                <w:noProof/>
              </w:rPr>
            </w:pPr>
            <w:r>
              <w:rPr>
                <w:noProof/>
              </w:rPr>
              <w:t xml:space="preserve">These statistics are used to compare values leading to the identification of possible undervaluation of goods to avoid or diminish import duties. Customs services consult the database to create risk profiles for specific countries/products. Preparatory analyses for a recent joint customs operation were conducted using this database. </w:t>
            </w:r>
          </w:p>
        </w:tc>
      </w:tr>
    </w:tbl>
    <w:p>
      <w:pPr>
        <w:rPr>
          <w:noProof/>
        </w:rPr>
      </w:pPr>
    </w:p>
    <w:tbl>
      <w:tblPr>
        <w:tblStyle w:val="TableGrid"/>
        <w:tblW w:w="0" w:type="auto"/>
        <w:tblLook w:val="04A0" w:firstRow="1" w:lastRow="0" w:firstColumn="1" w:lastColumn="0" w:noHBand="0" w:noVBand="1"/>
      </w:tblPr>
      <w:tblGrid>
        <w:gridCol w:w="10682"/>
      </w:tblGrid>
      <w:tr>
        <w:tc>
          <w:tcPr>
            <w:tcW w:w="10682" w:type="dxa"/>
          </w:tcPr>
          <w:p>
            <w:pPr>
              <w:rPr>
                <w:noProof/>
              </w:rPr>
            </w:pPr>
            <w:r>
              <w:rPr>
                <w:noProof/>
              </w:rPr>
              <w:t xml:space="preserve">Member States' customs authorities use a database on </w:t>
            </w:r>
            <w:r>
              <w:rPr>
                <w:b/>
                <w:noProof/>
              </w:rPr>
              <w:t>vessel information and movements</w:t>
            </w:r>
            <w:r>
              <w:rPr>
                <w:noProof/>
              </w:rPr>
              <w:t>, in combination with other databases, to support risk analysis and targeting of commercial vessel traffic. It is regularly used to check the actual routes of vessels in order to cross-verify the origin of the goods in containers, for instance, when fraud is detected in anti-dumping and/or countervailing duties evasion. The database is also used in the customs clearance phase in order to detect potentially suspicious cases of import transactions. Moreover, the database was used for monitoring vessels transporting cargo containers directed to the EU customs territory for risky shipments, including smuggling of tobacco products.</w:t>
            </w:r>
          </w:p>
        </w:tc>
      </w:tr>
    </w:tbl>
    <w:p>
      <w:pPr>
        <w:rPr>
          <w:noProof/>
        </w:rPr>
      </w:pPr>
    </w:p>
    <w:tbl>
      <w:tblPr>
        <w:tblStyle w:val="TableGrid"/>
        <w:tblW w:w="0" w:type="auto"/>
        <w:tblLook w:val="04A0" w:firstRow="1" w:lastRow="0" w:firstColumn="1" w:lastColumn="0" w:noHBand="0" w:noVBand="1"/>
      </w:tblPr>
      <w:tblGrid>
        <w:gridCol w:w="10682"/>
      </w:tblGrid>
      <w:tr>
        <w:tc>
          <w:tcPr>
            <w:tcW w:w="10682" w:type="dxa"/>
          </w:tcPr>
          <w:p>
            <w:pPr>
              <w:rPr>
                <w:noProof/>
              </w:rPr>
            </w:pPr>
            <w:r>
              <w:rPr>
                <w:noProof/>
              </w:rPr>
              <w:t xml:space="preserve">A database with </w:t>
            </w:r>
            <w:r>
              <w:rPr>
                <w:b/>
                <w:noProof/>
              </w:rPr>
              <w:t>information on companies</w:t>
            </w:r>
            <w:r>
              <w:rPr>
                <w:noProof/>
              </w:rPr>
              <w:t xml:space="preserve"> has also contributed to investigations led by Member States' customs authorities related to fraud affecting the financial interests of the EU. In one instance, a Member State customs service was able to perform a mapping of companies and their managers within the country and abroad, by querying the database to obtain information to expand fraud risk analysis capabilities, formulating new profiles to target controls. In another instance, searches were run on a company's shareholders to determine whether company's imports were the result of an intra-group sale and to analyse risks of undervaluation. This database was also used to investigate a case of international tax evasion and unlawful capital transfers to tax havens. Furthermore, with the help of the database, it was possible to establish potential customs debt for suspected import consignments using customs procedure 42 (which allows importers to obtain a VAT import exemption, when goods imported from outside the EU into one Member State are subsequently transported to another Member State) to evade customs duties and VAT.</w:t>
            </w:r>
          </w:p>
        </w:tc>
      </w:tr>
    </w:tbl>
    <w:p>
      <w:pPr>
        <w:rPr>
          <w:noProof/>
        </w:rPr>
      </w:pPr>
      <w:r>
        <w:rPr>
          <w:noProof/>
        </w:rPr>
        <w:t>Examples of operational results obtained from the use of the Automated Monitoring Tool, the Data Analysis project and the Tobacco analyses laboratory (developed with the Joint Research Centre).</w:t>
      </w:r>
    </w:p>
    <w:tbl>
      <w:tblPr>
        <w:tblStyle w:val="TableGrid"/>
        <w:tblW w:w="0" w:type="auto"/>
        <w:tblLook w:val="04A0" w:firstRow="1" w:lastRow="0" w:firstColumn="1" w:lastColumn="0" w:noHBand="0" w:noVBand="1"/>
      </w:tblPr>
      <w:tblGrid>
        <w:gridCol w:w="10682"/>
      </w:tblGrid>
      <w:tr>
        <w:tc>
          <w:tcPr>
            <w:tcW w:w="10682" w:type="dxa"/>
          </w:tcPr>
          <w:p>
            <w:pPr>
              <w:rPr>
                <w:noProof/>
              </w:rPr>
            </w:pPr>
            <w:r>
              <w:rPr>
                <w:b/>
                <w:noProof/>
              </w:rPr>
              <w:t>The Automated Monitoring Tool (AMT)</w:t>
            </w:r>
            <w:r>
              <w:rPr>
                <w:noProof/>
              </w:rPr>
              <w:t xml:space="preserve"> is an IT tool developed by the JRC and available to Member States’ customs services. The AMT can be used to determine the risk thresholds for customs value. Several Member States use these estimates and the related price anomalies of specific products or origins, for their integration in the national risk profile systems, in some cases by combining estimates of EU average product prices with the results of their customs controls. It is used in the detection of undervaluation of imported goods, especially textiles and footwear. The scale of undervaluation has decreased in those Member States using the AMT, thereby reducing the level of losses to the EU and Member States' budgets in customs duties, excises and VAT. The use of the AMT tool has considerably increased in 2019: the tool received more than 80 000 data queries from almost 600 customs officers.</w:t>
            </w:r>
          </w:p>
          <w:p>
            <w:pPr>
              <w:rPr>
                <w:noProof/>
              </w:rPr>
            </w:pPr>
            <w:r>
              <w:rPr>
                <w:noProof/>
              </w:rPr>
              <w:t>The AMT tool is also used in support of joint customs operations: for example, a recent operation was conducted by customs authorities of 25 Member States and OLAF covering a wide range of textiles and footwear goods and other goods imported from one third country in the EU. The operation is on-going and results will be reported later this year.</w:t>
            </w:r>
          </w:p>
          <w:p>
            <w:pPr>
              <w:rPr>
                <w:noProof/>
              </w:rPr>
            </w:pPr>
            <w:r>
              <w:rPr>
                <w:noProof/>
              </w:rPr>
              <w:t>Two Member States are carrying out pilot activities with the JRC, as an extension of the AMT tool, using the Newcomb-Benford’s law analysis on traders in annual audit plans, to improve the quality of results and the definition of the risk profiles. The research relies on the application of the Benford law which uses the observation of the distribution of the first digits of numbers in large databases with customs declarations to detect suspicious traders. The approach mainly aims at the detection of serial fraudsters, for which information accumulates in the corresponding transaction records. The findings from the application of Benford’s methodology can be the basis for further investigative work if coupled with additional information from the AMT tool or the national risk profiles.</w:t>
            </w:r>
          </w:p>
        </w:tc>
      </w:tr>
    </w:tbl>
    <w:p>
      <w:pPr>
        <w:rPr>
          <w:noProof/>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2"/>
      </w:tblGrid>
      <w:tr>
        <w:tc>
          <w:tcPr>
            <w:tcW w:w="10632" w:type="dxa"/>
          </w:tcPr>
          <w:p>
            <w:pPr>
              <w:rPr>
                <w:noProof/>
              </w:rPr>
            </w:pPr>
            <w:r>
              <w:rPr>
                <w:noProof/>
              </w:rPr>
              <w:t>The</w:t>
            </w:r>
            <w:r>
              <w:rPr>
                <w:b/>
                <w:noProof/>
              </w:rPr>
              <w:t xml:space="preserve"> INTEL4CUSTAF project</w:t>
            </w:r>
            <w:r>
              <w:rPr>
                <w:noProof/>
              </w:rPr>
              <w:t xml:space="preserve">  aims to </w:t>
            </w:r>
            <w:r>
              <w:rPr>
                <w:bCs/>
                <w:noProof/>
              </w:rPr>
              <w:t>provide knowledge</w:t>
            </w:r>
            <w:r>
              <w:rPr>
                <w:b/>
                <w:bCs/>
                <w:noProof/>
              </w:rPr>
              <w:t xml:space="preserve">, </w:t>
            </w:r>
            <w:r>
              <w:rPr>
                <w:bCs/>
                <w:noProof/>
              </w:rPr>
              <w:t>facilitate</w:t>
            </w:r>
            <w:r>
              <w:rPr>
                <w:b/>
                <w:bCs/>
                <w:noProof/>
              </w:rPr>
              <w:t xml:space="preserve"> </w:t>
            </w:r>
            <w:r>
              <w:rPr>
                <w:bCs/>
                <w:noProof/>
              </w:rPr>
              <w:t>and support</w:t>
            </w:r>
            <w:r>
              <w:rPr>
                <w:b/>
                <w:bCs/>
                <w:noProof/>
              </w:rPr>
              <w:t xml:space="preserve"> </w:t>
            </w:r>
            <w:r>
              <w:rPr>
                <w:noProof/>
              </w:rPr>
              <w:t xml:space="preserve">the work of customs in Member States for the effective and efficient use of data and analytical approaches in the area of customs anti-fraud. The project has created an EU </w:t>
            </w:r>
            <w:r>
              <w:rPr>
                <w:bCs/>
                <w:noProof/>
              </w:rPr>
              <w:t xml:space="preserve">community </w:t>
            </w:r>
            <w:r>
              <w:rPr>
                <w:noProof/>
              </w:rPr>
              <w:t xml:space="preserve">in the field of customs anti-fraud data analysis </w:t>
            </w:r>
            <w:r>
              <w:rPr>
                <w:bCs/>
                <w:noProof/>
              </w:rPr>
              <w:t xml:space="preserve">(totalling 150 members from Member States and the Commission). </w:t>
            </w:r>
          </w:p>
          <w:p>
            <w:pPr>
              <w:rPr>
                <w:noProof/>
              </w:rPr>
            </w:pPr>
            <w:r>
              <w:rPr>
                <w:noProof/>
              </w:rPr>
              <w:t xml:space="preserve">In 2019, five pilots of INTEL4CUSTAF brought together 44 experts from 18 Member States and colleagues from JRC and OLAF.  The objective of the pilot project on </w:t>
            </w:r>
            <w:r>
              <w:rPr>
                <w:b/>
                <w:noProof/>
              </w:rPr>
              <w:t>undervaluation</w:t>
            </w:r>
            <w:r>
              <w:rPr>
                <w:noProof/>
              </w:rPr>
              <w:t xml:space="preserve"> aimed to investigate the potential for signal generation, bringing together the results generated by the Automated Monitoring Tool (AMT) with those from customs controls performed by the Member States. It revealed variations among the approaches followed by Member States to estimate the risk thresholds for customs value. These findings generated strong interest during the 3</w:t>
            </w:r>
            <w:r>
              <w:rPr>
                <w:noProof/>
                <w:vertAlign w:val="superscript"/>
              </w:rPr>
              <w:t>rd</w:t>
            </w:r>
            <w:r>
              <w:rPr>
                <w:noProof/>
              </w:rPr>
              <w:t xml:space="preserve"> INTEL4CUSTAF workshop, culminating in a proposal to continue this work in 2020.</w:t>
            </w:r>
          </w:p>
          <w:p>
            <w:pPr>
              <w:rPr>
                <w:noProof/>
              </w:rPr>
            </w:pPr>
            <w:r>
              <w:rPr>
                <w:noProof/>
              </w:rPr>
              <w:t xml:space="preserve">During 2019, the </w:t>
            </w:r>
            <w:r>
              <w:rPr>
                <w:b/>
                <w:noProof/>
              </w:rPr>
              <w:t>e-commerce</w:t>
            </w:r>
            <w:r>
              <w:rPr>
                <w:noProof/>
              </w:rPr>
              <w:t xml:space="preserve"> pilot project focused on the detection of customs sensitive e-traders. E-commerce is a new priority in the fight against fraud affecting the Union budget, and this pilot is a first step aimed at automatically detecting importers of goods destined to be sold to individual customers through e-commerce platforms and fulfilment centres, with a high risk of customs and tax fraud. Experts from participating Member States discussed the definition of a customs sensitive e-trader and shared knowledge and experience of typical e-commerce fraud modus operandi as well as associated customs data. </w:t>
            </w:r>
          </w:p>
          <w:p>
            <w:pPr>
              <w:rPr>
                <w:noProof/>
              </w:rPr>
            </w:pPr>
            <w:r>
              <w:rPr>
                <w:noProof/>
              </w:rPr>
              <w:t xml:space="preserve">The pilot project on </w:t>
            </w:r>
            <w:r>
              <w:rPr>
                <w:b/>
                <w:noProof/>
              </w:rPr>
              <w:t>misdescription</w:t>
            </w:r>
            <w:r>
              <w:rPr>
                <w:noProof/>
              </w:rPr>
              <w:t xml:space="preserve"> of goods fraud aimed at developing a tool for the automated detection of misdescribed commodity codes as declared when goods are imported into the EU. The tool, based on national methods, provides the flexibility to perform analysis at country and EU level, thus helping to fight transnational customs fraud.  A proto-type open-source analytical software was developed and is available for further testing. The project analysed about 130 000 declarations and generated 2 000 signals of potential fraud. </w:t>
            </w:r>
          </w:p>
          <w:p>
            <w:pPr>
              <w:rPr>
                <w:noProof/>
              </w:rPr>
            </w:pPr>
            <w:r>
              <w:rPr>
                <w:noProof/>
              </w:rPr>
              <w:t xml:space="preserve">The aim of the </w:t>
            </w:r>
            <w:r>
              <w:rPr>
                <w:b/>
                <w:bCs/>
                <w:noProof/>
              </w:rPr>
              <w:t xml:space="preserve">container weight </w:t>
            </w:r>
            <w:r>
              <w:rPr>
                <w:noProof/>
              </w:rPr>
              <w:t>pilot was to study the feasibility of using a statistics model for the prediction of an estimated container weight. Comparing differences between this estimated weight, the real weight (as measured before loading) and the declared weight could potentially identify fraud such as under or over-valuation and wrong description of goods. Testing of this innovative idea during 2019 was hampered by problems in obtaining good quality data. However, several Member States stated that they should be able to provide the required information and many supported the continuation of this novel analysis in 2020.</w:t>
            </w:r>
          </w:p>
          <w:p>
            <w:pPr>
              <w:rPr>
                <w:noProof/>
              </w:rPr>
            </w:pPr>
            <w:r>
              <w:rPr>
                <w:noProof/>
              </w:rPr>
              <w:t xml:space="preserve">A further pilot project built on the work started in 2018, to develop a search case for the automated monitoring and sharing of international on-line media for reporting </w:t>
            </w:r>
            <w:r>
              <w:rPr>
                <w:b/>
                <w:noProof/>
              </w:rPr>
              <w:t>illicit tobacco</w:t>
            </w:r>
            <w:r>
              <w:rPr>
                <w:noProof/>
              </w:rPr>
              <w:t xml:space="preserve"> cases, using the existing Europe Media Monitor (EMM) tool. Drawing on the wider INTEL4CUSTAF community, 350 new, customs-relevant, sources of information and many new key words/phrases were added to cover the emerging fraud area of water-pipe tobacco. This pilot generated a </w:t>
            </w:r>
            <w:r>
              <w:rPr>
                <w:bCs/>
                <w:noProof/>
              </w:rPr>
              <w:t>new proposal</w:t>
            </w:r>
            <w:r>
              <w:rPr>
                <w:noProof/>
              </w:rPr>
              <w:t xml:space="preserve">: </w:t>
            </w:r>
            <w:r>
              <w:rPr>
                <w:iCs/>
                <w:noProof/>
              </w:rPr>
              <w:t>to test the application of text mining for the validation of commodity descriptions in customs declarations</w:t>
            </w:r>
            <w:r>
              <w:rPr>
                <w:noProof/>
              </w:rPr>
              <w:t xml:space="preserve">. </w:t>
            </w:r>
          </w:p>
        </w:tc>
      </w:tr>
    </w:tbl>
    <w:p>
      <w:pPr>
        <w:spacing w:after="0"/>
        <w:rPr>
          <w:b/>
          <w:noProof/>
        </w:rPr>
      </w:pPr>
    </w:p>
    <w:tbl>
      <w:tblPr>
        <w:tblStyle w:val="TableGrid"/>
        <w:tblW w:w="0" w:type="auto"/>
        <w:tblInd w:w="108" w:type="dxa"/>
        <w:tblLook w:val="04A0" w:firstRow="1" w:lastRow="0" w:firstColumn="1" w:lastColumn="0" w:noHBand="0" w:noVBand="1"/>
      </w:tblPr>
      <w:tblGrid>
        <w:gridCol w:w="10574"/>
      </w:tblGrid>
      <w:tr>
        <w:tc>
          <w:tcPr>
            <w:tcW w:w="10574" w:type="dxa"/>
          </w:tcPr>
          <w:p>
            <w:pPr>
              <w:spacing w:after="0"/>
              <w:rPr>
                <w:noProof/>
              </w:rPr>
            </w:pPr>
            <w:r>
              <w:rPr>
                <w:b/>
                <w:noProof/>
              </w:rPr>
              <w:t>The laboratory for testing tobacco (TOBLAB)</w:t>
            </w:r>
            <w:r>
              <w:rPr>
                <w:noProof/>
              </w:rPr>
              <w:t xml:space="preserve"> at the JRC-Geel facility has been operational since April 2016 and is regularly used by Member States' customs services and OLAF. The laboratory carries out analyses on samples of seized cigarettes and tobacco to identify the geographical origin of tobacco. On the basis of the results obtained it is possible to identify the origin, the producer and commercial brands. The analytical methods applied allow the identification of counterfeit tobacco products and can contribute to forensic investigations aiming to, for example, dismantle criminal networks. TOBLAB aims to develop intelligence on cheap whites as well as onraw and cut tobacco. In order to provide information about the geographical origin of seized raw tobacco, TOBLAB aims to construct a repository of raw tobacco grown in Europe including different production regions and varieties in a region. </w:t>
            </w:r>
          </w:p>
          <w:p>
            <w:pPr>
              <w:spacing w:after="0"/>
              <w:rPr>
                <w:noProof/>
              </w:rPr>
            </w:pPr>
            <w:r>
              <w:rPr>
                <w:noProof/>
              </w:rPr>
              <w:t>The JRC maintains and updates a database with information on the chemical composition and origin of seized smuggled and counterfeit tobacco and tobacco products submitted by the customs services. In 2019, 115 samples of seized cigarettes, raw and fine cut tobacco were analysed. It was possible to identify cigarettes that had been smuggled into the European market and to establish connections between raw tobacco, fine cut tobacco and cheap white cigarettes seized in different places and at different moments within the EU, by connecting seizures to each other. The information obtained from the analyses allowed tobacco investigators to share intelligence on on-going investigations.</w:t>
            </w:r>
          </w:p>
          <w:p>
            <w:pPr>
              <w:spacing w:after="0"/>
              <w:rPr>
                <w:noProof/>
              </w:rPr>
            </w:pPr>
            <w:r>
              <w:rPr>
                <w:noProof/>
              </w:rPr>
              <w:t xml:space="preserve">A repository of commercially available cigarettes purchased at licensed tobacconists across the world and of cheap whites is maintained by JRC for building statistical discrimination models. </w:t>
            </w:r>
          </w:p>
          <w:p>
            <w:pPr>
              <w:spacing w:after="0"/>
              <w:rPr>
                <w:noProof/>
              </w:rPr>
            </w:pPr>
            <w:r>
              <w:rPr>
                <w:noProof/>
              </w:rPr>
              <w:t xml:space="preserve">The 5th annual workshop with representatives of national customs laboratories and enforcement staff from 14 Member States, held in JRC-Geel in 2019, facilitated knowledge sharing and cooperation between Member State experts and the Commission.  </w:t>
            </w:r>
          </w:p>
        </w:tc>
      </w:tr>
    </w:tbl>
    <w:p>
      <w:pPr>
        <w:pStyle w:val="Heading2"/>
        <w:keepLines/>
        <w:rPr>
          <w:noProof/>
        </w:rPr>
      </w:pPr>
      <w:r>
        <w:rPr>
          <w:noProof/>
        </w:rPr>
        <w:tab/>
      </w:r>
      <w:bookmarkStart w:id="37" w:name="_Toc40452002"/>
      <w:r>
        <w:rPr>
          <w:noProof/>
        </w:rPr>
        <w:t>3.4</w:t>
      </w:r>
      <w:r>
        <w:rPr>
          <w:noProof/>
        </w:rPr>
        <w:tab/>
        <w:t>Operational objective 4 - To limit the currently known exposure of the financial interests of the Union to fraud, corruption and other illegal activities with a view to reducing the development of an illegal economy in key risk areas such as organised fraud, including cigarette smuggling and counterfeiting</w:t>
      </w:r>
      <w:r>
        <w:rPr>
          <w:rStyle w:val="FootnoteReference"/>
          <w:b w:val="0"/>
          <w:noProof/>
        </w:rPr>
        <w:footnoteReference w:id="25"/>
      </w:r>
      <w:bookmarkEnd w:id="36"/>
      <w:bookmarkEnd w:id="37"/>
      <w:r>
        <w:rPr>
          <w:noProof/>
        </w:rPr>
        <w:t xml:space="preserve">   </w:t>
      </w:r>
    </w:p>
    <w:p>
      <w:pPr>
        <w:rPr>
          <w:noProof/>
        </w:rPr>
      </w:pPr>
      <w:r>
        <w:rPr>
          <w:noProof/>
        </w:rPr>
        <w:t>Several actions contributed to achieving this objective in 2019.</w:t>
      </w:r>
    </w:p>
    <w:p>
      <w:pPr>
        <w:pStyle w:val="Default"/>
        <w:keepNext/>
        <w:keepLines/>
        <w:pBdr>
          <w:top w:val="single" w:sz="4" w:space="1" w:color="auto"/>
          <w:left w:val="single" w:sz="4" w:space="4" w:color="auto"/>
          <w:bottom w:val="single" w:sz="4" w:space="2" w:color="auto"/>
          <w:right w:val="single" w:sz="4" w:space="4" w:color="auto"/>
        </w:pBdr>
        <w:spacing w:before="120" w:after="120"/>
        <w:jc w:val="both"/>
        <w:rPr>
          <w:noProof/>
          <w:color w:val="auto"/>
        </w:rPr>
      </w:pPr>
      <w:r>
        <w:rPr>
          <w:b/>
          <w:noProof/>
          <w:color w:val="auto"/>
        </w:rPr>
        <w:t>The Foundation Lelio and Lisli Basso</w:t>
      </w:r>
      <w:r>
        <w:rPr>
          <w:noProof/>
          <w:color w:val="auto"/>
        </w:rPr>
        <w:t xml:space="preserve"> (Italy) organised a two-day international conference on the EPPO in Rome (Italy) attended by 73 EU legal practitioners coming from 14 EU Member States. The participants were judges, public prosecutors, lawyers, law students and other relevant stakeholders at EU and Italian level and representatives of the Network of Associations for European Criminal Law and for the Protection of the EU’s Financial Interests.</w:t>
      </w:r>
    </w:p>
    <w:p>
      <w:pPr>
        <w:pStyle w:val="Default"/>
        <w:pBdr>
          <w:top w:val="single" w:sz="4" w:space="1" w:color="auto"/>
          <w:left w:val="single" w:sz="4" w:space="4" w:color="auto"/>
          <w:bottom w:val="single" w:sz="4" w:space="2" w:color="auto"/>
          <w:right w:val="single" w:sz="4" w:space="4" w:color="auto"/>
        </w:pBdr>
        <w:spacing w:before="120" w:after="120"/>
        <w:jc w:val="both"/>
        <w:rPr>
          <w:noProof/>
          <w:color w:val="auto"/>
        </w:rPr>
      </w:pPr>
      <w:r>
        <w:rPr>
          <w:noProof/>
          <w:color w:val="auto"/>
        </w:rPr>
        <w:t xml:space="preserve">The project aimed to improve knowledge of the EPPO Regulation in conjuction with national law and identify and discuss possible solutions and working methods to overcome aspects that may hinder the operational set up of the EPPO. </w:t>
      </w:r>
    </w:p>
    <w:p>
      <w:pPr>
        <w:pStyle w:val="Default"/>
        <w:pBdr>
          <w:top w:val="single" w:sz="4" w:space="1" w:color="auto"/>
          <w:left w:val="single" w:sz="4" w:space="4" w:color="auto"/>
          <w:bottom w:val="single" w:sz="4" w:space="2" w:color="auto"/>
          <w:right w:val="single" w:sz="4" w:space="4" w:color="auto"/>
        </w:pBdr>
        <w:spacing w:before="120" w:after="120"/>
        <w:jc w:val="both"/>
        <w:rPr>
          <w:noProof/>
          <w:color w:val="auto"/>
        </w:rPr>
      </w:pPr>
      <w:r>
        <w:rPr>
          <w:noProof/>
          <w:color w:val="auto"/>
        </w:rPr>
        <w:t>The action contributed to:</w:t>
      </w:r>
    </w:p>
    <w:p>
      <w:pPr>
        <w:pStyle w:val="Default"/>
        <w:pBdr>
          <w:top w:val="single" w:sz="4" w:space="1" w:color="auto"/>
          <w:left w:val="single" w:sz="4" w:space="4" w:color="auto"/>
          <w:bottom w:val="single" w:sz="4" w:space="2" w:color="auto"/>
          <w:right w:val="single" w:sz="4" w:space="4" w:color="auto"/>
        </w:pBdr>
        <w:spacing w:before="120" w:after="120"/>
        <w:jc w:val="both"/>
        <w:rPr>
          <w:noProof/>
          <w:color w:val="auto"/>
        </w:rPr>
      </w:pPr>
      <w:r>
        <w:rPr>
          <w:noProof/>
          <w:color w:val="auto"/>
        </w:rPr>
        <w:t>-  Improving the knowledge of the interaction between the EPPO Regulation and national law;</w:t>
      </w:r>
    </w:p>
    <w:p>
      <w:pPr>
        <w:pStyle w:val="Default"/>
        <w:pBdr>
          <w:top w:val="single" w:sz="4" w:space="1" w:color="auto"/>
          <w:left w:val="single" w:sz="4" w:space="4" w:color="auto"/>
          <w:bottom w:val="single" w:sz="4" w:space="2" w:color="auto"/>
          <w:right w:val="single" w:sz="4" w:space="4" w:color="auto"/>
        </w:pBdr>
        <w:spacing w:before="120" w:after="120"/>
        <w:jc w:val="both"/>
        <w:rPr>
          <w:noProof/>
          <w:color w:val="auto"/>
        </w:rPr>
      </w:pPr>
      <w:r>
        <w:rPr>
          <w:noProof/>
          <w:color w:val="auto"/>
        </w:rPr>
        <w:t>- Better understanding the conditions for a smooth operational set up of the EPPO;</w:t>
      </w:r>
    </w:p>
    <w:p>
      <w:pPr>
        <w:pStyle w:val="Default"/>
        <w:pBdr>
          <w:top w:val="single" w:sz="4" w:space="1" w:color="auto"/>
          <w:left w:val="single" w:sz="4" w:space="4" w:color="auto"/>
          <w:bottom w:val="single" w:sz="4" w:space="2" w:color="auto"/>
          <w:right w:val="single" w:sz="4" w:space="4" w:color="auto"/>
        </w:pBdr>
        <w:spacing w:before="120" w:after="120"/>
        <w:jc w:val="both"/>
        <w:rPr>
          <w:noProof/>
          <w:color w:val="auto"/>
        </w:rPr>
      </w:pPr>
      <w:r>
        <w:rPr>
          <w:noProof/>
          <w:color w:val="auto"/>
        </w:rPr>
        <w:t xml:space="preserve">- Acquiring qualifications and skills by strengthening awareness of the EU and national policy makers on the problems that may hinder the operational set up of the EPPO; </w:t>
      </w:r>
    </w:p>
    <w:p>
      <w:pPr>
        <w:pStyle w:val="Default"/>
        <w:pBdr>
          <w:top w:val="single" w:sz="4" w:space="1" w:color="auto"/>
          <w:left w:val="single" w:sz="4" w:space="4" w:color="auto"/>
          <w:bottom w:val="single" w:sz="4" w:space="2" w:color="auto"/>
          <w:right w:val="single" w:sz="4" w:space="4" w:color="auto"/>
        </w:pBdr>
        <w:spacing w:before="120" w:after="120"/>
        <w:jc w:val="both"/>
        <w:rPr>
          <w:noProof/>
          <w:color w:val="auto"/>
        </w:rPr>
      </w:pPr>
      <w:r>
        <w:rPr>
          <w:noProof/>
          <w:color w:val="auto"/>
        </w:rPr>
        <w:t>- Improving the understanding of the practical implications that the governance system of the EPPO, in particular, the establishment of European Delegated Prosecutors, may entail in national contexts.</w:t>
      </w:r>
    </w:p>
    <w:p>
      <w:pPr>
        <w:rPr>
          <w:noProof/>
        </w:rPr>
      </w:pPr>
    </w:p>
    <w:p>
      <w:pPr>
        <w:pStyle w:val="Default"/>
        <w:pBdr>
          <w:top w:val="single" w:sz="4" w:space="1" w:color="auto"/>
          <w:left w:val="single" w:sz="4" w:space="4" w:color="auto"/>
          <w:bottom w:val="single" w:sz="4" w:space="1" w:color="auto"/>
          <w:right w:val="single" w:sz="4" w:space="4" w:color="auto"/>
        </w:pBdr>
        <w:spacing w:before="120" w:after="120"/>
        <w:jc w:val="both"/>
        <w:rPr>
          <w:noProof/>
          <w:color w:val="auto"/>
        </w:rPr>
      </w:pPr>
      <w:r>
        <w:rPr>
          <w:noProof/>
          <w:color w:val="auto"/>
        </w:rPr>
        <w:t xml:space="preserve">In close cooperation with the Commission Directorates-General for Taxation and Customs Union and for Climate Action, OLAF organised a </w:t>
      </w:r>
      <w:r>
        <w:rPr>
          <w:b/>
          <w:noProof/>
          <w:color w:val="auto"/>
        </w:rPr>
        <w:t>Conference on the fight against illegal imports of refrigerant gases into the EU</w:t>
      </w:r>
      <w:r>
        <w:rPr>
          <w:noProof/>
          <w:color w:val="auto"/>
        </w:rPr>
        <w:t xml:space="preserve"> for 64 participants from the EU industry, experts from the national customs administrations and from the Ministries of Environment in Brussels (Belgium). The participants came from 27 Member States, </w:t>
      </w:r>
    </w:p>
    <w:p>
      <w:pPr>
        <w:pStyle w:val="Default"/>
        <w:pBdr>
          <w:top w:val="single" w:sz="4" w:space="1" w:color="auto"/>
          <w:left w:val="single" w:sz="4" w:space="4" w:color="auto"/>
          <w:bottom w:val="single" w:sz="4" w:space="1" w:color="auto"/>
          <w:right w:val="single" w:sz="4" w:space="4" w:color="auto"/>
        </w:pBdr>
        <w:spacing w:before="120" w:after="120"/>
        <w:jc w:val="both"/>
        <w:rPr>
          <w:noProof/>
          <w:color w:val="auto"/>
        </w:rPr>
      </w:pPr>
      <w:r>
        <w:rPr>
          <w:noProof/>
          <w:color w:val="auto"/>
        </w:rPr>
        <w:t>This conference was in the context of one of the key priorities of the new Commission - making Europe the first climate neutral continent by 2050, the “European Green Deal”. It addressed the cross-border fraud and raised the need of customs and environmental authorities, as well as industry, to work together, with the support of the European Commission.</w:t>
      </w:r>
    </w:p>
    <w:p>
      <w:pPr>
        <w:pStyle w:val="Default"/>
        <w:pBdr>
          <w:top w:val="single" w:sz="4" w:space="1" w:color="auto"/>
          <w:left w:val="single" w:sz="4" w:space="4" w:color="auto"/>
          <w:bottom w:val="single" w:sz="4" w:space="1" w:color="auto"/>
          <w:right w:val="single" w:sz="4" w:space="4" w:color="auto"/>
        </w:pBdr>
        <w:spacing w:before="120" w:after="120"/>
        <w:jc w:val="both"/>
        <w:rPr>
          <w:noProof/>
          <w:color w:val="auto"/>
        </w:rPr>
      </w:pPr>
      <w:r>
        <w:rPr>
          <w:noProof/>
          <w:color w:val="auto"/>
        </w:rPr>
        <w:t xml:space="preserve">The main attained objectives of the conference were: </w:t>
      </w:r>
    </w:p>
    <w:p>
      <w:pPr>
        <w:pStyle w:val="Default"/>
        <w:pBdr>
          <w:top w:val="single" w:sz="4" w:space="1" w:color="auto"/>
          <w:left w:val="single" w:sz="4" w:space="4" w:color="auto"/>
          <w:bottom w:val="single" w:sz="4" w:space="1" w:color="auto"/>
          <w:right w:val="single" w:sz="4" w:space="4" w:color="auto"/>
        </w:pBdr>
        <w:spacing w:before="120" w:after="120"/>
        <w:jc w:val="both"/>
        <w:rPr>
          <w:noProof/>
          <w:color w:val="auto"/>
        </w:rPr>
      </w:pPr>
      <w:r>
        <w:rPr>
          <w:noProof/>
          <w:color w:val="auto"/>
        </w:rPr>
        <w:t>- To share experience and strengthen the exchange of information among customs authorities and the competent environmental authorities;</w:t>
      </w:r>
    </w:p>
    <w:p>
      <w:pPr>
        <w:pStyle w:val="Default"/>
        <w:pBdr>
          <w:top w:val="single" w:sz="4" w:space="1" w:color="auto"/>
          <w:left w:val="single" w:sz="4" w:space="4" w:color="auto"/>
          <w:bottom w:val="single" w:sz="4" w:space="1" w:color="auto"/>
          <w:right w:val="single" w:sz="4" w:space="4" w:color="auto"/>
        </w:pBdr>
        <w:spacing w:before="120" w:after="120"/>
        <w:jc w:val="both"/>
        <w:rPr>
          <w:noProof/>
          <w:color w:val="auto"/>
        </w:rPr>
      </w:pPr>
      <w:r>
        <w:rPr>
          <w:noProof/>
          <w:color w:val="auto"/>
        </w:rPr>
        <w:t>- To gather information from industry and other stakeholders that could help fighting against illegal imports of refrigerant gases into the EU.</w:t>
      </w:r>
    </w:p>
    <w:p>
      <w:pPr>
        <w:pStyle w:val="Default"/>
        <w:pBdr>
          <w:top w:val="single" w:sz="4" w:space="1" w:color="auto"/>
          <w:left w:val="single" w:sz="4" w:space="4" w:color="auto"/>
          <w:bottom w:val="single" w:sz="4" w:space="1" w:color="auto"/>
          <w:right w:val="single" w:sz="4" w:space="4" w:color="auto"/>
        </w:pBdr>
        <w:spacing w:before="120" w:after="120"/>
        <w:jc w:val="both"/>
        <w:rPr>
          <w:noProof/>
          <w:color w:val="auto"/>
        </w:rPr>
      </w:pPr>
      <w:r>
        <w:rPr>
          <w:noProof/>
          <w:color w:val="auto"/>
        </w:rPr>
        <w:t xml:space="preserve">The representatives from the private sector provided a threat assessment in their respective domains. In addition, the participants discussed the following three topics during the break-out sessions: </w:t>
      </w:r>
    </w:p>
    <w:p>
      <w:pPr>
        <w:pStyle w:val="Default"/>
        <w:pBdr>
          <w:top w:val="single" w:sz="4" w:space="1" w:color="auto"/>
          <w:left w:val="single" w:sz="4" w:space="4" w:color="auto"/>
          <w:bottom w:val="single" w:sz="4" w:space="1" w:color="auto"/>
          <w:right w:val="single" w:sz="4" w:space="4" w:color="auto"/>
        </w:pBdr>
        <w:spacing w:before="120" w:after="120"/>
        <w:jc w:val="both"/>
        <w:rPr>
          <w:noProof/>
          <w:color w:val="auto"/>
        </w:rPr>
      </w:pPr>
      <w:r>
        <w:rPr>
          <w:noProof/>
          <w:color w:val="auto"/>
        </w:rPr>
        <w:t>- The significant increase of illegal traffic of water pipe tobacco;</w:t>
      </w:r>
    </w:p>
    <w:p>
      <w:pPr>
        <w:pStyle w:val="Default"/>
        <w:pBdr>
          <w:top w:val="single" w:sz="4" w:space="1" w:color="auto"/>
          <w:left w:val="single" w:sz="4" w:space="4" w:color="auto"/>
          <w:bottom w:val="single" w:sz="4" w:space="1" w:color="auto"/>
          <w:right w:val="single" w:sz="4" w:space="4" w:color="auto"/>
        </w:pBdr>
        <w:spacing w:before="120" w:after="120"/>
        <w:jc w:val="both"/>
        <w:rPr>
          <w:noProof/>
          <w:color w:val="auto"/>
        </w:rPr>
      </w:pPr>
      <w:r>
        <w:rPr>
          <w:noProof/>
          <w:color w:val="auto"/>
        </w:rPr>
        <w:t>- The implementation of the traceability system of tobacco deriving from the Tobacco Products Directive, at national level;</w:t>
      </w:r>
    </w:p>
    <w:p>
      <w:pPr>
        <w:pStyle w:val="Default"/>
        <w:pBdr>
          <w:top w:val="single" w:sz="4" w:space="1" w:color="auto"/>
          <w:left w:val="single" w:sz="4" w:space="4" w:color="auto"/>
          <w:bottom w:val="single" w:sz="4" w:space="1" w:color="auto"/>
          <w:right w:val="single" w:sz="4" w:space="4" w:color="auto"/>
        </w:pBdr>
        <w:spacing w:before="120" w:after="120"/>
        <w:jc w:val="both"/>
        <w:rPr>
          <w:noProof/>
          <w:color w:val="auto"/>
        </w:rPr>
      </w:pPr>
      <w:r>
        <w:rPr>
          <w:noProof/>
          <w:color w:val="auto"/>
        </w:rPr>
        <w:t>- The added-value of OLAF.</w:t>
      </w:r>
    </w:p>
    <w:p>
      <w:pPr>
        <w:pStyle w:val="Default"/>
        <w:pBdr>
          <w:top w:val="single" w:sz="4" w:space="1" w:color="auto"/>
          <w:left w:val="single" w:sz="4" w:space="4" w:color="auto"/>
          <w:bottom w:val="single" w:sz="4" w:space="1" w:color="auto"/>
          <w:right w:val="single" w:sz="4" w:space="4" w:color="auto"/>
        </w:pBdr>
        <w:spacing w:before="120" w:after="120"/>
        <w:jc w:val="both"/>
        <w:rPr>
          <w:noProof/>
          <w:color w:val="auto"/>
        </w:rPr>
      </w:pPr>
      <w:r>
        <w:rPr>
          <w:noProof/>
          <w:color w:val="auto"/>
        </w:rPr>
        <w:t xml:space="preserve">The conference contributed to the development of activities at both Union and Member States’ level to counter counterfeit and banned refrigerant gas, and should lead to increasing transnational cooperation and coordination. </w:t>
      </w:r>
    </w:p>
    <w:p>
      <w:pPr>
        <w:pStyle w:val="Text1"/>
        <w:ind w:left="0"/>
        <w:rPr>
          <w:noProof/>
        </w:rPr>
      </w:pPr>
      <w:bookmarkStart w:id="38" w:name="_Toc421687700"/>
    </w:p>
    <w:p>
      <w:pPr>
        <w:pStyle w:val="Default"/>
        <w:pBdr>
          <w:top w:val="single" w:sz="4" w:space="1" w:color="auto"/>
          <w:left w:val="single" w:sz="4" w:space="4" w:color="auto"/>
          <w:bottom w:val="single" w:sz="4" w:space="1" w:color="auto"/>
          <w:right w:val="single" w:sz="4" w:space="4" w:color="auto"/>
        </w:pBdr>
        <w:spacing w:before="120" w:after="120"/>
        <w:jc w:val="both"/>
        <w:rPr>
          <w:noProof/>
          <w:color w:val="auto"/>
        </w:rPr>
      </w:pPr>
      <w:r>
        <w:rPr>
          <w:noProof/>
          <w:color w:val="auto"/>
        </w:rPr>
        <w:t xml:space="preserve">The </w:t>
      </w:r>
      <w:r>
        <w:rPr>
          <w:b/>
          <w:noProof/>
          <w:color w:val="auto"/>
        </w:rPr>
        <w:t>24</w:t>
      </w:r>
      <w:r>
        <w:rPr>
          <w:b/>
          <w:noProof/>
          <w:color w:val="auto"/>
          <w:vertAlign w:val="superscript"/>
        </w:rPr>
        <w:t>th</w:t>
      </w:r>
      <w:r>
        <w:rPr>
          <w:b/>
          <w:noProof/>
          <w:color w:val="auto"/>
        </w:rPr>
        <w:t xml:space="preserve"> Task Group Cigarettes Conference</w:t>
      </w:r>
      <w:r>
        <w:rPr>
          <w:noProof/>
          <w:color w:val="auto"/>
        </w:rPr>
        <w:t xml:space="preserve"> organised by OLAF brought together 99 participants from Member States, candidate and third countries in Zagreb (Croatia) in September 2019. </w:t>
      </w:r>
    </w:p>
    <w:p>
      <w:pPr>
        <w:pStyle w:val="Default"/>
        <w:pBdr>
          <w:top w:val="single" w:sz="4" w:space="1" w:color="auto"/>
          <w:left w:val="single" w:sz="4" w:space="4" w:color="auto"/>
          <w:bottom w:val="single" w:sz="4" w:space="1" w:color="auto"/>
          <w:right w:val="single" w:sz="4" w:space="4" w:color="auto"/>
        </w:pBdr>
        <w:spacing w:before="120" w:after="120"/>
        <w:jc w:val="both"/>
        <w:rPr>
          <w:noProof/>
          <w:color w:val="auto"/>
        </w:rPr>
      </w:pPr>
      <w:r>
        <w:rPr>
          <w:noProof/>
          <w:color w:val="auto"/>
        </w:rPr>
        <w:t xml:space="preserve">Its main achievements were to: </w:t>
      </w:r>
    </w:p>
    <w:p>
      <w:pPr>
        <w:pStyle w:val="Default"/>
        <w:pBdr>
          <w:top w:val="single" w:sz="4" w:space="1" w:color="auto"/>
          <w:left w:val="single" w:sz="4" w:space="4" w:color="auto"/>
          <w:bottom w:val="single" w:sz="4" w:space="1" w:color="auto"/>
          <w:right w:val="single" w:sz="4" w:space="4" w:color="auto"/>
        </w:pBdr>
        <w:spacing w:before="120" w:after="120"/>
        <w:jc w:val="both"/>
        <w:rPr>
          <w:noProof/>
          <w:color w:val="auto"/>
        </w:rPr>
      </w:pPr>
      <w:r>
        <w:rPr>
          <w:noProof/>
          <w:color w:val="auto"/>
        </w:rPr>
        <w:t>- Exchange information about recent developments, strategies and trends in the area of cigarettes smuggling, along with discussing enforcement measures in order to improve effectiveness and cooperation in this field;</w:t>
      </w:r>
    </w:p>
    <w:p>
      <w:pPr>
        <w:pStyle w:val="Default"/>
        <w:pBdr>
          <w:top w:val="single" w:sz="4" w:space="1" w:color="auto"/>
          <w:left w:val="single" w:sz="4" w:space="4" w:color="auto"/>
          <w:bottom w:val="single" w:sz="4" w:space="1" w:color="auto"/>
          <w:right w:val="single" w:sz="4" w:space="4" w:color="auto"/>
        </w:pBdr>
        <w:spacing w:before="120" w:after="120"/>
        <w:jc w:val="both"/>
        <w:rPr>
          <w:noProof/>
          <w:color w:val="auto"/>
        </w:rPr>
      </w:pPr>
      <w:r>
        <w:rPr>
          <w:noProof/>
          <w:color w:val="auto"/>
        </w:rPr>
        <w:t>- Illustrate best practices and results obtained by OLAF in the fight against smuggling and other tobacco-related offences, as a result of its investigative and coordination work;</w:t>
      </w:r>
    </w:p>
    <w:p>
      <w:pPr>
        <w:pStyle w:val="Default"/>
        <w:pBdr>
          <w:top w:val="single" w:sz="4" w:space="1" w:color="auto"/>
          <w:left w:val="single" w:sz="4" w:space="4" w:color="auto"/>
          <w:bottom w:val="single" w:sz="4" w:space="1" w:color="auto"/>
          <w:right w:val="single" w:sz="4" w:space="4" w:color="auto"/>
        </w:pBdr>
        <w:spacing w:before="120" w:after="120"/>
        <w:jc w:val="both"/>
        <w:rPr>
          <w:noProof/>
          <w:color w:val="auto"/>
        </w:rPr>
      </w:pPr>
      <w:r>
        <w:rPr>
          <w:noProof/>
          <w:color w:val="auto"/>
        </w:rPr>
        <w:t>- Deepen the analysis of the most salient investigative issues in the field of the fight against illicit trafficking and production of cigarettes and tobacco;</w:t>
      </w:r>
    </w:p>
    <w:p>
      <w:pPr>
        <w:pStyle w:val="Default"/>
        <w:pBdr>
          <w:top w:val="single" w:sz="4" w:space="1" w:color="auto"/>
          <w:left w:val="single" w:sz="4" w:space="4" w:color="auto"/>
          <w:bottom w:val="single" w:sz="4" w:space="1" w:color="auto"/>
          <w:right w:val="single" w:sz="4" w:space="4" w:color="auto"/>
        </w:pBdr>
        <w:spacing w:before="120" w:after="120"/>
        <w:jc w:val="both"/>
        <w:rPr>
          <w:noProof/>
          <w:color w:val="auto"/>
        </w:rPr>
      </w:pPr>
      <w:r>
        <w:rPr>
          <w:noProof/>
          <w:color w:val="auto"/>
        </w:rPr>
        <w:t>- Provide Member States with an updated situation of the cigarette smuggling phenomenon in the EU.</w:t>
      </w:r>
    </w:p>
    <w:p>
      <w:pPr>
        <w:pStyle w:val="Heading2"/>
        <w:rPr>
          <w:noProof/>
        </w:rPr>
      </w:pPr>
      <w:r>
        <w:rPr>
          <w:noProof/>
        </w:rPr>
        <w:tab/>
      </w:r>
      <w:bookmarkStart w:id="39" w:name="_Toc40452003"/>
      <w:r>
        <w:rPr>
          <w:noProof/>
        </w:rPr>
        <w:t>3.5</w:t>
      </w:r>
      <w:r>
        <w:rPr>
          <w:noProof/>
        </w:rPr>
        <w:tab/>
        <w:t>Operational objective 5 - To enhance the degree of development of the specific legal and judicial protection of the financial interests of the Union against fraud by promoting comparative law analysis</w:t>
      </w:r>
      <w:r>
        <w:rPr>
          <w:rStyle w:val="FootnoteReference"/>
          <w:b w:val="0"/>
          <w:noProof/>
        </w:rPr>
        <w:footnoteReference w:id="26"/>
      </w:r>
      <w:bookmarkEnd w:id="38"/>
      <w:bookmarkEnd w:id="39"/>
      <w:r>
        <w:rPr>
          <w:noProof/>
        </w:rPr>
        <w:t xml:space="preserve">    </w:t>
      </w:r>
    </w:p>
    <w:p>
      <w:pPr>
        <w:rPr>
          <w:noProof/>
        </w:rPr>
      </w:pPr>
      <w:r>
        <w:rPr>
          <w:noProof/>
        </w:rPr>
        <w:t xml:space="preserve">This operational objective is mainly achieved through the legal training grants awarded for comparative research studies, legal conferences, seminars and scientific periodical publications. </w:t>
      </w:r>
    </w:p>
    <w:tbl>
      <w:tblPr>
        <w:tblStyle w:val="TableGrid"/>
        <w:tblW w:w="10740" w:type="dxa"/>
        <w:tblLook w:val="04A0" w:firstRow="1" w:lastRow="0" w:firstColumn="1" w:lastColumn="0" w:noHBand="0" w:noVBand="1"/>
      </w:tblPr>
      <w:tblGrid>
        <w:gridCol w:w="10740"/>
      </w:tblGrid>
      <w:tr>
        <w:tc>
          <w:tcPr>
            <w:tcW w:w="10740" w:type="dxa"/>
          </w:tcPr>
          <w:p>
            <w:pPr>
              <w:rPr>
                <w:noProof/>
              </w:rPr>
            </w:pPr>
            <w:r>
              <w:rPr>
                <w:b/>
                <w:noProof/>
              </w:rPr>
              <w:t xml:space="preserve">University of Luxembourg </w:t>
            </w:r>
            <w:r>
              <w:rPr>
                <w:noProof/>
              </w:rPr>
              <w:t xml:space="preserve">received a grant under the “Legal training and studies” call for proposals to conduct a comparative research titled “Admissibility of OLAF final reports as evidence in criminal proceedings”. The project compared the national approaches to the admissibility as evidence of administrative reports, in particular OLAF's, in criminal cases. It also looked at the topic from a wider EU perspective - by discussing relevant European standards and principles. </w:t>
            </w:r>
          </w:p>
          <w:p>
            <w:pPr>
              <w:rPr>
                <w:noProof/>
              </w:rPr>
            </w:pPr>
            <w:r>
              <w:rPr>
                <w:noProof/>
              </w:rPr>
              <w:t xml:space="preserve">The project produced a set of policy recommendations, as well as seven national reports of participant Member States (Germany, France, Hungary, Italy, Luxembourg, Netherlands, and United Kingdom), two transversal reports ("EU administrative investigations and the use of their results as evidence in national punitive proceedings" and "Lawful and fair use of evidence from a European Human Rights perspective"), and one comparative report. </w:t>
            </w:r>
          </w:p>
          <w:p>
            <w:pPr>
              <w:rPr>
                <w:noProof/>
              </w:rPr>
            </w:pPr>
            <w:r>
              <w:rPr>
                <w:noProof/>
              </w:rPr>
              <w:t>The impact of the project can be summarised as follows:</w:t>
            </w:r>
          </w:p>
          <w:p>
            <w:pPr>
              <w:rPr>
                <w:noProof/>
              </w:rPr>
            </w:pPr>
            <w:r>
              <w:rPr>
                <w:noProof/>
              </w:rPr>
              <w:t>- Increasing knowledge and awareness of rules, procedures, and problems related to the admissibility of OLAF reports in national proceedings;</w:t>
            </w:r>
          </w:p>
          <w:p>
            <w:pPr>
              <w:rPr>
                <w:noProof/>
              </w:rPr>
            </w:pPr>
            <w:r>
              <w:rPr>
                <w:noProof/>
              </w:rPr>
              <w:t>- Encouraging both national authorities and OLAF to develop virtuous practices to ensure that OLAF investigations and their outcomes are duly valued and taken into account by domestic law enforcement authorities and courts;</w:t>
            </w:r>
          </w:p>
          <w:p>
            <w:pPr>
              <w:rPr>
                <w:noProof/>
              </w:rPr>
            </w:pPr>
            <w:r>
              <w:rPr>
                <w:noProof/>
              </w:rPr>
              <w:t>- Considering the OLAF-EPPO relationship and its impact on the admissibility of OLAF collected evidence.</w:t>
            </w:r>
          </w:p>
          <w:p>
            <w:pPr>
              <w:rPr>
                <w:noProof/>
              </w:rPr>
            </w:pPr>
            <w:r>
              <w:rPr>
                <w:noProof/>
              </w:rPr>
              <w:t>All the project's outputs are included in an online free-access version made available: (https://orbilu.uni.lu/bitstream/10993/40141/1/ADCRIM_final_report.pdf). The results were widely disseminated through the online platform of the University of Luxembourg (Open Repository and Bibliography Platform: http://orbilu.uni.lu/), the website and the social media accounts of the Faculty of Law, Economics and Finance (https://wwwen.uni.lu/fdef), as well as presented in various conferences and events.</w:t>
            </w:r>
          </w:p>
        </w:tc>
      </w:tr>
    </w:tbl>
    <w:p>
      <w:pPr>
        <w:rPr>
          <w:noProof/>
        </w:rPr>
      </w:pPr>
    </w:p>
    <w:tbl>
      <w:tblPr>
        <w:tblStyle w:val="TableGrid"/>
        <w:tblW w:w="10740" w:type="dxa"/>
        <w:tblLook w:val="04A0" w:firstRow="1" w:lastRow="0" w:firstColumn="1" w:lastColumn="0" w:noHBand="0" w:noVBand="1"/>
      </w:tblPr>
      <w:tblGrid>
        <w:gridCol w:w="10740"/>
      </w:tblGrid>
      <w:tr>
        <w:tc>
          <w:tcPr>
            <w:tcW w:w="10740" w:type="dxa"/>
          </w:tcPr>
          <w:p>
            <w:pPr>
              <w:rPr>
                <w:noProof/>
              </w:rPr>
            </w:pPr>
            <w:r>
              <w:rPr>
                <w:noProof/>
              </w:rPr>
              <w:t xml:space="preserve">The Programme continued funding the publication of </w:t>
            </w:r>
            <w:r>
              <w:rPr>
                <w:b/>
                <w:noProof/>
              </w:rPr>
              <w:t>“eucrim – The European Criminal Law Associations’ Forum"</w:t>
            </w:r>
            <w:r>
              <w:rPr>
                <w:noProof/>
              </w:rPr>
              <w:t>, which was published in four issues during 2019 by the German Max Planck Institute in Germany. The periodical addressed current developments in the European criminal law, such as the implementation of the European Public Prosecutor Office, the Commission’s new anti-fraud strategy, or the EU judicial cooperation with third countries. Each issue was printed in two thousands copies and distributed to universities, libraries, courts, law enforcement authorities and individual subscribers. The articles were also published on the internet, free of charge</w:t>
            </w:r>
            <w:r>
              <w:rPr>
                <w:rStyle w:val="FootnoteReference"/>
                <w:noProof/>
              </w:rPr>
              <w:footnoteReference w:id="27"/>
            </w:r>
            <w:r>
              <w:rPr>
                <w:noProof/>
              </w:rPr>
              <w:t xml:space="preserve">. </w:t>
            </w:r>
          </w:p>
        </w:tc>
      </w:tr>
    </w:tbl>
    <w:p>
      <w:pPr>
        <w:rPr>
          <w:noProof/>
        </w:rPr>
      </w:pPr>
    </w:p>
    <w:tbl>
      <w:tblPr>
        <w:tblStyle w:val="TableGrid"/>
        <w:tblW w:w="10740" w:type="dxa"/>
        <w:tblLook w:val="04A0" w:firstRow="1" w:lastRow="0" w:firstColumn="1" w:lastColumn="0" w:noHBand="0" w:noVBand="1"/>
      </w:tblPr>
      <w:tblGrid>
        <w:gridCol w:w="10740"/>
      </w:tblGrid>
      <w:tr>
        <w:tc>
          <w:tcPr>
            <w:tcW w:w="10740" w:type="dxa"/>
          </w:tcPr>
          <w:p>
            <w:pPr>
              <w:rPr>
                <w:noProof/>
              </w:rPr>
            </w:pPr>
            <w:r>
              <w:rPr>
                <w:b/>
                <w:noProof/>
              </w:rPr>
              <w:t>The Romanian National Anticorruption Directorate</w:t>
            </w:r>
            <w:r>
              <w:rPr>
                <w:noProof/>
              </w:rPr>
              <w:t xml:space="preserve"> received funding for the project “Promoting the protection of the financial interests of the EU by supporting the actions of the Member States and the European institutions in the transition towards the EPPO”, aimed to support to Romania and other Member States in the process of preparing the transition to a functional EPPO. The project included a study analysing the impact of the future EPPO on the Romanian judicial system, a national workshop (Bucharest, November 2018) and a European conference (Bucharest, December 2018) on the relation between the national prosecutorial systems and the EPPO and between the national authorities and OLAF, EUROJUST and EPPO. A hundred professionals from EU national prosecution offices, judges and academics, members of the Network of Associations for European Criminal Law and the Protection of the Financial Interests of the European Union, as well as representatives of OLAF and EUROJUST, participated in the final event, sharing experiences, challenges and solutions on how the national systems should prepare themselves for the establishment of the EPPO. The study and conference results were disseminated among the professionals from 23 Member States participating in the closing event.</w:t>
            </w:r>
          </w:p>
        </w:tc>
      </w:tr>
    </w:tbl>
    <w:p>
      <w:pPr>
        <w:pStyle w:val="Heading1"/>
        <w:rPr>
          <w:noProof/>
        </w:rPr>
      </w:pPr>
      <w:bookmarkStart w:id="40" w:name="_Toc421687701"/>
      <w:bookmarkStart w:id="41" w:name="_Toc40452004"/>
      <w:r>
        <w:rPr>
          <w:noProof/>
        </w:rPr>
        <w:t>4</w:t>
      </w:r>
      <w:r>
        <w:rPr>
          <w:rStyle w:val="Heading1Char"/>
          <w:noProof/>
        </w:rPr>
        <w:t>.</w:t>
      </w:r>
      <w:r>
        <w:rPr>
          <w:noProof/>
        </w:rPr>
        <w:tab/>
        <w:t>Communication</w:t>
      </w:r>
      <w:bookmarkEnd w:id="40"/>
      <w:bookmarkEnd w:id="41"/>
      <w:r>
        <w:rPr>
          <w:noProof/>
        </w:rPr>
        <w:t xml:space="preserve"> </w:t>
      </w:r>
    </w:p>
    <w:p>
      <w:pPr>
        <w:pStyle w:val="Text1"/>
        <w:ind w:left="0"/>
        <w:rPr>
          <w:noProof/>
        </w:rPr>
      </w:pPr>
      <w:r>
        <w:rPr>
          <w:noProof/>
        </w:rPr>
        <w:t>The successful implementation of the programme required a structured approach to inform potential beneficiaries on funding opportunities. The Commission also disseminates information on the achievements and the results of the actions that received funding.</w:t>
      </w:r>
      <w:r>
        <w:rPr>
          <w:rStyle w:val="FootnoteReference"/>
          <w:noProof/>
        </w:rPr>
        <w:footnoteReference w:id="28"/>
      </w:r>
    </w:p>
    <w:p>
      <w:pPr>
        <w:pStyle w:val="Heading2"/>
        <w:rPr>
          <w:noProof/>
        </w:rPr>
      </w:pPr>
      <w:bookmarkStart w:id="42" w:name="_Toc421687702"/>
      <w:r>
        <w:rPr>
          <w:noProof/>
        </w:rPr>
        <w:tab/>
      </w:r>
      <w:bookmarkStart w:id="43" w:name="_Toc40452005"/>
      <w:r>
        <w:rPr>
          <w:noProof/>
        </w:rPr>
        <w:t>4.1</w:t>
      </w:r>
      <w:r>
        <w:rPr>
          <w:noProof/>
        </w:rPr>
        <w:tab/>
        <w:t>Informing potential applicants</w:t>
      </w:r>
      <w:bookmarkEnd w:id="42"/>
      <w:bookmarkEnd w:id="43"/>
    </w:p>
    <w:p>
      <w:pPr>
        <w:rPr>
          <w:noProof/>
        </w:rPr>
      </w:pPr>
      <w:r>
        <w:rPr>
          <w:noProof/>
          <w:lang w:eastAsia="de-DE"/>
        </w:rPr>
        <w:t>The full texts of the calls' documents were made available on the Commission's Funding &amp; Tenders portal and notices concerning the launch of calls for proposals were published in the Official Journal</w:t>
      </w:r>
      <w:r>
        <w:rPr>
          <w:rStyle w:val="FootnoteReference"/>
          <w:noProof/>
          <w:lang w:eastAsia="de-DE"/>
        </w:rPr>
        <w:footnoteReference w:id="29"/>
      </w:r>
      <w:r>
        <w:rPr>
          <w:noProof/>
          <w:lang w:eastAsia="de-DE"/>
        </w:rPr>
        <w:t xml:space="preserve"> as well as on the Commission's website</w:t>
      </w:r>
      <w:r>
        <w:rPr>
          <w:rStyle w:val="FootnoteReference"/>
          <w:noProof/>
          <w:lang w:eastAsia="de-DE"/>
        </w:rPr>
        <w:footnoteReference w:id="30"/>
      </w:r>
      <w:r>
        <w:rPr>
          <w:noProof/>
          <w:lang w:eastAsia="de-DE"/>
        </w:rPr>
        <w:t xml:space="preserve">. Professional networks </w:t>
      </w:r>
      <w:r>
        <w:rPr>
          <w:noProof/>
        </w:rPr>
        <w:t xml:space="preserve">were actively informed. Potential applicants were also informed via emails sent to the members of the Advisory Committee for the Coordination of Fraud Prevention (COCOLAF), to the Anti-fraud coordination services (AFCOS) and to the Network of Asociations for European Criminal Law Associations and the Protection of the Financial Interests of the European Union.  </w:t>
      </w:r>
    </w:p>
    <w:p>
      <w:pPr>
        <w:pStyle w:val="Heading2"/>
        <w:rPr>
          <w:noProof/>
        </w:rPr>
      </w:pPr>
      <w:bookmarkStart w:id="44" w:name="_Toc358287390"/>
      <w:bookmarkStart w:id="45" w:name="_Toc421687703"/>
      <w:r>
        <w:rPr>
          <w:noProof/>
        </w:rPr>
        <w:tab/>
      </w:r>
      <w:bookmarkStart w:id="46" w:name="_Toc40452006"/>
      <w:r>
        <w:rPr>
          <w:noProof/>
        </w:rPr>
        <w:t>4.2</w:t>
      </w:r>
      <w:r>
        <w:rPr>
          <w:noProof/>
        </w:rPr>
        <w:tab/>
        <w:t>Dissemination of results</w:t>
      </w:r>
      <w:bookmarkEnd w:id="44"/>
      <w:bookmarkEnd w:id="45"/>
      <w:bookmarkEnd w:id="46"/>
    </w:p>
    <w:p>
      <w:pPr>
        <w:rPr>
          <w:noProof/>
          <w:lang w:eastAsia="de-DE"/>
        </w:rPr>
      </w:pPr>
      <w:r>
        <w:rPr>
          <w:noProof/>
          <w:lang w:eastAsia="de-DE"/>
        </w:rPr>
        <w:t xml:space="preserve">The dissemination on training activities was made through the distribution of electronic and/or paper reports summarising the event. Some beneficiaries posted the recorded event(s) and the projects' outputs on their websites or created dedicated websites in order to disseminate results and conclusions. The dissemination of the results of projects related to technical assistance is not always possible since most of the achievements relate to investigations for which information often cannot be disclosed. </w:t>
      </w:r>
      <w:bookmarkStart w:id="47" w:name="_Toc358287391"/>
    </w:p>
    <w:p>
      <w:pPr>
        <w:pStyle w:val="Heading2"/>
        <w:rPr>
          <w:noProof/>
        </w:rPr>
      </w:pPr>
      <w:bookmarkStart w:id="48" w:name="_Toc421687704"/>
      <w:r>
        <w:rPr>
          <w:noProof/>
        </w:rPr>
        <w:tab/>
      </w:r>
      <w:bookmarkStart w:id="49" w:name="_Toc40452007"/>
      <w:r>
        <w:rPr>
          <w:noProof/>
        </w:rPr>
        <w:t>4.3</w:t>
      </w:r>
      <w:r>
        <w:rPr>
          <w:noProof/>
        </w:rPr>
        <w:tab/>
      </w:r>
      <w:bookmarkEnd w:id="47"/>
      <w:bookmarkEnd w:id="48"/>
      <w:r>
        <w:rPr>
          <w:noProof/>
        </w:rPr>
        <w:t>Visibility of EU funding</w:t>
      </w:r>
      <w:bookmarkEnd w:id="49"/>
    </w:p>
    <w:p>
      <w:pPr>
        <w:rPr>
          <w:noProof/>
        </w:rPr>
      </w:pPr>
      <w:r>
        <w:rPr>
          <w:noProof/>
        </w:rPr>
        <w:t>Under the training type of actions, all beneficiaries of grants were requested to mention the support from the Hercule III programme:</w:t>
      </w:r>
    </w:p>
    <w:p>
      <w:pPr>
        <w:pStyle w:val="ListParagraph"/>
        <w:numPr>
          <w:ilvl w:val="0"/>
          <w:numId w:val="29"/>
        </w:numPr>
      </w:pPr>
      <w:r>
        <w:t>In every publication (title page) or related material developed (e.g. studies, booklets, newsletters, leaflets);</w:t>
      </w:r>
    </w:p>
    <w:p>
      <w:pPr>
        <w:pStyle w:val="ListParagraph"/>
        <w:numPr>
          <w:ilvl w:val="0"/>
          <w:numId w:val="29"/>
        </w:numPr>
      </w:pPr>
      <w:r>
        <w:t>In electronic information (e.g. websites, audio-visual material, videos, software);</w:t>
      </w:r>
    </w:p>
    <w:p>
      <w:pPr>
        <w:pStyle w:val="ListParagraph"/>
        <w:numPr>
          <w:ilvl w:val="0"/>
          <w:numId w:val="29"/>
        </w:numPr>
      </w:pPr>
      <w:r>
        <w:t>At information events (conferences, seminars);</w:t>
      </w:r>
    </w:p>
    <w:p>
      <w:pPr>
        <w:pStyle w:val="ListParagraph"/>
        <w:numPr>
          <w:ilvl w:val="0"/>
          <w:numId w:val="29"/>
        </w:numPr>
      </w:pPr>
      <w:r>
        <w:t xml:space="preserve">By inserting a link from their website to the Hercule III programme's site. </w:t>
      </w:r>
    </w:p>
    <w:p>
      <w:pPr>
        <w:rPr>
          <w:noProof/>
        </w:rPr>
      </w:pPr>
      <w:r>
        <w:rPr>
          <w:noProof/>
        </w:rPr>
        <w:t xml:space="preserve">Beneficiaries of technical assistance grants were requested to mention the Hercule support in their reports and any other document or press release that reported on the results: press releases issued following seizures of counterfeited or smuggled cigarettes made with Hercule funded equipment, for example, should refer to the Union's funding. </w:t>
      </w:r>
    </w:p>
    <w:p>
      <w:pPr>
        <w:pStyle w:val="Heading1"/>
        <w:spacing w:before="120"/>
        <w:rPr>
          <w:noProof/>
        </w:rPr>
      </w:pPr>
      <w:bookmarkStart w:id="50" w:name="_Toc421687705"/>
      <w:bookmarkStart w:id="51" w:name="_Toc40452008"/>
      <w:r>
        <w:rPr>
          <w:noProof/>
        </w:rPr>
        <w:t>5.</w:t>
      </w:r>
      <w:r>
        <w:rPr>
          <w:noProof/>
        </w:rPr>
        <w:tab/>
        <w:t>Feedback from participants of the programme</w:t>
      </w:r>
      <w:bookmarkEnd w:id="50"/>
      <w:bookmarkEnd w:id="51"/>
      <w:r>
        <w:rPr>
          <w:noProof/>
        </w:rPr>
        <w:t xml:space="preserve">   </w:t>
      </w:r>
    </w:p>
    <w:p>
      <w:pPr>
        <w:rPr>
          <w:noProof/>
        </w:rPr>
      </w:pPr>
      <w:r>
        <w:rPr>
          <w:noProof/>
        </w:rPr>
        <w:t>As indicated in Section 3, beneficiaries of grants for trainings, conferences and seminars carry out surveys among the participants to collect information on the perceived quality and relevance of the event. A total number of 1 551 participants attended Hercule training events in 2019. The Commission received 1 095 completed questionnaires (71% response rate), most of which indicated a high level of satisfaction. The feedback received was overwhelmingly positive, with nearly 99% of the participants assessing the events as “excellent” or “good” . Participants particularly appreciated the events having a practical impact on their daily work. Written feedback confirmed the target audience, the event’s relevance for the participants' professional activities, the quality of the organisation, the speakers, venue and other relevant aspects.</w:t>
      </w:r>
    </w:p>
    <w:p>
      <w:pPr>
        <w:rPr>
          <w:noProof/>
        </w:rPr>
      </w:pPr>
      <w:r>
        <w:rPr>
          <w:noProof/>
        </w:rPr>
        <w:t xml:space="preserve">A "post-event" survey of participants is requested six months after the implementation of a project in order to assess its mid-term impact. In 2019, the Commission has received seven ‘post-event’ surveys for training, conferences or staff exchange projects. In general, the number of participants who participate in post-event surveys six months after an event is lower than the number of those completing event evaluation forms. </w:t>
      </w:r>
    </w:p>
    <w:p>
      <w:pPr>
        <w:rPr>
          <w:noProof/>
        </w:rPr>
      </w:pPr>
      <w:r>
        <w:rPr>
          <w:noProof/>
        </w:rPr>
        <w:t>From the 2019 surveys, 92% of participants consider that the actions had a practical impact (increased knowledge, skills, practice and efficiency) on their professional activities. 90% of the participants considered that the actions contributed to the objectives of the Hercule Programme. It must noted that 86% of the participants shared the information received during the event with their colleagues. However, in the six months following an event only half the participants have reported, treated, investigated or sentenced an illegal activity affecting the financial interests of the EU. Finally, the majority of participants are interested in their organisation’s submission of a proposal for one of the future Hercule Programme calls for proposals.</w:t>
      </w:r>
    </w:p>
    <w:p>
      <w:pPr>
        <w:pStyle w:val="Heading1"/>
        <w:spacing w:before="120"/>
        <w:rPr>
          <w:noProof/>
        </w:rPr>
      </w:pPr>
      <w:bookmarkStart w:id="52" w:name="_Toc421687706"/>
      <w:bookmarkStart w:id="53" w:name="_Toc40452009"/>
      <w:r>
        <w:rPr>
          <w:noProof/>
        </w:rPr>
        <w:t>6.</w:t>
      </w:r>
      <w:r>
        <w:rPr>
          <w:noProof/>
        </w:rPr>
        <w:tab/>
        <w:t>Conclusions and way forward</w:t>
      </w:r>
      <w:bookmarkEnd w:id="52"/>
      <w:bookmarkEnd w:id="53"/>
      <w:r>
        <w:rPr>
          <w:noProof/>
        </w:rPr>
        <w:t xml:space="preserve">   </w:t>
      </w:r>
    </w:p>
    <w:p>
      <w:pPr>
        <w:rPr>
          <w:noProof/>
          <w:lang w:eastAsia="de-DE"/>
        </w:rPr>
      </w:pPr>
      <w:r>
        <w:rPr>
          <w:noProof/>
          <w:lang w:eastAsia="de-DE"/>
        </w:rPr>
        <w:t xml:space="preserve">The Hercule III programme continues to be an important and effective tool in the protection of the financial interests of the Union. The results outlined above demonstrate that the projects undertaken with support from the programme contributed to the prevention and fight against fraud, corruption and other illegal activities affecting the financial interests of the Union. </w:t>
      </w:r>
    </w:p>
    <w:p>
      <w:pPr>
        <w:rPr>
          <w:noProof/>
          <w:lang w:eastAsia="de-DE"/>
        </w:rPr>
      </w:pPr>
      <w:r>
        <w:rPr>
          <w:noProof/>
          <w:lang w:eastAsia="de-DE"/>
        </w:rPr>
        <w:t>The Programme's relevance is supported also by the findings of the mid-term evaluation that was carried out in 2017. The stakeholders reported that the Programme has been efficiently implemented and that it effectively addresses Member States' needs. The Commision is launching the final evaluation of the programme in 2020, for completion at the end of 2021. The programme’s effectiveneness, efficiency, added value and sustainability will be assessed, now on the basis of results of the programme’s whole duration.</w:t>
      </w:r>
    </w:p>
    <w:p>
      <w:pPr>
        <w:rPr>
          <w:noProof/>
          <w:lang w:eastAsia="de-DE"/>
        </w:rPr>
      </w:pPr>
      <w:r>
        <w:rPr>
          <w:noProof/>
          <w:lang w:eastAsia="de-DE"/>
        </w:rPr>
        <w:t>The Hercule III programme will come to an end on 31 December 2020. Acknowledging its contribution, the Commission adopted on 30 May 2018 a proposal for a new EU Anti-Fraud Programme under the Mukti-Annual Financial Framework 2021-2027 (MFF). The legislative procedure is on-going. The proposal combines two types of spending activities:</w:t>
      </w:r>
    </w:p>
    <w:p>
      <w:pPr>
        <w:rPr>
          <w:noProof/>
          <w:lang w:eastAsia="de-DE"/>
        </w:rPr>
      </w:pPr>
      <w:r>
        <w:rPr>
          <w:noProof/>
          <w:lang w:eastAsia="de-DE"/>
        </w:rPr>
        <w:t>-</w:t>
      </w:r>
      <w:r>
        <w:rPr>
          <w:noProof/>
          <w:lang w:eastAsia="de-DE"/>
        </w:rPr>
        <w:tab/>
        <w:t>a classic spending programme following up on the Hercule III programme and</w:t>
      </w:r>
    </w:p>
    <w:p>
      <w:pPr>
        <w:ind w:left="720" w:hanging="720"/>
        <w:rPr>
          <w:noProof/>
          <w:lang w:eastAsia="de-DE"/>
        </w:rPr>
      </w:pPr>
      <w:r>
        <w:rPr>
          <w:noProof/>
          <w:lang w:eastAsia="de-DE"/>
        </w:rPr>
        <w:t>-</w:t>
      </w:r>
      <w:r>
        <w:rPr>
          <w:noProof/>
          <w:lang w:eastAsia="de-DE"/>
        </w:rPr>
        <w:tab/>
        <w:t xml:space="preserve">the financing of two operational activities which are tasked to the Commission by secondary legislation: the Anti-Fraud Information System (AFIS) which supports operational activities in the area of mutual administrative assistance between Member States’ customs authorities, and the Irregularity Management System (IMS), an IT tool established for the reporting by Member States of fraudulent and non-fraudulent irregularities to the EU budget in shared management and pre-accession funds. </w:t>
      </w:r>
    </w:p>
    <w:p>
      <w:pPr>
        <w:rPr>
          <w:noProof/>
          <w:lang w:eastAsia="de-DE"/>
        </w:rPr>
      </w:pPr>
      <w:r>
        <w:rPr>
          <w:noProof/>
          <w:lang w:eastAsia="de-DE"/>
        </w:rPr>
        <w:t>This merger will allow the achievement of operational, budgetary and administrative synergies as well as increased resources’ flexibility, in view of specific needs that may arise during the period of application of the new MFF. The strand of the new programme that will continue Hercule III will build on the successes of the current programme, and the learnings from the completed mid-term evaluation and the future final evaluation.</w:t>
      </w:r>
    </w:p>
    <w:p>
      <w:pPr>
        <w:spacing w:before="0" w:after="200" w:line="276" w:lineRule="auto"/>
        <w:jc w:val="left"/>
        <w:rPr>
          <w:noProof/>
          <w:lang w:eastAsia="de-DE"/>
        </w:rPr>
      </w:pPr>
      <w:r>
        <w:rPr>
          <w:noProof/>
          <w:lang w:eastAsia="de-DE"/>
        </w:rPr>
        <w:br w:type="page"/>
      </w:r>
    </w:p>
    <w:p>
      <w:pPr>
        <w:keepNext/>
        <w:pBdr>
          <w:top w:val="single" w:sz="4" w:space="1" w:color="auto"/>
          <w:left w:val="single" w:sz="4" w:space="4" w:color="auto"/>
          <w:bottom w:val="single" w:sz="4" w:space="8" w:color="auto"/>
          <w:right w:val="single" w:sz="4" w:space="4" w:color="auto"/>
        </w:pBdr>
        <w:spacing w:after="240"/>
        <w:jc w:val="center"/>
        <w:outlineLvl w:val="0"/>
        <w:rPr>
          <w:b/>
          <w:bCs/>
          <w:iCs/>
          <w:noProof/>
        </w:rPr>
      </w:pPr>
      <w:bookmarkStart w:id="54" w:name="_Toc421687707"/>
      <w:bookmarkStart w:id="55" w:name="_Toc421878599"/>
      <w:bookmarkStart w:id="56" w:name="_Toc514324780"/>
      <w:r>
        <w:rPr>
          <w:b/>
          <w:bCs/>
          <w:iCs/>
          <w:noProof/>
        </w:rPr>
        <w:t xml:space="preserve">Annex 1: Grants and </w:t>
      </w:r>
      <w:r>
        <w:rPr>
          <w:b/>
          <w:noProof/>
        </w:rPr>
        <w:t>contracts</w:t>
      </w:r>
      <w:r>
        <w:rPr>
          <w:b/>
          <w:bCs/>
          <w:iCs/>
          <w:noProof/>
        </w:rPr>
        <w:t xml:space="preserve"> </w:t>
      </w:r>
      <w:bookmarkEnd w:id="54"/>
      <w:r>
        <w:rPr>
          <w:b/>
          <w:bCs/>
          <w:iCs/>
          <w:noProof/>
        </w:rPr>
        <w:t xml:space="preserve">awarded and finalised under the </w:t>
      </w:r>
      <w:bookmarkEnd w:id="55"/>
      <w:r>
        <w:rPr>
          <w:b/>
          <w:bCs/>
          <w:iCs/>
          <w:noProof/>
        </w:rPr>
        <w:t>2019 Financing Decision</w:t>
      </w:r>
      <w:bookmarkEnd w:id="56"/>
    </w:p>
    <w:p>
      <w:pPr>
        <w:keepNext/>
        <w:spacing w:after="0"/>
        <w:rPr>
          <w:noProof/>
          <w:sz w:val="20"/>
          <w:szCs w:val="20"/>
        </w:rPr>
      </w:pPr>
      <w:r>
        <w:rPr>
          <w:noProof/>
          <w:sz w:val="20"/>
          <w:szCs w:val="20"/>
        </w:rPr>
        <w:t>Table 1 –</w:t>
      </w:r>
      <w:r>
        <w:rPr>
          <w:b/>
          <w:noProof/>
          <w:sz w:val="20"/>
          <w:szCs w:val="20"/>
        </w:rPr>
        <w:t xml:space="preserve"> TECHNICAL ASSISTANCE </w:t>
      </w:r>
      <w:r>
        <w:rPr>
          <w:noProof/>
          <w:sz w:val="20"/>
          <w:szCs w:val="20"/>
        </w:rPr>
        <w:t xml:space="preserve">grants </w:t>
      </w:r>
      <w:r>
        <w:rPr>
          <w:b/>
          <w:noProof/>
          <w:sz w:val="20"/>
          <w:szCs w:val="20"/>
        </w:rPr>
        <w:t>AWARDED</w:t>
      </w:r>
      <w:r>
        <w:rPr>
          <w:noProof/>
          <w:sz w:val="20"/>
          <w:szCs w:val="20"/>
        </w:rPr>
        <w:t xml:space="preserve"> under the 2019 Financing Decision </w:t>
      </w:r>
    </w:p>
    <w:p>
      <w:pPr>
        <w:keepNext/>
        <w:spacing w:after="0"/>
        <w:rPr>
          <w:noProof/>
          <w:sz w:val="20"/>
          <w:szCs w:val="20"/>
        </w:rPr>
      </w:pPr>
    </w:p>
    <w:tbl>
      <w:tblPr>
        <w:tblStyle w:val="TableGrid"/>
        <w:tblW w:w="0" w:type="auto"/>
        <w:tblLayout w:type="fixed"/>
        <w:tblLook w:val="04A0" w:firstRow="1" w:lastRow="0" w:firstColumn="1" w:lastColumn="0" w:noHBand="0" w:noVBand="1"/>
      </w:tblPr>
      <w:tblGrid>
        <w:gridCol w:w="440"/>
        <w:gridCol w:w="506"/>
        <w:gridCol w:w="2545"/>
        <w:gridCol w:w="4130"/>
        <w:gridCol w:w="1571"/>
        <w:gridCol w:w="770"/>
      </w:tblGrid>
      <w:tr>
        <w:tc>
          <w:tcPr>
            <w:tcW w:w="440" w:type="dxa"/>
            <w:tcBorders>
              <w:top w:val="nil"/>
              <w:left w:val="nil"/>
            </w:tcBorders>
            <w:vAlign w:val="center"/>
          </w:tcPr>
          <w:p>
            <w:pPr>
              <w:jc w:val="center"/>
              <w:rPr>
                <w:noProof/>
                <w:sz w:val="20"/>
                <w:szCs w:val="20"/>
              </w:rPr>
            </w:pPr>
          </w:p>
        </w:tc>
        <w:tc>
          <w:tcPr>
            <w:tcW w:w="506" w:type="dxa"/>
            <w:shd w:val="clear" w:color="auto" w:fill="D9D9D9" w:themeFill="background1" w:themeFillShade="D9"/>
            <w:vAlign w:val="center"/>
          </w:tcPr>
          <w:p>
            <w:pPr>
              <w:jc w:val="center"/>
              <w:rPr>
                <w:noProof/>
                <w:sz w:val="20"/>
                <w:szCs w:val="20"/>
              </w:rPr>
            </w:pPr>
            <w:r>
              <w:rPr>
                <w:noProof/>
                <w:sz w:val="20"/>
                <w:szCs w:val="20"/>
              </w:rPr>
              <w:t>MS</w:t>
            </w:r>
          </w:p>
        </w:tc>
        <w:tc>
          <w:tcPr>
            <w:tcW w:w="2545" w:type="dxa"/>
            <w:shd w:val="clear" w:color="auto" w:fill="D9D9D9" w:themeFill="background1" w:themeFillShade="D9"/>
            <w:vAlign w:val="center"/>
          </w:tcPr>
          <w:p>
            <w:pPr>
              <w:jc w:val="center"/>
              <w:rPr>
                <w:noProof/>
                <w:sz w:val="20"/>
                <w:szCs w:val="20"/>
              </w:rPr>
            </w:pPr>
            <w:r>
              <w:rPr>
                <w:noProof/>
                <w:sz w:val="20"/>
                <w:szCs w:val="20"/>
              </w:rPr>
              <w:t>Beneficiary</w:t>
            </w:r>
          </w:p>
        </w:tc>
        <w:tc>
          <w:tcPr>
            <w:tcW w:w="4130" w:type="dxa"/>
            <w:shd w:val="clear" w:color="auto" w:fill="D9D9D9" w:themeFill="background1" w:themeFillShade="D9"/>
            <w:vAlign w:val="center"/>
          </w:tcPr>
          <w:p>
            <w:pPr>
              <w:jc w:val="center"/>
              <w:rPr>
                <w:noProof/>
                <w:sz w:val="20"/>
                <w:szCs w:val="20"/>
              </w:rPr>
            </w:pPr>
            <w:r>
              <w:rPr>
                <w:noProof/>
                <w:sz w:val="20"/>
                <w:szCs w:val="20"/>
              </w:rPr>
              <w:t>Title and description</w:t>
            </w:r>
          </w:p>
        </w:tc>
        <w:tc>
          <w:tcPr>
            <w:tcW w:w="1571" w:type="dxa"/>
            <w:shd w:val="clear" w:color="auto" w:fill="D9D9D9" w:themeFill="background1" w:themeFillShade="D9"/>
            <w:vAlign w:val="center"/>
          </w:tcPr>
          <w:p>
            <w:pPr>
              <w:jc w:val="center"/>
              <w:rPr>
                <w:noProof/>
                <w:sz w:val="20"/>
                <w:szCs w:val="20"/>
              </w:rPr>
            </w:pPr>
            <w:r>
              <w:rPr>
                <w:noProof/>
                <w:sz w:val="20"/>
                <w:szCs w:val="20"/>
              </w:rPr>
              <w:t>Awarded grant (EUR)</w:t>
            </w:r>
          </w:p>
        </w:tc>
        <w:tc>
          <w:tcPr>
            <w:tcW w:w="770" w:type="dxa"/>
            <w:shd w:val="clear" w:color="auto" w:fill="D9D9D9" w:themeFill="background1" w:themeFillShade="D9"/>
            <w:vAlign w:val="center"/>
          </w:tcPr>
          <w:p>
            <w:pPr>
              <w:jc w:val="center"/>
              <w:rPr>
                <w:noProof/>
                <w:sz w:val="20"/>
                <w:szCs w:val="20"/>
              </w:rPr>
            </w:pPr>
            <w:r>
              <w:rPr>
                <w:noProof/>
                <w:sz w:val="20"/>
                <w:szCs w:val="20"/>
              </w:rPr>
              <w:t>Co-fin %</w:t>
            </w:r>
          </w:p>
        </w:tc>
      </w:tr>
      <w:tr>
        <w:trPr>
          <w:trHeight w:val="610"/>
        </w:trPr>
        <w:tc>
          <w:tcPr>
            <w:tcW w:w="440" w:type="dxa"/>
            <w:tcBorders>
              <w:bottom w:val="single" w:sz="4" w:space="0" w:color="auto"/>
            </w:tcBorders>
            <w:shd w:val="clear" w:color="auto" w:fill="auto"/>
            <w:vAlign w:val="center"/>
          </w:tcPr>
          <w:p>
            <w:pPr>
              <w:jc w:val="center"/>
              <w:rPr>
                <w:noProof/>
                <w:sz w:val="20"/>
                <w:szCs w:val="20"/>
              </w:rPr>
            </w:pPr>
            <w:r>
              <w:rPr>
                <w:noProof/>
                <w:sz w:val="20"/>
                <w:szCs w:val="20"/>
              </w:rPr>
              <w:t>1</w:t>
            </w:r>
          </w:p>
        </w:tc>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noProof/>
                <w:color w:val="333333"/>
                <w:sz w:val="20"/>
                <w:szCs w:val="20"/>
              </w:rPr>
            </w:pPr>
            <w:r>
              <w:rPr>
                <w:noProof/>
                <w:color w:val="333333"/>
                <w:sz w:val="20"/>
                <w:szCs w:val="20"/>
              </w:rPr>
              <w:t>BE</w:t>
            </w:r>
          </w:p>
        </w:tc>
        <w:tc>
          <w:tcPr>
            <w:tcW w:w="2545" w:type="dxa"/>
            <w:tcBorders>
              <w:top w:val="single" w:sz="4" w:space="0" w:color="auto"/>
              <w:left w:val="single" w:sz="4" w:space="0" w:color="auto"/>
              <w:bottom w:val="single" w:sz="4" w:space="0" w:color="auto"/>
              <w:right w:val="single" w:sz="4" w:space="0" w:color="auto"/>
            </w:tcBorders>
            <w:shd w:val="clear" w:color="auto" w:fill="auto"/>
            <w:vAlign w:val="center"/>
          </w:tcPr>
          <w:p>
            <w:pPr>
              <w:rPr>
                <w:noProof/>
                <w:color w:val="333333"/>
                <w:sz w:val="20"/>
                <w:szCs w:val="20"/>
              </w:rPr>
            </w:pPr>
            <w:r>
              <w:rPr>
                <w:noProof/>
                <w:color w:val="333333"/>
                <w:sz w:val="20"/>
                <w:szCs w:val="20"/>
              </w:rPr>
              <w:t>Service Public Federal Finances</w:t>
            </w:r>
          </w:p>
        </w:tc>
        <w:tc>
          <w:tcPr>
            <w:tcW w:w="4130" w:type="dxa"/>
            <w:tcBorders>
              <w:top w:val="single" w:sz="4" w:space="0" w:color="auto"/>
              <w:left w:val="single" w:sz="4" w:space="0" w:color="auto"/>
              <w:bottom w:val="single" w:sz="4" w:space="0" w:color="auto"/>
              <w:right w:val="single" w:sz="4" w:space="0" w:color="auto"/>
            </w:tcBorders>
            <w:shd w:val="clear" w:color="auto" w:fill="auto"/>
            <w:vAlign w:val="center"/>
          </w:tcPr>
          <w:p>
            <w:pPr>
              <w:rPr>
                <w:noProof/>
                <w:color w:val="333333"/>
                <w:sz w:val="20"/>
                <w:szCs w:val="20"/>
              </w:rPr>
            </w:pPr>
            <w:r>
              <w:rPr>
                <w:noProof/>
                <w:color w:val="333333"/>
                <w:sz w:val="20"/>
                <w:szCs w:val="20"/>
              </w:rPr>
              <w:t>Purchase, installation and maintenance of one mobile backscatter vehicle</w:t>
            </w:r>
          </w:p>
        </w:tc>
        <w:tc>
          <w:tcPr>
            <w:tcW w:w="1571" w:type="dxa"/>
            <w:tcBorders>
              <w:top w:val="single" w:sz="4" w:space="0" w:color="auto"/>
              <w:left w:val="single" w:sz="4" w:space="0" w:color="auto"/>
              <w:bottom w:val="single" w:sz="4" w:space="0" w:color="auto"/>
              <w:right w:val="single" w:sz="4" w:space="0" w:color="auto"/>
            </w:tcBorders>
            <w:shd w:val="clear" w:color="auto" w:fill="auto"/>
            <w:vAlign w:val="center"/>
          </w:tcPr>
          <w:p>
            <w:pPr>
              <w:jc w:val="right"/>
              <w:rPr>
                <w:noProof/>
                <w:color w:val="333333"/>
                <w:sz w:val="20"/>
                <w:szCs w:val="20"/>
              </w:rPr>
            </w:pPr>
            <w:r>
              <w:rPr>
                <w:noProof/>
                <w:color w:val="333333"/>
                <w:sz w:val="20"/>
                <w:szCs w:val="20"/>
              </w:rPr>
              <w:t>930 441</w:t>
            </w:r>
          </w:p>
        </w:tc>
        <w:tc>
          <w:tcPr>
            <w:tcW w:w="770" w:type="dxa"/>
            <w:tcBorders>
              <w:bottom w:val="single" w:sz="4" w:space="0" w:color="auto"/>
            </w:tcBorders>
            <w:shd w:val="clear" w:color="auto" w:fill="auto"/>
            <w:vAlign w:val="center"/>
          </w:tcPr>
          <w:p>
            <w:pPr>
              <w:jc w:val="center"/>
              <w:rPr>
                <w:noProof/>
                <w:sz w:val="20"/>
                <w:szCs w:val="20"/>
                <w:highlight w:val="yellow"/>
              </w:rPr>
            </w:pPr>
            <w:r>
              <w:rPr>
                <w:noProof/>
                <w:sz w:val="20"/>
                <w:szCs w:val="20"/>
              </w:rPr>
              <w:t>80</w:t>
            </w:r>
          </w:p>
        </w:tc>
      </w:tr>
      <w:tr>
        <w:trPr>
          <w:trHeight w:val="548"/>
        </w:trPr>
        <w:tc>
          <w:tcPr>
            <w:tcW w:w="440" w:type="dxa"/>
            <w:shd w:val="clear" w:color="auto" w:fill="EEECE1" w:themeFill="background2"/>
            <w:vAlign w:val="center"/>
          </w:tcPr>
          <w:p>
            <w:pPr>
              <w:jc w:val="center"/>
              <w:rPr>
                <w:noProof/>
                <w:sz w:val="20"/>
                <w:szCs w:val="20"/>
              </w:rPr>
            </w:pPr>
            <w:r>
              <w:rPr>
                <w:noProof/>
                <w:sz w:val="20"/>
                <w:szCs w:val="20"/>
              </w:rPr>
              <w:t>2</w:t>
            </w:r>
          </w:p>
        </w:tc>
        <w:tc>
          <w:tcPr>
            <w:tcW w:w="506" w:type="dxa"/>
            <w:tcBorders>
              <w:top w:val="nil"/>
              <w:left w:val="single" w:sz="4" w:space="0" w:color="auto"/>
              <w:bottom w:val="single" w:sz="4" w:space="0" w:color="auto"/>
              <w:right w:val="single" w:sz="4" w:space="0" w:color="auto"/>
            </w:tcBorders>
            <w:shd w:val="clear" w:color="auto" w:fill="EEECE1" w:themeFill="background2"/>
            <w:vAlign w:val="center"/>
          </w:tcPr>
          <w:p>
            <w:pPr>
              <w:jc w:val="center"/>
              <w:rPr>
                <w:noProof/>
                <w:color w:val="333333"/>
                <w:sz w:val="20"/>
                <w:szCs w:val="20"/>
              </w:rPr>
            </w:pPr>
            <w:r>
              <w:rPr>
                <w:noProof/>
                <w:color w:val="333333"/>
                <w:sz w:val="20"/>
                <w:szCs w:val="20"/>
              </w:rPr>
              <w:t>HR</w:t>
            </w:r>
          </w:p>
        </w:tc>
        <w:tc>
          <w:tcPr>
            <w:tcW w:w="2545" w:type="dxa"/>
            <w:tcBorders>
              <w:top w:val="nil"/>
              <w:left w:val="single" w:sz="4" w:space="0" w:color="auto"/>
              <w:bottom w:val="single" w:sz="4" w:space="0" w:color="auto"/>
              <w:right w:val="single" w:sz="4" w:space="0" w:color="auto"/>
            </w:tcBorders>
            <w:shd w:val="clear" w:color="auto" w:fill="EEECE1" w:themeFill="background2"/>
            <w:vAlign w:val="center"/>
          </w:tcPr>
          <w:p>
            <w:pPr>
              <w:rPr>
                <w:noProof/>
                <w:color w:val="333333"/>
                <w:sz w:val="20"/>
                <w:szCs w:val="20"/>
              </w:rPr>
            </w:pPr>
            <w:r>
              <w:rPr>
                <w:noProof/>
                <w:color w:val="333333"/>
                <w:sz w:val="20"/>
                <w:szCs w:val="20"/>
              </w:rPr>
              <w:t>Ministry of Finance</w:t>
            </w:r>
          </w:p>
        </w:tc>
        <w:tc>
          <w:tcPr>
            <w:tcW w:w="4130" w:type="dxa"/>
            <w:tcBorders>
              <w:top w:val="nil"/>
              <w:left w:val="single" w:sz="4" w:space="0" w:color="auto"/>
              <w:bottom w:val="single" w:sz="4" w:space="0" w:color="auto"/>
              <w:right w:val="single" w:sz="4" w:space="0" w:color="auto"/>
            </w:tcBorders>
            <w:shd w:val="clear" w:color="auto" w:fill="EEECE1" w:themeFill="background2"/>
            <w:vAlign w:val="center"/>
          </w:tcPr>
          <w:p>
            <w:pPr>
              <w:rPr>
                <w:noProof/>
                <w:color w:val="333333"/>
                <w:sz w:val="20"/>
                <w:szCs w:val="20"/>
              </w:rPr>
            </w:pPr>
            <w:r>
              <w:rPr>
                <w:noProof/>
                <w:color w:val="333333"/>
                <w:sz w:val="20"/>
                <w:szCs w:val="20"/>
              </w:rPr>
              <w:t xml:space="preserve">Mobile backscatter cargo and vehicle screening system </w:t>
            </w:r>
          </w:p>
        </w:tc>
        <w:tc>
          <w:tcPr>
            <w:tcW w:w="1571" w:type="dxa"/>
            <w:tcBorders>
              <w:top w:val="nil"/>
              <w:left w:val="single" w:sz="4" w:space="0" w:color="auto"/>
              <w:bottom w:val="single" w:sz="4" w:space="0" w:color="auto"/>
              <w:right w:val="single" w:sz="4" w:space="0" w:color="auto"/>
            </w:tcBorders>
            <w:shd w:val="clear" w:color="auto" w:fill="EEECE1" w:themeFill="background2"/>
            <w:vAlign w:val="center"/>
          </w:tcPr>
          <w:p>
            <w:pPr>
              <w:jc w:val="right"/>
              <w:rPr>
                <w:noProof/>
                <w:color w:val="333333"/>
                <w:sz w:val="20"/>
                <w:szCs w:val="20"/>
              </w:rPr>
            </w:pPr>
            <w:r>
              <w:rPr>
                <w:noProof/>
                <w:color w:val="333333"/>
                <w:sz w:val="20"/>
                <w:szCs w:val="20"/>
              </w:rPr>
              <w:t>873 600</w:t>
            </w:r>
          </w:p>
        </w:tc>
        <w:tc>
          <w:tcPr>
            <w:tcW w:w="770" w:type="dxa"/>
            <w:shd w:val="clear" w:color="auto" w:fill="EEECE1" w:themeFill="background2"/>
            <w:vAlign w:val="center"/>
          </w:tcPr>
          <w:p>
            <w:pPr>
              <w:jc w:val="center"/>
              <w:rPr>
                <w:noProof/>
                <w:sz w:val="20"/>
                <w:szCs w:val="20"/>
              </w:rPr>
            </w:pPr>
            <w:r>
              <w:rPr>
                <w:noProof/>
                <w:sz w:val="20"/>
                <w:szCs w:val="20"/>
              </w:rPr>
              <w:t>70</w:t>
            </w:r>
          </w:p>
        </w:tc>
      </w:tr>
      <w:tr>
        <w:trPr>
          <w:trHeight w:val="982"/>
        </w:trPr>
        <w:tc>
          <w:tcPr>
            <w:tcW w:w="440" w:type="dxa"/>
            <w:tcBorders>
              <w:bottom w:val="single" w:sz="4" w:space="0" w:color="auto"/>
            </w:tcBorders>
            <w:shd w:val="clear" w:color="auto" w:fill="auto"/>
            <w:vAlign w:val="center"/>
          </w:tcPr>
          <w:p>
            <w:pPr>
              <w:jc w:val="center"/>
              <w:rPr>
                <w:noProof/>
                <w:sz w:val="20"/>
                <w:szCs w:val="20"/>
              </w:rPr>
            </w:pPr>
            <w:r>
              <w:rPr>
                <w:noProof/>
                <w:sz w:val="20"/>
                <w:szCs w:val="20"/>
              </w:rPr>
              <w:t>3</w:t>
            </w:r>
          </w:p>
        </w:tc>
        <w:tc>
          <w:tcPr>
            <w:tcW w:w="506" w:type="dxa"/>
            <w:tcBorders>
              <w:top w:val="nil"/>
              <w:left w:val="single" w:sz="4" w:space="0" w:color="auto"/>
              <w:bottom w:val="single" w:sz="4" w:space="0" w:color="auto"/>
              <w:right w:val="single" w:sz="4" w:space="0" w:color="auto"/>
            </w:tcBorders>
            <w:shd w:val="clear" w:color="auto" w:fill="auto"/>
            <w:vAlign w:val="center"/>
          </w:tcPr>
          <w:p>
            <w:pPr>
              <w:jc w:val="center"/>
              <w:rPr>
                <w:noProof/>
                <w:color w:val="333333"/>
                <w:sz w:val="20"/>
                <w:szCs w:val="20"/>
              </w:rPr>
            </w:pPr>
            <w:r>
              <w:rPr>
                <w:noProof/>
                <w:color w:val="333333"/>
                <w:sz w:val="20"/>
                <w:szCs w:val="20"/>
              </w:rPr>
              <w:t>CZ</w:t>
            </w:r>
          </w:p>
        </w:tc>
        <w:tc>
          <w:tcPr>
            <w:tcW w:w="2545" w:type="dxa"/>
            <w:tcBorders>
              <w:top w:val="nil"/>
              <w:left w:val="single" w:sz="4" w:space="0" w:color="auto"/>
              <w:bottom w:val="single" w:sz="4" w:space="0" w:color="auto"/>
              <w:right w:val="single" w:sz="4" w:space="0" w:color="auto"/>
            </w:tcBorders>
            <w:shd w:val="clear" w:color="auto" w:fill="auto"/>
            <w:vAlign w:val="center"/>
          </w:tcPr>
          <w:p>
            <w:pPr>
              <w:rPr>
                <w:noProof/>
                <w:color w:val="333333"/>
                <w:sz w:val="20"/>
                <w:szCs w:val="20"/>
              </w:rPr>
            </w:pPr>
            <w:r>
              <w:rPr>
                <w:noProof/>
                <w:color w:val="333333"/>
                <w:sz w:val="20"/>
                <w:szCs w:val="20"/>
              </w:rPr>
              <w:t xml:space="preserve">Customs Administration of the Czech Republic </w:t>
            </w:r>
          </w:p>
        </w:tc>
        <w:tc>
          <w:tcPr>
            <w:tcW w:w="4130" w:type="dxa"/>
            <w:tcBorders>
              <w:top w:val="nil"/>
              <w:left w:val="single" w:sz="4" w:space="0" w:color="auto"/>
              <w:bottom w:val="single" w:sz="4" w:space="0" w:color="auto"/>
              <w:right w:val="single" w:sz="4" w:space="0" w:color="auto"/>
            </w:tcBorders>
            <w:shd w:val="clear" w:color="auto" w:fill="auto"/>
            <w:vAlign w:val="center"/>
          </w:tcPr>
          <w:p>
            <w:pPr>
              <w:rPr>
                <w:noProof/>
                <w:color w:val="333333"/>
                <w:sz w:val="20"/>
                <w:szCs w:val="20"/>
              </w:rPr>
            </w:pPr>
            <w:r>
              <w:rPr>
                <w:noProof/>
                <w:color w:val="333333"/>
                <w:sz w:val="20"/>
                <w:szCs w:val="20"/>
              </w:rPr>
              <w:t>A mobile X-ray unit for detection of smuggled and/or counterfeited goods transported in luggage and parcels through aerodromes</w:t>
            </w:r>
          </w:p>
        </w:tc>
        <w:tc>
          <w:tcPr>
            <w:tcW w:w="1571" w:type="dxa"/>
            <w:tcBorders>
              <w:top w:val="nil"/>
              <w:left w:val="single" w:sz="4" w:space="0" w:color="auto"/>
              <w:bottom w:val="single" w:sz="4" w:space="0" w:color="auto"/>
              <w:right w:val="single" w:sz="4" w:space="0" w:color="auto"/>
            </w:tcBorders>
            <w:shd w:val="clear" w:color="auto" w:fill="auto"/>
            <w:vAlign w:val="center"/>
          </w:tcPr>
          <w:p>
            <w:pPr>
              <w:jc w:val="right"/>
              <w:rPr>
                <w:noProof/>
                <w:color w:val="333333"/>
                <w:sz w:val="20"/>
                <w:szCs w:val="20"/>
              </w:rPr>
            </w:pPr>
            <w:r>
              <w:rPr>
                <w:noProof/>
                <w:color w:val="333333"/>
                <w:sz w:val="20"/>
                <w:szCs w:val="20"/>
              </w:rPr>
              <w:t>252 000</w:t>
            </w:r>
          </w:p>
        </w:tc>
        <w:tc>
          <w:tcPr>
            <w:tcW w:w="770" w:type="dxa"/>
            <w:tcBorders>
              <w:bottom w:val="single" w:sz="4" w:space="0" w:color="auto"/>
            </w:tcBorders>
            <w:shd w:val="clear" w:color="auto" w:fill="auto"/>
            <w:vAlign w:val="center"/>
          </w:tcPr>
          <w:p>
            <w:pPr>
              <w:jc w:val="center"/>
              <w:rPr>
                <w:noProof/>
                <w:sz w:val="20"/>
                <w:szCs w:val="20"/>
              </w:rPr>
            </w:pPr>
            <w:r>
              <w:rPr>
                <w:noProof/>
                <w:sz w:val="20"/>
                <w:szCs w:val="20"/>
              </w:rPr>
              <w:t>80</w:t>
            </w:r>
          </w:p>
        </w:tc>
      </w:tr>
      <w:tr>
        <w:trPr>
          <w:trHeight w:val="547"/>
        </w:trPr>
        <w:tc>
          <w:tcPr>
            <w:tcW w:w="440" w:type="dxa"/>
            <w:shd w:val="clear" w:color="auto" w:fill="EEECE1" w:themeFill="background2"/>
            <w:vAlign w:val="center"/>
          </w:tcPr>
          <w:p>
            <w:pPr>
              <w:jc w:val="center"/>
              <w:rPr>
                <w:noProof/>
                <w:sz w:val="20"/>
                <w:szCs w:val="20"/>
              </w:rPr>
            </w:pPr>
            <w:r>
              <w:rPr>
                <w:noProof/>
                <w:sz w:val="20"/>
                <w:szCs w:val="20"/>
              </w:rPr>
              <w:t>4</w:t>
            </w:r>
          </w:p>
        </w:tc>
        <w:tc>
          <w:tcPr>
            <w:tcW w:w="506" w:type="dxa"/>
            <w:tcBorders>
              <w:top w:val="nil"/>
              <w:left w:val="single" w:sz="4" w:space="0" w:color="auto"/>
              <w:bottom w:val="single" w:sz="4" w:space="0" w:color="auto"/>
              <w:right w:val="single" w:sz="4" w:space="0" w:color="auto"/>
            </w:tcBorders>
            <w:shd w:val="clear" w:color="auto" w:fill="EEECE1" w:themeFill="background2"/>
            <w:vAlign w:val="center"/>
          </w:tcPr>
          <w:p>
            <w:pPr>
              <w:jc w:val="center"/>
              <w:rPr>
                <w:noProof/>
                <w:color w:val="333333"/>
                <w:sz w:val="20"/>
                <w:szCs w:val="20"/>
              </w:rPr>
            </w:pPr>
            <w:r>
              <w:rPr>
                <w:noProof/>
                <w:color w:val="333333"/>
                <w:sz w:val="20"/>
                <w:szCs w:val="20"/>
              </w:rPr>
              <w:t>IE</w:t>
            </w:r>
          </w:p>
        </w:tc>
        <w:tc>
          <w:tcPr>
            <w:tcW w:w="2545" w:type="dxa"/>
            <w:tcBorders>
              <w:top w:val="nil"/>
              <w:left w:val="single" w:sz="4" w:space="0" w:color="auto"/>
              <w:bottom w:val="single" w:sz="4" w:space="0" w:color="auto"/>
              <w:right w:val="single" w:sz="4" w:space="0" w:color="auto"/>
            </w:tcBorders>
            <w:shd w:val="clear" w:color="auto" w:fill="EEECE1" w:themeFill="background2"/>
            <w:vAlign w:val="center"/>
          </w:tcPr>
          <w:p>
            <w:pPr>
              <w:rPr>
                <w:noProof/>
                <w:color w:val="333333"/>
                <w:sz w:val="20"/>
                <w:szCs w:val="20"/>
              </w:rPr>
            </w:pPr>
            <w:r>
              <w:rPr>
                <w:noProof/>
                <w:color w:val="333333"/>
                <w:sz w:val="20"/>
                <w:szCs w:val="20"/>
              </w:rPr>
              <w:t>The Revenue Commissioner</w:t>
            </w:r>
          </w:p>
        </w:tc>
        <w:tc>
          <w:tcPr>
            <w:tcW w:w="4130" w:type="dxa"/>
            <w:tcBorders>
              <w:top w:val="nil"/>
              <w:left w:val="single" w:sz="4" w:space="0" w:color="auto"/>
              <w:bottom w:val="single" w:sz="4" w:space="0" w:color="auto"/>
              <w:right w:val="single" w:sz="4" w:space="0" w:color="auto"/>
            </w:tcBorders>
            <w:shd w:val="clear" w:color="auto" w:fill="EEECE1" w:themeFill="background2"/>
            <w:vAlign w:val="center"/>
          </w:tcPr>
          <w:p>
            <w:pPr>
              <w:rPr>
                <w:noProof/>
                <w:color w:val="333333"/>
                <w:sz w:val="20"/>
                <w:szCs w:val="20"/>
              </w:rPr>
            </w:pPr>
            <w:r>
              <w:rPr>
                <w:noProof/>
                <w:color w:val="333333"/>
                <w:sz w:val="20"/>
                <w:szCs w:val="20"/>
              </w:rPr>
              <w:t>Procurement of mobile x-ray container scanner</w:t>
            </w:r>
          </w:p>
        </w:tc>
        <w:tc>
          <w:tcPr>
            <w:tcW w:w="1571" w:type="dxa"/>
            <w:tcBorders>
              <w:top w:val="nil"/>
              <w:left w:val="single" w:sz="4" w:space="0" w:color="auto"/>
              <w:bottom w:val="single" w:sz="4" w:space="0" w:color="auto"/>
              <w:right w:val="single" w:sz="4" w:space="0" w:color="auto"/>
            </w:tcBorders>
            <w:shd w:val="clear" w:color="auto" w:fill="EEECE1" w:themeFill="background2"/>
            <w:vAlign w:val="center"/>
          </w:tcPr>
          <w:p>
            <w:pPr>
              <w:jc w:val="right"/>
              <w:rPr>
                <w:noProof/>
                <w:color w:val="333333"/>
                <w:sz w:val="20"/>
                <w:szCs w:val="20"/>
              </w:rPr>
            </w:pPr>
            <w:r>
              <w:rPr>
                <w:noProof/>
                <w:color w:val="333333"/>
                <w:sz w:val="20"/>
                <w:szCs w:val="20"/>
              </w:rPr>
              <w:t>1 734 720</w:t>
            </w:r>
          </w:p>
        </w:tc>
        <w:tc>
          <w:tcPr>
            <w:tcW w:w="770" w:type="dxa"/>
            <w:shd w:val="clear" w:color="auto" w:fill="EEECE1" w:themeFill="background2"/>
            <w:vAlign w:val="center"/>
          </w:tcPr>
          <w:p>
            <w:pPr>
              <w:jc w:val="center"/>
              <w:rPr>
                <w:noProof/>
                <w:sz w:val="20"/>
                <w:szCs w:val="20"/>
              </w:rPr>
            </w:pPr>
            <w:r>
              <w:rPr>
                <w:noProof/>
                <w:sz w:val="20"/>
                <w:szCs w:val="20"/>
              </w:rPr>
              <w:t>80</w:t>
            </w:r>
          </w:p>
        </w:tc>
      </w:tr>
      <w:tr>
        <w:trPr>
          <w:trHeight w:val="720"/>
        </w:trPr>
        <w:tc>
          <w:tcPr>
            <w:tcW w:w="440" w:type="dxa"/>
            <w:tcBorders>
              <w:bottom w:val="single" w:sz="4" w:space="0" w:color="auto"/>
            </w:tcBorders>
            <w:shd w:val="clear" w:color="auto" w:fill="auto"/>
            <w:vAlign w:val="center"/>
          </w:tcPr>
          <w:p>
            <w:pPr>
              <w:jc w:val="center"/>
              <w:rPr>
                <w:noProof/>
                <w:sz w:val="20"/>
                <w:szCs w:val="20"/>
              </w:rPr>
            </w:pPr>
            <w:r>
              <w:rPr>
                <w:noProof/>
                <w:sz w:val="20"/>
                <w:szCs w:val="20"/>
              </w:rPr>
              <w:t>5</w:t>
            </w:r>
          </w:p>
        </w:tc>
        <w:tc>
          <w:tcPr>
            <w:tcW w:w="506" w:type="dxa"/>
            <w:tcBorders>
              <w:top w:val="nil"/>
              <w:left w:val="single" w:sz="4" w:space="0" w:color="auto"/>
              <w:bottom w:val="single" w:sz="4" w:space="0" w:color="auto"/>
              <w:right w:val="single" w:sz="4" w:space="0" w:color="auto"/>
            </w:tcBorders>
            <w:shd w:val="clear" w:color="auto" w:fill="auto"/>
            <w:vAlign w:val="center"/>
          </w:tcPr>
          <w:p>
            <w:pPr>
              <w:jc w:val="center"/>
              <w:rPr>
                <w:noProof/>
                <w:color w:val="333333"/>
                <w:sz w:val="20"/>
                <w:szCs w:val="20"/>
              </w:rPr>
            </w:pPr>
            <w:r>
              <w:rPr>
                <w:noProof/>
                <w:color w:val="333333"/>
                <w:sz w:val="20"/>
                <w:szCs w:val="20"/>
              </w:rPr>
              <w:t>IT</w:t>
            </w:r>
          </w:p>
        </w:tc>
        <w:tc>
          <w:tcPr>
            <w:tcW w:w="2545" w:type="dxa"/>
            <w:tcBorders>
              <w:top w:val="nil"/>
              <w:left w:val="single" w:sz="4" w:space="0" w:color="auto"/>
              <w:bottom w:val="single" w:sz="4" w:space="0" w:color="auto"/>
              <w:right w:val="single" w:sz="4" w:space="0" w:color="auto"/>
            </w:tcBorders>
            <w:shd w:val="clear" w:color="auto" w:fill="auto"/>
            <w:vAlign w:val="center"/>
          </w:tcPr>
          <w:p>
            <w:pPr>
              <w:rPr>
                <w:noProof/>
                <w:color w:val="333333"/>
                <w:sz w:val="20"/>
                <w:szCs w:val="20"/>
              </w:rPr>
            </w:pPr>
            <w:r>
              <w:rPr>
                <w:noProof/>
                <w:color w:val="333333"/>
                <w:sz w:val="20"/>
                <w:szCs w:val="20"/>
              </w:rPr>
              <w:t>Ministry of Economy and Finance/Guardia di Finanza</w:t>
            </w:r>
          </w:p>
        </w:tc>
        <w:tc>
          <w:tcPr>
            <w:tcW w:w="4130" w:type="dxa"/>
            <w:tcBorders>
              <w:top w:val="nil"/>
              <w:left w:val="single" w:sz="4" w:space="0" w:color="auto"/>
              <w:bottom w:val="single" w:sz="4" w:space="0" w:color="auto"/>
              <w:right w:val="single" w:sz="4" w:space="0" w:color="auto"/>
            </w:tcBorders>
            <w:shd w:val="clear" w:color="auto" w:fill="auto"/>
            <w:vAlign w:val="center"/>
          </w:tcPr>
          <w:p>
            <w:pPr>
              <w:rPr>
                <w:noProof/>
                <w:color w:val="333333"/>
                <w:sz w:val="20"/>
                <w:szCs w:val="20"/>
              </w:rPr>
            </w:pPr>
            <w:r>
              <w:rPr>
                <w:noProof/>
                <w:color w:val="333333"/>
                <w:sz w:val="20"/>
                <w:szCs w:val="20"/>
              </w:rPr>
              <w:t>Purchase of 1 MINI-Class Aircraft System for the fight against counterfeiting and smuggling tobacco products</w:t>
            </w:r>
          </w:p>
        </w:tc>
        <w:tc>
          <w:tcPr>
            <w:tcW w:w="1571" w:type="dxa"/>
            <w:tcBorders>
              <w:top w:val="nil"/>
              <w:left w:val="single" w:sz="4" w:space="0" w:color="auto"/>
              <w:bottom w:val="single" w:sz="4" w:space="0" w:color="auto"/>
              <w:right w:val="single" w:sz="4" w:space="0" w:color="auto"/>
            </w:tcBorders>
            <w:shd w:val="clear" w:color="auto" w:fill="auto"/>
            <w:vAlign w:val="center"/>
          </w:tcPr>
          <w:p>
            <w:pPr>
              <w:jc w:val="right"/>
              <w:rPr>
                <w:noProof/>
                <w:color w:val="333333"/>
                <w:sz w:val="20"/>
                <w:szCs w:val="20"/>
              </w:rPr>
            </w:pPr>
            <w:r>
              <w:rPr>
                <w:noProof/>
                <w:color w:val="333333"/>
                <w:sz w:val="20"/>
                <w:szCs w:val="20"/>
              </w:rPr>
              <w:t>635 383</w:t>
            </w:r>
          </w:p>
        </w:tc>
        <w:tc>
          <w:tcPr>
            <w:tcW w:w="770" w:type="dxa"/>
            <w:tcBorders>
              <w:bottom w:val="single" w:sz="4" w:space="0" w:color="auto"/>
            </w:tcBorders>
            <w:shd w:val="clear" w:color="auto" w:fill="auto"/>
            <w:vAlign w:val="center"/>
          </w:tcPr>
          <w:p>
            <w:pPr>
              <w:jc w:val="center"/>
              <w:rPr>
                <w:noProof/>
                <w:sz w:val="20"/>
                <w:szCs w:val="20"/>
              </w:rPr>
            </w:pPr>
            <w:r>
              <w:rPr>
                <w:noProof/>
                <w:sz w:val="20"/>
                <w:szCs w:val="20"/>
              </w:rPr>
              <w:t>70</w:t>
            </w:r>
          </w:p>
        </w:tc>
      </w:tr>
      <w:tr>
        <w:trPr>
          <w:trHeight w:val="619"/>
        </w:trPr>
        <w:tc>
          <w:tcPr>
            <w:tcW w:w="440" w:type="dxa"/>
            <w:shd w:val="clear" w:color="auto" w:fill="EEECE1" w:themeFill="background2"/>
            <w:vAlign w:val="center"/>
          </w:tcPr>
          <w:p>
            <w:pPr>
              <w:jc w:val="center"/>
              <w:rPr>
                <w:noProof/>
                <w:sz w:val="20"/>
                <w:szCs w:val="20"/>
              </w:rPr>
            </w:pPr>
            <w:r>
              <w:rPr>
                <w:noProof/>
                <w:sz w:val="20"/>
                <w:szCs w:val="20"/>
              </w:rPr>
              <w:t>6</w:t>
            </w:r>
          </w:p>
        </w:tc>
        <w:tc>
          <w:tcPr>
            <w:tcW w:w="506" w:type="dxa"/>
            <w:tcBorders>
              <w:top w:val="nil"/>
              <w:left w:val="single" w:sz="4" w:space="0" w:color="auto"/>
              <w:bottom w:val="single" w:sz="4" w:space="0" w:color="auto"/>
              <w:right w:val="single" w:sz="4" w:space="0" w:color="auto"/>
            </w:tcBorders>
            <w:shd w:val="clear" w:color="auto" w:fill="EEECE1" w:themeFill="background2"/>
            <w:vAlign w:val="center"/>
          </w:tcPr>
          <w:p>
            <w:pPr>
              <w:jc w:val="center"/>
              <w:rPr>
                <w:noProof/>
                <w:color w:val="333333"/>
                <w:sz w:val="20"/>
                <w:szCs w:val="20"/>
              </w:rPr>
            </w:pPr>
            <w:r>
              <w:rPr>
                <w:noProof/>
                <w:color w:val="333333"/>
                <w:sz w:val="20"/>
                <w:szCs w:val="20"/>
              </w:rPr>
              <w:t>IT</w:t>
            </w:r>
          </w:p>
        </w:tc>
        <w:tc>
          <w:tcPr>
            <w:tcW w:w="2545" w:type="dxa"/>
            <w:tcBorders>
              <w:top w:val="nil"/>
              <w:left w:val="single" w:sz="4" w:space="0" w:color="auto"/>
              <w:bottom w:val="single" w:sz="4" w:space="0" w:color="auto"/>
              <w:right w:val="single" w:sz="4" w:space="0" w:color="auto"/>
            </w:tcBorders>
            <w:shd w:val="clear" w:color="auto" w:fill="EEECE1" w:themeFill="background2"/>
            <w:vAlign w:val="center"/>
          </w:tcPr>
          <w:p>
            <w:pPr>
              <w:rPr>
                <w:noProof/>
                <w:color w:val="333333"/>
                <w:sz w:val="20"/>
                <w:szCs w:val="20"/>
              </w:rPr>
            </w:pPr>
            <w:r>
              <w:rPr>
                <w:noProof/>
                <w:color w:val="333333"/>
                <w:sz w:val="20"/>
                <w:szCs w:val="20"/>
              </w:rPr>
              <w:t>Ministry of Economy and Finance/Italian AFCOS</w:t>
            </w:r>
          </w:p>
        </w:tc>
        <w:tc>
          <w:tcPr>
            <w:tcW w:w="4130" w:type="dxa"/>
            <w:tcBorders>
              <w:top w:val="nil"/>
              <w:left w:val="single" w:sz="4" w:space="0" w:color="auto"/>
              <w:bottom w:val="single" w:sz="4" w:space="0" w:color="auto"/>
              <w:right w:val="single" w:sz="4" w:space="0" w:color="auto"/>
            </w:tcBorders>
            <w:shd w:val="clear" w:color="auto" w:fill="EEECE1" w:themeFill="background2"/>
            <w:vAlign w:val="center"/>
          </w:tcPr>
          <w:p>
            <w:pPr>
              <w:rPr>
                <w:noProof/>
                <w:color w:val="333333"/>
                <w:sz w:val="20"/>
                <w:szCs w:val="20"/>
              </w:rPr>
            </w:pPr>
            <w:r>
              <w:rPr>
                <w:noProof/>
                <w:color w:val="333333"/>
                <w:sz w:val="20"/>
                <w:szCs w:val="20"/>
              </w:rPr>
              <w:t>Anti-fraud Integrated Platform</w:t>
            </w:r>
          </w:p>
        </w:tc>
        <w:tc>
          <w:tcPr>
            <w:tcW w:w="1571" w:type="dxa"/>
            <w:tcBorders>
              <w:top w:val="nil"/>
              <w:left w:val="single" w:sz="4" w:space="0" w:color="auto"/>
              <w:bottom w:val="single" w:sz="4" w:space="0" w:color="auto"/>
              <w:right w:val="single" w:sz="4" w:space="0" w:color="auto"/>
            </w:tcBorders>
            <w:shd w:val="clear" w:color="auto" w:fill="EEECE1" w:themeFill="background2"/>
            <w:vAlign w:val="center"/>
          </w:tcPr>
          <w:p>
            <w:pPr>
              <w:jc w:val="right"/>
              <w:rPr>
                <w:b/>
                <w:noProof/>
                <w:color w:val="333333"/>
                <w:sz w:val="20"/>
                <w:szCs w:val="20"/>
              </w:rPr>
            </w:pPr>
            <w:r>
              <w:rPr>
                <w:noProof/>
                <w:color w:val="333333"/>
                <w:sz w:val="20"/>
                <w:szCs w:val="20"/>
              </w:rPr>
              <w:t>501 672</w:t>
            </w:r>
          </w:p>
        </w:tc>
        <w:tc>
          <w:tcPr>
            <w:tcW w:w="770" w:type="dxa"/>
            <w:shd w:val="clear" w:color="auto" w:fill="EEECE1" w:themeFill="background2"/>
            <w:vAlign w:val="center"/>
          </w:tcPr>
          <w:p>
            <w:pPr>
              <w:jc w:val="center"/>
              <w:rPr>
                <w:noProof/>
                <w:sz w:val="20"/>
                <w:szCs w:val="20"/>
              </w:rPr>
            </w:pPr>
            <w:r>
              <w:rPr>
                <w:noProof/>
                <w:sz w:val="20"/>
                <w:szCs w:val="20"/>
              </w:rPr>
              <w:t>80</w:t>
            </w:r>
          </w:p>
        </w:tc>
      </w:tr>
      <w:tr>
        <w:trPr>
          <w:trHeight w:val="626"/>
        </w:trPr>
        <w:tc>
          <w:tcPr>
            <w:tcW w:w="440" w:type="dxa"/>
            <w:tcBorders>
              <w:bottom w:val="single" w:sz="4" w:space="0" w:color="auto"/>
            </w:tcBorders>
            <w:shd w:val="clear" w:color="auto" w:fill="auto"/>
            <w:vAlign w:val="center"/>
          </w:tcPr>
          <w:p>
            <w:pPr>
              <w:jc w:val="center"/>
              <w:rPr>
                <w:noProof/>
                <w:sz w:val="20"/>
                <w:szCs w:val="20"/>
              </w:rPr>
            </w:pPr>
            <w:r>
              <w:rPr>
                <w:noProof/>
                <w:sz w:val="20"/>
                <w:szCs w:val="20"/>
              </w:rPr>
              <w:t>7</w:t>
            </w:r>
          </w:p>
        </w:tc>
        <w:tc>
          <w:tcPr>
            <w:tcW w:w="506" w:type="dxa"/>
            <w:tcBorders>
              <w:top w:val="nil"/>
              <w:left w:val="single" w:sz="4" w:space="0" w:color="auto"/>
              <w:bottom w:val="single" w:sz="4" w:space="0" w:color="auto"/>
              <w:right w:val="single" w:sz="4" w:space="0" w:color="auto"/>
            </w:tcBorders>
            <w:shd w:val="clear" w:color="auto" w:fill="auto"/>
            <w:vAlign w:val="center"/>
          </w:tcPr>
          <w:p>
            <w:pPr>
              <w:jc w:val="center"/>
              <w:rPr>
                <w:noProof/>
                <w:color w:val="333333"/>
                <w:sz w:val="20"/>
                <w:szCs w:val="20"/>
              </w:rPr>
            </w:pPr>
            <w:r>
              <w:rPr>
                <w:noProof/>
                <w:color w:val="333333"/>
                <w:sz w:val="20"/>
                <w:szCs w:val="20"/>
              </w:rPr>
              <w:t>LV</w:t>
            </w:r>
          </w:p>
        </w:tc>
        <w:tc>
          <w:tcPr>
            <w:tcW w:w="2545" w:type="dxa"/>
            <w:tcBorders>
              <w:top w:val="nil"/>
              <w:left w:val="single" w:sz="4" w:space="0" w:color="auto"/>
              <w:bottom w:val="single" w:sz="4" w:space="0" w:color="auto"/>
              <w:right w:val="single" w:sz="4" w:space="0" w:color="auto"/>
            </w:tcBorders>
            <w:shd w:val="clear" w:color="auto" w:fill="auto"/>
            <w:vAlign w:val="center"/>
          </w:tcPr>
          <w:p>
            <w:pPr>
              <w:rPr>
                <w:noProof/>
                <w:color w:val="333333"/>
                <w:sz w:val="20"/>
                <w:szCs w:val="20"/>
              </w:rPr>
            </w:pPr>
            <w:r>
              <w:rPr>
                <w:noProof/>
                <w:color w:val="333333"/>
                <w:sz w:val="20"/>
                <w:szCs w:val="20"/>
              </w:rPr>
              <w:t>State Revenue Service</w:t>
            </w:r>
          </w:p>
        </w:tc>
        <w:tc>
          <w:tcPr>
            <w:tcW w:w="4130" w:type="dxa"/>
            <w:tcBorders>
              <w:top w:val="nil"/>
              <w:left w:val="single" w:sz="4" w:space="0" w:color="auto"/>
              <w:bottom w:val="single" w:sz="4" w:space="0" w:color="auto"/>
              <w:right w:val="single" w:sz="4" w:space="0" w:color="auto"/>
            </w:tcBorders>
            <w:shd w:val="clear" w:color="auto" w:fill="auto"/>
            <w:vAlign w:val="center"/>
          </w:tcPr>
          <w:p>
            <w:pPr>
              <w:rPr>
                <w:noProof/>
                <w:color w:val="333333"/>
                <w:sz w:val="20"/>
                <w:szCs w:val="20"/>
              </w:rPr>
            </w:pPr>
            <w:r>
              <w:rPr>
                <w:noProof/>
                <w:color w:val="333333"/>
                <w:sz w:val="20"/>
                <w:szCs w:val="20"/>
              </w:rPr>
              <w:t>Development of Automated Number Plate Recognition System (ANPRS)</w:t>
            </w:r>
          </w:p>
        </w:tc>
        <w:tc>
          <w:tcPr>
            <w:tcW w:w="1571" w:type="dxa"/>
            <w:tcBorders>
              <w:top w:val="nil"/>
              <w:left w:val="single" w:sz="4" w:space="0" w:color="auto"/>
              <w:bottom w:val="single" w:sz="4" w:space="0" w:color="auto"/>
              <w:right w:val="single" w:sz="4" w:space="0" w:color="auto"/>
            </w:tcBorders>
            <w:shd w:val="clear" w:color="auto" w:fill="auto"/>
            <w:vAlign w:val="center"/>
          </w:tcPr>
          <w:p>
            <w:pPr>
              <w:jc w:val="right"/>
              <w:rPr>
                <w:noProof/>
                <w:color w:val="333333"/>
                <w:sz w:val="20"/>
                <w:szCs w:val="20"/>
              </w:rPr>
            </w:pPr>
            <w:r>
              <w:rPr>
                <w:noProof/>
                <w:color w:val="333333"/>
                <w:sz w:val="20"/>
                <w:szCs w:val="20"/>
              </w:rPr>
              <w:t>1 793 039</w:t>
            </w:r>
          </w:p>
        </w:tc>
        <w:tc>
          <w:tcPr>
            <w:tcW w:w="770" w:type="dxa"/>
            <w:tcBorders>
              <w:bottom w:val="single" w:sz="4" w:space="0" w:color="auto"/>
            </w:tcBorders>
            <w:shd w:val="clear" w:color="auto" w:fill="auto"/>
            <w:vAlign w:val="center"/>
          </w:tcPr>
          <w:p>
            <w:pPr>
              <w:jc w:val="center"/>
              <w:rPr>
                <w:noProof/>
                <w:sz w:val="20"/>
                <w:szCs w:val="20"/>
              </w:rPr>
            </w:pPr>
            <w:r>
              <w:rPr>
                <w:noProof/>
                <w:sz w:val="20"/>
                <w:szCs w:val="20"/>
              </w:rPr>
              <w:t>80</w:t>
            </w:r>
          </w:p>
        </w:tc>
      </w:tr>
      <w:tr>
        <w:trPr>
          <w:trHeight w:val="706"/>
        </w:trPr>
        <w:tc>
          <w:tcPr>
            <w:tcW w:w="440" w:type="dxa"/>
            <w:shd w:val="clear" w:color="auto" w:fill="EEECE1" w:themeFill="background2"/>
            <w:vAlign w:val="center"/>
          </w:tcPr>
          <w:p>
            <w:pPr>
              <w:jc w:val="center"/>
              <w:rPr>
                <w:noProof/>
                <w:sz w:val="20"/>
                <w:szCs w:val="20"/>
              </w:rPr>
            </w:pPr>
            <w:r>
              <w:rPr>
                <w:noProof/>
                <w:sz w:val="20"/>
                <w:szCs w:val="20"/>
              </w:rPr>
              <w:t>8</w:t>
            </w:r>
          </w:p>
        </w:tc>
        <w:tc>
          <w:tcPr>
            <w:tcW w:w="506" w:type="dxa"/>
            <w:tcBorders>
              <w:top w:val="nil"/>
              <w:left w:val="single" w:sz="4" w:space="0" w:color="auto"/>
              <w:bottom w:val="single" w:sz="4" w:space="0" w:color="auto"/>
              <w:right w:val="single" w:sz="4" w:space="0" w:color="auto"/>
            </w:tcBorders>
            <w:shd w:val="clear" w:color="auto" w:fill="EEECE1" w:themeFill="background2"/>
            <w:vAlign w:val="center"/>
          </w:tcPr>
          <w:p>
            <w:pPr>
              <w:jc w:val="center"/>
              <w:rPr>
                <w:noProof/>
                <w:color w:val="333333"/>
                <w:sz w:val="20"/>
                <w:szCs w:val="20"/>
              </w:rPr>
            </w:pPr>
            <w:r>
              <w:rPr>
                <w:noProof/>
                <w:color w:val="333333"/>
                <w:sz w:val="20"/>
                <w:szCs w:val="20"/>
              </w:rPr>
              <w:t>LV</w:t>
            </w:r>
          </w:p>
        </w:tc>
        <w:tc>
          <w:tcPr>
            <w:tcW w:w="2545" w:type="dxa"/>
            <w:tcBorders>
              <w:top w:val="nil"/>
              <w:left w:val="single" w:sz="4" w:space="0" w:color="auto"/>
              <w:bottom w:val="single" w:sz="4" w:space="0" w:color="auto"/>
              <w:right w:val="single" w:sz="4" w:space="0" w:color="auto"/>
            </w:tcBorders>
            <w:shd w:val="clear" w:color="auto" w:fill="EEECE1" w:themeFill="background2"/>
            <w:vAlign w:val="center"/>
          </w:tcPr>
          <w:p>
            <w:pPr>
              <w:rPr>
                <w:noProof/>
                <w:color w:val="333333"/>
                <w:sz w:val="20"/>
                <w:szCs w:val="20"/>
              </w:rPr>
            </w:pPr>
            <w:r>
              <w:rPr>
                <w:noProof/>
                <w:color w:val="333333"/>
                <w:sz w:val="20"/>
                <w:szCs w:val="20"/>
              </w:rPr>
              <w:t>National Forensic Bureau</w:t>
            </w:r>
          </w:p>
        </w:tc>
        <w:tc>
          <w:tcPr>
            <w:tcW w:w="4130" w:type="dxa"/>
            <w:tcBorders>
              <w:top w:val="nil"/>
              <w:left w:val="single" w:sz="4" w:space="0" w:color="auto"/>
              <w:bottom w:val="single" w:sz="4" w:space="0" w:color="auto"/>
              <w:right w:val="single" w:sz="4" w:space="0" w:color="auto"/>
            </w:tcBorders>
            <w:shd w:val="clear" w:color="auto" w:fill="EEECE1" w:themeFill="background2"/>
            <w:vAlign w:val="center"/>
          </w:tcPr>
          <w:p>
            <w:pPr>
              <w:rPr>
                <w:noProof/>
                <w:color w:val="333333"/>
                <w:sz w:val="20"/>
                <w:szCs w:val="20"/>
              </w:rPr>
            </w:pPr>
            <w:r>
              <w:rPr>
                <w:noProof/>
                <w:color w:val="333333"/>
                <w:sz w:val="20"/>
                <w:szCs w:val="20"/>
              </w:rPr>
              <w:t>Operational capacity building of forensic examination of tobacco and other plant-based substances</w:t>
            </w:r>
          </w:p>
        </w:tc>
        <w:tc>
          <w:tcPr>
            <w:tcW w:w="1571" w:type="dxa"/>
            <w:tcBorders>
              <w:top w:val="nil"/>
              <w:left w:val="single" w:sz="4" w:space="0" w:color="auto"/>
              <w:bottom w:val="single" w:sz="4" w:space="0" w:color="auto"/>
              <w:right w:val="single" w:sz="4" w:space="0" w:color="auto"/>
            </w:tcBorders>
            <w:shd w:val="clear" w:color="auto" w:fill="EEECE1" w:themeFill="background2"/>
            <w:vAlign w:val="center"/>
          </w:tcPr>
          <w:p>
            <w:pPr>
              <w:jc w:val="right"/>
              <w:rPr>
                <w:noProof/>
                <w:color w:val="333333"/>
                <w:sz w:val="20"/>
                <w:szCs w:val="20"/>
              </w:rPr>
            </w:pPr>
            <w:r>
              <w:rPr>
                <w:noProof/>
                <w:color w:val="333333"/>
                <w:sz w:val="20"/>
                <w:szCs w:val="20"/>
              </w:rPr>
              <w:t>407 821</w:t>
            </w:r>
          </w:p>
        </w:tc>
        <w:tc>
          <w:tcPr>
            <w:tcW w:w="770" w:type="dxa"/>
            <w:shd w:val="clear" w:color="auto" w:fill="EEECE1" w:themeFill="background2"/>
            <w:vAlign w:val="center"/>
          </w:tcPr>
          <w:p>
            <w:pPr>
              <w:jc w:val="center"/>
              <w:rPr>
                <w:noProof/>
                <w:sz w:val="20"/>
                <w:szCs w:val="20"/>
              </w:rPr>
            </w:pPr>
            <w:r>
              <w:rPr>
                <w:noProof/>
                <w:sz w:val="20"/>
                <w:szCs w:val="20"/>
              </w:rPr>
              <w:t>80</w:t>
            </w:r>
          </w:p>
        </w:tc>
      </w:tr>
      <w:tr>
        <w:tc>
          <w:tcPr>
            <w:tcW w:w="440" w:type="dxa"/>
            <w:tcBorders>
              <w:bottom w:val="single" w:sz="4" w:space="0" w:color="auto"/>
            </w:tcBorders>
            <w:shd w:val="clear" w:color="auto" w:fill="auto"/>
            <w:vAlign w:val="center"/>
          </w:tcPr>
          <w:p>
            <w:pPr>
              <w:jc w:val="center"/>
              <w:rPr>
                <w:noProof/>
                <w:sz w:val="20"/>
                <w:szCs w:val="20"/>
              </w:rPr>
            </w:pPr>
            <w:r>
              <w:rPr>
                <w:noProof/>
                <w:sz w:val="20"/>
                <w:szCs w:val="20"/>
              </w:rPr>
              <w:t>9</w:t>
            </w:r>
          </w:p>
        </w:tc>
        <w:tc>
          <w:tcPr>
            <w:tcW w:w="506" w:type="dxa"/>
            <w:tcBorders>
              <w:top w:val="nil"/>
              <w:left w:val="single" w:sz="4" w:space="0" w:color="auto"/>
              <w:bottom w:val="single" w:sz="4" w:space="0" w:color="auto"/>
              <w:right w:val="single" w:sz="4" w:space="0" w:color="auto"/>
            </w:tcBorders>
            <w:shd w:val="clear" w:color="auto" w:fill="auto"/>
            <w:vAlign w:val="center"/>
          </w:tcPr>
          <w:p>
            <w:pPr>
              <w:jc w:val="center"/>
              <w:rPr>
                <w:noProof/>
                <w:color w:val="333333"/>
                <w:sz w:val="20"/>
                <w:szCs w:val="20"/>
              </w:rPr>
            </w:pPr>
            <w:r>
              <w:rPr>
                <w:noProof/>
                <w:color w:val="333333"/>
                <w:sz w:val="20"/>
                <w:szCs w:val="20"/>
              </w:rPr>
              <w:t>LT</w:t>
            </w:r>
          </w:p>
        </w:tc>
        <w:tc>
          <w:tcPr>
            <w:tcW w:w="2545" w:type="dxa"/>
            <w:tcBorders>
              <w:top w:val="nil"/>
              <w:left w:val="single" w:sz="4" w:space="0" w:color="auto"/>
              <w:bottom w:val="single" w:sz="4" w:space="0" w:color="auto"/>
              <w:right w:val="single" w:sz="4" w:space="0" w:color="auto"/>
            </w:tcBorders>
            <w:shd w:val="clear" w:color="auto" w:fill="auto"/>
            <w:vAlign w:val="center"/>
          </w:tcPr>
          <w:p>
            <w:pPr>
              <w:rPr>
                <w:noProof/>
                <w:color w:val="333333"/>
                <w:sz w:val="20"/>
                <w:szCs w:val="20"/>
              </w:rPr>
            </w:pPr>
            <w:r>
              <w:rPr>
                <w:noProof/>
                <w:color w:val="333333"/>
                <w:sz w:val="20"/>
                <w:szCs w:val="20"/>
              </w:rPr>
              <w:t>Financial Crime Investigation Service under the Ministry of the Interior</w:t>
            </w:r>
          </w:p>
        </w:tc>
        <w:tc>
          <w:tcPr>
            <w:tcW w:w="4130" w:type="dxa"/>
            <w:tcBorders>
              <w:top w:val="nil"/>
              <w:left w:val="single" w:sz="4" w:space="0" w:color="auto"/>
              <w:bottom w:val="single" w:sz="4" w:space="0" w:color="auto"/>
              <w:right w:val="single" w:sz="4" w:space="0" w:color="auto"/>
            </w:tcBorders>
            <w:shd w:val="clear" w:color="auto" w:fill="auto"/>
            <w:vAlign w:val="center"/>
          </w:tcPr>
          <w:p>
            <w:pPr>
              <w:rPr>
                <w:noProof/>
                <w:color w:val="333333"/>
                <w:sz w:val="20"/>
                <w:szCs w:val="20"/>
              </w:rPr>
            </w:pPr>
            <w:r>
              <w:rPr>
                <w:noProof/>
                <w:color w:val="333333"/>
                <w:sz w:val="20"/>
                <w:szCs w:val="20"/>
              </w:rPr>
              <w:t>Purchase of investigation tools</w:t>
            </w:r>
          </w:p>
        </w:tc>
        <w:tc>
          <w:tcPr>
            <w:tcW w:w="1571" w:type="dxa"/>
            <w:tcBorders>
              <w:top w:val="nil"/>
              <w:left w:val="single" w:sz="4" w:space="0" w:color="auto"/>
              <w:bottom w:val="single" w:sz="4" w:space="0" w:color="auto"/>
              <w:right w:val="single" w:sz="4" w:space="0" w:color="auto"/>
            </w:tcBorders>
            <w:shd w:val="clear" w:color="auto" w:fill="auto"/>
            <w:vAlign w:val="center"/>
          </w:tcPr>
          <w:p>
            <w:pPr>
              <w:jc w:val="right"/>
              <w:rPr>
                <w:noProof/>
                <w:color w:val="333333"/>
                <w:sz w:val="20"/>
                <w:szCs w:val="20"/>
              </w:rPr>
            </w:pPr>
            <w:r>
              <w:rPr>
                <w:noProof/>
                <w:color w:val="333333"/>
                <w:sz w:val="20"/>
                <w:szCs w:val="20"/>
              </w:rPr>
              <w:t>102 818</w:t>
            </w:r>
          </w:p>
        </w:tc>
        <w:tc>
          <w:tcPr>
            <w:tcW w:w="770" w:type="dxa"/>
            <w:tcBorders>
              <w:bottom w:val="single" w:sz="4" w:space="0" w:color="auto"/>
            </w:tcBorders>
            <w:shd w:val="clear" w:color="auto" w:fill="auto"/>
            <w:vAlign w:val="center"/>
          </w:tcPr>
          <w:p>
            <w:pPr>
              <w:jc w:val="center"/>
              <w:rPr>
                <w:noProof/>
                <w:sz w:val="20"/>
                <w:szCs w:val="20"/>
              </w:rPr>
            </w:pPr>
            <w:r>
              <w:rPr>
                <w:noProof/>
                <w:sz w:val="20"/>
                <w:szCs w:val="20"/>
              </w:rPr>
              <w:t>80</w:t>
            </w:r>
          </w:p>
        </w:tc>
      </w:tr>
      <w:tr>
        <w:trPr>
          <w:trHeight w:val="842"/>
        </w:trPr>
        <w:tc>
          <w:tcPr>
            <w:tcW w:w="440" w:type="dxa"/>
            <w:shd w:val="clear" w:color="auto" w:fill="EEECE1" w:themeFill="background2"/>
            <w:vAlign w:val="center"/>
          </w:tcPr>
          <w:p>
            <w:pPr>
              <w:jc w:val="center"/>
              <w:rPr>
                <w:noProof/>
                <w:sz w:val="20"/>
                <w:szCs w:val="20"/>
              </w:rPr>
            </w:pPr>
            <w:r>
              <w:rPr>
                <w:noProof/>
                <w:sz w:val="20"/>
                <w:szCs w:val="20"/>
              </w:rPr>
              <w:t>10</w:t>
            </w:r>
          </w:p>
        </w:tc>
        <w:tc>
          <w:tcPr>
            <w:tcW w:w="506" w:type="dxa"/>
            <w:tcBorders>
              <w:top w:val="nil"/>
              <w:left w:val="single" w:sz="4" w:space="0" w:color="auto"/>
              <w:bottom w:val="single" w:sz="4" w:space="0" w:color="auto"/>
              <w:right w:val="single" w:sz="4" w:space="0" w:color="auto"/>
            </w:tcBorders>
            <w:shd w:val="clear" w:color="auto" w:fill="EEECE1" w:themeFill="background2"/>
            <w:vAlign w:val="center"/>
          </w:tcPr>
          <w:p>
            <w:pPr>
              <w:jc w:val="center"/>
              <w:rPr>
                <w:noProof/>
                <w:color w:val="333333"/>
                <w:sz w:val="20"/>
                <w:szCs w:val="20"/>
              </w:rPr>
            </w:pPr>
            <w:r>
              <w:rPr>
                <w:noProof/>
                <w:color w:val="333333"/>
                <w:sz w:val="20"/>
                <w:szCs w:val="20"/>
              </w:rPr>
              <w:t>PL</w:t>
            </w:r>
          </w:p>
        </w:tc>
        <w:tc>
          <w:tcPr>
            <w:tcW w:w="2545" w:type="dxa"/>
            <w:tcBorders>
              <w:top w:val="nil"/>
              <w:left w:val="single" w:sz="4" w:space="0" w:color="auto"/>
              <w:bottom w:val="single" w:sz="4" w:space="0" w:color="auto"/>
              <w:right w:val="single" w:sz="4" w:space="0" w:color="auto"/>
            </w:tcBorders>
            <w:shd w:val="clear" w:color="auto" w:fill="EEECE1" w:themeFill="background2"/>
            <w:vAlign w:val="center"/>
          </w:tcPr>
          <w:p>
            <w:pPr>
              <w:rPr>
                <w:noProof/>
                <w:color w:val="333333"/>
                <w:sz w:val="20"/>
                <w:szCs w:val="20"/>
              </w:rPr>
            </w:pPr>
            <w:r>
              <w:rPr>
                <w:noProof/>
                <w:color w:val="333333"/>
                <w:sz w:val="20"/>
                <w:szCs w:val="20"/>
              </w:rPr>
              <w:t>National Tax Administration</w:t>
            </w:r>
          </w:p>
        </w:tc>
        <w:tc>
          <w:tcPr>
            <w:tcW w:w="4130" w:type="dxa"/>
            <w:tcBorders>
              <w:top w:val="nil"/>
              <w:left w:val="single" w:sz="4" w:space="0" w:color="auto"/>
              <w:bottom w:val="single" w:sz="4" w:space="0" w:color="auto"/>
              <w:right w:val="single" w:sz="4" w:space="0" w:color="auto"/>
            </w:tcBorders>
            <w:shd w:val="clear" w:color="auto" w:fill="EEECE1" w:themeFill="background2"/>
            <w:vAlign w:val="center"/>
          </w:tcPr>
          <w:p>
            <w:pPr>
              <w:rPr>
                <w:noProof/>
                <w:color w:val="333333"/>
                <w:sz w:val="20"/>
                <w:szCs w:val="20"/>
              </w:rPr>
            </w:pPr>
            <w:r>
              <w:rPr>
                <w:noProof/>
                <w:color w:val="333333"/>
                <w:sz w:val="20"/>
                <w:szCs w:val="20"/>
              </w:rPr>
              <w:t>Purchase of a technical equipment for Department for Combating Economic Crime of National Revenue Administration</w:t>
            </w:r>
          </w:p>
        </w:tc>
        <w:tc>
          <w:tcPr>
            <w:tcW w:w="1571"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pPr>
              <w:jc w:val="right"/>
              <w:rPr>
                <w:noProof/>
                <w:color w:val="333333"/>
                <w:sz w:val="20"/>
                <w:szCs w:val="20"/>
              </w:rPr>
            </w:pPr>
            <w:r>
              <w:rPr>
                <w:noProof/>
                <w:color w:val="333333"/>
                <w:sz w:val="20"/>
                <w:szCs w:val="20"/>
              </w:rPr>
              <w:t>305 215</w:t>
            </w:r>
          </w:p>
        </w:tc>
        <w:tc>
          <w:tcPr>
            <w:tcW w:w="770" w:type="dxa"/>
            <w:shd w:val="clear" w:color="auto" w:fill="EEECE1" w:themeFill="background2"/>
            <w:vAlign w:val="center"/>
          </w:tcPr>
          <w:p>
            <w:pPr>
              <w:jc w:val="center"/>
              <w:rPr>
                <w:noProof/>
                <w:sz w:val="20"/>
                <w:szCs w:val="20"/>
              </w:rPr>
            </w:pPr>
            <w:r>
              <w:rPr>
                <w:noProof/>
                <w:sz w:val="20"/>
                <w:szCs w:val="20"/>
              </w:rPr>
              <w:t>80</w:t>
            </w:r>
          </w:p>
        </w:tc>
      </w:tr>
      <w:tr>
        <w:trPr>
          <w:trHeight w:val="982"/>
        </w:trPr>
        <w:tc>
          <w:tcPr>
            <w:tcW w:w="440" w:type="dxa"/>
            <w:tcBorders>
              <w:bottom w:val="single" w:sz="4" w:space="0" w:color="auto"/>
            </w:tcBorders>
            <w:shd w:val="clear" w:color="auto" w:fill="auto"/>
            <w:vAlign w:val="center"/>
          </w:tcPr>
          <w:p>
            <w:pPr>
              <w:jc w:val="center"/>
              <w:rPr>
                <w:noProof/>
                <w:sz w:val="20"/>
                <w:szCs w:val="20"/>
              </w:rPr>
            </w:pPr>
            <w:r>
              <w:rPr>
                <w:noProof/>
                <w:sz w:val="20"/>
                <w:szCs w:val="20"/>
              </w:rPr>
              <w:t>11</w:t>
            </w:r>
          </w:p>
        </w:tc>
        <w:tc>
          <w:tcPr>
            <w:tcW w:w="506" w:type="dxa"/>
            <w:tcBorders>
              <w:top w:val="nil"/>
              <w:left w:val="single" w:sz="4" w:space="0" w:color="auto"/>
              <w:bottom w:val="single" w:sz="4" w:space="0" w:color="auto"/>
              <w:right w:val="single" w:sz="4" w:space="0" w:color="auto"/>
            </w:tcBorders>
            <w:shd w:val="clear" w:color="auto" w:fill="auto"/>
            <w:vAlign w:val="center"/>
          </w:tcPr>
          <w:p>
            <w:pPr>
              <w:jc w:val="center"/>
              <w:rPr>
                <w:noProof/>
                <w:color w:val="333333"/>
                <w:sz w:val="20"/>
                <w:szCs w:val="20"/>
              </w:rPr>
            </w:pPr>
            <w:r>
              <w:rPr>
                <w:noProof/>
                <w:color w:val="333333"/>
                <w:sz w:val="20"/>
                <w:szCs w:val="20"/>
              </w:rPr>
              <w:t>PL</w:t>
            </w:r>
          </w:p>
        </w:tc>
        <w:tc>
          <w:tcPr>
            <w:tcW w:w="2545" w:type="dxa"/>
            <w:tcBorders>
              <w:top w:val="nil"/>
              <w:left w:val="single" w:sz="4" w:space="0" w:color="auto"/>
              <w:bottom w:val="single" w:sz="4" w:space="0" w:color="auto"/>
              <w:right w:val="single" w:sz="4" w:space="0" w:color="auto"/>
            </w:tcBorders>
            <w:shd w:val="clear" w:color="auto" w:fill="auto"/>
            <w:vAlign w:val="center"/>
          </w:tcPr>
          <w:p>
            <w:pPr>
              <w:rPr>
                <w:noProof/>
                <w:color w:val="333333"/>
                <w:sz w:val="20"/>
                <w:szCs w:val="20"/>
              </w:rPr>
            </w:pPr>
            <w:r>
              <w:rPr>
                <w:noProof/>
                <w:color w:val="333333"/>
                <w:sz w:val="20"/>
                <w:szCs w:val="20"/>
              </w:rPr>
              <w:t>Tax Administration Chamber in Lublin</w:t>
            </w:r>
          </w:p>
        </w:tc>
        <w:tc>
          <w:tcPr>
            <w:tcW w:w="4130" w:type="dxa"/>
            <w:tcBorders>
              <w:top w:val="nil"/>
              <w:left w:val="single" w:sz="4" w:space="0" w:color="auto"/>
              <w:bottom w:val="single" w:sz="4" w:space="0" w:color="auto"/>
              <w:right w:val="single" w:sz="4" w:space="0" w:color="auto"/>
            </w:tcBorders>
            <w:shd w:val="clear" w:color="auto" w:fill="auto"/>
            <w:vAlign w:val="center"/>
          </w:tcPr>
          <w:p>
            <w:pPr>
              <w:rPr>
                <w:noProof/>
                <w:color w:val="333333"/>
                <w:sz w:val="20"/>
                <w:szCs w:val="20"/>
              </w:rPr>
            </w:pPr>
            <w:r>
              <w:rPr>
                <w:noProof/>
                <w:color w:val="333333"/>
                <w:sz w:val="20"/>
                <w:szCs w:val="20"/>
              </w:rPr>
              <w:t>Strengthening the operational capacity of Mobile Control Units in combating cigarettes smuggling and financial fraud at EU Eastern border – Purchase of a mobile scanner</w:t>
            </w:r>
          </w:p>
        </w:tc>
        <w:tc>
          <w:tcPr>
            <w:tcW w:w="1571" w:type="dxa"/>
            <w:tcBorders>
              <w:top w:val="nil"/>
              <w:left w:val="single" w:sz="4" w:space="0" w:color="auto"/>
              <w:bottom w:val="single" w:sz="4" w:space="0" w:color="auto"/>
              <w:right w:val="single" w:sz="4" w:space="0" w:color="auto"/>
            </w:tcBorders>
            <w:shd w:val="clear" w:color="auto" w:fill="auto"/>
            <w:vAlign w:val="center"/>
          </w:tcPr>
          <w:p>
            <w:pPr>
              <w:jc w:val="right"/>
              <w:rPr>
                <w:noProof/>
                <w:color w:val="333333"/>
                <w:sz w:val="20"/>
                <w:szCs w:val="20"/>
              </w:rPr>
            </w:pPr>
            <w:r>
              <w:rPr>
                <w:noProof/>
                <w:color w:val="333333"/>
                <w:sz w:val="20"/>
                <w:szCs w:val="20"/>
              </w:rPr>
              <w:t>1 090 379</w:t>
            </w:r>
          </w:p>
        </w:tc>
        <w:tc>
          <w:tcPr>
            <w:tcW w:w="770" w:type="dxa"/>
            <w:tcBorders>
              <w:bottom w:val="single" w:sz="4" w:space="0" w:color="auto"/>
            </w:tcBorders>
            <w:shd w:val="clear" w:color="auto" w:fill="auto"/>
            <w:vAlign w:val="center"/>
          </w:tcPr>
          <w:p>
            <w:pPr>
              <w:jc w:val="center"/>
              <w:rPr>
                <w:noProof/>
                <w:sz w:val="20"/>
                <w:szCs w:val="20"/>
              </w:rPr>
            </w:pPr>
            <w:r>
              <w:rPr>
                <w:noProof/>
                <w:sz w:val="20"/>
                <w:szCs w:val="20"/>
              </w:rPr>
              <w:t>80</w:t>
            </w:r>
          </w:p>
        </w:tc>
      </w:tr>
      <w:tr>
        <w:trPr>
          <w:trHeight w:val="839"/>
        </w:trPr>
        <w:tc>
          <w:tcPr>
            <w:tcW w:w="440" w:type="dxa"/>
            <w:shd w:val="clear" w:color="auto" w:fill="EEECE1" w:themeFill="background2"/>
            <w:vAlign w:val="center"/>
          </w:tcPr>
          <w:p>
            <w:pPr>
              <w:jc w:val="center"/>
              <w:rPr>
                <w:noProof/>
                <w:sz w:val="20"/>
                <w:szCs w:val="20"/>
              </w:rPr>
            </w:pPr>
            <w:r>
              <w:rPr>
                <w:noProof/>
                <w:sz w:val="20"/>
                <w:szCs w:val="20"/>
              </w:rPr>
              <w:t>12</w:t>
            </w:r>
          </w:p>
        </w:tc>
        <w:tc>
          <w:tcPr>
            <w:tcW w:w="506" w:type="dxa"/>
            <w:tcBorders>
              <w:top w:val="nil"/>
              <w:left w:val="single" w:sz="4" w:space="0" w:color="auto"/>
              <w:bottom w:val="single" w:sz="4" w:space="0" w:color="auto"/>
              <w:right w:val="single" w:sz="4" w:space="0" w:color="auto"/>
            </w:tcBorders>
            <w:shd w:val="clear" w:color="auto" w:fill="EEECE1" w:themeFill="background2"/>
            <w:vAlign w:val="center"/>
          </w:tcPr>
          <w:p>
            <w:pPr>
              <w:jc w:val="center"/>
              <w:rPr>
                <w:noProof/>
                <w:color w:val="333333"/>
                <w:sz w:val="20"/>
                <w:szCs w:val="20"/>
              </w:rPr>
            </w:pPr>
            <w:r>
              <w:rPr>
                <w:noProof/>
                <w:color w:val="333333"/>
                <w:sz w:val="20"/>
                <w:szCs w:val="20"/>
              </w:rPr>
              <w:t>RO</w:t>
            </w:r>
          </w:p>
        </w:tc>
        <w:tc>
          <w:tcPr>
            <w:tcW w:w="2545" w:type="dxa"/>
            <w:tcBorders>
              <w:top w:val="nil"/>
              <w:left w:val="single" w:sz="4" w:space="0" w:color="auto"/>
              <w:bottom w:val="single" w:sz="4" w:space="0" w:color="auto"/>
              <w:right w:val="single" w:sz="4" w:space="0" w:color="auto"/>
            </w:tcBorders>
            <w:shd w:val="clear" w:color="auto" w:fill="EEECE1" w:themeFill="background2"/>
            <w:vAlign w:val="center"/>
          </w:tcPr>
          <w:p>
            <w:pPr>
              <w:rPr>
                <w:noProof/>
                <w:color w:val="333333"/>
                <w:sz w:val="20"/>
                <w:szCs w:val="20"/>
              </w:rPr>
            </w:pPr>
            <w:r>
              <w:rPr>
                <w:noProof/>
                <w:color w:val="333333"/>
                <w:sz w:val="20"/>
                <w:szCs w:val="20"/>
              </w:rPr>
              <w:t>The National Anticorruption Directorate</w:t>
            </w:r>
          </w:p>
        </w:tc>
        <w:tc>
          <w:tcPr>
            <w:tcW w:w="4130" w:type="dxa"/>
            <w:tcBorders>
              <w:top w:val="nil"/>
              <w:left w:val="single" w:sz="4" w:space="0" w:color="auto"/>
              <w:bottom w:val="single" w:sz="4" w:space="0" w:color="auto"/>
              <w:right w:val="single" w:sz="4" w:space="0" w:color="auto"/>
            </w:tcBorders>
            <w:shd w:val="clear" w:color="auto" w:fill="EEECE1" w:themeFill="background2"/>
            <w:vAlign w:val="center"/>
          </w:tcPr>
          <w:p>
            <w:pPr>
              <w:rPr>
                <w:noProof/>
                <w:color w:val="333333"/>
                <w:sz w:val="20"/>
                <w:szCs w:val="20"/>
              </w:rPr>
            </w:pPr>
            <w:r>
              <w:rPr>
                <w:noProof/>
                <w:color w:val="333333"/>
                <w:sz w:val="20"/>
                <w:szCs w:val="20"/>
              </w:rPr>
              <w:t>Supporting the operational capacity of the National Anticorruption Directorate in investigating frauds against the EU funds</w:t>
            </w:r>
          </w:p>
        </w:tc>
        <w:tc>
          <w:tcPr>
            <w:tcW w:w="1571" w:type="dxa"/>
            <w:tcBorders>
              <w:top w:val="nil"/>
              <w:left w:val="single" w:sz="4" w:space="0" w:color="auto"/>
              <w:bottom w:val="single" w:sz="4" w:space="0" w:color="auto"/>
              <w:right w:val="single" w:sz="4" w:space="0" w:color="auto"/>
            </w:tcBorders>
            <w:shd w:val="clear" w:color="auto" w:fill="EEECE1" w:themeFill="background2"/>
            <w:vAlign w:val="center"/>
          </w:tcPr>
          <w:p>
            <w:pPr>
              <w:jc w:val="right"/>
              <w:rPr>
                <w:noProof/>
                <w:color w:val="333333"/>
                <w:sz w:val="20"/>
                <w:szCs w:val="20"/>
              </w:rPr>
            </w:pPr>
            <w:r>
              <w:rPr>
                <w:noProof/>
                <w:color w:val="333333"/>
                <w:sz w:val="20"/>
                <w:szCs w:val="20"/>
              </w:rPr>
              <w:t>474 109</w:t>
            </w:r>
          </w:p>
        </w:tc>
        <w:tc>
          <w:tcPr>
            <w:tcW w:w="770" w:type="dxa"/>
            <w:shd w:val="clear" w:color="auto" w:fill="EEECE1" w:themeFill="background2"/>
            <w:vAlign w:val="center"/>
          </w:tcPr>
          <w:p>
            <w:pPr>
              <w:jc w:val="center"/>
              <w:rPr>
                <w:noProof/>
                <w:sz w:val="20"/>
                <w:szCs w:val="20"/>
              </w:rPr>
            </w:pPr>
            <w:r>
              <w:rPr>
                <w:noProof/>
                <w:sz w:val="20"/>
                <w:szCs w:val="20"/>
              </w:rPr>
              <w:t>80</w:t>
            </w:r>
          </w:p>
        </w:tc>
      </w:tr>
      <w:tr>
        <w:trPr>
          <w:trHeight w:val="980"/>
        </w:trPr>
        <w:tc>
          <w:tcPr>
            <w:tcW w:w="440" w:type="dxa"/>
            <w:tcBorders>
              <w:bottom w:val="single" w:sz="4" w:space="0" w:color="auto"/>
            </w:tcBorders>
            <w:shd w:val="clear" w:color="auto" w:fill="auto"/>
            <w:vAlign w:val="center"/>
          </w:tcPr>
          <w:p>
            <w:pPr>
              <w:jc w:val="center"/>
              <w:rPr>
                <w:noProof/>
                <w:sz w:val="20"/>
                <w:szCs w:val="20"/>
              </w:rPr>
            </w:pPr>
            <w:r>
              <w:rPr>
                <w:noProof/>
                <w:sz w:val="20"/>
                <w:szCs w:val="20"/>
              </w:rPr>
              <w:t>13</w:t>
            </w:r>
          </w:p>
        </w:tc>
        <w:tc>
          <w:tcPr>
            <w:tcW w:w="506" w:type="dxa"/>
            <w:tcBorders>
              <w:top w:val="nil"/>
              <w:left w:val="single" w:sz="4" w:space="0" w:color="auto"/>
              <w:bottom w:val="single" w:sz="4" w:space="0" w:color="auto"/>
              <w:right w:val="single" w:sz="4" w:space="0" w:color="auto"/>
            </w:tcBorders>
            <w:shd w:val="clear" w:color="auto" w:fill="auto"/>
            <w:vAlign w:val="center"/>
          </w:tcPr>
          <w:p>
            <w:pPr>
              <w:jc w:val="center"/>
              <w:rPr>
                <w:noProof/>
                <w:color w:val="333333"/>
                <w:sz w:val="20"/>
                <w:szCs w:val="20"/>
              </w:rPr>
            </w:pPr>
            <w:r>
              <w:rPr>
                <w:noProof/>
                <w:color w:val="333333"/>
                <w:sz w:val="20"/>
                <w:szCs w:val="20"/>
              </w:rPr>
              <w:t>SK</w:t>
            </w:r>
          </w:p>
        </w:tc>
        <w:tc>
          <w:tcPr>
            <w:tcW w:w="2545" w:type="dxa"/>
            <w:tcBorders>
              <w:top w:val="nil"/>
              <w:left w:val="single" w:sz="4" w:space="0" w:color="auto"/>
              <w:bottom w:val="single" w:sz="4" w:space="0" w:color="auto"/>
              <w:right w:val="single" w:sz="4" w:space="0" w:color="auto"/>
            </w:tcBorders>
            <w:shd w:val="clear" w:color="auto" w:fill="auto"/>
            <w:vAlign w:val="center"/>
          </w:tcPr>
          <w:p>
            <w:pPr>
              <w:rPr>
                <w:noProof/>
                <w:color w:val="333333"/>
                <w:sz w:val="20"/>
                <w:szCs w:val="20"/>
              </w:rPr>
            </w:pPr>
            <w:r>
              <w:rPr>
                <w:noProof/>
                <w:color w:val="333333"/>
                <w:sz w:val="20"/>
                <w:szCs w:val="20"/>
              </w:rPr>
              <w:t>Financial Directorate of the Slovak Republic</w:t>
            </w:r>
          </w:p>
        </w:tc>
        <w:tc>
          <w:tcPr>
            <w:tcW w:w="4130" w:type="dxa"/>
            <w:tcBorders>
              <w:top w:val="nil"/>
              <w:left w:val="single" w:sz="4" w:space="0" w:color="auto"/>
              <w:bottom w:val="single" w:sz="4" w:space="0" w:color="auto"/>
              <w:right w:val="single" w:sz="4" w:space="0" w:color="auto"/>
            </w:tcBorders>
            <w:shd w:val="clear" w:color="auto" w:fill="auto"/>
            <w:vAlign w:val="center"/>
          </w:tcPr>
          <w:p>
            <w:pPr>
              <w:rPr>
                <w:noProof/>
                <w:color w:val="333333"/>
                <w:sz w:val="20"/>
                <w:szCs w:val="20"/>
              </w:rPr>
            </w:pPr>
            <w:r>
              <w:rPr>
                <w:noProof/>
                <w:color w:val="333333"/>
                <w:sz w:val="20"/>
                <w:szCs w:val="20"/>
              </w:rPr>
              <w:t xml:space="preserve">Improving customs surveillance and trade facilitation at the border crossing points </w:t>
            </w:r>
          </w:p>
        </w:tc>
        <w:tc>
          <w:tcPr>
            <w:tcW w:w="1571" w:type="dxa"/>
            <w:tcBorders>
              <w:top w:val="nil"/>
              <w:left w:val="single" w:sz="4" w:space="0" w:color="auto"/>
              <w:bottom w:val="single" w:sz="4" w:space="0" w:color="auto"/>
              <w:right w:val="single" w:sz="4" w:space="0" w:color="auto"/>
            </w:tcBorders>
            <w:shd w:val="clear" w:color="auto" w:fill="auto"/>
            <w:vAlign w:val="center"/>
          </w:tcPr>
          <w:p>
            <w:pPr>
              <w:jc w:val="right"/>
              <w:rPr>
                <w:noProof/>
                <w:color w:val="333333"/>
                <w:sz w:val="20"/>
                <w:szCs w:val="20"/>
              </w:rPr>
            </w:pPr>
            <w:r>
              <w:rPr>
                <w:noProof/>
                <w:color w:val="333333"/>
                <w:sz w:val="20"/>
                <w:szCs w:val="20"/>
              </w:rPr>
              <w:t>1 800 000</w:t>
            </w:r>
          </w:p>
        </w:tc>
        <w:tc>
          <w:tcPr>
            <w:tcW w:w="770" w:type="dxa"/>
            <w:tcBorders>
              <w:bottom w:val="single" w:sz="4" w:space="0" w:color="auto"/>
            </w:tcBorders>
            <w:shd w:val="clear" w:color="auto" w:fill="auto"/>
            <w:vAlign w:val="center"/>
          </w:tcPr>
          <w:p>
            <w:pPr>
              <w:jc w:val="center"/>
              <w:rPr>
                <w:noProof/>
                <w:sz w:val="20"/>
                <w:szCs w:val="20"/>
              </w:rPr>
            </w:pPr>
            <w:r>
              <w:rPr>
                <w:noProof/>
                <w:sz w:val="20"/>
                <w:szCs w:val="20"/>
              </w:rPr>
              <w:t>80</w:t>
            </w:r>
          </w:p>
        </w:tc>
      </w:tr>
      <w:tr>
        <w:trPr>
          <w:trHeight w:val="414"/>
        </w:trPr>
        <w:tc>
          <w:tcPr>
            <w:tcW w:w="440" w:type="dxa"/>
            <w:tcBorders>
              <w:left w:val="nil"/>
              <w:bottom w:val="nil"/>
              <w:right w:val="nil"/>
            </w:tcBorders>
            <w:vAlign w:val="center"/>
          </w:tcPr>
          <w:p>
            <w:pPr>
              <w:rPr>
                <w:noProof/>
                <w:sz w:val="20"/>
                <w:szCs w:val="20"/>
              </w:rPr>
            </w:pPr>
          </w:p>
        </w:tc>
        <w:tc>
          <w:tcPr>
            <w:tcW w:w="506" w:type="dxa"/>
            <w:tcBorders>
              <w:left w:val="nil"/>
              <w:bottom w:val="nil"/>
              <w:right w:val="nil"/>
            </w:tcBorders>
            <w:vAlign w:val="center"/>
          </w:tcPr>
          <w:p>
            <w:pPr>
              <w:rPr>
                <w:noProof/>
                <w:sz w:val="20"/>
                <w:szCs w:val="20"/>
              </w:rPr>
            </w:pPr>
          </w:p>
        </w:tc>
        <w:tc>
          <w:tcPr>
            <w:tcW w:w="2545" w:type="dxa"/>
            <w:tcBorders>
              <w:left w:val="nil"/>
              <w:bottom w:val="nil"/>
            </w:tcBorders>
            <w:vAlign w:val="center"/>
          </w:tcPr>
          <w:p>
            <w:pPr>
              <w:rPr>
                <w:noProof/>
                <w:sz w:val="20"/>
                <w:szCs w:val="20"/>
              </w:rPr>
            </w:pPr>
          </w:p>
        </w:tc>
        <w:tc>
          <w:tcPr>
            <w:tcW w:w="4130" w:type="dxa"/>
            <w:shd w:val="clear" w:color="auto" w:fill="D9D9D9" w:themeFill="background1" w:themeFillShade="D9"/>
            <w:vAlign w:val="center"/>
          </w:tcPr>
          <w:p>
            <w:pPr>
              <w:jc w:val="right"/>
              <w:rPr>
                <w:b/>
                <w:noProof/>
                <w:sz w:val="20"/>
                <w:szCs w:val="20"/>
              </w:rPr>
            </w:pPr>
            <w:r>
              <w:rPr>
                <w:b/>
                <w:noProof/>
                <w:sz w:val="20"/>
                <w:szCs w:val="20"/>
              </w:rPr>
              <w:t>TOTAL</w:t>
            </w:r>
          </w:p>
        </w:tc>
        <w:tc>
          <w:tcPr>
            <w:tcW w:w="1571" w:type="dxa"/>
            <w:shd w:val="clear" w:color="auto" w:fill="D9D9D9" w:themeFill="background1" w:themeFillShade="D9"/>
            <w:vAlign w:val="center"/>
          </w:tcPr>
          <w:p>
            <w:pPr>
              <w:jc w:val="right"/>
              <w:rPr>
                <w:b/>
                <w:noProof/>
                <w:sz w:val="20"/>
                <w:szCs w:val="20"/>
              </w:rPr>
            </w:pPr>
            <w:r>
              <w:rPr>
                <w:b/>
                <w:noProof/>
                <w:sz w:val="20"/>
                <w:szCs w:val="20"/>
              </w:rPr>
              <w:t>10 901 199</w:t>
            </w:r>
          </w:p>
        </w:tc>
        <w:tc>
          <w:tcPr>
            <w:tcW w:w="770" w:type="dxa"/>
            <w:shd w:val="clear" w:color="auto" w:fill="D9D9D9" w:themeFill="background1" w:themeFillShade="D9"/>
            <w:vAlign w:val="center"/>
          </w:tcPr>
          <w:p>
            <w:pPr>
              <w:jc w:val="center"/>
              <w:rPr>
                <w:b/>
                <w:noProof/>
                <w:sz w:val="20"/>
                <w:szCs w:val="20"/>
              </w:rPr>
            </w:pPr>
            <w:r>
              <w:rPr>
                <w:b/>
                <w:noProof/>
                <w:sz w:val="20"/>
                <w:szCs w:val="20"/>
              </w:rPr>
              <w:t>78.5</w:t>
            </w:r>
          </w:p>
        </w:tc>
      </w:tr>
    </w:tbl>
    <w:p>
      <w:pPr>
        <w:pStyle w:val="Text1"/>
        <w:spacing w:after="240"/>
        <w:ind w:left="0"/>
        <w:rPr>
          <w:noProof/>
          <w:sz w:val="20"/>
          <w:szCs w:val="20"/>
        </w:rPr>
      </w:pPr>
    </w:p>
    <w:p>
      <w:pPr>
        <w:pStyle w:val="Text1"/>
        <w:spacing w:after="240"/>
        <w:ind w:left="0"/>
        <w:rPr>
          <w:noProof/>
          <w:sz w:val="20"/>
          <w:szCs w:val="20"/>
        </w:rPr>
      </w:pPr>
    </w:p>
    <w:p>
      <w:pPr>
        <w:pStyle w:val="Text1"/>
        <w:spacing w:after="240"/>
        <w:ind w:left="0"/>
        <w:rPr>
          <w:noProof/>
          <w:sz w:val="20"/>
          <w:szCs w:val="20"/>
        </w:rPr>
      </w:pPr>
    </w:p>
    <w:p>
      <w:pPr>
        <w:pStyle w:val="Text1"/>
        <w:spacing w:after="240"/>
        <w:ind w:left="0"/>
        <w:rPr>
          <w:noProof/>
          <w:sz w:val="20"/>
          <w:szCs w:val="20"/>
        </w:rPr>
      </w:pPr>
    </w:p>
    <w:p>
      <w:pPr>
        <w:pStyle w:val="Text1"/>
        <w:spacing w:after="240"/>
        <w:ind w:left="0"/>
        <w:rPr>
          <w:noProof/>
          <w:sz w:val="20"/>
          <w:szCs w:val="20"/>
        </w:rPr>
      </w:pPr>
      <w:r>
        <w:rPr>
          <w:noProof/>
          <w:sz w:val="20"/>
          <w:szCs w:val="20"/>
        </w:rPr>
        <w:t xml:space="preserve">Table 2 – </w:t>
      </w:r>
      <w:r>
        <w:rPr>
          <w:b/>
          <w:noProof/>
          <w:sz w:val="20"/>
          <w:szCs w:val="20"/>
        </w:rPr>
        <w:t>TECHNICAL ASSISTANCE</w:t>
      </w:r>
      <w:r>
        <w:rPr>
          <w:noProof/>
          <w:sz w:val="20"/>
          <w:szCs w:val="20"/>
        </w:rPr>
        <w:t xml:space="preserve"> grants </w:t>
      </w:r>
      <w:r>
        <w:rPr>
          <w:b/>
          <w:noProof/>
          <w:sz w:val="20"/>
          <w:szCs w:val="20"/>
        </w:rPr>
        <w:t>FINALISED</w:t>
      </w:r>
      <w:r>
        <w:rPr>
          <w:noProof/>
          <w:sz w:val="20"/>
          <w:szCs w:val="20"/>
        </w:rPr>
        <w:t xml:space="preserve"> in 2019</w:t>
      </w:r>
    </w:p>
    <w:tbl>
      <w:tblPr>
        <w:tblStyle w:val="TableGrid"/>
        <w:tblW w:w="10077" w:type="dxa"/>
        <w:tblLook w:val="04A0" w:firstRow="1" w:lastRow="0" w:firstColumn="1" w:lastColumn="0" w:noHBand="0" w:noVBand="1"/>
      </w:tblPr>
      <w:tblGrid>
        <w:gridCol w:w="527"/>
        <w:gridCol w:w="693"/>
        <w:gridCol w:w="2354"/>
        <w:gridCol w:w="4150"/>
        <w:gridCol w:w="1384"/>
        <w:gridCol w:w="969"/>
      </w:tblGrid>
      <w:tr>
        <w:tc>
          <w:tcPr>
            <w:tcW w:w="527" w:type="dxa"/>
            <w:shd w:val="clear" w:color="auto" w:fill="D9D9D9" w:themeFill="background1" w:themeFillShade="D9"/>
            <w:vAlign w:val="center"/>
          </w:tcPr>
          <w:p>
            <w:pPr>
              <w:jc w:val="center"/>
              <w:rPr>
                <w:noProof/>
                <w:sz w:val="20"/>
                <w:szCs w:val="20"/>
              </w:rPr>
            </w:pPr>
          </w:p>
        </w:tc>
        <w:tc>
          <w:tcPr>
            <w:tcW w:w="693" w:type="dxa"/>
            <w:shd w:val="clear" w:color="auto" w:fill="D9D9D9" w:themeFill="background1" w:themeFillShade="D9"/>
            <w:vAlign w:val="center"/>
          </w:tcPr>
          <w:p>
            <w:pPr>
              <w:jc w:val="center"/>
              <w:rPr>
                <w:noProof/>
                <w:sz w:val="20"/>
                <w:szCs w:val="20"/>
              </w:rPr>
            </w:pPr>
            <w:r>
              <w:rPr>
                <w:noProof/>
                <w:sz w:val="20"/>
                <w:szCs w:val="20"/>
              </w:rPr>
              <w:t>MS</w:t>
            </w:r>
          </w:p>
        </w:tc>
        <w:tc>
          <w:tcPr>
            <w:tcW w:w="2354" w:type="dxa"/>
            <w:shd w:val="clear" w:color="auto" w:fill="D9D9D9" w:themeFill="background1" w:themeFillShade="D9"/>
            <w:vAlign w:val="center"/>
          </w:tcPr>
          <w:p>
            <w:pPr>
              <w:jc w:val="center"/>
              <w:rPr>
                <w:noProof/>
                <w:sz w:val="20"/>
                <w:szCs w:val="20"/>
              </w:rPr>
            </w:pPr>
            <w:r>
              <w:rPr>
                <w:noProof/>
                <w:sz w:val="20"/>
                <w:szCs w:val="20"/>
              </w:rPr>
              <w:t>Beneficiary</w:t>
            </w:r>
          </w:p>
        </w:tc>
        <w:tc>
          <w:tcPr>
            <w:tcW w:w="4150" w:type="dxa"/>
            <w:shd w:val="clear" w:color="auto" w:fill="D9D9D9" w:themeFill="background1" w:themeFillShade="D9"/>
            <w:vAlign w:val="center"/>
          </w:tcPr>
          <w:p>
            <w:pPr>
              <w:jc w:val="center"/>
              <w:rPr>
                <w:noProof/>
                <w:sz w:val="20"/>
                <w:szCs w:val="20"/>
              </w:rPr>
            </w:pPr>
            <w:r>
              <w:rPr>
                <w:noProof/>
                <w:sz w:val="20"/>
                <w:szCs w:val="20"/>
              </w:rPr>
              <w:t>Title</w:t>
            </w:r>
          </w:p>
        </w:tc>
        <w:tc>
          <w:tcPr>
            <w:tcW w:w="1384" w:type="dxa"/>
            <w:shd w:val="clear" w:color="auto" w:fill="D9D9D9" w:themeFill="background1" w:themeFillShade="D9"/>
            <w:vAlign w:val="center"/>
          </w:tcPr>
          <w:p>
            <w:pPr>
              <w:jc w:val="center"/>
              <w:rPr>
                <w:noProof/>
                <w:sz w:val="20"/>
                <w:szCs w:val="20"/>
              </w:rPr>
            </w:pPr>
            <w:r>
              <w:rPr>
                <w:noProof/>
                <w:sz w:val="20"/>
                <w:szCs w:val="20"/>
              </w:rPr>
              <w:t>Amount paid (EUR)</w:t>
            </w:r>
          </w:p>
        </w:tc>
        <w:tc>
          <w:tcPr>
            <w:tcW w:w="969" w:type="dxa"/>
            <w:shd w:val="clear" w:color="auto" w:fill="D9D9D9" w:themeFill="background1" w:themeFillShade="D9"/>
            <w:vAlign w:val="center"/>
          </w:tcPr>
          <w:p>
            <w:pPr>
              <w:jc w:val="center"/>
              <w:rPr>
                <w:noProof/>
                <w:sz w:val="20"/>
                <w:szCs w:val="20"/>
              </w:rPr>
            </w:pPr>
            <w:r>
              <w:rPr>
                <w:bCs/>
                <w:noProof/>
                <w:sz w:val="20"/>
                <w:szCs w:val="20"/>
              </w:rPr>
              <w:t>Amount paid as % to initial commit-ment</w:t>
            </w:r>
            <w:r>
              <w:rPr>
                <w:bCs/>
                <w:noProof/>
                <w:sz w:val="20"/>
                <w:szCs w:val="20"/>
                <w:vertAlign w:val="superscript"/>
              </w:rPr>
              <w:footnoteReference w:id="31"/>
            </w:r>
          </w:p>
        </w:tc>
      </w:tr>
      <w:tr>
        <w:tc>
          <w:tcPr>
            <w:tcW w:w="527" w:type="dxa"/>
            <w:shd w:val="clear" w:color="auto" w:fill="auto"/>
            <w:vAlign w:val="center"/>
          </w:tcPr>
          <w:p>
            <w:pPr>
              <w:jc w:val="center"/>
              <w:rPr>
                <w:noProof/>
                <w:sz w:val="20"/>
                <w:szCs w:val="20"/>
              </w:rPr>
            </w:pPr>
            <w:r>
              <w:rPr>
                <w:noProof/>
                <w:sz w:val="20"/>
                <w:szCs w:val="20"/>
              </w:rPr>
              <w:t>1</w:t>
            </w:r>
          </w:p>
        </w:tc>
        <w:tc>
          <w:tcPr>
            <w:tcW w:w="693" w:type="dxa"/>
            <w:shd w:val="clear" w:color="auto" w:fill="auto"/>
            <w:vAlign w:val="center"/>
          </w:tcPr>
          <w:p>
            <w:pPr>
              <w:jc w:val="center"/>
              <w:rPr>
                <w:noProof/>
                <w:color w:val="333333"/>
                <w:sz w:val="20"/>
                <w:szCs w:val="20"/>
              </w:rPr>
            </w:pPr>
            <w:r>
              <w:rPr>
                <w:noProof/>
                <w:color w:val="333333"/>
                <w:sz w:val="20"/>
                <w:szCs w:val="20"/>
              </w:rPr>
              <w:t>LT</w:t>
            </w:r>
          </w:p>
        </w:tc>
        <w:tc>
          <w:tcPr>
            <w:tcW w:w="2354" w:type="dxa"/>
            <w:shd w:val="clear" w:color="auto" w:fill="auto"/>
            <w:vAlign w:val="center"/>
          </w:tcPr>
          <w:p>
            <w:pPr>
              <w:rPr>
                <w:noProof/>
                <w:color w:val="333333"/>
                <w:sz w:val="20"/>
                <w:szCs w:val="20"/>
              </w:rPr>
            </w:pPr>
            <w:r>
              <w:rPr>
                <w:noProof/>
                <w:color w:val="333333"/>
                <w:sz w:val="20"/>
                <w:szCs w:val="20"/>
              </w:rPr>
              <w:t>State Border Guard Service under the Ministry of the Interior</w:t>
            </w:r>
          </w:p>
        </w:tc>
        <w:tc>
          <w:tcPr>
            <w:tcW w:w="4150" w:type="dxa"/>
            <w:shd w:val="clear" w:color="auto" w:fill="auto"/>
            <w:vAlign w:val="center"/>
          </w:tcPr>
          <w:p>
            <w:pPr>
              <w:rPr>
                <w:noProof/>
                <w:color w:val="333333"/>
                <w:sz w:val="20"/>
                <w:szCs w:val="20"/>
              </w:rPr>
            </w:pPr>
            <w:r>
              <w:rPr>
                <w:noProof/>
                <w:color w:val="333333"/>
                <w:sz w:val="20"/>
                <w:szCs w:val="20"/>
              </w:rPr>
              <w:t>The use of unmanned aerial vehicles in the Sate Border Guard Service's activity against tobacco smuggling</w:t>
            </w:r>
          </w:p>
        </w:tc>
        <w:tc>
          <w:tcPr>
            <w:tcW w:w="1384" w:type="dxa"/>
            <w:shd w:val="clear" w:color="auto" w:fill="auto"/>
            <w:vAlign w:val="center"/>
          </w:tcPr>
          <w:p>
            <w:pPr>
              <w:jc w:val="right"/>
              <w:rPr>
                <w:bCs/>
                <w:noProof/>
                <w:color w:val="333333"/>
                <w:sz w:val="20"/>
                <w:szCs w:val="20"/>
              </w:rPr>
            </w:pPr>
            <w:r>
              <w:rPr>
                <w:bCs/>
                <w:noProof/>
                <w:color w:val="333333"/>
                <w:sz w:val="20"/>
                <w:szCs w:val="20"/>
              </w:rPr>
              <w:t>79 016</w:t>
            </w:r>
          </w:p>
        </w:tc>
        <w:tc>
          <w:tcPr>
            <w:tcW w:w="969" w:type="dxa"/>
            <w:shd w:val="clear" w:color="auto" w:fill="auto"/>
            <w:vAlign w:val="center"/>
          </w:tcPr>
          <w:p>
            <w:pPr>
              <w:jc w:val="center"/>
              <w:rPr>
                <w:noProof/>
                <w:color w:val="333333"/>
                <w:sz w:val="20"/>
                <w:szCs w:val="20"/>
              </w:rPr>
            </w:pPr>
            <w:r>
              <w:rPr>
                <w:noProof/>
                <w:color w:val="333333"/>
                <w:sz w:val="20"/>
                <w:szCs w:val="20"/>
              </w:rPr>
              <w:t>100</w:t>
            </w:r>
          </w:p>
        </w:tc>
      </w:tr>
      <w:tr>
        <w:tc>
          <w:tcPr>
            <w:tcW w:w="527" w:type="dxa"/>
            <w:shd w:val="clear" w:color="auto" w:fill="EEECE1" w:themeFill="background2"/>
            <w:vAlign w:val="center"/>
          </w:tcPr>
          <w:p>
            <w:pPr>
              <w:jc w:val="center"/>
              <w:rPr>
                <w:noProof/>
                <w:sz w:val="20"/>
                <w:szCs w:val="20"/>
              </w:rPr>
            </w:pPr>
            <w:r>
              <w:rPr>
                <w:noProof/>
                <w:sz w:val="20"/>
                <w:szCs w:val="20"/>
              </w:rPr>
              <w:t>2</w:t>
            </w:r>
          </w:p>
        </w:tc>
        <w:tc>
          <w:tcPr>
            <w:tcW w:w="693" w:type="dxa"/>
            <w:shd w:val="clear" w:color="auto" w:fill="EEECE1" w:themeFill="background2"/>
            <w:vAlign w:val="center"/>
          </w:tcPr>
          <w:p>
            <w:pPr>
              <w:jc w:val="center"/>
              <w:rPr>
                <w:noProof/>
                <w:color w:val="333333"/>
                <w:sz w:val="20"/>
                <w:szCs w:val="20"/>
              </w:rPr>
            </w:pPr>
            <w:r>
              <w:rPr>
                <w:noProof/>
                <w:color w:val="333333"/>
                <w:sz w:val="20"/>
                <w:szCs w:val="20"/>
              </w:rPr>
              <w:t>SI</w:t>
            </w:r>
          </w:p>
        </w:tc>
        <w:tc>
          <w:tcPr>
            <w:tcW w:w="2354" w:type="dxa"/>
            <w:shd w:val="clear" w:color="auto" w:fill="EEECE1" w:themeFill="background2"/>
            <w:vAlign w:val="center"/>
          </w:tcPr>
          <w:p>
            <w:pPr>
              <w:rPr>
                <w:noProof/>
                <w:color w:val="333333"/>
                <w:sz w:val="20"/>
                <w:szCs w:val="20"/>
              </w:rPr>
            </w:pPr>
            <w:r>
              <w:rPr>
                <w:noProof/>
                <w:color w:val="333333"/>
                <w:sz w:val="20"/>
                <w:szCs w:val="20"/>
              </w:rPr>
              <w:t>Ministry of the Interior</w:t>
            </w:r>
          </w:p>
        </w:tc>
        <w:tc>
          <w:tcPr>
            <w:tcW w:w="4150" w:type="dxa"/>
            <w:shd w:val="clear" w:color="auto" w:fill="EEECE1" w:themeFill="background2"/>
            <w:vAlign w:val="center"/>
          </w:tcPr>
          <w:p>
            <w:pPr>
              <w:rPr>
                <w:noProof/>
                <w:color w:val="333333"/>
                <w:sz w:val="20"/>
                <w:szCs w:val="20"/>
              </w:rPr>
            </w:pPr>
            <w:r>
              <w:rPr>
                <w:noProof/>
                <w:color w:val="333333"/>
                <w:sz w:val="20"/>
                <w:szCs w:val="20"/>
              </w:rPr>
              <w:t>Technical Assistance for mobile ANPR and the setting up of an Advanced Investigation Platform (AIP)</w:t>
            </w:r>
          </w:p>
        </w:tc>
        <w:tc>
          <w:tcPr>
            <w:tcW w:w="1384" w:type="dxa"/>
            <w:shd w:val="clear" w:color="auto" w:fill="EEECE1" w:themeFill="background2"/>
            <w:vAlign w:val="center"/>
          </w:tcPr>
          <w:p>
            <w:pPr>
              <w:jc w:val="right"/>
              <w:rPr>
                <w:bCs/>
                <w:noProof/>
                <w:color w:val="333333"/>
                <w:sz w:val="20"/>
                <w:szCs w:val="20"/>
              </w:rPr>
            </w:pPr>
            <w:r>
              <w:rPr>
                <w:bCs/>
                <w:noProof/>
                <w:color w:val="333333"/>
                <w:sz w:val="20"/>
                <w:szCs w:val="20"/>
              </w:rPr>
              <w:t>324 899</w:t>
            </w:r>
          </w:p>
        </w:tc>
        <w:tc>
          <w:tcPr>
            <w:tcW w:w="969" w:type="dxa"/>
            <w:shd w:val="clear" w:color="auto" w:fill="EEECE1" w:themeFill="background2"/>
            <w:vAlign w:val="center"/>
          </w:tcPr>
          <w:p>
            <w:pPr>
              <w:jc w:val="center"/>
              <w:rPr>
                <w:noProof/>
                <w:color w:val="333333"/>
                <w:sz w:val="20"/>
                <w:szCs w:val="20"/>
              </w:rPr>
            </w:pPr>
            <w:r>
              <w:rPr>
                <w:noProof/>
                <w:color w:val="333333"/>
                <w:sz w:val="20"/>
                <w:szCs w:val="20"/>
              </w:rPr>
              <w:t>71</w:t>
            </w:r>
          </w:p>
        </w:tc>
      </w:tr>
      <w:tr>
        <w:tc>
          <w:tcPr>
            <w:tcW w:w="527" w:type="dxa"/>
            <w:shd w:val="clear" w:color="auto" w:fill="auto"/>
            <w:vAlign w:val="center"/>
          </w:tcPr>
          <w:p>
            <w:pPr>
              <w:jc w:val="center"/>
              <w:rPr>
                <w:noProof/>
                <w:sz w:val="20"/>
                <w:szCs w:val="20"/>
              </w:rPr>
            </w:pPr>
            <w:r>
              <w:rPr>
                <w:noProof/>
                <w:sz w:val="20"/>
                <w:szCs w:val="20"/>
              </w:rPr>
              <w:t>3</w:t>
            </w:r>
          </w:p>
        </w:tc>
        <w:tc>
          <w:tcPr>
            <w:tcW w:w="693" w:type="dxa"/>
            <w:shd w:val="clear" w:color="auto" w:fill="auto"/>
            <w:vAlign w:val="center"/>
          </w:tcPr>
          <w:p>
            <w:pPr>
              <w:jc w:val="center"/>
              <w:rPr>
                <w:noProof/>
                <w:color w:val="333333"/>
                <w:sz w:val="20"/>
                <w:szCs w:val="20"/>
              </w:rPr>
            </w:pPr>
            <w:r>
              <w:rPr>
                <w:noProof/>
                <w:color w:val="333333"/>
                <w:sz w:val="20"/>
                <w:szCs w:val="20"/>
              </w:rPr>
              <w:t>LT</w:t>
            </w:r>
          </w:p>
        </w:tc>
        <w:tc>
          <w:tcPr>
            <w:tcW w:w="2354" w:type="dxa"/>
            <w:shd w:val="clear" w:color="auto" w:fill="auto"/>
            <w:vAlign w:val="center"/>
          </w:tcPr>
          <w:p>
            <w:pPr>
              <w:rPr>
                <w:noProof/>
                <w:color w:val="333333"/>
                <w:sz w:val="20"/>
                <w:szCs w:val="20"/>
              </w:rPr>
            </w:pPr>
            <w:r>
              <w:rPr>
                <w:noProof/>
                <w:color w:val="333333"/>
                <w:sz w:val="20"/>
                <w:szCs w:val="20"/>
              </w:rPr>
              <w:t>Customs Criminal Service</w:t>
            </w:r>
          </w:p>
        </w:tc>
        <w:tc>
          <w:tcPr>
            <w:tcW w:w="4150" w:type="dxa"/>
            <w:shd w:val="clear" w:color="auto" w:fill="auto"/>
            <w:vAlign w:val="center"/>
          </w:tcPr>
          <w:p>
            <w:pPr>
              <w:rPr>
                <w:noProof/>
                <w:color w:val="333333"/>
                <w:sz w:val="20"/>
                <w:szCs w:val="20"/>
              </w:rPr>
            </w:pPr>
            <w:r>
              <w:rPr>
                <w:noProof/>
                <w:color w:val="333333"/>
                <w:sz w:val="20"/>
                <w:szCs w:val="20"/>
              </w:rPr>
              <w:t>Development of Criminal Intelligence Technical Tools</w:t>
            </w:r>
          </w:p>
        </w:tc>
        <w:tc>
          <w:tcPr>
            <w:tcW w:w="1384" w:type="dxa"/>
            <w:shd w:val="clear" w:color="auto" w:fill="auto"/>
            <w:vAlign w:val="center"/>
          </w:tcPr>
          <w:p>
            <w:pPr>
              <w:jc w:val="right"/>
              <w:rPr>
                <w:bCs/>
                <w:noProof/>
                <w:color w:val="333333"/>
                <w:sz w:val="20"/>
                <w:szCs w:val="20"/>
              </w:rPr>
            </w:pPr>
            <w:r>
              <w:rPr>
                <w:bCs/>
                <w:noProof/>
                <w:color w:val="333333"/>
                <w:sz w:val="20"/>
                <w:szCs w:val="20"/>
              </w:rPr>
              <w:t>483 347</w:t>
            </w:r>
          </w:p>
        </w:tc>
        <w:tc>
          <w:tcPr>
            <w:tcW w:w="969" w:type="dxa"/>
            <w:shd w:val="clear" w:color="auto" w:fill="auto"/>
            <w:vAlign w:val="center"/>
          </w:tcPr>
          <w:p>
            <w:pPr>
              <w:jc w:val="center"/>
              <w:rPr>
                <w:noProof/>
                <w:color w:val="333333"/>
                <w:sz w:val="20"/>
                <w:szCs w:val="20"/>
              </w:rPr>
            </w:pPr>
            <w:r>
              <w:rPr>
                <w:noProof/>
                <w:color w:val="333333"/>
                <w:sz w:val="20"/>
                <w:szCs w:val="20"/>
              </w:rPr>
              <w:t>100</w:t>
            </w:r>
          </w:p>
        </w:tc>
      </w:tr>
      <w:tr>
        <w:tc>
          <w:tcPr>
            <w:tcW w:w="527" w:type="dxa"/>
            <w:shd w:val="clear" w:color="auto" w:fill="EEECE1" w:themeFill="background2"/>
            <w:vAlign w:val="center"/>
          </w:tcPr>
          <w:p>
            <w:pPr>
              <w:jc w:val="center"/>
              <w:rPr>
                <w:noProof/>
                <w:sz w:val="20"/>
                <w:szCs w:val="20"/>
              </w:rPr>
            </w:pPr>
            <w:r>
              <w:rPr>
                <w:noProof/>
                <w:sz w:val="20"/>
                <w:szCs w:val="20"/>
              </w:rPr>
              <w:t>4</w:t>
            </w:r>
          </w:p>
        </w:tc>
        <w:tc>
          <w:tcPr>
            <w:tcW w:w="693" w:type="dxa"/>
            <w:shd w:val="clear" w:color="auto" w:fill="EEECE1" w:themeFill="background2"/>
            <w:vAlign w:val="center"/>
          </w:tcPr>
          <w:p>
            <w:pPr>
              <w:jc w:val="center"/>
              <w:rPr>
                <w:noProof/>
                <w:color w:val="333333"/>
                <w:sz w:val="20"/>
                <w:szCs w:val="20"/>
              </w:rPr>
            </w:pPr>
            <w:r>
              <w:rPr>
                <w:noProof/>
                <w:color w:val="333333"/>
                <w:sz w:val="20"/>
                <w:szCs w:val="20"/>
              </w:rPr>
              <w:t>RO</w:t>
            </w:r>
          </w:p>
        </w:tc>
        <w:tc>
          <w:tcPr>
            <w:tcW w:w="2354" w:type="dxa"/>
            <w:shd w:val="clear" w:color="auto" w:fill="EEECE1" w:themeFill="background2"/>
            <w:vAlign w:val="center"/>
          </w:tcPr>
          <w:p>
            <w:pPr>
              <w:rPr>
                <w:noProof/>
                <w:color w:val="333333"/>
                <w:sz w:val="20"/>
                <w:szCs w:val="20"/>
              </w:rPr>
            </w:pPr>
            <w:r>
              <w:rPr>
                <w:noProof/>
                <w:color w:val="333333"/>
                <w:sz w:val="20"/>
                <w:szCs w:val="20"/>
              </w:rPr>
              <w:t xml:space="preserve">Directorate for the Investigation of Organized Crime and Terrorism </w:t>
            </w:r>
          </w:p>
        </w:tc>
        <w:tc>
          <w:tcPr>
            <w:tcW w:w="4150" w:type="dxa"/>
            <w:shd w:val="clear" w:color="auto" w:fill="EEECE1" w:themeFill="background2"/>
            <w:vAlign w:val="center"/>
          </w:tcPr>
          <w:p>
            <w:pPr>
              <w:rPr>
                <w:noProof/>
                <w:color w:val="333333"/>
                <w:sz w:val="20"/>
                <w:szCs w:val="20"/>
              </w:rPr>
            </w:pPr>
            <w:r>
              <w:rPr>
                <w:noProof/>
                <w:color w:val="333333"/>
                <w:sz w:val="20"/>
                <w:szCs w:val="20"/>
              </w:rPr>
              <w:t xml:space="preserve">Improved special investigation methods in tackling high-profile OCG smuggling at the EU Eastern border </w:t>
            </w:r>
          </w:p>
        </w:tc>
        <w:tc>
          <w:tcPr>
            <w:tcW w:w="1384" w:type="dxa"/>
            <w:shd w:val="clear" w:color="auto" w:fill="EEECE1" w:themeFill="background2"/>
            <w:vAlign w:val="center"/>
          </w:tcPr>
          <w:p>
            <w:pPr>
              <w:jc w:val="right"/>
              <w:rPr>
                <w:bCs/>
                <w:noProof/>
                <w:color w:val="333333"/>
                <w:sz w:val="20"/>
                <w:szCs w:val="20"/>
              </w:rPr>
            </w:pPr>
            <w:r>
              <w:rPr>
                <w:bCs/>
                <w:noProof/>
                <w:color w:val="333333"/>
                <w:sz w:val="20"/>
                <w:szCs w:val="20"/>
              </w:rPr>
              <w:t>398 893</w:t>
            </w:r>
          </w:p>
        </w:tc>
        <w:tc>
          <w:tcPr>
            <w:tcW w:w="969" w:type="dxa"/>
            <w:shd w:val="clear" w:color="auto" w:fill="EEECE1" w:themeFill="background2"/>
            <w:vAlign w:val="center"/>
          </w:tcPr>
          <w:p>
            <w:pPr>
              <w:jc w:val="center"/>
              <w:rPr>
                <w:noProof/>
                <w:color w:val="333333"/>
                <w:sz w:val="20"/>
                <w:szCs w:val="20"/>
              </w:rPr>
            </w:pPr>
            <w:r>
              <w:rPr>
                <w:noProof/>
                <w:color w:val="333333"/>
                <w:sz w:val="20"/>
                <w:szCs w:val="20"/>
              </w:rPr>
              <w:t>95</w:t>
            </w:r>
          </w:p>
        </w:tc>
      </w:tr>
      <w:tr>
        <w:tc>
          <w:tcPr>
            <w:tcW w:w="527" w:type="dxa"/>
            <w:shd w:val="clear" w:color="auto" w:fill="auto"/>
            <w:vAlign w:val="center"/>
          </w:tcPr>
          <w:p>
            <w:pPr>
              <w:jc w:val="center"/>
              <w:rPr>
                <w:noProof/>
                <w:sz w:val="20"/>
                <w:szCs w:val="20"/>
              </w:rPr>
            </w:pPr>
            <w:r>
              <w:rPr>
                <w:noProof/>
                <w:sz w:val="20"/>
                <w:szCs w:val="20"/>
              </w:rPr>
              <w:t>5</w:t>
            </w:r>
          </w:p>
        </w:tc>
        <w:tc>
          <w:tcPr>
            <w:tcW w:w="693" w:type="dxa"/>
            <w:shd w:val="clear" w:color="auto" w:fill="auto"/>
            <w:vAlign w:val="center"/>
          </w:tcPr>
          <w:p>
            <w:pPr>
              <w:jc w:val="center"/>
              <w:rPr>
                <w:noProof/>
                <w:color w:val="333333"/>
                <w:sz w:val="20"/>
                <w:szCs w:val="20"/>
              </w:rPr>
            </w:pPr>
            <w:r>
              <w:rPr>
                <w:noProof/>
                <w:color w:val="333333"/>
                <w:sz w:val="20"/>
                <w:szCs w:val="20"/>
              </w:rPr>
              <w:t>RO</w:t>
            </w:r>
          </w:p>
        </w:tc>
        <w:tc>
          <w:tcPr>
            <w:tcW w:w="2354" w:type="dxa"/>
            <w:shd w:val="clear" w:color="auto" w:fill="auto"/>
            <w:vAlign w:val="center"/>
          </w:tcPr>
          <w:p>
            <w:pPr>
              <w:rPr>
                <w:noProof/>
                <w:color w:val="333333"/>
                <w:sz w:val="20"/>
                <w:szCs w:val="20"/>
              </w:rPr>
            </w:pPr>
            <w:r>
              <w:rPr>
                <w:noProof/>
                <w:color w:val="333333"/>
                <w:sz w:val="20"/>
                <w:szCs w:val="20"/>
              </w:rPr>
              <w:t>Brasov County Police Inspectorate</w:t>
            </w:r>
          </w:p>
        </w:tc>
        <w:tc>
          <w:tcPr>
            <w:tcW w:w="4150" w:type="dxa"/>
            <w:shd w:val="clear" w:color="auto" w:fill="auto"/>
            <w:vAlign w:val="center"/>
          </w:tcPr>
          <w:p>
            <w:pPr>
              <w:rPr>
                <w:noProof/>
                <w:color w:val="333333"/>
                <w:sz w:val="20"/>
                <w:szCs w:val="20"/>
              </w:rPr>
            </w:pPr>
            <w:r>
              <w:rPr>
                <w:noProof/>
                <w:color w:val="333333"/>
                <w:sz w:val="20"/>
                <w:szCs w:val="20"/>
              </w:rPr>
              <w:t>Fraud investigation in Brasov County with digital forensic hard and software</w:t>
            </w:r>
          </w:p>
        </w:tc>
        <w:tc>
          <w:tcPr>
            <w:tcW w:w="1384" w:type="dxa"/>
            <w:shd w:val="clear" w:color="auto" w:fill="auto"/>
            <w:vAlign w:val="center"/>
          </w:tcPr>
          <w:p>
            <w:pPr>
              <w:jc w:val="right"/>
              <w:rPr>
                <w:bCs/>
                <w:noProof/>
                <w:color w:val="333333"/>
                <w:sz w:val="20"/>
                <w:szCs w:val="20"/>
              </w:rPr>
            </w:pPr>
            <w:r>
              <w:rPr>
                <w:bCs/>
                <w:noProof/>
                <w:color w:val="333333"/>
                <w:sz w:val="20"/>
                <w:szCs w:val="20"/>
              </w:rPr>
              <w:t>103 484</w:t>
            </w:r>
          </w:p>
        </w:tc>
        <w:tc>
          <w:tcPr>
            <w:tcW w:w="969" w:type="dxa"/>
            <w:shd w:val="clear" w:color="auto" w:fill="auto"/>
            <w:vAlign w:val="center"/>
          </w:tcPr>
          <w:p>
            <w:pPr>
              <w:jc w:val="center"/>
              <w:rPr>
                <w:noProof/>
                <w:color w:val="333333"/>
                <w:sz w:val="20"/>
                <w:szCs w:val="20"/>
              </w:rPr>
            </w:pPr>
            <w:r>
              <w:rPr>
                <w:noProof/>
                <w:color w:val="333333"/>
                <w:sz w:val="20"/>
                <w:szCs w:val="20"/>
              </w:rPr>
              <w:t>98</w:t>
            </w:r>
          </w:p>
        </w:tc>
      </w:tr>
      <w:tr>
        <w:tc>
          <w:tcPr>
            <w:tcW w:w="527" w:type="dxa"/>
            <w:shd w:val="clear" w:color="auto" w:fill="EEECE1" w:themeFill="background2"/>
            <w:vAlign w:val="center"/>
          </w:tcPr>
          <w:p>
            <w:pPr>
              <w:jc w:val="center"/>
              <w:rPr>
                <w:noProof/>
                <w:sz w:val="20"/>
                <w:szCs w:val="20"/>
              </w:rPr>
            </w:pPr>
            <w:r>
              <w:rPr>
                <w:noProof/>
                <w:sz w:val="20"/>
                <w:szCs w:val="20"/>
              </w:rPr>
              <w:t>6</w:t>
            </w:r>
          </w:p>
        </w:tc>
        <w:tc>
          <w:tcPr>
            <w:tcW w:w="693" w:type="dxa"/>
            <w:shd w:val="clear" w:color="auto" w:fill="EEECE1" w:themeFill="background2"/>
            <w:vAlign w:val="center"/>
          </w:tcPr>
          <w:p>
            <w:pPr>
              <w:jc w:val="center"/>
              <w:rPr>
                <w:noProof/>
                <w:color w:val="333333"/>
                <w:sz w:val="20"/>
                <w:szCs w:val="20"/>
              </w:rPr>
            </w:pPr>
            <w:r>
              <w:rPr>
                <w:noProof/>
                <w:color w:val="333333"/>
                <w:sz w:val="20"/>
                <w:szCs w:val="20"/>
              </w:rPr>
              <w:t>LT</w:t>
            </w:r>
          </w:p>
        </w:tc>
        <w:tc>
          <w:tcPr>
            <w:tcW w:w="2354" w:type="dxa"/>
            <w:shd w:val="clear" w:color="auto" w:fill="EEECE1" w:themeFill="background2"/>
            <w:vAlign w:val="center"/>
          </w:tcPr>
          <w:p>
            <w:pPr>
              <w:rPr>
                <w:noProof/>
                <w:color w:val="333333"/>
                <w:sz w:val="20"/>
                <w:szCs w:val="20"/>
              </w:rPr>
            </w:pPr>
            <w:r>
              <w:rPr>
                <w:noProof/>
                <w:color w:val="333333"/>
                <w:sz w:val="20"/>
                <w:szCs w:val="20"/>
              </w:rPr>
              <w:t>Financial Crime Investigation Service under the Ministry of the Interior</w:t>
            </w:r>
          </w:p>
        </w:tc>
        <w:tc>
          <w:tcPr>
            <w:tcW w:w="4150" w:type="dxa"/>
            <w:shd w:val="clear" w:color="auto" w:fill="EEECE1" w:themeFill="background2"/>
            <w:vAlign w:val="center"/>
          </w:tcPr>
          <w:p>
            <w:pPr>
              <w:rPr>
                <w:noProof/>
                <w:color w:val="333333"/>
                <w:sz w:val="20"/>
                <w:szCs w:val="20"/>
              </w:rPr>
            </w:pPr>
            <w:r>
              <w:rPr>
                <w:noProof/>
                <w:color w:val="333333"/>
                <w:sz w:val="20"/>
                <w:szCs w:val="20"/>
              </w:rPr>
              <w:t>Procurement of intelligence equipment</w:t>
            </w:r>
          </w:p>
        </w:tc>
        <w:tc>
          <w:tcPr>
            <w:tcW w:w="1384" w:type="dxa"/>
            <w:shd w:val="clear" w:color="auto" w:fill="EEECE1" w:themeFill="background2"/>
            <w:vAlign w:val="center"/>
          </w:tcPr>
          <w:p>
            <w:pPr>
              <w:jc w:val="right"/>
              <w:rPr>
                <w:bCs/>
                <w:noProof/>
                <w:color w:val="333333"/>
                <w:sz w:val="20"/>
                <w:szCs w:val="20"/>
              </w:rPr>
            </w:pPr>
            <w:r>
              <w:rPr>
                <w:bCs/>
                <w:noProof/>
                <w:color w:val="333333"/>
                <w:sz w:val="20"/>
                <w:szCs w:val="20"/>
              </w:rPr>
              <w:t>80 393</w:t>
            </w:r>
          </w:p>
        </w:tc>
        <w:tc>
          <w:tcPr>
            <w:tcW w:w="969" w:type="dxa"/>
            <w:shd w:val="clear" w:color="auto" w:fill="EEECE1" w:themeFill="background2"/>
            <w:vAlign w:val="center"/>
          </w:tcPr>
          <w:p>
            <w:pPr>
              <w:jc w:val="center"/>
              <w:rPr>
                <w:noProof/>
                <w:color w:val="333333"/>
                <w:sz w:val="20"/>
                <w:szCs w:val="20"/>
              </w:rPr>
            </w:pPr>
            <w:r>
              <w:rPr>
                <w:noProof/>
                <w:color w:val="333333"/>
                <w:sz w:val="20"/>
                <w:szCs w:val="20"/>
              </w:rPr>
              <w:t>78</w:t>
            </w:r>
          </w:p>
        </w:tc>
      </w:tr>
      <w:tr>
        <w:trPr>
          <w:trHeight w:val="752"/>
        </w:trPr>
        <w:tc>
          <w:tcPr>
            <w:tcW w:w="527" w:type="dxa"/>
            <w:shd w:val="clear" w:color="auto" w:fill="auto"/>
            <w:vAlign w:val="center"/>
          </w:tcPr>
          <w:p>
            <w:pPr>
              <w:jc w:val="center"/>
              <w:rPr>
                <w:noProof/>
                <w:sz w:val="20"/>
                <w:szCs w:val="20"/>
              </w:rPr>
            </w:pPr>
            <w:r>
              <w:rPr>
                <w:noProof/>
                <w:sz w:val="20"/>
                <w:szCs w:val="20"/>
              </w:rPr>
              <w:t>7</w:t>
            </w:r>
          </w:p>
        </w:tc>
        <w:tc>
          <w:tcPr>
            <w:tcW w:w="693" w:type="dxa"/>
            <w:shd w:val="clear" w:color="auto" w:fill="auto"/>
            <w:vAlign w:val="center"/>
          </w:tcPr>
          <w:p>
            <w:pPr>
              <w:jc w:val="center"/>
              <w:rPr>
                <w:noProof/>
                <w:color w:val="333333"/>
                <w:sz w:val="20"/>
                <w:szCs w:val="20"/>
              </w:rPr>
            </w:pPr>
            <w:r>
              <w:rPr>
                <w:noProof/>
                <w:color w:val="333333"/>
                <w:sz w:val="20"/>
                <w:szCs w:val="20"/>
              </w:rPr>
              <w:t>CZ</w:t>
            </w:r>
          </w:p>
        </w:tc>
        <w:tc>
          <w:tcPr>
            <w:tcW w:w="2354" w:type="dxa"/>
            <w:shd w:val="clear" w:color="auto" w:fill="auto"/>
            <w:vAlign w:val="center"/>
          </w:tcPr>
          <w:p>
            <w:pPr>
              <w:rPr>
                <w:noProof/>
                <w:color w:val="333333"/>
                <w:sz w:val="20"/>
                <w:szCs w:val="20"/>
              </w:rPr>
            </w:pPr>
            <w:r>
              <w:rPr>
                <w:noProof/>
                <w:color w:val="333333"/>
                <w:sz w:val="20"/>
                <w:szCs w:val="20"/>
              </w:rPr>
              <w:t>Customs Administration of the Czech Republic</w:t>
            </w:r>
          </w:p>
        </w:tc>
        <w:tc>
          <w:tcPr>
            <w:tcW w:w="4150" w:type="dxa"/>
            <w:shd w:val="clear" w:color="auto" w:fill="auto"/>
            <w:vAlign w:val="center"/>
          </w:tcPr>
          <w:p>
            <w:pPr>
              <w:rPr>
                <w:noProof/>
                <w:color w:val="333333"/>
                <w:sz w:val="20"/>
                <w:szCs w:val="20"/>
              </w:rPr>
            </w:pPr>
            <w:r>
              <w:rPr>
                <w:noProof/>
                <w:color w:val="333333"/>
                <w:sz w:val="20"/>
                <w:szCs w:val="20"/>
              </w:rPr>
              <w:t>Mobile X-Ray unit for inspection of personal luggage  and parcels transported in road, train and air transport</w:t>
            </w:r>
          </w:p>
        </w:tc>
        <w:tc>
          <w:tcPr>
            <w:tcW w:w="1384" w:type="dxa"/>
            <w:shd w:val="clear" w:color="auto" w:fill="auto"/>
            <w:vAlign w:val="center"/>
          </w:tcPr>
          <w:p>
            <w:pPr>
              <w:jc w:val="right"/>
              <w:rPr>
                <w:bCs/>
                <w:noProof/>
                <w:color w:val="333333"/>
                <w:sz w:val="20"/>
                <w:szCs w:val="20"/>
              </w:rPr>
            </w:pPr>
            <w:r>
              <w:rPr>
                <w:bCs/>
                <w:noProof/>
                <w:color w:val="333333"/>
                <w:sz w:val="20"/>
                <w:szCs w:val="20"/>
              </w:rPr>
              <w:t>246 278</w:t>
            </w:r>
          </w:p>
        </w:tc>
        <w:tc>
          <w:tcPr>
            <w:tcW w:w="969" w:type="dxa"/>
            <w:shd w:val="clear" w:color="auto" w:fill="auto"/>
            <w:vAlign w:val="center"/>
          </w:tcPr>
          <w:p>
            <w:pPr>
              <w:jc w:val="center"/>
              <w:rPr>
                <w:noProof/>
                <w:color w:val="333333"/>
                <w:sz w:val="20"/>
                <w:szCs w:val="20"/>
              </w:rPr>
            </w:pPr>
            <w:r>
              <w:rPr>
                <w:noProof/>
                <w:color w:val="333333"/>
                <w:sz w:val="20"/>
                <w:szCs w:val="20"/>
              </w:rPr>
              <w:t>100</w:t>
            </w:r>
          </w:p>
        </w:tc>
      </w:tr>
      <w:tr>
        <w:trPr>
          <w:trHeight w:val="988"/>
        </w:trPr>
        <w:tc>
          <w:tcPr>
            <w:tcW w:w="527" w:type="dxa"/>
            <w:shd w:val="clear" w:color="auto" w:fill="EEECE1" w:themeFill="background2"/>
            <w:vAlign w:val="center"/>
          </w:tcPr>
          <w:p>
            <w:pPr>
              <w:jc w:val="center"/>
              <w:rPr>
                <w:noProof/>
                <w:sz w:val="20"/>
                <w:szCs w:val="20"/>
              </w:rPr>
            </w:pPr>
            <w:r>
              <w:rPr>
                <w:noProof/>
                <w:sz w:val="20"/>
                <w:szCs w:val="20"/>
              </w:rPr>
              <w:t>8</w:t>
            </w:r>
          </w:p>
        </w:tc>
        <w:tc>
          <w:tcPr>
            <w:tcW w:w="693" w:type="dxa"/>
            <w:shd w:val="clear" w:color="auto" w:fill="EEECE1" w:themeFill="background2"/>
            <w:vAlign w:val="center"/>
          </w:tcPr>
          <w:p>
            <w:pPr>
              <w:jc w:val="center"/>
              <w:rPr>
                <w:noProof/>
                <w:color w:val="333333"/>
                <w:sz w:val="20"/>
                <w:szCs w:val="20"/>
              </w:rPr>
            </w:pPr>
            <w:r>
              <w:rPr>
                <w:noProof/>
                <w:color w:val="333333"/>
                <w:sz w:val="20"/>
                <w:szCs w:val="20"/>
              </w:rPr>
              <w:t>RO</w:t>
            </w:r>
          </w:p>
        </w:tc>
        <w:tc>
          <w:tcPr>
            <w:tcW w:w="2354" w:type="dxa"/>
            <w:shd w:val="clear" w:color="auto" w:fill="EEECE1" w:themeFill="background2"/>
            <w:vAlign w:val="center"/>
          </w:tcPr>
          <w:p>
            <w:pPr>
              <w:rPr>
                <w:noProof/>
                <w:color w:val="333333"/>
                <w:sz w:val="20"/>
                <w:szCs w:val="20"/>
              </w:rPr>
            </w:pPr>
            <w:r>
              <w:rPr>
                <w:noProof/>
                <w:color w:val="333333"/>
                <w:sz w:val="20"/>
                <w:szCs w:val="20"/>
              </w:rPr>
              <w:t>The National Anticorruption Directorate</w:t>
            </w:r>
          </w:p>
        </w:tc>
        <w:tc>
          <w:tcPr>
            <w:tcW w:w="4150" w:type="dxa"/>
            <w:shd w:val="clear" w:color="auto" w:fill="EEECE1" w:themeFill="background2"/>
            <w:vAlign w:val="center"/>
          </w:tcPr>
          <w:p>
            <w:pPr>
              <w:rPr>
                <w:noProof/>
                <w:color w:val="333333"/>
                <w:sz w:val="20"/>
                <w:szCs w:val="20"/>
              </w:rPr>
            </w:pPr>
            <w:r>
              <w:rPr>
                <w:noProof/>
                <w:color w:val="333333"/>
                <w:sz w:val="20"/>
                <w:szCs w:val="20"/>
              </w:rPr>
              <w:t>Improving the Capacity of the National Anticorruption Directorate in investigating fraud and corruption detrimental to the financial interests of the EU</w:t>
            </w:r>
          </w:p>
        </w:tc>
        <w:tc>
          <w:tcPr>
            <w:tcW w:w="1384" w:type="dxa"/>
            <w:shd w:val="clear" w:color="auto" w:fill="EEECE1" w:themeFill="background2"/>
            <w:vAlign w:val="center"/>
          </w:tcPr>
          <w:p>
            <w:pPr>
              <w:jc w:val="right"/>
              <w:rPr>
                <w:bCs/>
                <w:noProof/>
                <w:color w:val="333333"/>
                <w:sz w:val="20"/>
                <w:szCs w:val="20"/>
              </w:rPr>
            </w:pPr>
            <w:r>
              <w:rPr>
                <w:bCs/>
                <w:noProof/>
                <w:color w:val="333333"/>
                <w:sz w:val="20"/>
                <w:szCs w:val="20"/>
              </w:rPr>
              <w:t>252 604</w:t>
            </w:r>
          </w:p>
        </w:tc>
        <w:tc>
          <w:tcPr>
            <w:tcW w:w="969" w:type="dxa"/>
            <w:shd w:val="clear" w:color="auto" w:fill="EEECE1" w:themeFill="background2"/>
            <w:vAlign w:val="center"/>
          </w:tcPr>
          <w:p>
            <w:pPr>
              <w:jc w:val="center"/>
              <w:rPr>
                <w:noProof/>
                <w:color w:val="333333"/>
                <w:sz w:val="20"/>
                <w:szCs w:val="20"/>
              </w:rPr>
            </w:pPr>
            <w:r>
              <w:rPr>
                <w:noProof/>
                <w:color w:val="333333"/>
                <w:sz w:val="20"/>
                <w:szCs w:val="20"/>
              </w:rPr>
              <w:t>97</w:t>
            </w:r>
          </w:p>
        </w:tc>
      </w:tr>
      <w:tr>
        <w:trPr>
          <w:trHeight w:val="1127"/>
        </w:trPr>
        <w:tc>
          <w:tcPr>
            <w:tcW w:w="527" w:type="dxa"/>
            <w:shd w:val="clear" w:color="auto" w:fill="auto"/>
            <w:vAlign w:val="center"/>
          </w:tcPr>
          <w:p>
            <w:pPr>
              <w:jc w:val="center"/>
              <w:rPr>
                <w:noProof/>
                <w:sz w:val="20"/>
                <w:szCs w:val="20"/>
              </w:rPr>
            </w:pPr>
            <w:r>
              <w:rPr>
                <w:noProof/>
                <w:sz w:val="20"/>
                <w:szCs w:val="20"/>
              </w:rPr>
              <w:t>9</w:t>
            </w:r>
          </w:p>
        </w:tc>
        <w:tc>
          <w:tcPr>
            <w:tcW w:w="693" w:type="dxa"/>
            <w:shd w:val="clear" w:color="auto" w:fill="auto"/>
            <w:vAlign w:val="center"/>
          </w:tcPr>
          <w:p>
            <w:pPr>
              <w:jc w:val="center"/>
              <w:rPr>
                <w:noProof/>
                <w:color w:val="333333"/>
                <w:sz w:val="20"/>
                <w:szCs w:val="20"/>
              </w:rPr>
            </w:pPr>
            <w:r>
              <w:rPr>
                <w:noProof/>
                <w:color w:val="333333"/>
                <w:sz w:val="20"/>
                <w:szCs w:val="20"/>
              </w:rPr>
              <w:t>PL</w:t>
            </w:r>
          </w:p>
        </w:tc>
        <w:tc>
          <w:tcPr>
            <w:tcW w:w="2354" w:type="dxa"/>
            <w:shd w:val="clear" w:color="auto" w:fill="auto"/>
            <w:vAlign w:val="center"/>
          </w:tcPr>
          <w:p>
            <w:pPr>
              <w:rPr>
                <w:noProof/>
                <w:color w:val="333333"/>
                <w:sz w:val="20"/>
                <w:szCs w:val="20"/>
              </w:rPr>
            </w:pPr>
            <w:r>
              <w:rPr>
                <w:noProof/>
                <w:color w:val="333333"/>
                <w:sz w:val="20"/>
                <w:szCs w:val="20"/>
              </w:rPr>
              <w:t>Provincial Police Headquarters in Olsztyn</w:t>
            </w:r>
          </w:p>
          <w:p>
            <w:pPr>
              <w:rPr>
                <w:noProof/>
                <w:color w:val="333333"/>
                <w:sz w:val="20"/>
                <w:szCs w:val="20"/>
              </w:rPr>
            </w:pPr>
          </w:p>
        </w:tc>
        <w:tc>
          <w:tcPr>
            <w:tcW w:w="4150" w:type="dxa"/>
            <w:shd w:val="clear" w:color="auto" w:fill="auto"/>
            <w:vAlign w:val="center"/>
          </w:tcPr>
          <w:p>
            <w:pPr>
              <w:rPr>
                <w:noProof/>
                <w:color w:val="333333"/>
                <w:sz w:val="20"/>
                <w:szCs w:val="20"/>
              </w:rPr>
            </w:pPr>
            <w:r>
              <w:rPr>
                <w:noProof/>
                <w:color w:val="333333"/>
                <w:sz w:val="20"/>
                <w:szCs w:val="20"/>
              </w:rPr>
              <w:t>Improving the effectiveness of detection and combating tobacco crime, corruption and financial fraud to the detriment of the EU by equipping the Warmian-Masurian Police with a mobile intelligence centre</w:t>
            </w:r>
          </w:p>
        </w:tc>
        <w:tc>
          <w:tcPr>
            <w:tcW w:w="1384" w:type="dxa"/>
            <w:shd w:val="clear" w:color="auto" w:fill="auto"/>
            <w:vAlign w:val="center"/>
          </w:tcPr>
          <w:p>
            <w:pPr>
              <w:jc w:val="right"/>
              <w:rPr>
                <w:bCs/>
                <w:noProof/>
                <w:color w:val="333333"/>
                <w:sz w:val="20"/>
                <w:szCs w:val="20"/>
              </w:rPr>
            </w:pPr>
            <w:r>
              <w:rPr>
                <w:bCs/>
                <w:noProof/>
                <w:color w:val="333333"/>
                <w:sz w:val="20"/>
                <w:szCs w:val="20"/>
              </w:rPr>
              <w:t>458 956</w:t>
            </w:r>
          </w:p>
        </w:tc>
        <w:tc>
          <w:tcPr>
            <w:tcW w:w="969" w:type="dxa"/>
            <w:shd w:val="clear" w:color="auto" w:fill="auto"/>
            <w:vAlign w:val="center"/>
          </w:tcPr>
          <w:p>
            <w:pPr>
              <w:jc w:val="center"/>
              <w:rPr>
                <w:noProof/>
                <w:color w:val="333333"/>
                <w:sz w:val="20"/>
                <w:szCs w:val="20"/>
              </w:rPr>
            </w:pPr>
            <w:r>
              <w:rPr>
                <w:noProof/>
                <w:color w:val="333333"/>
                <w:sz w:val="20"/>
                <w:szCs w:val="20"/>
              </w:rPr>
              <w:t>99</w:t>
            </w:r>
          </w:p>
        </w:tc>
      </w:tr>
      <w:tr>
        <w:tc>
          <w:tcPr>
            <w:tcW w:w="527" w:type="dxa"/>
            <w:shd w:val="clear" w:color="auto" w:fill="EEECE1" w:themeFill="background2"/>
            <w:vAlign w:val="center"/>
          </w:tcPr>
          <w:p>
            <w:pPr>
              <w:jc w:val="center"/>
              <w:rPr>
                <w:noProof/>
                <w:sz w:val="20"/>
                <w:szCs w:val="20"/>
              </w:rPr>
            </w:pPr>
            <w:r>
              <w:rPr>
                <w:noProof/>
                <w:sz w:val="20"/>
                <w:szCs w:val="20"/>
              </w:rPr>
              <w:t>10</w:t>
            </w:r>
          </w:p>
        </w:tc>
        <w:tc>
          <w:tcPr>
            <w:tcW w:w="693" w:type="dxa"/>
            <w:shd w:val="clear" w:color="auto" w:fill="EEECE1" w:themeFill="background2"/>
            <w:vAlign w:val="center"/>
          </w:tcPr>
          <w:p>
            <w:pPr>
              <w:jc w:val="center"/>
              <w:rPr>
                <w:noProof/>
                <w:color w:val="333333"/>
                <w:sz w:val="20"/>
                <w:szCs w:val="20"/>
              </w:rPr>
            </w:pPr>
            <w:r>
              <w:rPr>
                <w:noProof/>
                <w:color w:val="333333"/>
                <w:sz w:val="20"/>
                <w:szCs w:val="20"/>
              </w:rPr>
              <w:t>RO</w:t>
            </w:r>
          </w:p>
        </w:tc>
        <w:tc>
          <w:tcPr>
            <w:tcW w:w="2354" w:type="dxa"/>
            <w:shd w:val="clear" w:color="auto" w:fill="EEECE1" w:themeFill="background2"/>
            <w:vAlign w:val="center"/>
          </w:tcPr>
          <w:p>
            <w:pPr>
              <w:rPr>
                <w:noProof/>
                <w:color w:val="333333"/>
                <w:sz w:val="20"/>
                <w:szCs w:val="20"/>
              </w:rPr>
            </w:pPr>
            <w:r>
              <w:rPr>
                <w:noProof/>
                <w:color w:val="333333"/>
                <w:sz w:val="20"/>
                <w:szCs w:val="20"/>
              </w:rPr>
              <w:t>National Agency for Fiscal Administration</w:t>
            </w:r>
          </w:p>
        </w:tc>
        <w:tc>
          <w:tcPr>
            <w:tcW w:w="4150" w:type="dxa"/>
            <w:shd w:val="clear" w:color="auto" w:fill="EEECE1" w:themeFill="background2"/>
            <w:vAlign w:val="center"/>
          </w:tcPr>
          <w:p>
            <w:pPr>
              <w:rPr>
                <w:noProof/>
                <w:color w:val="333333"/>
                <w:sz w:val="20"/>
                <w:szCs w:val="20"/>
              </w:rPr>
            </w:pPr>
            <w:r>
              <w:rPr>
                <w:noProof/>
                <w:color w:val="333333"/>
                <w:sz w:val="20"/>
                <w:szCs w:val="20"/>
              </w:rPr>
              <w:t xml:space="preserve">Increasing the role of mobile teams in preventing and combating smuggling and customs fraud </w:t>
            </w:r>
          </w:p>
        </w:tc>
        <w:tc>
          <w:tcPr>
            <w:tcW w:w="1384" w:type="dxa"/>
            <w:shd w:val="clear" w:color="auto" w:fill="EEECE1" w:themeFill="background2"/>
            <w:vAlign w:val="center"/>
          </w:tcPr>
          <w:p>
            <w:pPr>
              <w:jc w:val="right"/>
              <w:rPr>
                <w:bCs/>
                <w:noProof/>
                <w:color w:val="333333"/>
                <w:sz w:val="20"/>
                <w:szCs w:val="20"/>
              </w:rPr>
            </w:pPr>
            <w:r>
              <w:rPr>
                <w:bCs/>
                <w:noProof/>
                <w:color w:val="333333"/>
                <w:sz w:val="20"/>
                <w:szCs w:val="20"/>
              </w:rPr>
              <w:t>220 067</w:t>
            </w:r>
          </w:p>
        </w:tc>
        <w:tc>
          <w:tcPr>
            <w:tcW w:w="969" w:type="dxa"/>
            <w:shd w:val="clear" w:color="auto" w:fill="EEECE1" w:themeFill="background2"/>
            <w:vAlign w:val="center"/>
          </w:tcPr>
          <w:p>
            <w:pPr>
              <w:jc w:val="center"/>
              <w:rPr>
                <w:noProof/>
                <w:color w:val="333333"/>
                <w:sz w:val="20"/>
                <w:szCs w:val="20"/>
              </w:rPr>
            </w:pPr>
            <w:r>
              <w:rPr>
                <w:noProof/>
                <w:color w:val="333333"/>
                <w:sz w:val="20"/>
                <w:szCs w:val="20"/>
              </w:rPr>
              <w:t>69</w:t>
            </w:r>
          </w:p>
        </w:tc>
      </w:tr>
      <w:tr>
        <w:trPr>
          <w:trHeight w:val="531"/>
        </w:trPr>
        <w:tc>
          <w:tcPr>
            <w:tcW w:w="527" w:type="dxa"/>
            <w:shd w:val="clear" w:color="auto" w:fill="auto"/>
            <w:vAlign w:val="center"/>
          </w:tcPr>
          <w:p>
            <w:pPr>
              <w:jc w:val="center"/>
              <w:rPr>
                <w:noProof/>
                <w:sz w:val="20"/>
                <w:szCs w:val="20"/>
              </w:rPr>
            </w:pPr>
            <w:r>
              <w:rPr>
                <w:noProof/>
                <w:sz w:val="20"/>
                <w:szCs w:val="20"/>
              </w:rPr>
              <w:t>11</w:t>
            </w:r>
          </w:p>
        </w:tc>
        <w:tc>
          <w:tcPr>
            <w:tcW w:w="693" w:type="dxa"/>
            <w:shd w:val="clear" w:color="auto" w:fill="auto"/>
            <w:vAlign w:val="center"/>
          </w:tcPr>
          <w:p>
            <w:pPr>
              <w:jc w:val="center"/>
              <w:rPr>
                <w:noProof/>
                <w:color w:val="333333"/>
                <w:sz w:val="20"/>
                <w:szCs w:val="20"/>
              </w:rPr>
            </w:pPr>
            <w:r>
              <w:rPr>
                <w:noProof/>
                <w:color w:val="333333"/>
                <w:sz w:val="20"/>
                <w:szCs w:val="20"/>
              </w:rPr>
              <w:t>IE</w:t>
            </w:r>
          </w:p>
        </w:tc>
        <w:tc>
          <w:tcPr>
            <w:tcW w:w="2354" w:type="dxa"/>
            <w:shd w:val="clear" w:color="auto" w:fill="auto"/>
            <w:vAlign w:val="center"/>
          </w:tcPr>
          <w:p>
            <w:pPr>
              <w:rPr>
                <w:noProof/>
                <w:color w:val="333333"/>
                <w:sz w:val="20"/>
                <w:szCs w:val="20"/>
              </w:rPr>
            </w:pPr>
            <w:r>
              <w:rPr>
                <w:noProof/>
                <w:color w:val="333333"/>
                <w:sz w:val="20"/>
                <w:szCs w:val="20"/>
              </w:rPr>
              <w:t>The Revenue Commissioners</w:t>
            </w:r>
          </w:p>
        </w:tc>
        <w:tc>
          <w:tcPr>
            <w:tcW w:w="4150" w:type="dxa"/>
            <w:shd w:val="clear" w:color="auto" w:fill="auto"/>
            <w:vAlign w:val="center"/>
          </w:tcPr>
          <w:p>
            <w:pPr>
              <w:rPr>
                <w:noProof/>
                <w:color w:val="333333"/>
                <w:sz w:val="20"/>
                <w:szCs w:val="20"/>
              </w:rPr>
            </w:pPr>
            <w:r>
              <w:rPr>
                <w:noProof/>
                <w:color w:val="333333"/>
                <w:sz w:val="20"/>
                <w:szCs w:val="20"/>
              </w:rPr>
              <w:t>Procurement of mobile back scatter X-Ray scanning van</w:t>
            </w:r>
          </w:p>
        </w:tc>
        <w:tc>
          <w:tcPr>
            <w:tcW w:w="1384" w:type="dxa"/>
            <w:shd w:val="clear" w:color="auto" w:fill="auto"/>
            <w:vAlign w:val="center"/>
          </w:tcPr>
          <w:p>
            <w:pPr>
              <w:jc w:val="right"/>
              <w:rPr>
                <w:bCs/>
                <w:noProof/>
                <w:color w:val="333333"/>
                <w:sz w:val="20"/>
                <w:szCs w:val="20"/>
              </w:rPr>
            </w:pPr>
            <w:r>
              <w:rPr>
                <w:bCs/>
                <w:noProof/>
                <w:color w:val="333333"/>
                <w:sz w:val="20"/>
                <w:szCs w:val="20"/>
              </w:rPr>
              <w:t>515 057</w:t>
            </w:r>
          </w:p>
        </w:tc>
        <w:tc>
          <w:tcPr>
            <w:tcW w:w="969" w:type="dxa"/>
            <w:shd w:val="clear" w:color="auto" w:fill="auto"/>
            <w:vAlign w:val="center"/>
          </w:tcPr>
          <w:p>
            <w:pPr>
              <w:jc w:val="center"/>
              <w:rPr>
                <w:noProof/>
                <w:color w:val="333333"/>
                <w:sz w:val="20"/>
                <w:szCs w:val="20"/>
              </w:rPr>
            </w:pPr>
            <w:r>
              <w:rPr>
                <w:noProof/>
                <w:color w:val="333333"/>
                <w:sz w:val="20"/>
                <w:szCs w:val="20"/>
              </w:rPr>
              <w:t>100</w:t>
            </w:r>
          </w:p>
        </w:tc>
      </w:tr>
      <w:tr>
        <w:trPr>
          <w:trHeight w:val="728"/>
        </w:trPr>
        <w:tc>
          <w:tcPr>
            <w:tcW w:w="527" w:type="dxa"/>
            <w:shd w:val="clear" w:color="auto" w:fill="EEECE1" w:themeFill="background2"/>
            <w:vAlign w:val="center"/>
          </w:tcPr>
          <w:p>
            <w:pPr>
              <w:jc w:val="center"/>
              <w:rPr>
                <w:noProof/>
                <w:sz w:val="20"/>
                <w:szCs w:val="20"/>
              </w:rPr>
            </w:pPr>
            <w:r>
              <w:rPr>
                <w:noProof/>
                <w:sz w:val="20"/>
                <w:szCs w:val="20"/>
              </w:rPr>
              <w:t>12</w:t>
            </w:r>
          </w:p>
        </w:tc>
        <w:tc>
          <w:tcPr>
            <w:tcW w:w="693" w:type="dxa"/>
            <w:shd w:val="clear" w:color="auto" w:fill="EEECE1" w:themeFill="background2"/>
            <w:vAlign w:val="center"/>
          </w:tcPr>
          <w:p>
            <w:pPr>
              <w:jc w:val="center"/>
              <w:rPr>
                <w:noProof/>
                <w:color w:val="333333"/>
                <w:sz w:val="20"/>
                <w:szCs w:val="20"/>
              </w:rPr>
            </w:pPr>
            <w:r>
              <w:rPr>
                <w:noProof/>
                <w:color w:val="333333"/>
                <w:sz w:val="20"/>
                <w:szCs w:val="20"/>
              </w:rPr>
              <w:t>RO</w:t>
            </w:r>
          </w:p>
        </w:tc>
        <w:tc>
          <w:tcPr>
            <w:tcW w:w="2354" w:type="dxa"/>
            <w:shd w:val="clear" w:color="auto" w:fill="EEECE1" w:themeFill="background2"/>
            <w:vAlign w:val="center"/>
          </w:tcPr>
          <w:p>
            <w:pPr>
              <w:rPr>
                <w:noProof/>
                <w:color w:val="333333"/>
                <w:sz w:val="20"/>
                <w:szCs w:val="20"/>
              </w:rPr>
            </w:pPr>
            <w:r>
              <w:rPr>
                <w:noProof/>
                <w:color w:val="333333"/>
                <w:sz w:val="20"/>
                <w:szCs w:val="20"/>
              </w:rPr>
              <w:t>Anticorruption General Directorate</w:t>
            </w:r>
          </w:p>
        </w:tc>
        <w:tc>
          <w:tcPr>
            <w:tcW w:w="4150" w:type="dxa"/>
            <w:shd w:val="clear" w:color="auto" w:fill="EEECE1" w:themeFill="background2"/>
            <w:vAlign w:val="center"/>
          </w:tcPr>
          <w:p>
            <w:pPr>
              <w:rPr>
                <w:noProof/>
                <w:color w:val="333333"/>
                <w:sz w:val="20"/>
                <w:szCs w:val="20"/>
              </w:rPr>
            </w:pPr>
            <w:r>
              <w:rPr>
                <w:noProof/>
                <w:color w:val="333333"/>
                <w:sz w:val="20"/>
                <w:szCs w:val="20"/>
              </w:rPr>
              <w:t>Raising Efficiency of action to fight Against Corruption Threat and any type of Fraud</w:t>
            </w:r>
          </w:p>
        </w:tc>
        <w:tc>
          <w:tcPr>
            <w:tcW w:w="1384" w:type="dxa"/>
            <w:shd w:val="clear" w:color="auto" w:fill="EEECE1" w:themeFill="background2"/>
            <w:vAlign w:val="center"/>
          </w:tcPr>
          <w:p>
            <w:pPr>
              <w:jc w:val="right"/>
              <w:rPr>
                <w:bCs/>
                <w:noProof/>
                <w:color w:val="333333"/>
                <w:sz w:val="20"/>
                <w:szCs w:val="20"/>
              </w:rPr>
            </w:pPr>
            <w:r>
              <w:rPr>
                <w:bCs/>
                <w:noProof/>
                <w:color w:val="333333"/>
                <w:sz w:val="20"/>
                <w:szCs w:val="20"/>
              </w:rPr>
              <w:t>101 939</w:t>
            </w:r>
          </w:p>
        </w:tc>
        <w:tc>
          <w:tcPr>
            <w:tcW w:w="969" w:type="dxa"/>
            <w:shd w:val="clear" w:color="auto" w:fill="EEECE1" w:themeFill="background2"/>
            <w:vAlign w:val="center"/>
          </w:tcPr>
          <w:p>
            <w:pPr>
              <w:jc w:val="center"/>
              <w:rPr>
                <w:noProof/>
                <w:color w:val="333333"/>
                <w:sz w:val="20"/>
                <w:szCs w:val="20"/>
              </w:rPr>
            </w:pPr>
            <w:r>
              <w:rPr>
                <w:noProof/>
                <w:color w:val="333333"/>
                <w:sz w:val="20"/>
                <w:szCs w:val="20"/>
              </w:rPr>
              <w:t>88</w:t>
            </w:r>
          </w:p>
        </w:tc>
      </w:tr>
      <w:tr>
        <w:trPr>
          <w:trHeight w:val="461"/>
        </w:trPr>
        <w:tc>
          <w:tcPr>
            <w:tcW w:w="527" w:type="dxa"/>
            <w:shd w:val="clear" w:color="auto" w:fill="auto"/>
            <w:vAlign w:val="center"/>
          </w:tcPr>
          <w:p>
            <w:pPr>
              <w:jc w:val="center"/>
              <w:rPr>
                <w:noProof/>
                <w:sz w:val="20"/>
                <w:szCs w:val="20"/>
              </w:rPr>
            </w:pPr>
            <w:r>
              <w:rPr>
                <w:noProof/>
                <w:sz w:val="20"/>
                <w:szCs w:val="20"/>
              </w:rPr>
              <w:t>13</w:t>
            </w:r>
          </w:p>
        </w:tc>
        <w:tc>
          <w:tcPr>
            <w:tcW w:w="693" w:type="dxa"/>
            <w:shd w:val="clear" w:color="auto" w:fill="auto"/>
            <w:vAlign w:val="center"/>
          </w:tcPr>
          <w:p>
            <w:pPr>
              <w:jc w:val="center"/>
              <w:rPr>
                <w:noProof/>
                <w:color w:val="333333"/>
                <w:sz w:val="20"/>
                <w:szCs w:val="20"/>
              </w:rPr>
            </w:pPr>
            <w:r>
              <w:rPr>
                <w:noProof/>
                <w:color w:val="333333"/>
                <w:sz w:val="20"/>
                <w:szCs w:val="20"/>
              </w:rPr>
              <w:t>LV</w:t>
            </w:r>
          </w:p>
        </w:tc>
        <w:tc>
          <w:tcPr>
            <w:tcW w:w="2354" w:type="dxa"/>
            <w:shd w:val="clear" w:color="auto" w:fill="auto"/>
            <w:vAlign w:val="center"/>
          </w:tcPr>
          <w:p>
            <w:pPr>
              <w:rPr>
                <w:noProof/>
                <w:color w:val="333333"/>
                <w:sz w:val="20"/>
                <w:szCs w:val="20"/>
              </w:rPr>
            </w:pPr>
            <w:r>
              <w:rPr>
                <w:noProof/>
                <w:color w:val="333333"/>
                <w:sz w:val="20"/>
                <w:szCs w:val="20"/>
              </w:rPr>
              <w:t>National Forensic Bureau</w:t>
            </w:r>
          </w:p>
        </w:tc>
        <w:tc>
          <w:tcPr>
            <w:tcW w:w="4150" w:type="dxa"/>
            <w:shd w:val="clear" w:color="auto" w:fill="auto"/>
            <w:vAlign w:val="center"/>
          </w:tcPr>
          <w:p>
            <w:pPr>
              <w:rPr>
                <w:noProof/>
                <w:color w:val="333333"/>
                <w:sz w:val="20"/>
                <w:szCs w:val="20"/>
              </w:rPr>
            </w:pPr>
            <w:r>
              <w:rPr>
                <w:noProof/>
                <w:color w:val="333333"/>
                <w:sz w:val="20"/>
                <w:szCs w:val="20"/>
              </w:rPr>
              <w:t>Operational capacity building of the forensic document examination</w:t>
            </w:r>
          </w:p>
        </w:tc>
        <w:tc>
          <w:tcPr>
            <w:tcW w:w="1384" w:type="dxa"/>
            <w:shd w:val="clear" w:color="auto" w:fill="auto"/>
            <w:vAlign w:val="center"/>
          </w:tcPr>
          <w:p>
            <w:pPr>
              <w:jc w:val="right"/>
              <w:rPr>
                <w:bCs/>
                <w:noProof/>
                <w:color w:val="333333"/>
                <w:sz w:val="20"/>
                <w:szCs w:val="20"/>
              </w:rPr>
            </w:pPr>
            <w:r>
              <w:rPr>
                <w:bCs/>
                <w:noProof/>
                <w:color w:val="333333"/>
                <w:sz w:val="20"/>
                <w:szCs w:val="20"/>
              </w:rPr>
              <w:t>557 078</w:t>
            </w:r>
          </w:p>
        </w:tc>
        <w:tc>
          <w:tcPr>
            <w:tcW w:w="969" w:type="dxa"/>
            <w:shd w:val="clear" w:color="auto" w:fill="auto"/>
            <w:vAlign w:val="center"/>
          </w:tcPr>
          <w:p>
            <w:pPr>
              <w:jc w:val="center"/>
              <w:rPr>
                <w:noProof/>
                <w:color w:val="333333"/>
                <w:sz w:val="20"/>
                <w:szCs w:val="20"/>
              </w:rPr>
            </w:pPr>
            <w:r>
              <w:rPr>
                <w:noProof/>
                <w:color w:val="333333"/>
                <w:sz w:val="20"/>
                <w:szCs w:val="20"/>
              </w:rPr>
              <w:t>99</w:t>
            </w:r>
          </w:p>
        </w:tc>
      </w:tr>
      <w:tr>
        <w:trPr>
          <w:trHeight w:val="552"/>
        </w:trPr>
        <w:tc>
          <w:tcPr>
            <w:tcW w:w="527" w:type="dxa"/>
            <w:tcBorders>
              <w:bottom w:val="single" w:sz="4" w:space="0" w:color="auto"/>
            </w:tcBorders>
            <w:shd w:val="clear" w:color="auto" w:fill="EEECE1" w:themeFill="background2"/>
            <w:vAlign w:val="center"/>
          </w:tcPr>
          <w:p>
            <w:pPr>
              <w:jc w:val="center"/>
              <w:rPr>
                <w:noProof/>
                <w:sz w:val="20"/>
                <w:szCs w:val="20"/>
              </w:rPr>
            </w:pPr>
            <w:r>
              <w:rPr>
                <w:noProof/>
                <w:sz w:val="20"/>
                <w:szCs w:val="20"/>
              </w:rPr>
              <w:t>14</w:t>
            </w:r>
          </w:p>
        </w:tc>
        <w:tc>
          <w:tcPr>
            <w:tcW w:w="693" w:type="dxa"/>
            <w:tcBorders>
              <w:bottom w:val="single" w:sz="4" w:space="0" w:color="auto"/>
            </w:tcBorders>
            <w:shd w:val="clear" w:color="auto" w:fill="EEECE1" w:themeFill="background2"/>
            <w:vAlign w:val="center"/>
          </w:tcPr>
          <w:p>
            <w:pPr>
              <w:jc w:val="center"/>
              <w:rPr>
                <w:noProof/>
                <w:color w:val="333333"/>
                <w:sz w:val="20"/>
                <w:szCs w:val="20"/>
              </w:rPr>
            </w:pPr>
            <w:r>
              <w:rPr>
                <w:noProof/>
                <w:color w:val="333333"/>
                <w:sz w:val="20"/>
                <w:szCs w:val="20"/>
              </w:rPr>
              <w:t>NL</w:t>
            </w:r>
          </w:p>
        </w:tc>
        <w:tc>
          <w:tcPr>
            <w:tcW w:w="2354" w:type="dxa"/>
            <w:tcBorders>
              <w:bottom w:val="single" w:sz="4" w:space="0" w:color="auto"/>
            </w:tcBorders>
            <w:shd w:val="clear" w:color="auto" w:fill="EEECE1" w:themeFill="background2"/>
            <w:vAlign w:val="center"/>
          </w:tcPr>
          <w:p>
            <w:pPr>
              <w:rPr>
                <w:noProof/>
                <w:color w:val="333333"/>
                <w:sz w:val="20"/>
                <w:szCs w:val="20"/>
              </w:rPr>
            </w:pPr>
            <w:r>
              <w:rPr>
                <w:noProof/>
                <w:color w:val="333333"/>
                <w:sz w:val="20"/>
                <w:szCs w:val="20"/>
              </w:rPr>
              <w:t>The National Police Of The Netherlands</w:t>
            </w:r>
          </w:p>
        </w:tc>
        <w:tc>
          <w:tcPr>
            <w:tcW w:w="4150" w:type="dxa"/>
            <w:shd w:val="clear" w:color="auto" w:fill="EEECE1" w:themeFill="background2"/>
            <w:vAlign w:val="center"/>
          </w:tcPr>
          <w:p>
            <w:pPr>
              <w:rPr>
                <w:noProof/>
                <w:color w:val="333333"/>
                <w:sz w:val="20"/>
                <w:szCs w:val="20"/>
              </w:rPr>
            </w:pPr>
            <w:r>
              <w:rPr>
                <w:noProof/>
                <w:color w:val="333333"/>
                <w:sz w:val="20"/>
                <w:szCs w:val="20"/>
              </w:rPr>
              <w:t>TSO Innovative Self Healing Operational Network</w:t>
            </w:r>
          </w:p>
        </w:tc>
        <w:tc>
          <w:tcPr>
            <w:tcW w:w="1384" w:type="dxa"/>
            <w:shd w:val="clear" w:color="auto" w:fill="EEECE1" w:themeFill="background2"/>
            <w:vAlign w:val="center"/>
          </w:tcPr>
          <w:p>
            <w:pPr>
              <w:jc w:val="right"/>
              <w:rPr>
                <w:bCs/>
                <w:noProof/>
                <w:color w:val="333333"/>
                <w:sz w:val="20"/>
                <w:szCs w:val="20"/>
              </w:rPr>
            </w:pPr>
            <w:r>
              <w:rPr>
                <w:bCs/>
                <w:noProof/>
                <w:color w:val="333333"/>
                <w:sz w:val="20"/>
                <w:szCs w:val="20"/>
              </w:rPr>
              <w:t>445 912</w:t>
            </w:r>
          </w:p>
        </w:tc>
        <w:tc>
          <w:tcPr>
            <w:tcW w:w="969" w:type="dxa"/>
            <w:shd w:val="clear" w:color="auto" w:fill="EEECE1" w:themeFill="background2"/>
            <w:vAlign w:val="center"/>
          </w:tcPr>
          <w:p>
            <w:pPr>
              <w:jc w:val="center"/>
              <w:rPr>
                <w:noProof/>
                <w:color w:val="333333"/>
                <w:sz w:val="20"/>
                <w:szCs w:val="20"/>
              </w:rPr>
            </w:pPr>
            <w:r>
              <w:rPr>
                <w:noProof/>
                <w:color w:val="333333"/>
                <w:sz w:val="20"/>
                <w:szCs w:val="20"/>
              </w:rPr>
              <w:t>97</w:t>
            </w:r>
          </w:p>
        </w:tc>
      </w:tr>
      <w:tr>
        <w:trPr>
          <w:trHeight w:val="317"/>
        </w:trPr>
        <w:tc>
          <w:tcPr>
            <w:tcW w:w="527" w:type="dxa"/>
            <w:tcBorders>
              <w:left w:val="nil"/>
              <w:bottom w:val="nil"/>
              <w:right w:val="nil"/>
            </w:tcBorders>
            <w:shd w:val="clear" w:color="auto" w:fill="auto"/>
            <w:vAlign w:val="center"/>
          </w:tcPr>
          <w:p>
            <w:pPr>
              <w:jc w:val="center"/>
              <w:rPr>
                <w:noProof/>
                <w:sz w:val="20"/>
                <w:szCs w:val="20"/>
              </w:rPr>
            </w:pPr>
          </w:p>
        </w:tc>
        <w:tc>
          <w:tcPr>
            <w:tcW w:w="693" w:type="dxa"/>
            <w:tcBorders>
              <w:left w:val="nil"/>
              <w:bottom w:val="nil"/>
              <w:right w:val="nil"/>
            </w:tcBorders>
            <w:shd w:val="clear" w:color="auto" w:fill="auto"/>
            <w:vAlign w:val="center"/>
          </w:tcPr>
          <w:p>
            <w:pPr>
              <w:jc w:val="center"/>
              <w:rPr>
                <w:noProof/>
                <w:color w:val="333333"/>
                <w:sz w:val="20"/>
                <w:szCs w:val="20"/>
              </w:rPr>
            </w:pPr>
          </w:p>
        </w:tc>
        <w:tc>
          <w:tcPr>
            <w:tcW w:w="2354" w:type="dxa"/>
            <w:tcBorders>
              <w:left w:val="nil"/>
              <w:bottom w:val="nil"/>
            </w:tcBorders>
            <w:shd w:val="clear" w:color="auto" w:fill="auto"/>
            <w:vAlign w:val="center"/>
          </w:tcPr>
          <w:p>
            <w:pPr>
              <w:jc w:val="center"/>
              <w:rPr>
                <w:noProof/>
                <w:sz w:val="20"/>
                <w:szCs w:val="20"/>
              </w:rPr>
            </w:pPr>
          </w:p>
        </w:tc>
        <w:tc>
          <w:tcPr>
            <w:tcW w:w="4150" w:type="dxa"/>
            <w:shd w:val="clear" w:color="auto" w:fill="D9D9D9" w:themeFill="background1" w:themeFillShade="D9"/>
            <w:vAlign w:val="center"/>
          </w:tcPr>
          <w:p>
            <w:pPr>
              <w:jc w:val="right"/>
              <w:rPr>
                <w:b/>
                <w:noProof/>
                <w:sz w:val="20"/>
                <w:szCs w:val="20"/>
              </w:rPr>
            </w:pPr>
            <w:r>
              <w:rPr>
                <w:b/>
                <w:noProof/>
                <w:sz w:val="20"/>
                <w:szCs w:val="20"/>
              </w:rPr>
              <w:t>TOTAL</w:t>
            </w:r>
          </w:p>
        </w:tc>
        <w:tc>
          <w:tcPr>
            <w:tcW w:w="1384" w:type="dxa"/>
            <w:shd w:val="clear" w:color="auto" w:fill="D9D9D9" w:themeFill="background1" w:themeFillShade="D9"/>
            <w:vAlign w:val="center"/>
          </w:tcPr>
          <w:p>
            <w:pPr>
              <w:jc w:val="right"/>
              <w:rPr>
                <w:b/>
                <w:bCs/>
                <w:noProof/>
                <w:color w:val="FF0000"/>
                <w:sz w:val="20"/>
                <w:szCs w:val="20"/>
              </w:rPr>
            </w:pPr>
            <w:r>
              <w:rPr>
                <w:b/>
                <w:bCs/>
                <w:noProof/>
                <w:sz w:val="20"/>
                <w:szCs w:val="20"/>
              </w:rPr>
              <w:t>4 267 928</w:t>
            </w:r>
          </w:p>
        </w:tc>
        <w:tc>
          <w:tcPr>
            <w:tcW w:w="969" w:type="dxa"/>
            <w:shd w:val="clear" w:color="auto" w:fill="D9D9D9" w:themeFill="background1" w:themeFillShade="D9"/>
            <w:vAlign w:val="center"/>
          </w:tcPr>
          <w:p>
            <w:pPr>
              <w:rPr>
                <w:b/>
                <w:bCs/>
                <w:noProof/>
                <w:color w:val="FF0000"/>
                <w:sz w:val="20"/>
                <w:szCs w:val="20"/>
              </w:rPr>
            </w:pPr>
          </w:p>
        </w:tc>
      </w:tr>
    </w:tbl>
    <w:p>
      <w:pPr>
        <w:rPr>
          <w:noProof/>
          <w:sz w:val="20"/>
          <w:szCs w:val="20"/>
        </w:rPr>
      </w:pPr>
    </w:p>
    <w:p>
      <w:pPr>
        <w:rPr>
          <w:noProof/>
          <w:sz w:val="20"/>
          <w:szCs w:val="20"/>
        </w:rPr>
      </w:pPr>
      <w:r>
        <w:rPr>
          <w:noProof/>
          <w:sz w:val="20"/>
          <w:szCs w:val="20"/>
        </w:rPr>
        <w:tab/>
      </w:r>
      <w:r>
        <w:rPr>
          <w:noProof/>
          <w:sz w:val="20"/>
          <w:szCs w:val="20"/>
        </w:rPr>
        <w:tab/>
      </w:r>
      <w:r>
        <w:rPr>
          <w:noProof/>
          <w:sz w:val="20"/>
          <w:szCs w:val="20"/>
        </w:rPr>
        <w:tab/>
      </w:r>
      <w:r>
        <w:rPr>
          <w:noProof/>
          <w:sz w:val="20"/>
          <w:szCs w:val="20"/>
        </w:rPr>
        <w:tab/>
      </w:r>
    </w:p>
    <w:p>
      <w:pPr>
        <w:rPr>
          <w:noProof/>
          <w:sz w:val="20"/>
          <w:szCs w:val="20"/>
        </w:rPr>
      </w:pPr>
      <w:r>
        <w:rPr>
          <w:noProof/>
          <w:sz w:val="20"/>
          <w:szCs w:val="20"/>
        </w:rPr>
        <w:t>Table 3 –</w:t>
      </w:r>
      <w:r>
        <w:rPr>
          <w:b/>
          <w:noProof/>
          <w:sz w:val="20"/>
          <w:szCs w:val="20"/>
        </w:rPr>
        <w:t xml:space="preserve"> DATABASES</w:t>
      </w:r>
      <w:r>
        <w:rPr>
          <w:noProof/>
          <w:sz w:val="20"/>
          <w:szCs w:val="20"/>
        </w:rPr>
        <w:t xml:space="preserve"> that were </w:t>
      </w:r>
      <w:r>
        <w:rPr>
          <w:b/>
          <w:noProof/>
          <w:sz w:val="20"/>
          <w:szCs w:val="20"/>
        </w:rPr>
        <w:t>CONTRACTED</w:t>
      </w:r>
      <w:r>
        <w:rPr>
          <w:noProof/>
          <w:sz w:val="20"/>
          <w:szCs w:val="20"/>
        </w:rPr>
        <w:t xml:space="preserve"> under the Hercule III budget in 2019</w:t>
      </w:r>
    </w:p>
    <w:tbl>
      <w:tblPr>
        <w:tblStyle w:val="TableGrid"/>
        <w:tblW w:w="0" w:type="auto"/>
        <w:tblLook w:val="04A0" w:firstRow="1" w:lastRow="0" w:firstColumn="1" w:lastColumn="0" w:noHBand="0" w:noVBand="1"/>
      </w:tblPr>
      <w:tblGrid>
        <w:gridCol w:w="534"/>
        <w:gridCol w:w="2409"/>
        <w:gridCol w:w="5529"/>
        <w:gridCol w:w="1490"/>
      </w:tblGrid>
      <w:tr>
        <w:trPr>
          <w:trHeight w:val="663"/>
        </w:trPr>
        <w:tc>
          <w:tcPr>
            <w:tcW w:w="534" w:type="dxa"/>
            <w:tcBorders>
              <w:top w:val="nil"/>
              <w:left w:val="nil"/>
            </w:tcBorders>
            <w:shd w:val="clear" w:color="auto" w:fill="auto"/>
            <w:vAlign w:val="center"/>
          </w:tcPr>
          <w:p>
            <w:pPr>
              <w:keepNext/>
              <w:spacing w:line="240" w:lineRule="exact"/>
              <w:rPr>
                <w:noProof/>
                <w:sz w:val="20"/>
                <w:szCs w:val="20"/>
              </w:rPr>
            </w:pPr>
          </w:p>
        </w:tc>
        <w:tc>
          <w:tcPr>
            <w:tcW w:w="2409" w:type="dxa"/>
            <w:shd w:val="clear" w:color="auto" w:fill="D9D9D9" w:themeFill="background1" w:themeFillShade="D9"/>
            <w:vAlign w:val="center"/>
          </w:tcPr>
          <w:p>
            <w:pPr>
              <w:keepNext/>
              <w:spacing w:line="240" w:lineRule="exact"/>
              <w:jc w:val="center"/>
              <w:rPr>
                <w:noProof/>
                <w:sz w:val="20"/>
                <w:szCs w:val="20"/>
              </w:rPr>
            </w:pPr>
            <w:r>
              <w:rPr>
                <w:noProof/>
                <w:sz w:val="20"/>
                <w:szCs w:val="20"/>
              </w:rPr>
              <w:t>Name</w:t>
            </w:r>
          </w:p>
        </w:tc>
        <w:tc>
          <w:tcPr>
            <w:tcW w:w="5529" w:type="dxa"/>
            <w:shd w:val="clear" w:color="auto" w:fill="D9D9D9" w:themeFill="background1" w:themeFillShade="D9"/>
            <w:vAlign w:val="center"/>
          </w:tcPr>
          <w:p>
            <w:pPr>
              <w:keepNext/>
              <w:spacing w:line="240" w:lineRule="exact"/>
              <w:jc w:val="center"/>
              <w:rPr>
                <w:noProof/>
                <w:sz w:val="20"/>
                <w:szCs w:val="20"/>
              </w:rPr>
            </w:pPr>
            <w:r>
              <w:rPr>
                <w:noProof/>
                <w:sz w:val="20"/>
                <w:szCs w:val="20"/>
              </w:rPr>
              <w:t>Content</w:t>
            </w:r>
          </w:p>
        </w:tc>
        <w:tc>
          <w:tcPr>
            <w:tcW w:w="1490" w:type="dxa"/>
            <w:shd w:val="clear" w:color="auto" w:fill="D9D9D9" w:themeFill="background1" w:themeFillShade="D9"/>
            <w:vAlign w:val="center"/>
          </w:tcPr>
          <w:p>
            <w:pPr>
              <w:keepNext/>
              <w:spacing w:line="240" w:lineRule="exact"/>
              <w:jc w:val="center"/>
              <w:rPr>
                <w:noProof/>
                <w:sz w:val="20"/>
                <w:szCs w:val="20"/>
              </w:rPr>
            </w:pPr>
            <w:r>
              <w:rPr>
                <w:noProof/>
                <w:sz w:val="20"/>
                <w:szCs w:val="20"/>
              </w:rPr>
              <w:t>Commitment in Euro</w:t>
            </w:r>
          </w:p>
        </w:tc>
      </w:tr>
      <w:tr>
        <w:trPr>
          <w:trHeight w:val="554"/>
        </w:trPr>
        <w:tc>
          <w:tcPr>
            <w:tcW w:w="534" w:type="dxa"/>
            <w:vAlign w:val="center"/>
          </w:tcPr>
          <w:p>
            <w:pPr>
              <w:keepNext/>
              <w:spacing w:line="240" w:lineRule="exact"/>
              <w:rPr>
                <w:noProof/>
                <w:sz w:val="20"/>
                <w:szCs w:val="20"/>
              </w:rPr>
            </w:pPr>
            <w:r>
              <w:rPr>
                <w:noProof/>
                <w:sz w:val="20"/>
                <w:szCs w:val="20"/>
              </w:rPr>
              <w:t>1</w:t>
            </w:r>
          </w:p>
        </w:tc>
        <w:tc>
          <w:tcPr>
            <w:tcW w:w="2409" w:type="dxa"/>
            <w:vAlign w:val="center"/>
          </w:tcPr>
          <w:p>
            <w:pPr>
              <w:rPr>
                <w:noProof/>
                <w:sz w:val="20"/>
                <w:szCs w:val="20"/>
                <w:highlight w:val="yellow"/>
              </w:rPr>
            </w:pPr>
            <w:r>
              <w:rPr>
                <w:noProof/>
                <w:sz w:val="20"/>
                <w:szCs w:val="20"/>
              </w:rPr>
              <w:t>IHS Maritime Portal</w:t>
            </w:r>
          </w:p>
        </w:tc>
        <w:tc>
          <w:tcPr>
            <w:tcW w:w="5529" w:type="dxa"/>
            <w:vAlign w:val="center"/>
          </w:tcPr>
          <w:p>
            <w:pPr>
              <w:rPr>
                <w:noProof/>
                <w:sz w:val="20"/>
                <w:szCs w:val="20"/>
                <w:highlight w:val="yellow"/>
              </w:rPr>
            </w:pPr>
            <w:r>
              <w:rPr>
                <w:noProof/>
                <w:sz w:val="20"/>
                <w:szCs w:val="20"/>
              </w:rPr>
              <w:t>Information on ship movements</w:t>
            </w:r>
          </w:p>
        </w:tc>
        <w:tc>
          <w:tcPr>
            <w:tcW w:w="1490" w:type="dxa"/>
            <w:vAlign w:val="center"/>
          </w:tcPr>
          <w:p>
            <w:pPr>
              <w:jc w:val="right"/>
              <w:rPr>
                <w:noProof/>
                <w:sz w:val="20"/>
                <w:szCs w:val="20"/>
                <w:highlight w:val="yellow"/>
              </w:rPr>
            </w:pPr>
            <w:r>
              <w:rPr>
                <w:noProof/>
                <w:sz w:val="20"/>
                <w:szCs w:val="20"/>
              </w:rPr>
              <w:t xml:space="preserve">227 554 </w:t>
            </w:r>
          </w:p>
        </w:tc>
      </w:tr>
      <w:tr>
        <w:trPr>
          <w:trHeight w:val="562"/>
        </w:trPr>
        <w:tc>
          <w:tcPr>
            <w:tcW w:w="534" w:type="dxa"/>
            <w:shd w:val="clear" w:color="auto" w:fill="EEECE1" w:themeFill="background2"/>
            <w:vAlign w:val="center"/>
          </w:tcPr>
          <w:p>
            <w:pPr>
              <w:keepNext/>
              <w:spacing w:line="240" w:lineRule="exact"/>
              <w:rPr>
                <w:noProof/>
                <w:sz w:val="20"/>
                <w:szCs w:val="20"/>
              </w:rPr>
            </w:pPr>
            <w:r>
              <w:rPr>
                <w:noProof/>
                <w:sz w:val="20"/>
                <w:szCs w:val="20"/>
              </w:rPr>
              <w:t>2</w:t>
            </w:r>
          </w:p>
        </w:tc>
        <w:tc>
          <w:tcPr>
            <w:tcW w:w="2409" w:type="dxa"/>
            <w:shd w:val="clear" w:color="auto" w:fill="EEECE1" w:themeFill="background2"/>
            <w:vAlign w:val="center"/>
          </w:tcPr>
          <w:p>
            <w:pPr>
              <w:rPr>
                <w:noProof/>
                <w:sz w:val="20"/>
                <w:szCs w:val="20"/>
                <w:highlight w:val="yellow"/>
              </w:rPr>
            </w:pPr>
            <w:r>
              <w:rPr>
                <w:noProof/>
                <w:sz w:val="20"/>
                <w:szCs w:val="20"/>
              </w:rPr>
              <w:t>GTA</w:t>
            </w:r>
          </w:p>
        </w:tc>
        <w:tc>
          <w:tcPr>
            <w:tcW w:w="5529" w:type="dxa"/>
            <w:shd w:val="clear" w:color="auto" w:fill="EEECE1" w:themeFill="background2"/>
            <w:vAlign w:val="center"/>
          </w:tcPr>
          <w:p>
            <w:pPr>
              <w:rPr>
                <w:noProof/>
                <w:sz w:val="20"/>
                <w:szCs w:val="20"/>
                <w:highlight w:val="yellow"/>
              </w:rPr>
            </w:pPr>
            <w:r>
              <w:rPr>
                <w:noProof/>
                <w:sz w:val="20"/>
                <w:szCs w:val="20"/>
              </w:rPr>
              <w:t>Trade statistics data</w:t>
            </w:r>
          </w:p>
        </w:tc>
        <w:tc>
          <w:tcPr>
            <w:tcW w:w="1490" w:type="dxa"/>
            <w:shd w:val="clear" w:color="auto" w:fill="EEECE1" w:themeFill="background2"/>
            <w:vAlign w:val="center"/>
          </w:tcPr>
          <w:p>
            <w:pPr>
              <w:jc w:val="right"/>
              <w:rPr>
                <w:noProof/>
                <w:sz w:val="20"/>
                <w:szCs w:val="20"/>
                <w:highlight w:val="yellow"/>
              </w:rPr>
            </w:pPr>
            <w:r>
              <w:rPr>
                <w:noProof/>
                <w:sz w:val="20"/>
                <w:szCs w:val="20"/>
              </w:rPr>
              <w:t>188 888</w:t>
            </w:r>
          </w:p>
        </w:tc>
      </w:tr>
      <w:tr>
        <w:tc>
          <w:tcPr>
            <w:tcW w:w="534" w:type="dxa"/>
            <w:tcBorders>
              <w:bottom w:val="single" w:sz="4" w:space="0" w:color="auto"/>
            </w:tcBorders>
            <w:vAlign w:val="center"/>
          </w:tcPr>
          <w:p>
            <w:pPr>
              <w:keepNext/>
              <w:spacing w:line="240" w:lineRule="exact"/>
              <w:rPr>
                <w:noProof/>
                <w:sz w:val="20"/>
                <w:szCs w:val="20"/>
              </w:rPr>
            </w:pPr>
            <w:r>
              <w:rPr>
                <w:noProof/>
                <w:sz w:val="20"/>
                <w:szCs w:val="20"/>
              </w:rPr>
              <w:t>3</w:t>
            </w:r>
          </w:p>
        </w:tc>
        <w:tc>
          <w:tcPr>
            <w:tcW w:w="2409" w:type="dxa"/>
            <w:tcBorders>
              <w:bottom w:val="single" w:sz="4" w:space="0" w:color="auto"/>
            </w:tcBorders>
            <w:vAlign w:val="center"/>
          </w:tcPr>
          <w:p>
            <w:pPr>
              <w:rPr>
                <w:noProof/>
                <w:sz w:val="20"/>
                <w:szCs w:val="20"/>
                <w:highlight w:val="yellow"/>
              </w:rPr>
            </w:pPr>
            <w:r>
              <w:rPr>
                <w:noProof/>
                <w:sz w:val="20"/>
                <w:szCs w:val="20"/>
              </w:rPr>
              <w:t>ORBIS</w:t>
            </w:r>
          </w:p>
        </w:tc>
        <w:tc>
          <w:tcPr>
            <w:tcW w:w="5529" w:type="dxa"/>
            <w:tcBorders>
              <w:bottom w:val="single" w:sz="4" w:space="0" w:color="auto"/>
            </w:tcBorders>
            <w:vAlign w:val="center"/>
          </w:tcPr>
          <w:p>
            <w:pPr>
              <w:rPr>
                <w:noProof/>
                <w:sz w:val="20"/>
                <w:szCs w:val="20"/>
                <w:highlight w:val="yellow"/>
              </w:rPr>
            </w:pPr>
            <w:r>
              <w:rPr>
                <w:noProof/>
                <w:sz w:val="20"/>
                <w:szCs w:val="20"/>
              </w:rPr>
              <w:t>Basic company information and financial details of companies all over the world</w:t>
            </w:r>
          </w:p>
        </w:tc>
        <w:tc>
          <w:tcPr>
            <w:tcW w:w="1490" w:type="dxa"/>
            <w:tcBorders>
              <w:bottom w:val="single" w:sz="4" w:space="0" w:color="auto"/>
            </w:tcBorders>
            <w:vAlign w:val="center"/>
          </w:tcPr>
          <w:p>
            <w:pPr>
              <w:jc w:val="right"/>
              <w:rPr>
                <w:noProof/>
                <w:sz w:val="20"/>
                <w:szCs w:val="20"/>
                <w:highlight w:val="yellow"/>
              </w:rPr>
            </w:pPr>
            <w:r>
              <w:rPr>
                <w:noProof/>
                <w:sz w:val="20"/>
                <w:szCs w:val="20"/>
              </w:rPr>
              <w:t>250 000</w:t>
            </w:r>
          </w:p>
        </w:tc>
      </w:tr>
      <w:tr>
        <w:trPr>
          <w:trHeight w:val="505"/>
        </w:trPr>
        <w:tc>
          <w:tcPr>
            <w:tcW w:w="534" w:type="dxa"/>
            <w:tcBorders>
              <w:left w:val="nil"/>
              <w:bottom w:val="nil"/>
              <w:right w:val="nil"/>
            </w:tcBorders>
            <w:vAlign w:val="center"/>
          </w:tcPr>
          <w:p>
            <w:pPr>
              <w:keepNext/>
              <w:spacing w:line="240" w:lineRule="exact"/>
              <w:rPr>
                <w:noProof/>
                <w:sz w:val="20"/>
                <w:szCs w:val="20"/>
              </w:rPr>
            </w:pPr>
          </w:p>
        </w:tc>
        <w:tc>
          <w:tcPr>
            <w:tcW w:w="2409" w:type="dxa"/>
            <w:tcBorders>
              <w:left w:val="nil"/>
              <w:bottom w:val="nil"/>
            </w:tcBorders>
            <w:vAlign w:val="center"/>
          </w:tcPr>
          <w:p>
            <w:pPr>
              <w:keepNext/>
              <w:spacing w:line="240" w:lineRule="exact"/>
              <w:rPr>
                <w:noProof/>
                <w:sz w:val="20"/>
                <w:szCs w:val="20"/>
              </w:rPr>
            </w:pPr>
          </w:p>
        </w:tc>
        <w:tc>
          <w:tcPr>
            <w:tcW w:w="5529" w:type="dxa"/>
            <w:shd w:val="clear" w:color="auto" w:fill="D9D9D9" w:themeFill="background1" w:themeFillShade="D9"/>
            <w:vAlign w:val="center"/>
          </w:tcPr>
          <w:p>
            <w:pPr>
              <w:keepNext/>
              <w:spacing w:line="240" w:lineRule="exact"/>
              <w:rPr>
                <w:b/>
                <w:noProof/>
                <w:sz w:val="20"/>
                <w:szCs w:val="20"/>
              </w:rPr>
            </w:pPr>
            <w:r>
              <w:rPr>
                <w:noProof/>
                <w:sz w:val="20"/>
                <w:szCs w:val="20"/>
              </w:rPr>
              <w:t xml:space="preserve">Total committed under the 2019 budget </w:t>
            </w:r>
          </w:p>
        </w:tc>
        <w:tc>
          <w:tcPr>
            <w:tcW w:w="1490" w:type="dxa"/>
            <w:shd w:val="clear" w:color="auto" w:fill="D9D9D9" w:themeFill="background1" w:themeFillShade="D9"/>
            <w:vAlign w:val="center"/>
          </w:tcPr>
          <w:p>
            <w:pPr>
              <w:keepNext/>
              <w:spacing w:line="240" w:lineRule="exact"/>
              <w:jc w:val="right"/>
              <w:rPr>
                <w:b/>
                <w:noProof/>
                <w:sz w:val="20"/>
                <w:szCs w:val="20"/>
              </w:rPr>
            </w:pPr>
            <w:r>
              <w:rPr>
                <w:b/>
                <w:noProof/>
                <w:sz w:val="20"/>
                <w:szCs w:val="20"/>
              </w:rPr>
              <w:t>666 442</w:t>
            </w:r>
          </w:p>
        </w:tc>
      </w:tr>
    </w:tbl>
    <w:p>
      <w:pPr>
        <w:rPr>
          <w:noProof/>
          <w:sz w:val="20"/>
          <w:szCs w:val="20"/>
        </w:rPr>
      </w:pPr>
    </w:p>
    <w:p>
      <w:pPr>
        <w:keepNext/>
        <w:spacing w:after="0" w:line="240" w:lineRule="exact"/>
        <w:rPr>
          <w:noProof/>
          <w:sz w:val="20"/>
          <w:szCs w:val="20"/>
        </w:rPr>
      </w:pPr>
      <w:r>
        <w:rPr>
          <w:noProof/>
          <w:sz w:val="20"/>
          <w:szCs w:val="20"/>
        </w:rPr>
        <w:t>Table 4 –</w:t>
      </w:r>
      <w:r>
        <w:rPr>
          <w:b/>
          <w:noProof/>
          <w:sz w:val="20"/>
          <w:szCs w:val="20"/>
        </w:rPr>
        <w:t xml:space="preserve"> ANTI-FRAUD TRAINING &amp; CONFERENCES </w:t>
      </w:r>
      <w:r>
        <w:rPr>
          <w:noProof/>
          <w:sz w:val="20"/>
          <w:szCs w:val="20"/>
        </w:rPr>
        <w:t xml:space="preserve">grants </w:t>
      </w:r>
      <w:r>
        <w:rPr>
          <w:b/>
          <w:noProof/>
          <w:sz w:val="20"/>
          <w:szCs w:val="20"/>
        </w:rPr>
        <w:t>AWARDED</w:t>
      </w:r>
      <w:r>
        <w:rPr>
          <w:noProof/>
          <w:sz w:val="20"/>
          <w:szCs w:val="20"/>
        </w:rPr>
        <w:t xml:space="preserve"> under the 2019 Financing Decision</w:t>
      </w:r>
    </w:p>
    <w:p>
      <w:pPr>
        <w:keepNext/>
        <w:spacing w:after="0" w:line="240" w:lineRule="exact"/>
        <w:rPr>
          <w:noProof/>
          <w:sz w:val="20"/>
          <w:szCs w:val="20"/>
        </w:rPr>
      </w:pPr>
    </w:p>
    <w:tbl>
      <w:tblPr>
        <w:tblStyle w:val="TableGrid"/>
        <w:tblW w:w="0" w:type="auto"/>
        <w:tblLayout w:type="fixed"/>
        <w:tblLook w:val="04A0" w:firstRow="1" w:lastRow="0" w:firstColumn="1" w:lastColumn="0" w:noHBand="0" w:noVBand="1"/>
      </w:tblPr>
      <w:tblGrid>
        <w:gridCol w:w="534"/>
        <w:gridCol w:w="708"/>
        <w:gridCol w:w="2694"/>
        <w:gridCol w:w="3937"/>
        <w:gridCol w:w="1307"/>
        <w:gridCol w:w="782"/>
      </w:tblGrid>
      <w:tr>
        <w:tc>
          <w:tcPr>
            <w:tcW w:w="534" w:type="dxa"/>
            <w:tcBorders>
              <w:top w:val="nil"/>
              <w:left w:val="nil"/>
            </w:tcBorders>
            <w:vAlign w:val="center"/>
          </w:tcPr>
          <w:p>
            <w:pPr>
              <w:ind w:left="-32"/>
              <w:jc w:val="center"/>
              <w:rPr>
                <w:noProof/>
                <w:sz w:val="20"/>
                <w:szCs w:val="20"/>
              </w:rPr>
            </w:pPr>
          </w:p>
        </w:tc>
        <w:tc>
          <w:tcPr>
            <w:tcW w:w="708" w:type="dxa"/>
            <w:shd w:val="clear" w:color="auto" w:fill="D9D9D9" w:themeFill="background1" w:themeFillShade="D9"/>
            <w:vAlign w:val="center"/>
          </w:tcPr>
          <w:p>
            <w:pPr>
              <w:jc w:val="center"/>
              <w:rPr>
                <w:noProof/>
                <w:sz w:val="20"/>
                <w:szCs w:val="20"/>
              </w:rPr>
            </w:pPr>
            <w:r>
              <w:rPr>
                <w:noProof/>
                <w:sz w:val="20"/>
                <w:szCs w:val="20"/>
              </w:rPr>
              <w:t>MS</w:t>
            </w:r>
          </w:p>
        </w:tc>
        <w:tc>
          <w:tcPr>
            <w:tcW w:w="2694" w:type="dxa"/>
            <w:shd w:val="clear" w:color="auto" w:fill="D9D9D9" w:themeFill="background1" w:themeFillShade="D9"/>
            <w:vAlign w:val="center"/>
          </w:tcPr>
          <w:p>
            <w:pPr>
              <w:jc w:val="center"/>
              <w:rPr>
                <w:noProof/>
                <w:sz w:val="20"/>
                <w:szCs w:val="20"/>
              </w:rPr>
            </w:pPr>
            <w:r>
              <w:rPr>
                <w:noProof/>
                <w:sz w:val="20"/>
                <w:szCs w:val="20"/>
              </w:rPr>
              <w:t>Beneficiary</w:t>
            </w:r>
          </w:p>
        </w:tc>
        <w:tc>
          <w:tcPr>
            <w:tcW w:w="3937" w:type="dxa"/>
            <w:shd w:val="clear" w:color="auto" w:fill="D9D9D9" w:themeFill="background1" w:themeFillShade="D9"/>
            <w:vAlign w:val="center"/>
          </w:tcPr>
          <w:p>
            <w:pPr>
              <w:jc w:val="center"/>
              <w:rPr>
                <w:noProof/>
                <w:sz w:val="20"/>
                <w:szCs w:val="20"/>
              </w:rPr>
            </w:pPr>
            <w:r>
              <w:rPr>
                <w:noProof/>
                <w:sz w:val="20"/>
                <w:szCs w:val="20"/>
              </w:rPr>
              <w:t>Title</w:t>
            </w:r>
          </w:p>
        </w:tc>
        <w:tc>
          <w:tcPr>
            <w:tcW w:w="1307" w:type="dxa"/>
            <w:shd w:val="clear" w:color="auto" w:fill="D9D9D9" w:themeFill="background1" w:themeFillShade="D9"/>
            <w:vAlign w:val="center"/>
          </w:tcPr>
          <w:p>
            <w:pPr>
              <w:jc w:val="center"/>
              <w:rPr>
                <w:noProof/>
                <w:sz w:val="20"/>
                <w:szCs w:val="20"/>
              </w:rPr>
            </w:pPr>
            <w:r>
              <w:rPr>
                <w:noProof/>
                <w:sz w:val="20"/>
                <w:szCs w:val="20"/>
              </w:rPr>
              <w:t>Awarded grant (EUR)</w:t>
            </w:r>
          </w:p>
        </w:tc>
        <w:tc>
          <w:tcPr>
            <w:tcW w:w="782" w:type="dxa"/>
            <w:shd w:val="clear" w:color="auto" w:fill="D9D9D9" w:themeFill="background1" w:themeFillShade="D9"/>
            <w:vAlign w:val="center"/>
          </w:tcPr>
          <w:p>
            <w:pPr>
              <w:jc w:val="center"/>
              <w:rPr>
                <w:noProof/>
                <w:sz w:val="20"/>
                <w:szCs w:val="20"/>
              </w:rPr>
            </w:pPr>
            <w:r>
              <w:rPr>
                <w:noProof/>
                <w:sz w:val="20"/>
                <w:szCs w:val="20"/>
              </w:rPr>
              <w:t>Co-fin %</w:t>
            </w:r>
          </w:p>
        </w:tc>
      </w:tr>
      <w:tr>
        <w:tc>
          <w:tcPr>
            <w:tcW w:w="534" w:type="dxa"/>
            <w:tcBorders>
              <w:bottom w:val="single" w:sz="4" w:space="0" w:color="auto"/>
            </w:tcBorders>
            <w:shd w:val="clear" w:color="auto" w:fill="auto"/>
            <w:vAlign w:val="center"/>
          </w:tcPr>
          <w:p>
            <w:pPr>
              <w:ind w:left="-32"/>
              <w:jc w:val="center"/>
              <w:rPr>
                <w:noProof/>
                <w:sz w:val="20"/>
                <w:szCs w:val="20"/>
              </w:rPr>
            </w:pPr>
            <w:r>
              <w:rPr>
                <w:noProof/>
                <w:sz w:val="20"/>
                <w:szCs w:val="20"/>
              </w:rPr>
              <w:t>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noProof/>
                <w:color w:val="333333"/>
                <w:sz w:val="20"/>
                <w:szCs w:val="20"/>
              </w:rPr>
            </w:pPr>
            <w:r>
              <w:rPr>
                <w:noProof/>
                <w:color w:val="333333"/>
                <w:sz w:val="20"/>
                <w:szCs w:val="20"/>
              </w:rPr>
              <w:t>LT</w:t>
            </w:r>
          </w:p>
        </w:tc>
        <w:tc>
          <w:tcPr>
            <w:tcW w:w="2694" w:type="dxa"/>
            <w:tcBorders>
              <w:top w:val="single" w:sz="4" w:space="0" w:color="auto"/>
              <w:left w:val="nil"/>
              <w:bottom w:val="single" w:sz="4" w:space="0" w:color="auto"/>
              <w:right w:val="single" w:sz="4" w:space="0" w:color="auto"/>
            </w:tcBorders>
            <w:shd w:val="clear" w:color="auto" w:fill="auto"/>
            <w:vAlign w:val="center"/>
          </w:tcPr>
          <w:p>
            <w:pPr>
              <w:rPr>
                <w:noProof/>
                <w:color w:val="333333"/>
                <w:sz w:val="20"/>
                <w:szCs w:val="20"/>
              </w:rPr>
            </w:pPr>
            <w:r>
              <w:rPr>
                <w:noProof/>
                <w:color w:val="333333"/>
                <w:sz w:val="20"/>
                <w:szCs w:val="20"/>
              </w:rPr>
              <w:t xml:space="preserve">Special Investigation Service of the Republic of Lithuania </w:t>
            </w:r>
          </w:p>
        </w:tc>
        <w:tc>
          <w:tcPr>
            <w:tcW w:w="3937" w:type="dxa"/>
            <w:tcBorders>
              <w:top w:val="single" w:sz="4" w:space="0" w:color="auto"/>
              <w:left w:val="nil"/>
              <w:bottom w:val="single" w:sz="4" w:space="0" w:color="auto"/>
              <w:right w:val="single" w:sz="4" w:space="0" w:color="auto"/>
            </w:tcBorders>
            <w:shd w:val="clear" w:color="auto" w:fill="auto"/>
            <w:vAlign w:val="center"/>
          </w:tcPr>
          <w:p>
            <w:pPr>
              <w:rPr>
                <w:noProof/>
                <w:color w:val="333333"/>
                <w:sz w:val="20"/>
                <w:szCs w:val="20"/>
              </w:rPr>
            </w:pPr>
            <w:r>
              <w:rPr>
                <w:noProof/>
                <w:color w:val="333333"/>
                <w:sz w:val="20"/>
                <w:szCs w:val="20"/>
              </w:rPr>
              <w:t>Strengthening law enforcement analytical capacities in Big Data Analysis to prevent and detect fraud and corruption affecting EU financial interests</w:t>
            </w:r>
          </w:p>
        </w:tc>
        <w:tc>
          <w:tcPr>
            <w:tcW w:w="1307" w:type="dxa"/>
            <w:tcBorders>
              <w:top w:val="single" w:sz="4" w:space="0" w:color="auto"/>
              <w:left w:val="nil"/>
              <w:bottom w:val="single" w:sz="4" w:space="0" w:color="auto"/>
              <w:right w:val="single" w:sz="4" w:space="0" w:color="auto"/>
            </w:tcBorders>
            <w:shd w:val="clear" w:color="auto" w:fill="auto"/>
            <w:vAlign w:val="center"/>
          </w:tcPr>
          <w:p>
            <w:pPr>
              <w:jc w:val="right"/>
              <w:rPr>
                <w:noProof/>
                <w:color w:val="333333"/>
                <w:sz w:val="20"/>
                <w:szCs w:val="20"/>
              </w:rPr>
            </w:pPr>
            <w:r>
              <w:rPr>
                <w:noProof/>
                <w:color w:val="333333"/>
                <w:sz w:val="20"/>
                <w:szCs w:val="20"/>
              </w:rPr>
              <w:t>38 140</w:t>
            </w:r>
          </w:p>
        </w:tc>
        <w:tc>
          <w:tcPr>
            <w:tcW w:w="782" w:type="dxa"/>
            <w:tcBorders>
              <w:top w:val="single" w:sz="4" w:space="0" w:color="auto"/>
              <w:left w:val="nil"/>
              <w:bottom w:val="single" w:sz="4" w:space="0" w:color="auto"/>
              <w:right w:val="single" w:sz="4" w:space="0" w:color="auto"/>
            </w:tcBorders>
            <w:shd w:val="clear" w:color="auto" w:fill="auto"/>
            <w:vAlign w:val="center"/>
          </w:tcPr>
          <w:p>
            <w:pPr>
              <w:jc w:val="center"/>
              <w:rPr>
                <w:noProof/>
                <w:color w:val="333333"/>
                <w:sz w:val="20"/>
                <w:szCs w:val="20"/>
              </w:rPr>
            </w:pPr>
            <w:r>
              <w:rPr>
                <w:noProof/>
                <w:color w:val="333333"/>
                <w:sz w:val="20"/>
                <w:szCs w:val="20"/>
              </w:rPr>
              <w:t>80</w:t>
            </w:r>
          </w:p>
        </w:tc>
      </w:tr>
      <w:tr>
        <w:tc>
          <w:tcPr>
            <w:tcW w:w="534" w:type="dxa"/>
            <w:shd w:val="clear" w:color="auto" w:fill="EEECE1" w:themeFill="background2"/>
            <w:vAlign w:val="center"/>
          </w:tcPr>
          <w:p>
            <w:pPr>
              <w:ind w:left="-32"/>
              <w:jc w:val="center"/>
              <w:rPr>
                <w:noProof/>
                <w:sz w:val="20"/>
                <w:szCs w:val="20"/>
              </w:rPr>
            </w:pPr>
            <w:r>
              <w:rPr>
                <w:noProof/>
                <w:sz w:val="20"/>
                <w:szCs w:val="20"/>
              </w:rPr>
              <w:t>2</w:t>
            </w:r>
          </w:p>
        </w:tc>
        <w:tc>
          <w:tcPr>
            <w:tcW w:w="708" w:type="dxa"/>
            <w:tcBorders>
              <w:top w:val="nil"/>
              <w:left w:val="single" w:sz="4" w:space="0" w:color="auto"/>
              <w:bottom w:val="single" w:sz="4" w:space="0" w:color="auto"/>
              <w:right w:val="single" w:sz="4" w:space="0" w:color="auto"/>
            </w:tcBorders>
            <w:shd w:val="clear" w:color="auto" w:fill="EEECE1" w:themeFill="background2"/>
            <w:vAlign w:val="center"/>
          </w:tcPr>
          <w:p>
            <w:pPr>
              <w:jc w:val="center"/>
              <w:rPr>
                <w:noProof/>
                <w:color w:val="333333"/>
                <w:sz w:val="20"/>
                <w:szCs w:val="20"/>
              </w:rPr>
            </w:pPr>
            <w:r>
              <w:rPr>
                <w:noProof/>
                <w:color w:val="333333"/>
                <w:sz w:val="20"/>
                <w:szCs w:val="20"/>
              </w:rPr>
              <w:t>IT</w:t>
            </w:r>
          </w:p>
        </w:tc>
        <w:tc>
          <w:tcPr>
            <w:tcW w:w="2694" w:type="dxa"/>
            <w:tcBorders>
              <w:top w:val="nil"/>
              <w:left w:val="nil"/>
              <w:bottom w:val="single" w:sz="4" w:space="0" w:color="auto"/>
              <w:right w:val="single" w:sz="4" w:space="0" w:color="auto"/>
            </w:tcBorders>
            <w:shd w:val="clear" w:color="auto" w:fill="EEECE1" w:themeFill="background2"/>
            <w:vAlign w:val="center"/>
          </w:tcPr>
          <w:p>
            <w:pPr>
              <w:rPr>
                <w:noProof/>
                <w:color w:val="333333"/>
                <w:sz w:val="20"/>
                <w:szCs w:val="20"/>
              </w:rPr>
            </w:pPr>
            <w:r>
              <w:rPr>
                <w:noProof/>
                <w:color w:val="333333"/>
                <w:sz w:val="20"/>
                <w:szCs w:val="20"/>
              </w:rPr>
              <w:t>Court of Auditors/ Italian AFCOS</w:t>
            </w:r>
          </w:p>
        </w:tc>
        <w:tc>
          <w:tcPr>
            <w:tcW w:w="3937" w:type="dxa"/>
            <w:tcBorders>
              <w:top w:val="nil"/>
              <w:left w:val="nil"/>
              <w:bottom w:val="single" w:sz="4" w:space="0" w:color="auto"/>
              <w:right w:val="single" w:sz="4" w:space="0" w:color="auto"/>
            </w:tcBorders>
            <w:shd w:val="clear" w:color="auto" w:fill="EEECE1" w:themeFill="background2"/>
            <w:vAlign w:val="center"/>
          </w:tcPr>
          <w:p>
            <w:pPr>
              <w:rPr>
                <w:noProof/>
                <w:color w:val="333333"/>
                <w:sz w:val="20"/>
                <w:szCs w:val="20"/>
              </w:rPr>
            </w:pPr>
            <w:r>
              <w:rPr>
                <w:noProof/>
                <w:color w:val="333333"/>
                <w:sz w:val="20"/>
                <w:szCs w:val="20"/>
              </w:rPr>
              <w:t>Cooperation Agreements and Training on Objectives and New Experiences</w:t>
            </w:r>
          </w:p>
        </w:tc>
        <w:tc>
          <w:tcPr>
            <w:tcW w:w="1307" w:type="dxa"/>
            <w:tcBorders>
              <w:top w:val="nil"/>
              <w:left w:val="nil"/>
              <w:bottom w:val="single" w:sz="4" w:space="0" w:color="auto"/>
              <w:right w:val="single" w:sz="4" w:space="0" w:color="auto"/>
            </w:tcBorders>
            <w:shd w:val="clear" w:color="auto" w:fill="EEECE1" w:themeFill="background2"/>
            <w:vAlign w:val="center"/>
          </w:tcPr>
          <w:p>
            <w:pPr>
              <w:jc w:val="right"/>
              <w:rPr>
                <w:noProof/>
                <w:color w:val="333333"/>
                <w:sz w:val="20"/>
                <w:szCs w:val="20"/>
              </w:rPr>
            </w:pPr>
            <w:r>
              <w:rPr>
                <w:noProof/>
                <w:color w:val="333333"/>
                <w:sz w:val="20"/>
                <w:szCs w:val="20"/>
              </w:rPr>
              <w:t>63 314</w:t>
            </w:r>
          </w:p>
        </w:tc>
        <w:tc>
          <w:tcPr>
            <w:tcW w:w="782" w:type="dxa"/>
            <w:tcBorders>
              <w:top w:val="nil"/>
              <w:left w:val="nil"/>
              <w:bottom w:val="single" w:sz="4" w:space="0" w:color="auto"/>
              <w:right w:val="single" w:sz="4" w:space="0" w:color="auto"/>
            </w:tcBorders>
            <w:shd w:val="clear" w:color="auto" w:fill="EEECE1" w:themeFill="background2"/>
            <w:vAlign w:val="center"/>
          </w:tcPr>
          <w:p>
            <w:pPr>
              <w:jc w:val="center"/>
              <w:rPr>
                <w:noProof/>
                <w:color w:val="333333"/>
                <w:sz w:val="20"/>
                <w:szCs w:val="20"/>
              </w:rPr>
            </w:pPr>
            <w:r>
              <w:rPr>
                <w:noProof/>
                <w:color w:val="333333"/>
                <w:sz w:val="20"/>
                <w:szCs w:val="20"/>
              </w:rPr>
              <w:t>80</w:t>
            </w:r>
          </w:p>
        </w:tc>
      </w:tr>
      <w:tr>
        <w:tc>
          <w:tcPr>
            <w:tcW w:w="534" w:type="dxa"/>
            <w:tcBorders>
              <w:bottom w:val="single" w:sz="4" w:space="0" w:color="auto"/>
            </w:tcBorders>
            <w:shd w:val="clear" w:color="auto" w:fill="auto"/>
            <w:vAlign w:val="center"/>
          </w:tcPr>
          <w:p>
            <w:pPr>
              <w:ind w:left="-32"/>
              <w:jc w:val="center"/>
              <w:rPr>
                <w:noProof/>
                <w:sz w:val="20"/>
                <w:szCs w:val="20"/>
              </w:rPr>
            </w:pPr>
            <w:r>
              <w:rPr>
                <w:noProof/>
                <w:sz w:val="20"/>
                <w:szCs w:val="20"/>
              </w:rPr>
              <w:t>3</w:t>
            </w:r>
          </w:p>
        </w:tc>
        <w:tc>
          <w:tcPr>
            <w:tcW w:w="708" w:type="dxa"/>
            <w:tcBorders>
              <w:top w:val="nil"/>
              <w:left w:val="single" w:sz="4" w:space="0" w:color="auto"/>
              <w:bottom w:val="single" w:sz="4" w:space="0" w:color="auto"/>
              <w:right w:val="single" w:sz="4" w:space="0" w:color="auto"/>
            </w:tcBorders>
            <w:shd w:val="clear" w:color="auto" w:fill="auto"/>
            <w:vAlign w:val="center"/>
          </w:tcPr>
          <w:p>
            <w:pPr>
              <w:jc w:val="center"/>
              <w:rPr>
                <w:noProof/>
                <w:color w:val="333333"/>
                <w:sz w:val="20"/>
                <w:szCs w:val="20"/>
              </w:rPr>
            </w:pPr>
            <w:r>
              <w:rPr>
                <w:noProof/>
                <w:color w:val="333333"/>
                <w:sz w:val="20"/>
                <w:szCs w:val="20"/>
              </w:rPr>
              <w:t>IT</w:t>
            </w:r>
          </w:p>
        </w:tc>
        <w:tc>
          <w:tcPr>
            <w:tcW w:w="2694" w:type="dxa"/>
            <w:tcBorders>
              <w:top w:val="nil"/>
              <w:left w:val="nil"/>
              <w:bottom w:val="single" w:sz="4" w:space="0" w:color="auto"/>
              <w:right w:val="single" w:sz="4" w:space="0" w:color="auto"/>
            </w:tcBorders>
            <w:shd w:val="clear" w:color="auto" w:fill="auto"/>
            <w:vAlign w:val="center"/>
          </w:tcPr>
          <w:p>
            <w:pPr>
              <w:rPr>
                <w:noProof/>
                <w:color w:val="333333"/>
                <w:sz w:val="20"/>
                <w:szCs w:val="20"/>
              </w:rPr>
            </w:pPr>
            <w:r>
              <w:rPr>
                <w:noProof/>
                <w:color w:val="333333"/>
                <w:sz w:val="20"/>
                <w:szCs w:val="20"/>
              </w:rPr>
              <w:t>European Institute for Socio-Economic Development Association</w:t>
            </w:r>
          </w:p>
        </w:tc>
        <w:tc>
          <w:tcPr>
            <w:tcW w:w="3937" w:type="dxa"/>
            <w:tcBorders>
              <w:top w:val="nil"/>
              <w:left w:val="nil"/>
              <w:bottom w:val="single" w:sz="4" w:space="0" w:color="auto"/>
              <w:right w:val="single" w:sz="4" w:space="0" w:color="auto"/>
            </w:tcBorders>
            <w:shd w:val="clear" w:color="auto" w:fill="auto"/>
            <w:vAlign w:val="center"/>
          </w:tcPr>
          <w:p>
            <w:pPr>
              <w:rPr>
                <w:noProof/>
                <w:color w:val="333333"/>
                <w:sz w:val="20"/>
                <w:szCs w:val="20"/>
              </w:rPr>
            </w:pPr>
            <w:r>
              <w:rPr>
                <w:noProof/>
                <w:color w:val="333333"/>
                <w:sz w:val="20"/>
                <w:szCs w:val="20"/>
              </w:rPr>
              <w:t>European Neighbourhood Policy &amp; EU enlargement training &amp; cooperation</w:t>
            </w:r>
          </w:p>
        </w:tc>
        <w:tc>
          <w:tcPr>
            <w:tcW w:w="1307" w:type="dxa"/>
            <w:tcBorders>
              <w:top w:val="nil"/>
              <w:left w:val="nil"/>
              <w:bottom w:val="single" w:sz="4" w:space="0" w:color="auto"/>
              <w:right w:val="single" w:sz="4" w:space="0" w:color="auto"/>
            </w:tcBorders>
            <w:shd w:val="clear" w:color="auto" w:fill="auto"/>
            <w:vAlign w:val="center"/>
          </w:tcPr>
          <w:p>
            <w:pPr>
              <w:jc w:val="right"/>
              <w:rPr>
                <w:noProof/>
                <w:color w:val="333333"/>
                <w:sz w:val="20"/>
                <w:szCs w:val="20"/>
              </w:rPr>
            </w:pPr>
            <w:r>
              <w:rPr>
                <w:noProof/>
                <w:color w:val="333333"/>
                <w:sz w:val="20"/>
                <w:szCs w:val="20"/>
              </w:rPr>
              <w:t>56 737</w:t>
            </w:r>
          </w:p>
        </w:tc>
        <w:tc>
          <w:tcPr>
            <w:tcW w:w="782" w:type="dxa"/>
            <w:tcBorders>
              <w:top w:val="nil"/>
              <w:left w:val="nil"/>
              <w:bottom w:val="single" w:sz="4" w:space="0" w:color="auto"/>
              <w:right w:val="single" w:sz="4" w:space="0" w:color="auto"/>
            </w:tcBorders>
            <w:shd w:val="clear" w:color="auto" w:fill="auto"/>
            <w:vAlign w:val="center"/>
          </w:tcPr>
          <w:p>
            <w:pPr>
              <w:jc w:val="center"/>
              <w:rPr>
                <w:noProof/>
                <w:color w:val="333333"/>
                <w:sz w:val="20"/>
                <w:szCs w:val="20"/>
              </w:rPr>
            </w:pPr>
            <w:r>
              <w:rPr>
                <w:noProof/>
                <w:color w:val="333333"/>
                <w:sz w:val="20"/>
                <w:szCs w:val="20"/>
              </w:rPr>
              <w:t>80</w:t>
            </w:r>
          </w:p>
        </w:tc>
      </w:tr>
      <w:tr>
        <w:tc>
          <w:tcPr>
            <w:tcW w:w="534" w:type="dxa"/>
            <w:shd w:val="clear" w:color="auto" w:fill="EEECE1" w:themeFill="background2"/>
            <w:vAlign w:val="center"/>
          </w:tcPr>
          <w:p>
            <w:pPr>
              <w:ind w:left="-32"/>
              <w:jc w:val="center"/>
              <w:rPr>
                <w:noProof/>
                <w:sz w:val="20"/>
                <w:szCs w:val="20"/>
              </w:rPr>
            </w:pPr>
            <w:r>
              <w:rPr>
                <w:noProof/>
                <w:sz w:val="20"/>
                <w:szCs w:val="20"/>
              </w:rPr>
              <w:t>4</w:t>
            </w:r>
          </w:p>
        </w:tc>
        <w:tc>
          <w:tcPr>
            <w:tcW w:w="708" w:type="dxa"/>
            <w:tcBorders>
              <w:top w:val="nil"/>
              <w:left w:val="single" w:sz="4" w:space="0" w:color="auto"/>
              <w:bottom w:val="single" w:sz="4" w:space="0" w:color="auto"/>
              <w:right w:val="single" w:sz="4" w:space="0" w:color="auto"/>
            </w:tcBorders>
            <w:shd w:val="clear" w:color="auto" w:fill="EEECE1" w:themeFill="background2"/>
            <w:vAlign w:val="center"/>
          </w:tcPr>
          <w:p>
            <w:pPr>
              <w:jc w:val="center"/>
              <w:rPr>
                <w:noProof/>
                <w:color w:val="333333"/>
                <w:sz w:val="20"/>
                <w:szCs w:val="20"/>
              </w:rPr>
            </w:pPr>
            <w:r>
              <w:rPr>
                <w:noProof/>
                <w:color w:val="333333"/>
                <w:sz w:val="20"/>
                <w:szCs w:val="20"/>
              </w:rPr>
              <w:t>RO</w:t>
            </w:r>
          </w:p>
        </w:tc>
        <w:tc>
          <w:tcPr>
            <w:tcW w:w="2694" w:type="dxa"/>
            <w:tcBorders>
              <w:top w:val="nil"/>
              <w:left w:val="nil"/>
              <w:bottom w:val="single" w:sz="4" w:space="0" w:color="auto"/>
              <w:right w:val="single" w:sz="4" w:space="0" w:color="auto"/>
            </w:tcBorders>
            <w:shd w:val="clear" w:color="auto" w:fill="EEECE1" w:themeFill="background2"/>
            <w:vAlign w:val="center"/>
          </w:tcPr>
          <w:p>
            <w:pPr>
              <w:rPr>
                <w:noProof/>
                <w:color w:val="333333"/>
                <w:sz w:val="20"/>
                <w:szCs w:val="20"/>
              </w:rPr>
            </w:pPr>
            <w:r>
              <w:rPr>
                <w:noProof/>
                <w:color w:val="333333"/>
                <w:sz w:val="20"/>
                <w:szCs w:val="20"/>
              </w:rPr>
              <w:t xml:space="preserve">Directorate for the Investigation of Organized Crime and Terrorism </w:t>
            </w:r>
          </w:p>
        </w:tc>
        <w:tc>
          <w:tcPr>
            <w:tcW w:w="3937" w:type="dxa"/>
            <w:tcBorders>
              <w:top w:val="nil"/>
              <w:left w:val="nil"/>
              <w:bottom w:val="single" w:sz="4" w:space="0" w:color="auto"/>
              <w:right w:val="single" w:sz="4" w:space="0" w:color="auto"/>
            </w:tcBorders>
            <w:shd w:val="clear" w:color="auto" w:fill="EEECE1" w:themeFill="background2"/>
            <w:vAlign w:val="center"/>
          </w:tcPr>
          <w:p>
            <w:pPr>
              <w:rPr>
                <w:noProof/>
                <w:color w:val="333333"/>
                <w:sz w:val="20"/>
                <w:szCs w:val="20"/>
              </w:rPr>
            </w:pPr>
            <w:r>
              <w:rPr>
                <w:noProof/>
                <w:color w:val="333333"/>
                <w:sz w:val="20"/>
                <w:szCs w:val="20"/>
              </w:rPr>
              <w:t>Developing the working procedures and skills of prosecutors and specialists regarding special investigation techniques and data extraction and analysis through exchange of staff and training with other EU border countries.</w:t>
            </w:r>
          </w:p>
        </w:tc>
        <w:tc>
          <w:tcPr>
            <w:tcW w:w="1307" w:type="dxa"/>
            <w:tcBorders>
              <w:top w:val="nil"/>
              <w:left w:val="nil"/>
              <w:bottom w:val="single" w:sz="4" w:space="0" w:color="auto"/>
              <w:right w:val="single" w:sz="4" w:space="0" w:color="auto"/>
            </w:tcBorders>
            <w:shd w:val="clear" w:color="auto" w:fill="EEECE1" w:themeFill="background2"/>
            <w:vAlign w:val="center"/>
          </w:tcPr>
          <w:p>
            <w:pPr>
              <w:jc w:val="right"/>
              <w:rPr>
                <w:noProof/>
                <w:color w:val="333333"/>
                <w:sz w:val="20"/>
                <w:szCs w:val="20"/>
              </w:rPr>
            </w:pPr>
            <w:r>
              <w:rPr>
                <w:noProof/>
                <w:color w:val="333333"/>
                <w:sz w:val="20"/>
                <w:szCs w:val="20"/>
              </w:rPr>
              <w:t>36 709</w:t>
            </w:r>
          </w:p>
        </w:tc>
        <w:tc>
          <w:tcPr>
            <w:tcW w:w="782" w:type="dxa"/>
            <w:tcBorders>
              <w:top w:val="nil"/>
              <w:left w:val="nil"/>
              <w:bottom w:val="single" w:sz="4" w:space="0" w:color="auto"/>
              <w:right w:val="single" w:sz="4" w:space="0" w:color="auto"/>
            </w:tcBorders>
            <w:shd w:val="clear" w:color="auto" w:fill="EEECE1" w:themeFill="background2"/>
            <w:vAlign w:val="center"/>
          </w:tcPr>
          <w:p>
            <w:pPr>
              <w:jc w:val="center"/>
              <w:rPr>
                <w:noProof/>
                <w:color w:val="333333"/>
                <w:sz w:val="20"/>
                <w:szCs w:val="20"/>
              </w:rPr>
            </w:pPr>
            <w:r>
              <w:rPr>
                <w:noProof/>
                <w:color w:val="333333"/>
                <w:sz w:val="20"/>
                <w:szCs w:val="20"/>
              </w:rPr>
              <w:t>80</w:t>
            </w:r>
          </w:p>
        </w:tc>
      </w:tr>
      <w:tr>
        <w:tc>
          <w:tcPr>
            <w:tcW w:w="534" w:type="dxa"/>
            <w:tcBorders>
              <w:bottom w:val="single" w:sz="4" w:space="0" w:color="auto"/>
            </w:tcBorders>
            <w:shd w:val="clear" w:color="auto" w:fill="auto"/>
            <w:vAlign w:val="center"/>
          </w:tcPr>
          <w:p>
            <w:pPr>
              <w:ind w:left="-32"/>
              <w:jc w:val="center"/>
              <w:rPr>
                <w:noProof/>
                <w:sz w:val="20"/>
                <w:szCs w:val="20"/>
              </w:rPr>
            </w:pPr>
            <w:r>
              <w:rPr>
                <w:noProof/>
                <w:sz w:val="20"/>
                <w:szCs w:val="20"/>
              </w:rPr>
              <w:t>5</w:t>
            </w:r>
          </w:p>
        </w:tc>
        <w:tc>
          <w:tcPr>
            <w:tcW w:w="708" w:type="dxa"/>
            <w:tcBorders>
              <w:top w:val="nil"/>
              <w:left w:val="single" w:sz="4" w:space="0" w:color="auto"/>
              <w:bottom w:val="single" w:sz="4" w:space="0" w:color="auto"/>
              <w:right w:val="single" w:sz="4" w:space="0" w:color="auto"/>
            </w:tcBorders>
            <w:shd w:val="clear" w:color="auto" w:fill="auto"/>
            <w:vAlign w:val="center"/>
          </w:tcPr>
          <w:p>
            <w:pPr>
              <w:jc w:val="center"/>
              <w:rPr>
                <w:noProof/>
                <w:color w:val="333333"/>
                <w:sz w:val="20"/>
                <w:szCs w:val="20"/>
              </w:rPr>
            </w:pPr>
            <w:r>
              <w:rPr>
                <w:noProof/>
                <w:color w:val="333333"/>
                <w:sz w:val="20"/>
                <w:szCs w:val="20"/>
              </w:rPr>
              <w:t>IT</w:t>
            </w:r>
          </w:p>
        </w:tc>
        <w:tc>
          <w:tcPr>
            <w:tcW w:w="2694" w:type="dxa"/>
            <w:tcBorders>
              <w:top w:val="nil"/>
              <w:left w:val="nil"/>
              <w:bottom w:val="single" w:sz="4" w:space="0" w:color="auto"/>
              <w:right w:val="single" w:sz="4" w:space="0" w:color="auto"/>
            </w:tcBorders>
            <w:shd w:val="clear" w:color="auto" w:fill="auto"/>
            <w:vAlign w:val="center"/>
          </w:tcPr>
          <w:p>
            <w:pPr>
              <w:rPr>
                <w:noProof/>
                <w:color w:val="333333"/>
                <w:sz w:val="20"/>
                <w:szCs w:val="20"/>
              </w:rPr>
            </w:pPr>
            <w:r>
              <w:rPr>
                <w:noProof/>
                <w:color w:val="333333"/>
                <w:sz w:val="20"/>
                <w:szCs w:val="20"/>
              </w:rPr>
              <w:t>Customs agency</w:t>
            </w:r>
          </w:p>
        </w:tc>
        <w:tc>
          <w:tcPr>
            <w:tcW w:w="3937" w:type="dxa"/>
            <w:tcBorders>
              <w:top w:val="nil"/>
              <w:left w:val="nil"/>
              <w:bottom w:val="single" w:sz="4" w:space="0" w:color="auto"/>
              <w:right w:val="single" w:sz="4" w:space="0" w:color="auto"/>
            </w:tcBorders>
            <w:shd w:val="clear" w:color="auto" w:fill="auto"/>
            <w:vAlign w:val="center"/>
          </w:tcPr>
          <w:p>
            <w:pPr>
              <w:rPr>
                <w:noProof/>
                <w:color w:val="333333"/>
                <w:sz w:val="20"/>
                <w:szCs w:val="20"/>
              </w:rPr>
            </w:pPr>
            <w:r>
              <w:rPr>
                <w:noProof/>
                <w:color w:val="333333"/>
                <w:sz w:val="20"/>
                <w:szCs w:val="20"/>
              </w:rPr>
              <w:t>E-commerce tools and  potential risks for customs fraud</w:t>
            </w:r>
          </w:p>
        </w:tc>
        <w:tc>
          <w:tcPr>
            <w:tcW w:w="1307" w:type="dxa"/>
            <w:tcBorders>
              <w:top w:val="nil"/>
              <w:left w:val="nil"/>
              <w:bottom w:val="single" w:sz="4" w:space="0" w:color="auto"/>
              <w:right w:val="single" w:sz="4" w:space="0" w:color="auto"/>
            </w:tcBorders>
            <w:shd w:val="clear" w:color="auto" w:fill="auto"/>
            <w:vAlign w:val="center"/>
          </w:tcPr>
          <w:p>
            <w:pPr>
              <w:jc w:val="right"/>
              <w:rPr>
                <w:noProof/>
                <w:color w:val="333333"/>
                <w:sz w:val="20"/>
                <w:szCs w:val="20"/>
              </w:rPr>
            </w:pPr>
            <w:r>
              <w:rPr>
                <w:noProof/>
                <w:color w:val="333333"/>
                <w:sz w:val="20"/>
                <w:szCs w:val="20"/>
              </w:rPr>
              <w:t>101 952</w:t>
            </w:r>
          </w:p>
        </w:tc>
        <w:tc>
          <w:tcPr>
            <w:tcW w:w="782" w:type="dxa"/>
            <w:tcBorders>
              <w:top w:val="nil"/>
              <w:left w:val="nil"/>
              <w:bottom w:val="single" w:sz="4" w:space="0" w:color="auto"/>
              <w:right w:val="single" w:sz="4" w:space="0" w:color="auto"/>
            </w:tcBorders>
            <w:shd w:val="clear" w:color="auto" w:fill="auto"/>
            <w:vAlign w:val="center"/>
          </w:tcPr>
          <w:p>
            <w:pPr>
              <w:jc w:val="center"/>
              <w:rPr>
                <w:noProof/>
                <w:color w:val="333333"/>
                <w:sz w:val="20"/>
                <w:szCs w:val="20"/>
              </w:rPr>
            </w:pPr>
            <w:r>
              <w:rPr>
                <w:noProof/>
                <w:color w:val="333333"/>
                <w:sz w:val="20"/>
                <w:szCs w:val="20"/>
              </w:rPr>
              <w:t>80</w:t>
            </w:r>
          </w:p>
        </w:tc>
      </w:tr>
      <w:tr>
        <w:trPr>
          <w:trHeight w:val="1007"/>
        </w:trPr>
        <w:tc>
          <w:tcPr>
            <w:tcW w:w="534" w:type="dxa"/>
            <w:shd w:val="clear" w:color="auto" w:fill="EEECE1" w:themeFill="background2"/>
            <w:vAlign w:val="center"/>
          </w:tcPr>
          <w:p>
            <w:pPr>
              <w:ind w:left="-32"/>
              <w:jc w:val="center"/>
              <w:rPr>
                <w:noProof/>
                <w:sz w:val="20"/>
                <w:szCs w:val="20"/>
              </w:rPr>
            </w:pPr>
            <w:r>
              <w:rPr>
                <w:noProof/>
                <w:sz w:val="20"/>
                <w:szCs w:val="20"/>
              </w:rPr>
              <w:t>6</w:t>
            </w:r>
          </w:p>
        </w:tc>
        <w:tc>
          <w:tcPr>
            <w:tcW w:w="708" w:type="dxa"/>
            <w:tcBorders>
              <w:top w:val="nil"/>
              <w:left w:val="single" w:sz="4" w:space="0" w:color="auto"/>
              <w:bottom w:val="single" w:sz="4" w:space="0" w:color="auto"/>
              <w:right w:val="single" w:sz="4" w:space="0" w:color="auto"/>
            </w:tcBorders>
            <w:shd w:val="clear" w:color="auto" w:fill="EEECE1" w:themeFill="background2"/>
            <w:vAlign w:val="center"/>
          </w:tcPr>
          <w:p>
            <w:pPr>
              <w:jc w:val="center"/>
              <w:rPr>
                <w:noProof/>
                <w:color w:val="333333"/>
                <w:sz w:val="20"/>
                <w:szCs w:val="20"/>
              </w:rPr>
            </w:pPr>
            <w:r>
              <w:rPr>
                <w:noProof/>
                <w:color w:val="333333"/>
                <w:sz w:val="20"/>
                <w:szCs w:val="20"/>
              </w:rPr>
              <w:t>LT</w:t>
            </w:r>
          </w:p>
        </w:tc>
        <w:tc>
          <w:tcPr>
            <w:tcW w:w="2694" w:type="dxa"/>
            <w:tcBorders>
              <w:top w:val="nil"/>
              <w:left w:val="nil"/>
              <w:bottom w:val="single" w:sz="4" w:space="0" w:color="auto"/>
              <w:right w:val="single" w:sz="4" w:space="0" w:color="auto"/>
            </w:tcBorders>
            <w:shd w:val="clear" w:color="auto" w:fill="EEECE1" w:themeFill="background2"/>
            <w:vAlign w:val="center"/>
          </w:tcPr>
          <w:p>
            <w:pPr>
              <w:rPr>
                <w:noProof/>
                <w:color w:val="333333"/>
                <w:sz w:val="20"/>
                <w:szCs w:val="20"/>
              </w:rPr>
            </w:pPr>
            <w:r>
              <w:rPr>
                <w:noProof/>
                <w:color w:val="333333"/>
                <w:sz w:val="20"/>
                <w:szCs w:val="20"/>
              </w:rPr>
              <w:t>Financial Crime Investigation Service under the Ministry of the Interior</w:t>
            </w:r>
          </w:p>
        </w:tc>
        <w:tc>
          <w:tcPr>
            <w:tcW w:w="3937" w:type="dxa"/>
            <w:tcBorders>
              <w:top w:val="nil"/>
              <w:left w:val="nil"/>
              <w:bottom w:val="single" w:sz="4" w:space="0" w:color="auto"/>
              <w:right w:val="single" w:sz="4" w:space="0" w:color="auto"/>
            </w:tcBorders>
            <w:shd w:val="clear" w:color="auto" w:fill="EEECE1" w:themeFill="background2"/>
            <w:vAlign w:val="center"/>
          </w:tcPr>
          <w:p>
            <w:pPr>
              <w:rPr>
                <w:noProof/>
                <w:color w:val="333333"/>
                <w:sz w:val="20"/>
                <w:szCs w:val="20"/>
              </w:rPr>
            </w:pPr>
            <w:r>
              <w:rPr>
                <w:noProof/>
                <w:color w:val="333333"/>
                <w:sz w:val="20"/>
                <w:szCs w:val="20"/>
              </w:rPr>
              <w:t>Training course towards more effective cross-border cooperation against fraud affecting the financial interests</w:t>
            </w:r>
          </w:p>
        </w:tc>
        <w:tc>
          <w:tcPr>
            <w:tcW w:w="1307" w:type="dxa"/>
            <w:tcBorders>
              <w:top w:val="nil"/>
              <w:left w:val="nil"/>
              <w:bottom w:val="single" w:sz="4" w:space="0" w:color="auto"/>
              <w:right w:val="single" w:sz="4" w:space="0" w:color="auto"/>
            </w:tcBorders>
            <w:shd w:val="clear" w:color="auto" w:fill="EEECE1" w:themeFill="background2"/>
            <w:vAlign w:val="center"/>
          </w:tcPr>
          <w:p>
            <w:pPr>
              <w:jc w:val="right"/>
              <w:rPr>
                <w:noProof/>
                <w:color w:val="333333"/>
                <w:sz w:val="20"/>
                <w:szCs w:val="20"/>
              </w:rPr>
            </w:pPr>
            <w:r>
              <w:rPr>
                <w:noProof/>
                <w:color w:val="333333"/>
                <w:sz w:val="20"/>
                <w:szCs w:val="20"/>
              </w:rPr>
              <w:t>39 292</w:t>
            </w:r>
          </w:p>
        </w:tc>
        <w:tc>
          <w:tcPr>
            <w:tcW w:w="782" w:type="dxa"/>
            <w:tcBorders>
              <w:top w:val="nil"/>
              <w:left w:val="nil"/>
              <w:bottom w:val="single" w:sz="4" w:space="0" w:color="auto"/>
              <w:right w:val="single" w:sz="4" w:space="0" w:color="auto"/>
            </w:tcBorders>
            <w:shd w:val="clear" w:color="auto" w:fill="EEECE1" w:themeFill="background2"/>
            <w:vAlign w:val="center"/>
          </w:tcPr>
          <w:p>
            <w:pPr>
              <w:jc w:val="center"/>
              <w:rPr>
                <w:noProof/>
                <w:color w:val="333333"/>
                <w:sz w:val="20"/>
                <w:szCs w:val="20"/>
              </w:rPr>
            </w:pPr>
            <w:r>
              <w:rPr>
                <w:noProof/>
                <w:color w:val="333333"/>
                <w:sz w:val="20"/>
                <w:szCs w:val="20"/>
              </w:rPr>
              <w:t>80</w:t>
            </w:r>
          </w:p>
        </w:tc>
      </w:tr>
      <w:tr>
        <w:tc>
          <w:tcPr>
            <w:tcW w:w="534" w:type="dxa"/>
            <w:tcBorders>
              <w:bottom w:val="single" w:sz="4" w:space="0" w:color="auto"/>
            </w:tcBorders>
            <w:shd w:val="clear" w:color="auto" w:fill="auto"/>
            <w:vAlign w:val="center"/>
          </w:tcPr>
          <w:p>
            <w:pPr>
              <w:ind w:left="-32"/>
              <w:jc w:val="center"/>
              <w:rPr>
                <w:noProof/>
                <w:sz w:val="20"/>
                <w:szCs w:val="20"/>
              </w:rPr>
            </w:pPr>
            <w:r>
              <w:rPr>
                <w:noProof/>
                <w:sz w:val="20"/>
                <w:szCs w:val="20"/>
              </w:rPr>
              <w:t>7</w:t>
            </w:r>
          </w:p>
        </w:tc>
        <w:tc>
          <w:tcPr>
            <w:tcW w:w="708" w:type="dxa"/>
            <w:tcBorders>
              <w:top w:val="nil"/>
              <w:left w:val="single" w:sz="4" w:space="0" w:color="auto"/>
              <w:bottom w:val="single" w:sz="4" w:space="0" w:color="auto"/>
              <w:right w:val="single" w:sz="4" w:space="0" w:color="auto"/>
            </w:tcBorders>
            <w:shd w:val="clear" w:color="auto" w:fill="auto"/>
            <w:vAlign w:val="center"/>
          </w:tcPr>
          <w:p>
            <w:pPr>
              <w:jc w:val="center"/>
              <w:rPr>
                <w:noProof/>
                <w:color w:val="333333"/>
                <w:sz w:val="20"/>
                <w:szCs w:val="20"/>
              </w:rPr>
            </w:pPr>
            <w:r>
              <w:rPr>
                <w:noProof/>
                <w:color w:val="333333"/>
                <w:sz w:val="20"/>
                <w:szCs w:val="20"/>
              </w:rPr>
              <w:t>PL</w:t>
            </w:r>
          </w:p>
        </w:tc>
        <w:tc>
          <w:tcPr>
            <w:tcW w:w="2694" w:type="dxa"/>
            <w:tcBorders>
              <w:top w:val="nil"/>
              <w:left w:val="nil"/>
              <w:bottom w:val="single" w:sz="4" w:space="0" w:color="auto"/>
              <w:right w:val="single" w:sz="4" w:space="0" w:color="auto"/>
            </w:tcBorders>
            <w:shd w:val="clear" w:color="auto" w:fill="auto"/>
            <w:vAlign w:val="center"/>
          </w:tcPr>
          <w:p>
            <w:pPr>
              <w:rPr>
                <w:noProof/>
                <w:color w:val="333333"/>
                <w:sz w:val="20"/>
                <w:szCs w:val="20"/>
              </w:rPr>
            </w:pPr>
            <w:r>
              <w:rPr>
                <w:noProof/>
                <w:color w:val="333333"/>
                <w:sz w:val="20"/>
                <w:szCs w:val="20"/>
              </w:rPr>
              <w:t>National Tax Administration</w:t>
            </w:r>
          </w:p>
        </w:tc>
        <w:tc>
          <w:tcPr>
            <w:tcW w:w="3937" w:type="dxa"/>
            <w:tcBorders>
              <w:top w:val="nil"/>
              <w:left w:val="nil"/>
              <w:bottom w:val="single" w:sz="4" w:space="0" w:color="auto"/>
              <w:right w:val="single" w:sz="4" w:space="0" w:color="auto"/>
            </w:tcBorders>
            <w:shd w:val="clear" w:color="auto" w:fill="auto"/>
            <w:vAlign w:val="center"/>
          </w:tcPr>
          <w:p>
            <w:pPr>
              <w:rPr>
                <w:noProof/>
                <w:color w:val="333333"/>
                <w:sz w:val="20"/>
                <w:szCs w:val="20"/>
              </w:rPr>
            </w:pPr>
            <w:r>
              <w:rPr>
                <w:noProof/>
                <w:color w:val="333333"/>
                <w:sz w:val="20"/>
                <w:szCs w:val="20"/>
              </w:rPr>
              <w:t>Mutual actions to fight frauds in order to protect EU financial interests</w:t>
            </w:r>
          </w:p>
        </w:tc>
        <w:tc>
          <w:tcPr>
            <w:tcW w:w="1307" w:type="dxa"/>
            <w:tcBorders>
              <w:top w:val="nil"/>
              <w:left w:val="nil"/>
              <w:bottom w:val="single" w:sz="4" w:space="0" w:color="auto"/>
              <w:right w:val="single" w:sz="4" w:space="0" w:color="auto"/>
            </w:tcBorders>
            <w:shd w:val="clear" w:color="auto" w:fill="auto"/>
            <w:vAlign w:val="center"/>
          </w:tcPr>
          <w:p>
            <w:pPr>
              <w:jc w:val="right"/>
              <w:rPr>
                <w:noProof/>
                <w:color w:val="333333"/>
                <w:sz w:val="20"/>
                <w:szCs w:val="20"/>
              </w:rPr>
            </w:pPr>
            <w:r>
              <w:rPr>
                <w:noProof/>
                <w:color w:val="333333"/>
                <w:sz w:val="20"/>
                <w:szCs w:val="20"/>
              </w:rPr>
              <w:t>54 017</w:t>
            </w:r>
          </w:p>
        </w:tc>
        <w:tc>
          <w:tcPr>
            <w:tcW w:w="782" w:type="dxa"/>
            <w:tcBorders>
              <w:top w:val="nil"/>
              <w:left w:val="nil"/>
              <w:bottom w:val="single" w:sz="4" w:space="0" w:color="auto"/>
              <w:right w:val="single" w:sz="4" w:space="0" w:color="auto"/>
            </w:tcBorders>
            <w:shd w:val="clear" w:color="auto" w:fill="auto"/>
            <w:vAlign w:val="center"/>
          </w:tcPr>
          <w:p>
            <w:pPr>
              <w:jc w:val="center"/>
              <w:rPr>
                <w:noProof/>
                <w:color w:val="333333"/>
                <w:sz w:val="20"/>
                <w:szCs w:val="20"/>
              </w:rPr>
            </w:pPr>
            <w:r>
              <w:rPr>
                <w:noProof/>
                <w:color w:val="333333"/>
                <w:sz w:val="20"/>
                <w:szCs w:val="20"/>
              </w:rPr>
              <w:t>80</w:t>
            </w:r>
          </w:p>
        </w:tc>
      </w:tr>
      <w:tr>
        <w:tc>
          <w:tcPr>
            <w:tcW w:w="534" w:type="dxa"/>
            <w:shd w:val="clear" w:color="auto" w:fill="EEECE1" w:themeFill="background2"/>
            <w:vAlign w:val="center"/>
          </w:tcPr>
          <w:p>
            <w:pPr>
              <w:ind w:left="-32"/>
              <w:jc w:val="center"/>
              <w:rPr>
                <w:noProof/>
                <w:sz w:val="20"/>
                <w:szCs w:val="20"/>
              </w:rPr>
            </w:pPr>
            <w:r>
              <w:rPr>
                <w:noProof/>
                <w:sz w:val="20"/>
                <w:szCs w:val="20"/>
              </w:rPr>
              <w:t>8</w:t>
            </w:r>
          </w:p>
        </w:tc>
        <w:tc>
          <w:tcPr>
            <w:tcW w:w="708" w:type="dxa"/>
            <w:tcBorders>
              <w:top w:val="nil"/>
              <w:left w:val="single" w:sz="4" w:space="0" w:color="auto"/>
              <w:bottom w:val="single" w:sz="4" w:space="0" w:color="auto"/>
              <w:right w:val="single" w:sz="4" w:space="0" w:color="auto"/>
            </w:tcBorders>
            <w:shd w:val="clear" w:color="auto" w:fill="EEECE1" w:themeFill="background2"/>
            <w:vAlign w:val="center"/>
          </w:tcPr>
          <w:p>
            <w:pPr>
              <w:jc w:val="center"/>
              <w:rPr>
                <w:noProof/>
                <w:color w:val="333333"/>
                <w:sz w:val="20"/>
                <w:szCs w:val="20"/>
              </w:rPr>
            </w:pPr>
            <w:r>
              <w:rPr>
                <w:noProof/>
                <w:color w:val="333333"/>
                <w:sz w:val="20"/>
                <w:szCs w:val="20"/>
              </w:rPr>
              <w:t>HU</w:t>
            </w:r>
          </w:p>
        </w:tc>
        <w:tc>
          <w:tcPr>
            <w:tcW w:w="2694" w:type="dxa"/>
            <w:tcBorders>
              <w:top w:val="nil"/>
              <w:left w:val="nil"/>
              <w:bottom w:val="single" w:sz="4" w:space="0" w:color="auto"/>
              <w:right w:val="single" w:sz="4" w:space="0" w:color="auto"/>
            </w:tcBorders>
            <w:shd w:val="clear" w:color="auto" w:fill="EEECE1" w:themeFill="background2"/>
            <w:vAlign w:val="center"/>
          </w:tcPr>
          <w:p>
            <w:pPr>
              <w:rPr>
                <w:noProof/>
                <w:color w:val="333333"/>
                <w:sz w:val="20"/>
                <w:szCs w:val="20"/>
              </w:rPr>
            </w:pPr>
            <w:r>
              <w:rPr>
                <w:noProof/>
                <w:color w:val="333333"/>
                <w:sz w:val="20"/>
                <w:szCs w:val="20"/>
              </w:rPr>
              <w:t>Transparency International Hungary</w:t>
            </w:r>
          </w:p>
        </w:tc>
        <w:tc>
          <w:tcPr>
            <w:tcW w:w="3937" w:type="dxa"/>
            <w:tcBorders>
              <w:top w:val="nil"/>
              <w:left w:val="nil"/>
              <w:bottom w:val="single" w:sz="4" w:space="0" w:color="auto"/>
              <w:right w:val="single" w:sz="4" w:space="0" w:color="auto"/>
            </w:tcBorders>
            <w:shd w:val="clear" w:color="auto" w:fill="EEECE1" w:themeFill="background2"/>
            <w:vAlign w:val="center"/>
          </w:tcPr>
          <w:p>
            <w:pPr>
              <w:rPr>
                <w:noProof/>
                <w:color w:val="333333"/>
                <w:sz w:val="20"/>
                <w:szCs w:val="20"/>
              </w:rPr>
            </w:pPr>
            <w:r>
              <w:rPr>
                <w:noProof/>
                <w:color w:val="333333"/>
                <w:sz w:val="20"/>
                <w:szCs w:val="20"/>
              </w:rPr>
              <w:t>New European antifraud landscape in Hungary: challenges and missed opportunities</w:t>
            </w:r>
          </w:p>
        </w:tc>
        <w:tc>
          <w:tcPr>
            <w:tcW w:w="1307" w:type="dxa"/>
            <w:tcBorders>
              <w:top w:val="nil"/>
              <w:left w:val="nil"/>
              <w:bottom w:val="single" w:sz="4" w:space="0" w:color="auto"/>
              <w:right w:val="single" w:sz="4" w:space="0" w:color="auto"/>
            </w:tcBorders>
            <w:shd w:val="clear" w:color="auto" w:fill="EEECE1" w:themeFill="background2"/>
            <w:vAlign w:val="center"/>
          </w:tcPr>
          <w:p>
            <w:pPr>
              <w:jc w:val="right"/>
              <w:rPr>
                <w:noProof/>
                <w:color w:val="333333"/>
                <w:sz w:val="20"/>
                <w:szCs w:val="20"/>
              </w:rPr>
            </w:pPr>
            <w:r>
              <w:rPr>
                <w:noProof/>
                <w:color w:val="333333"/>
                <w:sz w:val="20"/>
                <w:szCs w:val="20"/>
              </w:rPr>
              <w:t>57 306</w:t>
            </w:r>
          </w:p>
        </w:tc>
        <w:tc>
          <w:tcPr>
            <w:tcW w:w="782" w:type="dxa"/>
            <w:tcBorders>
              <w:top w:val="nil"/>
              <w:left w:val="nil"/>
              <w:bottom w:val="single" w:sz="4" w:space="0" w:color="auto"/>
              <w:right w:val="single" w:sz="4" w:space="0" w:color="auto"/>
            </w:tcBorders>
            <w:shd w:val="clear" w:color="auto" w:fill="EEECE1" w:themeFill="background2"/>
            <w:vAlign w:val="center"/>
          </w:tcPr>
          <w:p>
            <w:pPr>
              <w:jc w:val="center"/>
              <w:rPr>
                <w:noProof/>
                <w:color w:val="333333"/>
                <w:sz w:val="20"/>
                <w:szCs w:val="20"/>
              </w:rPr>
            </w:pPr>
            <w:r>
              <w:rPr>
                <w:noProof/>
                <w:color w:val="333333"/>
                <w:sz w:val="20"/>
                <w:szCs w:val="20"/>
              </w:rPr>
              <w:t>80</w:t>
            </w:r>
          </w:p>
        </w:tc>
      </w:tr>
      <w:tr>
        <w:tc>
          <w:tcPr>
            <w:tcW w:w="534" w:type="dxa"/>
            <w:shd w:val="clear" w:color="auto" w:fill="auto"/>
            <w:vAlign w:val="center"/>
          </w:tcPr>
          <w:p>
            <w:pPr>
              <w:ind w:left="-32"/>
              <w:jc w:val="center"/>
              <w:rPr>
                <w:noProof/>
                <w:sz w:val="20"/>
                <w:szCs w:val="20"/>
              </w:rPr>
            </w:pPr>
            <w:r>
              <w:rPr>
                <w:noProof/>
                <w:sz w:val="20"/>
                <w:szCs w:val="20"/>
              </w:rPr>
              <w:t>9</w:t>
            </w:r>
          </w:p>
        </w:tc>
        <w:tc>
          <w:tcPr>
            <w:tcW w:w="708" w:type="dxa"/>
            <w:tcBorders>
              <w:top w:val="nil"/>
              <w:left w:val="single" w:sz="4" w:space="0" w:color="auto"/>
              <w:bottom w:val="single" w:sz="4" w:space="0" w:color="auto"/>
              <w:right w:val="single" w:sz="4" w:space="0" w:color="auto"/>
            </w:tcBorders>
            <w:shd w:val="clear" w:color="auto" w:fill="auto"/>
            <w:vAlign w:val="center"/>
          </w:tcPr>
          <w:p>
            <w:pPr>
              <w:jc w:val="center"/>
              <w:rPr>
                <w:noProof/>
                <w:color w:val="333333"/>
                <w:sz w:val="20"/>
                <w:szCs w:val="20"/>
              </w:rPr>
            </w:pPr>
            <w:r>
              <w:rPr>
                <w:noProof/>
                <w:color w:val="333333"/>
                <w:sz w:val="20"/>
                <w:szCs w:val="20"/>
              </w:rPr>
              <w:t>RO</w:t>
            </w:r>
          </w:p>
        </w:tc>
        <w:tc>
          <w:tcPr>
            <w:tcW w:w="2694" w:type="dxa"/>
            <w:tcBorders>
              <w:top w:val="nil"/>
              <w:left w:val="nil"/>
              <w:bottom w:val="single" w:sz="4" w:space="0" w:color="auto"/>
              <w:right w:val="single" w:sz="4" w:space="0" w:color="auto"/>
            </w:tcBorders>
            <w:shd w:val="clear" w:color="auto" w:fill="auto"/>
            <w:vAlign w:val="center"/>
          </w:tcPr>
          <w:p>
            <w:pPr>
              <w:rPr>
                <w:noProof/>
                <w:color w:val="333333"/>
                <w:sz w:val="20"/>
                <w:szCs w:val="20"/>
              </w:rPr>
            </w:pPr>
            <w:r>
              <w:rPr>
                <w:noProof/>
                <w:color w:val="333333"/>
                <w:sz w:val="20"/>
                <w:szCs w:val="20"/>
              </w:rPr>
              <w:t>Dolj County Police Inspectorate</w:t>
            </w:r>
          </w:p>
        </w:tc>
        <w:tc>
          <w:tcPr>
            <w:tcW w:w="3937" w:type="dxa"/>
            <w:tcBorders>
              <w:top w:val="nil"/>
              <w:left w:val="nil"/>
              <w:bottom w:val="single" w:sz="4" w:space="0" w:color="auto"/>
              <w:right w:val="single" w:sz="4" w:space="0" w:color="auto"/>
            </w:tcBorders>
            <w:shd w:val="clear" w:color="auto" w:fill="auto"/>
            <w:vAlign w:val="center"/>
          </w:tcPr>
          <w:p>
            <w:pPr>
              <w:rPr>
                <w:noProof/>
                <w:color w:val="333333"/>
                <w:sz w:val="20"/>
                <w:szCs w:val="20"/>
              </w:rPr>
            </w:pPr>
            <w:r>
              <w:rPr>
                <w:noProof/>
                <w:color w:val="333333"/>
                <w:sz w:val="20"/>
                <w:szCs w:val="20"/>
              </w:rPr>
              <w:t>Raising awareness and improving working methods of the actors involved in the fight against fraud trough intra-Community acquisitions affecting the EU budget</w:t>
            </w:r>
          </w:p>
        </w:tc>
        <w:tc>
          <w:tcPr>
            <w:tcW w:w="1307" w:type="dxa"/>
            <w:tcBorders>
              <w:top w:val="nil"/>
              <w:left w:val="nil"/>
              <w:bottom w:val="single" w:sz="4" w:space="0" w:color="auto"/>
              <w:right w:val="single" w:sz="4" w:space="0" w:color="auto"/>
            </w:tcBorders>
            <w:shd w:val="clear" w:color="auto" w:fill="auto"/>
            <w:vAlign w:val="center"/>
          </w:tcPr>
          <w:p>
            <w:pPr>
              <w:jc w:val="right"/>
              <w:rPr>
                <w:noProof/>
                <w:color w:val="333333"/>
                <w:sz w:val="20"/>
                <w:szCs w:val="20"/>
              </w:rPr>
            </w:pPr>
            <w:r>
              <w:rPr>
                <w:noProof/>
                <w:color w:val="333333"/>
                <w:sz w:val="20"/>
                <w:szCs w:val="20"/>
              </w:rPr>
              <w:t>81 683</w:t>
            </w:r>
          </w:p>
        </w:tc>
        <w:tc>
          <w:tcPr>
            <w:tcW w:w="782" w:type="dxa"/>
            <w:tcBorders>
              <w:top w:val="nil"/>
              <w:left w:val="nil"/>
              <w:bottom w:val="single" w:sz="4" w:space="0" w:color="auto"/>
              <w:right w:val="single" w:sz="4" w:space="0" w:color="auto"/>
            </w:tcBorders>
            <w:shd w:val="clear" w:color="auto" w:fill="auto"/>
            <w:vAlign w:val="center"/>
          </w:tcPr>
          <w:p>
            <w:pPr>
              <w:jc w:val="center"/>
              <w:rPr>
                <w:noProof/>
                <w:color w:val="333333"/>
                <w:sz w:val="20"/>
                <w:szCs w:val="20"/>
              </w:rPr>
            </w:pPr>
            <w:r>
              <w:rPr>
                <w:noProof/>
                <w:color w:val="333333"/>
                <w:sz w:val="20"/>
                <w:szCs w:val="20"/>
              </w:rPr>
              <w:t>80</w:t>
            </w:r>
          </w:p>
        </w:tc>
      </w:tr>
      <w:tr>
        <w:tc>
          <w:tcPr>
            <w:tcW w:w="534" w:type="dxa"/>
            <w:shd w:val="clear" w:color="auto" w:fill="EEECE1" w:themeFill="background2"/>
            <w:vAlign w:val="center"/>
          </w:tcPr>
          <w:p>
            <w:pPr>
              <w:ind w:left="-32"/>
              <w:jc w:val="center"/>
              <w:rPr>
                <w:noProof/>
                <w:sz w:val="20"/>
                <w:szCs w:val="20"/>
              </w:rPr>
            </w:pPr>
            <w:r>
              <w:rPr>
                <w:noProof/>
                <w:sz w:val="20"/>
                <w:szCs w:val="20"/>
              </w:rPr>
              <w:t>10</w:t>
            </w:r>
          </w:p>
        </w:tc>
        <w:tc>
          <w:tcPr>
            <w:tcW w:w="708" w:type="dxa"/>
            <w:tcBorders>
              <w:top w:val="nil"/>
              <w:left w:val="single" w:sz="4" w:space="0" w:color="auto"/>
              <w:bottom w:val="single" w:sz="4" w:space="0" w:color="auto"/>
              <w:right w:val="single" w:sz="4" w:space="0" w:color="auto"/>
            </w:tcBorders>
            <w:shd w:val="clear" w:color="auto" w:fill="EEECE1" w:themeFill="background2"/>
            <w:vAlign w:val="center"/>
          </w:tcPr>
          <w:p>
            <w:pPr>
              <w:jc w:val="center"/>
              <w:rPr>
                <w:noProof/>
                <w:color w:val="333333"/>
                <w:sz w:val="20"/>
                <w:szCs w:val="20"/>
              </w:rPr>
            </w:pPr>
            <w:r>
              <w:rPr>
                <w:noProof/>
                <w:color w:val="333333"/>
                <w:sz w:val="20"/>
                <w:szCs w:val="20"/>
              </w:rPr>
              <w:t>SK</w:t>
            </w:r>
          </w:p>
        </w:tc>
        <w:tc>
          <w:tcPr>
            <w:tcW w:w="2694" w:type="dxa"/>
            <w:tcBorders>
              <w:top w:val="nil"/>
              <w:left w:val="nil"/>
              <w:bottom w:val="single" w:sz="4" w:space="0" w:color="auto"/>
              <w:right w:val="single" w:sz="4" w:space="0" w:color="auto"/>
            </w:tcBorders>
            <w:shd w:val="clear" w:color="auto" w:fill="EEECE1" w:themeFill="background2"/>
            <w:vAlign w:val="center"/>
          </w:tcPr>
          <w:p>
            <w:pPr>
              <w:rPr>
                <w:noProof/>
                <w:color w:val="333333"/>
                <w:sz w:val="20"/>
                <w:szCs w:val="20"/>
              </w:rPr>
            </w:pPr>
            <w:r>
              <w:rPr>
                <w:noProof/>
                <w:color w:val="333333"/>
                <w:sz w:val="20"/>
                <w:szCs w:val="20"/>
              </w:rPr>
              <w:t>Financial Directorate of the Slovak Republic</w:t>
            </w:r>
          </w:p>
        </w:tc>
        <w:tc>
          <w:tcPr>
            <w:tcW w:w="3937" w:type="dxa"/>
            <w:tcBorders>
              <w:top w:val="nil"/>
              <w:left w:val="nil"/>
              <w:bottom w:val="single" w:sz="4" w:space="0" w:color="auto"/>
              <w:right w:val="single" w:sz="4" w:space="0" w:color="auto"/>
            </w:tcBorders>
            <w:shd w:val="clear" w:color="auto" w:fill="EEECE1" w:themeFill="background2"/>
            <w:vAlign w:val="center"/>
          </w:tcPr>
          <w:p>
            <w:pPr>
              <w:rPr>
                <w:noProof/>
                <w:color w:val="333333"/>
                <w:sz w:val="20"/>
                <w:szCs w:val="20"/>
              </w:rPr>
            </w:pPr>
            <w:r>
              <w:rPr>
                <w:noProof/>
                <w:color w:val="333333"/>
                <w:sz w:val="20"/>
                <w:szCs w:val="20"/>
              </w:rPr>
              <w:t>Training focused on fight against VAT fraud for goods imported into the EU</w:t>
            </w:r>
          </w:p>
        </w:tc>
        <w:tc>
          <w:tcPr>
            <w:tcW w:w="1307" w:type="dxa"/>
            <w:tcBorders>
              <w:top w:val="nil"/>
              <w:left w:val="nil"/>
              <w:bottom w:val="single" w:sz="4" w:space="0" w:color="auto"/>
              <w:right w:val="single" w:sz="4" w:space="0" w:color="auto"/>
            </w:tcBorders>
            <w:shd w:val="clear" w:color="auto" w:fill="EEECE1" w:themeFill="background2"/>
            <w:vAlign w:val="center"/>
          </w:tcPr>
          <w:p>
            <w:pPr>
              <w:jc w:val="right"/>
              <w:rPr>
                <w:noProof/>
                <w:color w:val="333333"/>
                <w:sz w:val="20"/>
                <w:szCs w:val="20"/>
              </w:rPr>
            </w:pPr>
            <w:r>
              <w:rPr>
                <w:noProof/>
                <w:color w:val="333333"/>
                <w:sz w:val="20"/>
                <w:szCs w:val="20"/>
              </w:rPr>
              <w:t>75 899</w:t>
            </w:r>
          </w:p>
        </w:tc>
        <w:tc>
          <w:tcPr>
            <w:tcW w:w="782" w:type="dxa"/>
            <w:tcBorders>
              <w:top w:val="nil"/>
              <w:left w:val="nil"/>
              <w:bottom w:val="single" w:sz="4" w:space="0" w:color="auto"/>
              <w:right w:val="single" w:sz="4" w:space="0" w:color="auto"/>
            </w:tcBorders>
            <w:shd w:val="clear" w:color="auto" w:fill="EEECE1" w:themeFill="background2"/>
            <w:vAlign w:val="center"/>
          </w:tcPr>
          <w:p>
            <w:pPr>
              <w:jc w:val="center"/>
              <w:rPr>
                <w:noProof/>
                <w:color w:val="333333"/>
                <w:sz w:val="20"/>
                <w:szCs w:val="20"/>
              </w:rPr>
            </w:pPr>
            <w:r>
              <w:rPr>
                <w:noProof/>
                <w:color w:val="333333"/>
                <w:sz w:val="20"/>
                <w:szCs w:val="20"/>
              </w:rPr>
              <w:t>80</w:t>
            </w:r>
          </w:p>
        </w:tc>
      </w:tr>
      <w:tr>
        <w:tc>
          <w:tcPr>
            <w:tcW w:w="534" w:type="dxa"/>
            <w:tcBorders>
              <w:left w:val="nil"/>
              <w:bottom w:val="nil"/>
              <w:right w:val="nil"/>
            </w:tcBorders>
            <w:vAlign w:val="center"/>
          </w:tcPr>
          <w:p>
            <w:pPr>
              <w:rPr>
                <w:noProof/>
                <w:sz w:val="20"/>
                <w:szCs w:val="20"/>
              </w:rPr>
            </w:pPr>
          </w:p>
        </w:tc>
        <w:tc>
          <w:tcPr>
            <w:tcW w:w="708" w:type="dxa"/>
            <w:tcBorders>
              <w:left w:val="nil"/>
              <w:bottom w:val="nil"/>
              <w:right w:val="nil"/>
            </w:tcBorders>
            <w:vAlign w:val="center"/>
          </w:tcPr>
          <w:p>
            <w:pPr>
              <w:rPr>
                <w:noProof/>
                <w:sz w:val="20"/>
                <w:szCs w:val="20"/>
              </w:rPr>
            </w:pPr>
          </w:p>
        </w:tc>
        <w:tc>
          <w:tcPr>
            <w:tcW w:w="2694" w:type="dxa"/>
            <w:tcBorders>
              <w:left w:val="nil"/>
              <w:bottom w:val="nil"/>
            </w:tcBorders>
            <w:vAlign w:val="center"/>
          </w:tcPr>
          <w:p>
            <w:pPr>
              <w:rPr>
                <w:noProof/>
                <w:sz w:val="20"/>
                <w:szCs w:val="20"/>
              </w:rPr>
            </w:pPr>
          </w:p>
        </w:tc>
        <w:tc>
          <w:tcPr>
            <w:tcW w:w="3937" w:type="dxa"/>
            <w:shd w:val="clear" w:color="auto" w:fill="D9D9D9" w:themeFill="background1" w:themeFillShade="D9"/>
            <w:vAlign w:val="center"/>
          </w:tcPr>
          <w:p>
            <w:pPr>
              <w:jc w:val="right"/>
              <w:rPr>
                <w:b/>
                <w:noProof/>
                <w:sz w:val="20"/>
                <w:szCs w:val="20"/>
              </w:rPr>
            </w:pPr>
            <w:r>
              <w:rPr>
                <w:b/>
                <w:noProof/>
                <w:sz w:val="20"/>
                <w:szCs w:val="20"/>
              </w:rPr>
              <w:t>TOTAL</w:t>
            </w:r>
          </w:p>
        </w:tc>
        <w:tc>
          <w:tcPr>
            <w:tcW w:w="1307" w:type="dxa"/>
            <w:shd w:val="clear" w:color="auto" w:fill="D9D9D9" w:themeFill="background1" w:themeFillShade="D9"/>
            <w:vAlign w:val="center"/>
          </w:tcPr>
          <w:p>
            <w:pPr>
              <w:jc w:val="right"/>
              <w:rPr>
                <w:b/>
                <w:noProof/>
                <w:sz w:val="20"/>
                <w:szCs w:val="20"/>
              </w:rPr>
            </w:pPr>
            <w:r>
              <w:rPr>
                <w:b/>
                <w:noProof/>
                <w:sz w:val="20"/>
                <w:szCs w:val="20"/>
              </w:rPr>
              <w:t>605 056</w:t>
            </w:r>
          </w:p>
        </w:tc>
        <w:tc>
          <w:tcPr>
            <w:tcW w:w="782" w:type="dxa"/>
            <w:shd w:val="clear" w:color="auto" w:fill="D9D9D9" w:themeFill="background1" w:themeFillShade="D9"/>
            <w:vAlign w:val="center"/>
          </w:tcPr>
          <w:p>
            <w:pPr>
              <w:jc w:val="center"/>
              <w:rPr>
                <w:b/>
                <w:noProof/>
                <w:sz w:val="20"/>
                <w:szCs w:val="20"/>
              </w:rPr>
            </w:pPr>
            <w:r>
              <w:rPr>
                <w:b/>
                <w:noProof/>
                <w:sz w:val="20"/>
                <w:szCs w:val="20"/>
              </w:rPr>
              <w:t>80</w:t>
            </w:r>
          </w:p>
        </w:tc>
      </w:tr>
    </w:tbl>
    <w:p>
      <w:pPr>
        <w:rPr>
          <w:noProof/>
          <w:sz w:val="20"/>
          <w:szCs w:val="20"/>
        </w:rPr>
      </w:pPr>
    </w:p>
    <w:p>
      <w:pPr>
        <w:keepNext/>
        <w:spacing w:after="0" w:line="240" w:lineRule="exact"/>
        <w:rPr>
          <w:noProof/>
          <w:sz w:val="20"/>
          <w:szCs w:val="20"/>
        </w:rPr>
      </w:pPr>
      <w:r>
        <w:rPr>
          <w:noProof/>
          <w:sz w:val="20"/>
          <w:szCs w:val="20"/>
        </w:rPr>
        <w:t>Table 5 –</w:t>
      </w:r>
      <w:r>
        <w:rPr>
          <w:b/>
          <w:noProof/>
          <w:sz w:val="20"/>
          <w:szCs w:val="20"/>
        </w:rPr>
        <w:t xml:space="preserve"> Anti-Fraud procured confereces</w:t>
      </w:r>
      <w:r>
        <w:rPr>
          <w:noProof/>
          <w:sz w:val="20"/>
          <w:szCs w:val="20"/>
        </w:rPr>
        <w:t xml:space="preserve"> organised by the Commission under the 2019 Financing Decision</w:t>
      </w:r>
    </w:p>
    <w:p>
      <w:pPr>
        <w:keepNext/>
        <w:spacing w:after="0" w:line="240" w:lineRule="exact"/>
        <w:rPr>
          <w:noProof/>
          <w:sz w:val="20"/>
          <w:szCs w:val="20"/>
        </w:rPr>
      </w:pPr>
    </w:p>
    <w:tbl>
      <w:tblPr>
        <w:tblStyle w:val="TableGrid"/>
        <w:tblW w:w="10314" w:type="dxa"/>
        <w:tblLayout w:type="fixed"/>
        <w:tblLook w:val="04A0" w:firstRow="1" w:lastRow="0" w:firstColumn="1" w:lastColumn="0" w:noHBand="0" w:noVBand="1"/>
      </w:tblPr>
      <w:tblGrid>
        <w:gridCol w:w="2376"/>
        <w:gridCol w:w="4536"/>
        <w:gridCol w:w="1276"/>
        <w:gridCol w:w="992"/>
        <w:gridCol w:w="1134"/>
      </w:tblGrid>
      <w:tr>
        <w:trPr>
          <w:trHeight w:val="634"/>
        </w:trPr>
        <w:tc>
          <w:tcPr>
            <w:tcW w:w="2376" w:type="dxa"/>
            <w:shd w:val="pct15" w:color="auto" w:fill="auto"/>
            <w:vAlign w:val="center"/>
          </w:tcPr>
          <w:p>
            <w:pPr>
              <w:keepNext/>
              <w:spacing w:line="240" w:lineRule="exact"/>
              <w:jc w:val="center"/>
              <w:rPr>
                <w:noProof/>
                <w:sz w:val="20"/>
                <w:szCs w:val="20"/>
              </w:rPr>
            </w:pPr>
            <w:r>
              <w:rPr>
                <w:noProof/>
                <w:sz w:val="20"/>
                <w:szCs w:val="20"/>
              </w:rPr>
              <w:t>Dates</w:t>
            </w:r>
          </w:p>
        </w:tc>
        <w:tc>
          <w:tcPr>
            <w:tcW w:w="4536" w:type="dxa"/>
            <w:shd w:val="pct15" w:color="auto" w:fill="auto"/>
            <w:vAlign w:val="center"/>
          </w:tcPr>
          <w:p>
            <w:pPr>
              <w:keepNext/>
              <w:spacing w:line="240" w:lineRule="exact"/>
              <w:jc w:val="center"/>
              <w:rPr>
                <w:noProof/>
                <w:sz w:val="20"/>
                <w:szCs w:val="20"/>
              </w:rPr>
            </w:pPr>
            <w:r>
              <w:rPr>
                <w:noProof/>
                <w:sz w:val="20"/>
                <w:szCs w:val="20"/>
              </w:rPr>
              <w:t>Conference title</w:t>
            </w:r>
          </w:p>
        </w:tc>
        <w:tc>
          <w:tcPr>
            <w:tcW w:w="1276" w:type="dxa"/>
            <w:tcBorders>
              <w:bottom w:val="single" w:sz="4" w:space="0" w:color="auto"/>
            </w:tcBorders>
            <w:shd w:val="pct15" w:color="auto" w:fill="auto"/>
            <w:vAlign w:val="center"/>
          </w:tcPr>
          <w:p>
            <w:pPr>
              <w:keepNext/>
              <w:spacing w:line="240" w:lineRule="exact"/>
              <w:jc w:val="center"/>
              <w:rPr>
                <w:noProof/>
                <w:sz w:val="20"/>
                <w:szCs w:val="20"/>
              </w:rPr>
            </w:pPr>
            <w:r>
              <w:rPr>
                <w:noProof/>
                <w:sz w:val="20"/>
                <w:szCs w:val="20"/>
              </w:rPr>
              <w:t>Location</w:t>
            </w:r>
          </w:p>
        </w:tc>
        <w:tc>
          <w:tcPr>
            <w:tcW w:w="992" w:type="dxa"/>
            <w:tcBorders>
              <w:bottom w:val="single" w:sz="4" w:space="0" w:color="auto"/>
            </w:tcBorders>
            <w:shd w:val="pct15" w:color="auto" w:fill="auto"/>
            <w:vAlign w:val="center"/>
          </w:tcPr>
          <w:p>
            <w:pPr>
              <w:keepNext/>
              <w:spacing w:line="240" w:lineRule="exact"/>
              <w:jc w:val="center"/>
              <w:rPr>
                <w:noProof/>
                <w:sz w:val="20"/>
                <w:szCs w:val="20"/>
              </w:rPr>
            </w:pPr>
            <w:r>
              <w:rPr>
                <w:noProof/>
                <w:sz w:val="20"/>
                <w:szCs w:val="20"/>
              </w:rPr>
              <w:t>N° of participants</w:t>
            </w:r>
          </w:p>
        </w:tc>
        <w:tc>
          <w:tcPr>
            <w:tcW w:w="1134" w:type="dxa"/>
            <w:tcBorders>
              <w:bottom w:val="single" w:sz="4" w:space="0" w:color="auto"/>
            </w:tcBorders>
            <w:shd w:val="pct15" w:color="auto" w:fill="auto"/>
            <w:vAlign w:val="center"/>
          </w:tcPr>
          <w:p>
            <w:pPr>
              <w:keepNext/>
              <w:spacing w:line="240" w:lineRule="exact"/>
              <w:jc w:val="center"/>
              <w:rPr>
                <w:noProof/>
                <w:sz w:val="20"/>
                <w:szCs w:val="20"/>
              </w:rPr>
            </w:pPr>
            <w:r>
              <w:rPr>
                <w:noProof/>
                <w:sz w:val="20"/>
                <w:szCs w:val="20"/>
              </w:rPr>
              <w:t>Amount paid EUR</w:t>
            </w:r>
          </w:p>
        </w:tc>
      </w:tr>
      <w:tr>
        <w:trPr>
          <w:trHeight w:val="663"/>
        </w:trPr>
        <w:tc>
          <w:tcPr>
            <w:tcW w:w="2376" w:type="dxa"/>
            <w:tcBorders>
              <w:bottom w:val="single" w:sz="4" w:space="0" w:color="auto"/>
            </w:tcBorders>
            <w:shd w:val="clear" w:color="auto" w:fill="auto"/>
            <w:vAlign w:val="center"/>
          </w:tcPr>
          <w:p>
            <w:pPr>
              <w:rPr>
                <w:noProof/>
                <w:sz w:val="20"/>
                <w:szCs w:val="20"/>
              </w:rPr>
            </w:pPr>
            <w:r>
              <w:rPr>
                <w:noProof/>
                <w:sz w:val="20"/>
                <w:szCs w:val="20"/>
              </w:rPr>
              <w:t>19-21 June 2019</w:t>
            </w:r>
          </w:p>
        </w:tc>
        <w:tc>
          <w:tcPr>
            <w:tcW w:w="4536" w:type="dxa"/>
            <w:tcBorders>
              <w:bottom w:val="single" w:sz="4" w:space="0" w:color="auto"/>
            </w:tcBorders>
            <w:shd w:val="clear" w:color="auto" w:fill="auto"/>
            <w:vAlign w:val="center"/>
          </w:tcPr>
          <w:p>
            <w:pPr>
              <w:rPr>
                <w:noProof/>
                <w:sz w:val="20"/>
                <w:szCs w:val="20"/>
              </w:rPr>
            </w:pPr>
            <w:r>
              <w:rPr>
                <w:noProof/>
                <w:sz w:val="20"/>
                <w:szCs w:val="20"/>
              </w:rPr>
              <w:t>PIF : Cooperation between OLAF, law enforcement and prosecution services</w:t>
            </w:r>
          </w:p>
        </w:tc>
        <w:tc>
          <w:tcPr>
            <w:tcW w:w="1276" w:type="dxa"/>
            <w:tcBorders>
              <w:top w:val="single" w:sz="4" w:space="0" w:color="auto"/>
              <w:left w:val="nil"/>
              <w:bottom w:val="single" w:sz="4" w:space="0" w:color="auto"/>
              <w:right w:val="single" w:sz="4" w:space="0" w:color="auto"/>
            </w:tcBorders>
            <w:shd w:val="clear" w:color="auto" w:fill="auto"/>
            <w:vAlign w:val="center"/>
          </w:tcPr>
          <w:p>
            <w:pPr>
              <w:jc w:val="center"/>
              <w:rPr>
                <w:noProof/>
                <w:sz w:val="20"/>
                <w:szCs w:val="20"/>
              </w:rPr>
            </w:pPr>
            <w:r>
              <w:rPr>
                <w:noProof/>
                <w:sz w:val="20"/>
                <w:szCs w:val="20"/>
              </w:rPr>
              <w:t xml:space="preserve">La Hulpe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noProof/>
                <w:sz w:val="20"/>
                <w:szCs w:val="20"/>
              </w:rPr>
            </w:pPr>
            <w:r>
              <w:rPr>
                <w:noProof/>
                <w:sz w:val="20"/>
                <w:szCs w:val="20"/>
              </w:rPr>
              <w:t>158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pPr>
              <w:jc w:val="right"/>
              <w:rPr>
                <w:noProof/>
                <w:sz w:val="20"/>
                <w:szCs w:val="20"/>
              </w:rPr>
            </w:pPr>
            <w:r>
              <w:rPr>
                <w:noProof/>
                <w:sz w:val="20"/>
                <w:szCs w:val="20"/>
              </w:rPr>
              <w:t>147 141</w:t>
            </w:r>
          </w:p>
        </w:tc>
      </w:tr>
      <w:tr>
        <w:trPr>
          <w:trHeight w:val="559"/>
        </w:trPr>
        <w:tc>
          <w:tcPr>
            <w:tcW w:w="2376"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pPr>
              <w:rPr>
                <w:noProof/>
                <w:color w:val="000000"/>
                <w:sz w:val="20"/>
                <w:szCs w:val="20"/>
              </w:rPr>
            </w:pPr>
            <w:r>
              <w:rPr>
                <w:noProof/>
                <w:color w:val="000000"/>
                <w:sz w:val="20"/>
                <w:szCs w:val="20"/>
              </w:rPr>
              <w:t>9-12 September 2019</w:t>
            </w:r>
          </w:p>
        </w:tc>
        <w:tc>
          <w:tcPr>
            <w:tcW w:w="4536" w:type="dxa"/>
            <w:tcBorders>
              <w:top w:val="single" w:sz="4" w:space="0" w:color="auto"/>
              <w:left w:val="single" w:sz="4" w:space="0" w:color="auto"/>
              <w:bottom w:val="single" w:sz="4" w:space="0" w:color="auto"/>
              <w:right w:val="nil"/>
            </w:tcBorders>
            <w:shd w:val="clear" w:color="auto" w:fill="EEECE1" w:themeFill="background2"/>
            <w:vAlign w:val="center"/>
          </w:tcPr>
          <w:p>
            <w:pPr>
              <w:rPr>
                <w:noProof/>
                <w:color w:val="000000"/>
                <w:sz w:val="20"/>
                <w:szCs w:val="20"/>
              </w:rPr>
            </w:pPr>
            <w:r>
              <w:rPr>
                <w:noProof/>
                <w:color w:val="000000"/>
                <w:sz w:val="20"/>
                <w:szCs w:val="20"/>
              </w:rPr>
              <w:t>24th Task Group Cigarettes (TGC)</w:t>
            </w:r>
          </w:p>
        </w:tc>
        <w:tc>
          <w:tcPr>
            <w:tcW w:w="1276" w:type="dxa"/>
            <w:tcBorders>
              <w:top w:val="single" w:sz="4" w:space="0" w:color="auto"/>
              <w:bottom w:val="single" w:sz="4" w:space="0" w:color="auto"/>
            </w:tcBorders>
            <w:shd w:val="clear" w:color="auto" w:fill="EEECE1" w:themeFill="background2"/>
            <w:vAlign w:val="center"/>
          </w:tcPr>
          <w:p>
            <w:pPr>
              <w:jc w:val="center"/>
              <w:rPr>
                <w:noProof/>
                <w:sz w:val="20"/>
                <w:szCs w:val="20"/>
              </w:rPr>
            </w:pPr>
            <w:r>
              <w:rPr>
                <w:noProof/>
                <w:sz w:val="20"/>
                <w:szCs w:val="20"/>
              </w:rPr>
              <w:t>Zagreb</w:t>
            </w:r>
          </w:p>
        </w:tc>
        <w:tc>
          <w:tcPr>
            <w:tcW w:w="992" w:type="dxa"/>
            <w:tcBorders>
              <w:top w:val="single" w:sz="4" w:space="0" w:color="auto"/>
              <w:bottom w:val="single" w:sz="4" w:space="0" w:color="auto"/>
            </w:tcBorders>
            <w:shd w:val="clear" w:color="auto" w:fill="EEECE1" w:themeFill="background2"/>
            <w:vAlign w:val="center"/>
          </w:tcPr>
          <w:p>
            <w:pPr>
              <w:jc w:val="center"/>
              <w:rPr>
                <w:noProof/>
                <w:sz w:val="20"/>
                <w:szCs w:val="20"/>
              </w:rPr>
            </w:pPr>
            <w:r>
              <w:rPr>
                <w:noProof/>
                <w:sz w:val="20"/>
                <w:szCs w:val="20"/>
              </w:rPr>
              <w:t>99</w:t>
            </w:r>
          </w:p>
        </w:tc>
        <w:tc>
          <w:tcPr>
            <w:tcW w:w="1134" w:type="dxa"/>
            <w:tcBorders>
              <w:top w:val="single" w:sz="4" w:space="0" w:color="auto"/>
              <w:bottom w:val="single" w:sz="4" w:space="0" w:color="auto"/>
            </w:tcBorders>
            <w:shd w:val="clear" w:color="auto" w:fill="EEECE1" w:themeFill="background2"/>
            <w:vAlign w:val="center"/>
          </w:tcPr>
          <w:p>
            <w:pPr>
              <w:jc w:val="right"/>
              <w:rPr>
                <w:noProof/>
                <w:sz w:val="20"/>
                <w:szCs w:val="20"/>
              </w:rPr>
            </w:pPr>
            <w:r>
              <w:rPr>
                <w:noProof/>
                <w:sz w:val="20"/>
                <w:szCs w:val="20"/>
              </w:rPr>
              <w:t>40 914</w:t>
            </w:r>
          </w:p>
        </w:tc>
      </w:tr>
      <w:tr>
        <w:trPr>
          <w:trHeight w:val="690"/>
        </w:trPr>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pPr>
              <w:rPr>
                <w:noProof/>
                <w:color w:val="000000"/>
                <w:sz w:val="20"/>
                <w:szCs w:val="20"/>
              </w:rPr>
            </w:pPr>
            <w:r>
              <w:rPr>
                <w:noProof/>
                <w:color w:val="000000"/>
                <w:sz w:val="20"/>
                <w:szCs w:val="20"/>
              </w:rPr>
              <w:t>16 September 2019</w:t>
            </w:r>
          </w:p>
        </w:tc>
        <w:tc>
          <w:tcPr>
            <w:tcW w:w="4536" w:type="dxa"/>
            <w:tcBorders>
              <w:top w:val="single" w:sz="4" w:space="0" w:color="auto"/>
              <w:left w:val="single" w:sz="4" w:space="0" w:color="auto"/>
              <w:bottom w:val="single" w:sz="4" w:space="0" w:color="auto"/>
              <w:right w:val="nil"/>
            </w:tcBorders>
            <w:shd w:val="clear" w:color="auto" w:fill="auto"/>
            <w:vAlign w:val="center"/>
          </w:tcPr>
          <w:p>
            <w:pPr>
              <w:rPr>
                <w:noProof/>
                <w:color w:val="000000"/>
                <w:sz w:val="20"/>
                <w:szCs w:val="20"/>
              </w:rPr>
            </w:pPr>
            <w:r>
              <w:rPr>
                <w:noProof/>
                <w:color w:val="000000"/>
                <w:sz w:val="20"/>
                <w:szCs w:val="20"/>
              </w:rPr>
              <w:t>Workshop on the Future of the Network of PIF Associations</w:t>
            </w:r>
          </w:p>
        </w:tc>
        <w:tc>
          <w:tcPr>
            <w:tcW w:w="1276" w:type="dxa"/>
            <w:tcBorders>
              <w:bottom w:val="single" w:sz="4" w:space="0" w:color="auto"/>
            </w:tcBorders>
            <w:shd w:val="clear" w:color="auto" w:fill="auto"/>
            <w:vAlign w:val="center"/>
          </w:tcPr>
          <w:p>
            <w:pPr>
              <w:jc w:val="center"/>
              <w:rPr>
                <w:noProof/>
                <w:sz w:val="20"/>
                <w:szCs w:val="20"/>
              </w:rPr>
            </w:pPr>
            <w:r>
              <w:rPr>
                <w:noProof/>
                <w:sz w:val="20"/>
                <w:szCs w:val="20"/>
              </w:rPr>
              <w:t>Brussels</w:t>
            </w:r>
          </w:p>
        </w:tc>
        <w:tc>
          <w:tcPr>
            <w:tcW w:w="992" w:type="dxa"/>
            <w:tcBorders>
              <w:bottom w:val="single" w:sz="4" w:space="0" w:color="auto"/>
            </w:tcBorders>
            <w:shd w:val="clear" w:color="auto" w:fill="auto"/>
            <w:vAlign w:val="center"/>
          </w:tcPr>
          <w:p>
            <w:pPr>
              <w:jc w:val="center"/>
              <w:rPr>
                <w:noProof/>
                <w:sz w:val="20"/>
                <w:szCs w:val="20"/>
              </w:rPr>
            </w:pPr>
            <w:r>
              <w:rPr>
                <w:noProof/>
                <w:sz w:val="20"/>
                <w:szCs w:val="20"/>
              </w:rPr>
              <w:t>31</w:t>
            </w:r>
          </w:p>
        </w:tc>
        <w:tc>
          <w:tcPr>
            <w:tcW w:w="1134" w:type="dxa"/>
            <w:tcBorders>
              <w:bottom w:val="single" w:sz="4" w:space="0" w:color="auto"/>
            </w:tcBorders>
            <w:shd w:val="clear" w:color="auto" w:fill="auto"/>
            <w:vAlign w:val="center"/>
          </w:tcPr>
          <w:p>
            <w:pPr>
              <w:jc w:val="right"/>
              <w:rPr>
                <w:noProof/>
                <w:sz w:val="20"/>
                <w:szCs w:val="20"/>
              </w:rPr>
            </w:pPr>
            <w:r>
              <w:rPr>
                <w:noProof/>
                <w:sz w:val="20"/>
                <w:szCs w:val="20"/>
              </w:rPr>
              <w:t xml:space="preserve">33 361* </w:t>
            </w:r>
          </w:p>
        </w:tc>
      </w:tr>
      <w:tr>
        <w:trPr>
          <w:trHeight w:val="562"/>
        </w:trPr>
        <w:tc>
          <w:tcPr>
            <w:tcW w:w="2376"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pPr>
              <w:rPr>
                <w:noProof/>
                <w:color w:val="000000"/>
                <w:sz w:val="20"/>
                <w:szCs w:val="20"/>
              </w:rPr>
            </w:pPr>
            <w:r>
              <w:rPr>
                <w:noProof/>
                <w:color w:val="000000"/>
                <w:sz w:val="20"/>
                <w:szCs w:val="20"/>
              </w:rPr>
              <w:t>18-20 September 2019</w:t>
            </w:r>
          </w:p>
        </w:tc>
        <w:tc>
          <w:tcPr>
            <w:tcW w:w="4536" w:type="dxa"/>
            <w:tcBorders>
              <w:top w:val="single" w:sz="4" w:space="0" w:color="auto"/>
              <w:left w:val="single" w:sz="4" w:space="0" w:color="auto"/>
              <w:bottom w:val="single" w:sz="4" w:space="0" w:color="auto"/>
              <w:right w:val="nil"/>
            </w:tcBorders>
            <w:shd w:val="clear" w:color="auto" w:fill="EEECE1" w:themeFill="background2"/>
            <w:vAlign w:val="center"/>
          </w:tcPr>
          <w:p>
            <w:pPr>
              <w:rPr>
                <w:noProof/>
                <w:color w:val="000000"/>
                <w:sz w:val="20"/>
                <w:szCs w:val="20"/>
              </w:rPr>
            </w:pPr>
            <w:r>
              <w:rPr>
                <w:noProof/>
                <w:color w:val="000000"/>
                <w:sz w:val="20"/>
                <w:szCs w:val="20"/>
              </w:rPr>
              <w:t>AFCOS Seminar 2019</w:t>
            </w:r>
          </w:p>
        </w:tc>
        <w:tc>
          <w:tcPr>
            <w:tcW w:w="1276" w:type="dxa"/>
            <w:tcBorders>
              <w:bottom w:val="single" w:sz="4" w:space="0" w:color="auto"/>
            </w:tcBorders>
            <w:shd w:val="clear" w:color="auto" w:fill="EEECE1" w:themeFill="background2"/>
            <w:vAlign w:val="center"/>
          </w:tcPr>
          <w:p>
            <w:pPr>
              <w:jc w:val="center"/>
              <w:rPr>
                <w:noProof/>
                <w:sz w:val="20"/>
                <w:szCs w:val="20"/>
              </w:rPr>
            </w:pPr>
            <w:r>
              <w:rPr>
                <w:noProof/>
                <w:sz w:val="20"/>
                <w:szCs w:val="20"/>
              </w:rPr>
              <w:t>Skopje</w:t>
            </w:r>
          </w:p>
        </w:tc>
        <w:tc>
          <w:tcPr>
            <w:tcW w:w="992" w:type="dxa"/>
            <w:tcBorders>
              <w:bottom w:val="single" w:sz="4" w:space="0" w:color="auto"/>
            </w:tcBorders>
            <w:shd w:val="clear" w:color="auto" w:fill="EEECE1" w:themeFill="background2"/>
            <w:vAlign w:val="center"/>
          </w:tcPr>
          <w:p>
            <w:pPr>
              <w:jc w:val="center"/>
              <w:rPr>
                <w:noProof/>
                <w:sz w:val="20"/>
                <w:szCs w:val="20"/>
              </w:rPr>
            </w:pPr>
            <w:r>
              <w:rPr>
                <w:noProof/>
                <w:sz w:val="20"/>
                <w:szCs w:val="20"/>
              </w:rPr>
              <w:t>85</w:t>
            </w:r>
          </w:p>
        </w:tc>
        <w:tc>
          <w:tcPr>
            <w:tcW w:w="1134" w:type="dxa"/>
            <w:tcBorders>
              <w:bottom w:val="single" w:sz="4" w:space="0" w:color="auto"/>
            </w:tcBorders>
            <w:shd w:val="clear" w:color="auto" w:fill="EEECE1" w:themeFill="background2"/>
            <w:vAlign w:val="center"/>
          </w:tcPr>
          <w:p>
            <w:pPr>
              <w:jc w:val="right"/>
              <w:rPr>
                <w:noProof/>
                <w:sz w:val="20"/>
                <w:szCs w:val="20"/>
              </w:rPr>
            </w:pPr>
            <w:r>
              <w:rPr>
                <w:noProof/>
                <w:sz w:val="20"/>
                <w:szCs w:val="20"/>
              </w:rPr>
              <w:t>33 434</w:t>
            </w:r>
          </w:p>
        </w:tc>
      </w:tr>
      <w:tr>
        <w:trPr>
          <w:trHeight w:val="469"/>
        </w:trPr>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pPr>
              <w:rPr>
                <w:noProof/>
                <w:color w:val="000000"/>
                <w:sz w:val="20"/>
                <w:szCs w:val="20"/>
              </w:rPr>
            </w:pPr>
            <w:r>
              <w:rPr>
                <w:noProof/>
                <w:color w:val="000000"/>
                <w:sz w:val="20"/>
                <w:szCs w:val="20"/>
              </w:rPr>
              <w:t>26-27 September 2019</w:t>
            </w:r>
          </w:p>
        </w:tc>
        <w:tc>
          <w:tcPr>
            <w:tcW w:w="4536" w:type="dxa"/>
            <w:tcBorders>
              <w:top w:val="single" w:sz="4" w:space="0" w:color="auto"/>
              <w:left w:val="single" w:sz="4" w:space="0" w:color="auto"/>
              <w:bottom w:val="single" w:sz="4" w:space="0" w:color="auto"/>
              <w:right w:val="nil"/>
            </w:tcBorders>
            <w:shd w:val="clear" w:color="auto" w:fill="auto"/>
            <w:vAlign w:val="center"/>
          </w:tcPr>
          <w:p>
            <w:pPr>
              <w:rPr>
                <w:noProof/>
                <w:color w:val="000000"/>
                <w:sz w:val="20"/>
                <w:szCs w:val="20"/>
              </w:rPr>
            </w:pPr>
            <w:r>
              <w:rPr>
                <w:noProof/>
                <w:color w:val="000000"/>
                <w:sz w:val="20"/>
                <w:szCs w:val="20"/>
              </w:rPr>
              <w:t>JCO HYGIEA-Debriefing Meeting</w:t>
            </w:r>
          </w:p>
        </w:tc>
        <w:tc>
          <w:tcPr>
            <w:tcW w:w="1276" w:type="dxa"/>
            <w:shd w:val="clear" w:color="auto" w:fill="auto"/>
            <w:vAlign w:val="center"/>
          </w:tcPr>
          <w:p>
            <w:pPr>
              <w:jc w:val="center"/>
              <w:rPr>
                <w:noProof/>
                <w:sz w:val="20"/>
                <w:szCs w:val="20"/>
              </w:rPr>
            </w:pPr>
            <w:r>
              <w:rPr>
                <w:noProof/>
                <w:sz w:val="20"/>
                <w:szCs w:val="20"/>
              </w:rPr>
              <w:t>Rome</w:t>
            </w:r>
          </w:p>
        </w:tc>
        <w:tc>
          <w:tcPr>
            <w:tcW w:w="992" w:type="dxa"/>
            <w:shd w:val="clear" w:color="auto" w:fill="auto"/>
            <w:vAlign w:val="center"/>
          </w:tcPr>
          <w:p>
            <w:pPr>
              <w:jc w:val="center"/>
              <w:rPr>
                <w:noProof/>
                <w:sz w:val="20"/>
                <w:szCs w:val="20"/>
              </w:rPr>
            </w:pPr>
            <w:r>
              <w:rPr>
                <w:noProof/>
                <w:sz w:val="20"/>
                <w:szCs w:val="20"/>
              </w:rPr>
              <w:t>43</w:t>
            </w:r>
          </w:p>
        </w:tc>
        <w:tc>
          <w:tcPr>
            <w:tcW w:w="1134" w:type="dxa"/>
            <w:shd w:val="clear" w:color="auto" w:fill="auto"/>
            <w:vAlign w:val="center"/>
          </w:tcPr>
          <w:p>
            <w:pPr>
              <w:jc w:val="right"/>
              <w:rPr>
                <w:noProof/>
                <w:sz w:val="20"/>
                <w:szCs w:val="20"/>
              </w:rPr>
            </w:pPr>
            <w:r>
              <w:rPr>
                <w:noProof/>
                <w:sz w:val="20"/>
                <w:szCs w:val="20"/>
              </w:rPr>
              <w:t>41 588</w:t>
            </w:r>
          </w:p>
        </w:tc>
      </w:tr>
      <w:tr>
        <w:trPr>
          <w:trHeight w:val="695"/>
        </w:trPr>
        <w:tc>
          <w:tcPr>
            <w:tcW w:w="2376"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pPr>
              <w:rPr>
                <w:noProof/>
                <w:color w:val="000000"/>
                <w:sz w:val="20"/>
                <w:szCs w:val="20"/>
              </w:rPr>
            </w:pPr>
            <w:r>
              <w:rPr>
                <w:noProof/>
                <w:color w:val="000000"/>
                <w:sz w:val="20"/>
                <w:szCs w:val="20"/>
              </w:rPr>
              <w:t>10-11 October 2019</w:t>
            </w:r>
          </w:p>
        </w:tc>
        <w:tc>
          <w:tcPr>
            <w:tcW w:w="4536" w:type="dxa"/>
            <w:tcBorders>
              <w:top w:val="single" w:sz="4" w:space="0" w:color="auto"/>
              <w:left w:val="single" w:sz="4" w:space="0" w:color="auto"/>
              <w:bottom w:val="single" w:sz="4" w:space="0" w:color="auto"/>
              <w:right w:val="nil"/>
            </w:tcBorders>
            <w:shd w:val="clear" w:color="auto" w:fill="EEECE1" w:themeFill="background2"/>
            <w:vAlign w:val="center"/>
          </w:tcPr>
          <w:p>
            <w:pPr>
              <w:rPr>
                <w:noProof/>
                <w:color w:val="000000"/>
                <w:sz w:val="20"/>
                <w:szCs w:val="20"/>
              </w:rPr>
            </w:pPr>
            <w:r>
              <w:rPr>
                <w:noProof/>
                <w:color w:val="000000"/>
                <w:sz w:val="20"/>
                <w:szCs w:val="20"/>
              </w:rPr>
              <w:t xml:space="preserve">Briefing and training - JCO SNAKE II </w:t>
            </w:r>
          </w:p>
        </w:tc>
        <w:tc>
          <w:tcPr>
            <w:tcW w:w="1276" w:type="dxa"/>
            <w:tcBorders>
              <w:bottom w:val="single" w:sz="4" w:space="0" w:color="auto"/>
            </w:tcBorders>
            <w:shd w:val="clear" w:color="auto" w:fill="EEECE1" w:themeFill="background2"/>
            <w:vAlign w:val="center"/>
          </w:tcPr>
          <w:p>
            <w:pPr>
              <w:jc w:val="center"/>
              <w:rPr>
                <w:noProof/>
                <w:sz w:val="20"/>
                <w:szCs w:val="20"/>
              </w:rPr>
            </w:pPr>
            <w:r>
              <w:rPr>
                <w:noProof/>
                <w:sz w:val="20"/>
                <w:szCs w:val="20"/>
              </w:rPr>
              <w:t>Brussels</w:t>
            </w:r>
          </w:p>
        </w:tc>
        <w:tc>
          <w:tcPr>
            <w:tcW w:w="992" w:type="dxa"/>
            <w:tcBorders>
              <w:bottom w:val="single" w:sz="4" w:space="0" w:color="auto"/>
            </w:tcBorders>
            <w:shd w:val="clear" w:color="auto" w:fill="EEECE1" w:themeFill="background2"/>
            <w:vAlign w:val="center"/>
          </w:tcPr>
          <w:p>
            <w:pPr>
              <w:jc w:val="center"/>
              <w:rPr>
                <w:noProof/>
                <w:sz w:val="20"/>
                <w:szCs w:val="20"/>
              </w:rPr>
            </w:pPr>
            <w:r>
              <w:rPr>
                <w:noProof/>
                <w:sz w:val="20"/>
                <w:szCs w:val="20"/>
              </w:rPr>
              <w:t>45</w:t>
            </w:r>
          </w:p>
        </w:tc>
        <w:tc>
          <w:tcPr>
            <w:tcW w:w="1134" w:type="dxa"/>
            <w:tcBorders>
              <w:bottom w:val="single" w:sz="4" w:space="0" w:color="auto"/>
            </w:tcBorders>
            <w:shd w:val="clear" w:color="auto" w:fill="EEECE1" w:themeFill="background2"/>
            <w:vAlign w:val="center"/>
          </w:tcPr>
          <w:p>
            <w:pPr>
              <w:jc w:val="right"/>
              <w:rPr>
                <w:noProof/>
                <w:sz w:val="20"/>
                <w:szCs w:val="20"/>
              </w:rPr>
            </w:pPr>
            <w:r>
              <w:rPr>
                <w:noProof/>
                <w:sz w:val="20"/>
                <w:szCs w:val="20"/>
              </w:rPr>
              <w:t>88 067*</w:t>
            </w:r>
          </w:p>
        </w:tc>
      </w:tr>
      <w:tr>
        <w:trPr>
          <w:trHeight w:val="695"/>
        </w:trPr>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pPr>
              <w:rPr>
                <w:noProof/>
                <w:color w:val="000000"/>
                <w:sz w:val="20"/>
                <w:szCs w:val="20"/>
                <w:highlight w:val="yellow"/>
              </w:rPr>
            </w:pPr>
            <w:r>
              <w:rPr>
                <w:noProof/>
                <w:color w:val="000000"/>
                <w:sz w:val="20"/>
                <w:szCs w:val="20"/>
              </w:rPr>
              <w:t>14-15 November 2019</w:t>
            </w:r>
          </w:p>
        </w:tc>
        <w:tc>
          <w:tcPr>
            <w:tcW w:w="4536" w:type="dxa"/>
            <w:tcBorders>
              <w:top w:val="single" w:sz="4" w:space="0" w:color="auto"/>
              <w:left w:val="single" w:sz="4" w:space="0" w:color="auto"/>
              <w:bottom w:val="single" w:sz="4" w:space="0" w:color="auto"/>
              <w:right w:val="nil"/>
            </w:tcBorders>
            <w:shd w:val="clear" w:color="auto" w:fill="auto"/>
            <w:vAlign w:val="center"/>
          </w:tcPr>
          <w:p>
            <w:pPr>
              <w:rPr>
                <w:noProof/>
                <w:color w:val="000000"/>
                <w:sz w:val="20"/>
                <w:szCs w:val="20"/>
              </w:rPr>
            </w:pPr>
            <w:r>
              <w:rPr>
                <w:noProof/>
                <w:color w:val="000000"/>
                <w:sz w:val="20"/>
                <w:szCs w:val="20"/>
              </w:rPr>
              <w:t>High Level Conference on Customs Challenges in the Antifraud Area</w:t>
            </w:r>
          </w:p>
        </w:tc>
        <w:tc>
          <w:tcPr>
            <w:tcW w:w="1276" w:type="dxa"/>
            <w:tcBorders>
              <w:bottom w:val="single" w:sz="4" w:space="0" w:color="auto"/>
            </w:tcBorders>
            <w:shd w:val="clear" w:color="auto" w:fill="auto"/>
            <w:vAlign w:val="center"/>
          </w:tcPr>
          <w:p>
            <w:pPr>
              <w:jc w:val="center"/>
              <w:rPr>
                <w:noProof/>
                <w:sz w:val="20"/>
                <w:szCs w:val="20"/>
              </w:rPr>
            </w:pPr>
            <w:r>
              <w:rPr>
                <w:noProof/>
                <w:sz w:val="20"/>
                <w:szCs w:val="20"/>
              </w:rPr>
              <w:t>Helsinki</w:t>
            </w:r>
          </w:p>
        </w:tc>
        <w:tc>
          <w:tcPr>
            <w:tcW w:w="992" w:type="dxa"/>
            <w:tcBorders>
              <w:bottom w:val="single" w:sz="4" w:space="0" w:color="auto"/>
            </w:tcBorders>
            <w:shd w:val="clear" w:color="auto" w:fill="auto"/>
            <w:vAlign w:val="center"/>
          </w:tcPr>
          <w:p>
            <w:pPr>
              <w:jc w:val="center"/>
              <w:rPr>
                <w:noProof/>
                <w:sz w:val="20"/>
                <w:szCs w:val="20"/>
              </w:rPr>
            </w:pPr>
            <w:r>
              <w:rPr>
                <w:noProof/>
                <w:sz w:val="20"/>
                <w:szCs w:val="20"/>
              </w:rPr>
              <w:t>87</w:t>
            </w:r>
          </w:p>
        </w:tc>
        <w:tc>
          <w:tcPr>
            <w:tcW w:w="1134" w:type="dxa"/>
            <w:tcBorders>
              <w:bottom w:val="single" w:sz="4" w:space="0" w:color="auto"/>
            </w:tcBorders>
            <w:shd w:val="clear" w:color="auto" w:fill="auto"/>
            <w:vAlign w:val="center"/>
          </w:tcPr>
          <w:p>
            <w:pPr>
              <w:jc w:val="right"/>
              <w:rPr>
                <w:noProof/>
                <w:sz w:val="20"/>
                <w:szCs w:val="20"/>
              </w:rPr>
            </w:pPr>
            <w:r>
              <w:rPr>
                <w:noProof/>
                <w:sz w:val="20"/>
                <w:szCs w:val="20"/>
              </w:rPr>
              <w:t>94 805</w:t>
            </w:r>
          </w:p>
        </w:tc>
      </w:tr>
      <w:tr>
        <w:trPr>
          <w:trHeight w:val="695"/>
        </w:trPr>
        <w:tc>
          <w:tcPr>
            <w:tcW w:w="2376"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pPr>
              <w:rPr>
                <w:noProof/>
                <w:color w:val="000000"/>
                <w:sz w:val="20"/>
                <w:szCs w:val="20"/>
              </w:rPr>
            </w:pPr>
            <w:r>
              <w:rPr>
                <w:noProof/>
                <w:color w:val="000000"/>
                <w:sz w:val="20"/>
                <w:szCs w:val="20"/>
              </w:rPr>
              <w:t>19 November 2019</w:t>
            </w:r>
          </w:p>
        </w:tc>
        <w:tc>
          <w:tcPr>
            <w:tcW w:w="4536" w:type="dxa"/>
            <w:tcBorders>
              <w:top w:val="single" w:sz="4" w:space="0" w:color="auto"/>
              <w:left w:val="single" w:sz="4" w:space="0" w:color="auto"/>
              <w:bottom w:val="single" w:sz="4" w:space="0" w:color="auto"/>
              <w:right w:val="nil"/>
            </w:tcBorders>
            <w:shd w:val="clear" w:color="auto" w:fill="EEECE1" w:themeFill="background2"/>
            <w:vAlign w:val="center"/>
          </w:tcPr>
          <w:p>
            <w:pPr>
              <w:rPr>
                <w:noProof/>
                <w:color w:val="000000"/>
                <w:sz w:val="20"/>
                <w:szCs w:val="20"/>
              </w:rPr>
            </w:pPr>
            <w:r>
              <w:rPr>
                <w:noProof/>
                <w:color w:val="000000"/>
                <w:sz w:val="20"/>
                <w:szCs w:val="20"/>
              </w:rPr>
              <w:t>Pilot project related to Transhipment fraud on dangerous goods</w:t>
            </w:r>
          </w:p>
        </w:tc>
        <w:tc>
          <w:tcPr>
            <w:tcW w:w="1276" w:type="dxa"/>
            <w:tcBorders>
              <w:bottom w:val="single" w:sz="4" w:space="0" w:color="auto"/>
            </w:tcBorders>
            <w:shd w:val="clear" w:color="auto" w:fill="EEECE1" w:themeFill="background2"/>
            <w:vAlign w:val="center"/>
          </w:tcPr>
          <w:p>
            <w:pPr>
              <w:jc w:val="center"/>
              <w:rPr>
                <w:noProof/>
                <w:sz w:val="20"/>
                <w:szCs w:val="20"/>
              </w:rPr>
            </w:pPr>
            <w:r>
              <w:rPr>
                <w:noProof/>
                <w:sz w:val="20"/>
                <w:szCs w:val="20"/>
              </w:rPr>
              <w:t>Bangkok</w:t>
            </w:r>
          </w:p>
        </w:tc>
        <w:tc>
          <w:tcPr>
            <w:tcW w:w="992" w:type="dxa"/>
            <w:tcBorders>
              <w:bottom w:val="single" w:sz="4" w:space="0" w:color="auto"/>
            </w:tcBorders>
            <w:shd w:val="clear" w:color="auto" w:fill="EEECE1" w:themeFill="background2"/>
            <w:vAlign w:val="center"/>
          </w:tcPr>
          <w:p>
            <w:pPr>
              <w:jc w:val="center"/>
              <w:rPr>
                <w:noProof/>
                <w:sz w:val="20"/>
                <w:szCs w:val="20"/>
              </w:rPr>
            </w:pPr>
            <w:r>
              <w:rPr>
                <w:noProof/>
                <w:sz w:val="20"/>
                <w:szCs w:val="20"/>
              </w:rPr>
              <w:t>15</w:t>
            </w:r>
          </w:p>
        </w:tc>
        <w:tc>
          <w:tcPr>
            <w:tcW w:w="1134" w:type="dxa"/>
            <w:tcBorders>
              <w:bottom w:val="single" w:sz="4" w:space="0" w:color="auto"/>
            </w:tcBorders>
            <w:shd w:val="clear" w:color="auto" w:fill="EEECE1" w:themeFill="background2"/>
            <w:vAlign w:val="center"/>
          </w:tcPr>
          <w:p>
            <w:pPr>
              <w:jc w:val="right"/>
              <w:rPr>
                <w:noProof/>
                <w:sz w:val="20"/>
                <w:szCs w:val="20"/>
              </w:rPr>
            </w:pPr>
            <w:r>
              <w:rPr>
                <w:noProof/>
                <w:sz w:val="20"/>
                <w:szCs w:val="20"/>
              </w:rPr>
              <w:t>23 548</w:t>
            </w:r>
          </w:p>
        </w:tc>
      </w:tr>
      <w:tr>
        <w:trPr>
          <w:trHeight w:val="695"/>
        </w:trPr>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pPr>
              <w:rPr>
                <w:noProof/>
                <w:color w:val="000000"/>
                <w:sz w:val="20"/>
                <w:szCs w:val="20"/>
              </w:rPr>
            </w:pPr>
            <w:r>
              <w:rPr>
                <w:noProof/>
                <w:color w:val="000000"/>
                <w:sz w:val="20"/>
                <w:szCs w:val="20"/>
              </w:rPr>
              <w:t>23-24 January 2020</w:t>
            </w:r>
          </w:p>
        </w:tc>
        <w:tc>
          <w:tcPr>
            <w:tcW w:w="4536" w:type="dxa"/>
            <w:tcBorders>
              <w:top w:val="single" w:sz="4" w:space="0" w:color="auto"/>
              <w:left w:val="single" w:sz="4" w:space="0" w:color="auto"/>
              <w:bottom w:val="single" w:sz="4" w:space="0" w:color="auto"/>
              <w:right w:val="nil"/>
            </w:tcBorders>
            <w:shd w:val="clear" w:color="auto" w:fill="auto"/>
            <w:vAlign w:val="center"/>
          </w:tcPr>
          <w:p>
            <w:pPr>
              <w:rPr>
                <w:noProof/>
                <w:color w:val="000000"/>
                <w:sz w:val="20"/>
                <w:szCs w:val="20"/>
              </w:rPr>
            </w:pPr>
            <w:r>
              <w:rPr>
                <w:noProof/>
                <w:color w:val="000000"/>
                <w:sz w:val="20"/>
                <w:szCs w:val="20"/>
              </w:rPr>
              <w:t>Fight against the smuggling of Refrigerant Gas, including counterfeit &amp; banned products, in the EU</w:t>
            </w:r>
          </w:p>
        </w:tc>
        <w:tc>
          <w:tcPr>
            <w:tcW w:w="1276" w:type="dxa"/>
            <w:tcBorders>
              <w:bottom w:val="single" w:sz="4" w:space="0" w:color="auto"/>
            </w:tcBorders>
            <w:shd w:val="clear" w:color="auto" w:fill="auto"/>
            <w:vAlign w:val="center"/>
          </w:tcPr>
          <w:p>
            <w:pPr>
              <w:jc w:val="center"/>
              <w:rPr>
                <w:noProof/>
                <w:sz w:val="20"/>
                <w:szCs w:val="20"/>
              </w:rPr>
            </w:pPr>
            <w:r>
              <w:rPr>
                <w:noProof/>
                <w:sz w:val="20"/>
                <w:szCs w:val="20"/>
              </w:rPr>
              <w:t>Brussels</w:t>
            </w:r>
          </w:p>
        </w:tc>
        <w:tc>
          <w:tcPr>
            <w:tcW w:w="992" w:type="dxa"/>
            <w:tcBorders>
              <w:bottom w:val="single" w:sz="4" w:space="0" w:color="auto"/>
            </w:tcBorders>
            <w:shd w:val="clear" w:color="auto" w:fill="auto"/>
            <w:vAlign w:val="center"/>
          </w:tcPr>
          <w:p>
            <w:pPr>
              <w:jc w:val="center"/>
              <w:rPr>
                <w:noProof/>
                <w:sz w:val="20"/>
                <w:szCs w:val="20"/>
              </w:rPr>
            </w:pPr>
            <w:r>
              <w:rPr>
                <w:noProof/>
                <w:sz w:val="20"/>
                <w:szCs w:val="20"/>
              </w:rPr>
              <w:t>81</w:t>
            </w:r>
          </w:p>
        </w:tc>
        <w:tc>
          <w:tcPr>
            <w:tcW w:w="1134" w:type="dxa"/>
            <w:tcBorders>
              <w:bottom w:val="single" w:sz="4" w:space="0" w:color="auto"/>
            </w:tcBorders>
            <w:shd w:val="clear" w:color="auto" w:fill="auto"/>
            <w:vAlign w:val="center"/>
          </w:tcPr>
          <w:p>
            <w:pPr>
              <w:jc w:val="right"/>
              <w:rPr>
                <w:noProof/>
                <w:sz w:val="20"/>
                <w:szCs w:val="20"/>
              </w:rPr>
            </w:pPr>
            <w:r>
              <w:rPr>
                <w:noProof/>
                <w:sz w:val="20"/>
                <w:szCs w:val="20"/>
              </w:rPr>
              <w:t>67 298</w:t>
            </w:r>
          </w:p>
        </w:tc>
      </w:tr>
      <w:tr>
        <w:trPr>
          <w:trHeight w:val="472"/>
        </w:trPr>
        <w:tc>
          <w:tcPr>
            <w:tcW w:w="6912" w:type="dxa"/>
            <w:gridSpan w:val="2"/>
            <w:tcBorders>
              <w:top w:val="single" w:sz="4" w:space="0" w:color="auto"/>
              <w:left w:val="nil"/>
              <w:bottom w:val="nil"/>
            </w:tcBorders>
            <w:shd w:val="clear" w:color="auto" w:fill="auto"/>
            <w:vAlign w:val="center"/>
          </w:tcPr>
          <w:p>
            <w:pPr>
              <w:ind w:left="1416"/>
              <w:rPr>
                <w:noProof/>
                <w:sz w:val="20"/>
                <w:szCs w:val="20"/>
              </w:rPr>
            </w:pPr>
            <w:r>
              <w:rPr>
                <w:noProof/>
                <w:sz w:val="20"/>
                <w:szCs w:val="20"/>
              </w:rPr>
              <w:t>* Amount committed, as no final invoices were received at the date of publication of this document</w:t>
            </w:r>
          </w:p>
        </w:tc>
        <w:tc>
          <w:tcPr>
            <w:tcW w:w="1276" w:type="dxa"/>
            <w:shd w:val="clear" w:color="auto" w:fill="D9D9D9" w:themeFill="background1" w:themeFillShade="D9"/>
            <w:vAlign w:val="center"/>
          </w:tcPr>
          <w:p>
            <w:pPr>
              <w:jc w:val="center"/>
              <w:rPr>
                <w:b/>
                <w:noProof/>
                <w:sz w:val="20"/>
                <w:szCs w:val="20"/>
              </w:rPr>
            </w:pPr>
            <w:r>
              <w:rPr>
                <w:b/>
                <w:noProof/>
                <w:sz w:val="20"/>
                <w:szCs w:val="20"/>
              </w:rPr>
              <w:t>TOTAL</w:t>
            </w:r>
          </w:p>
        </w:tc>
        <w:tc>
          <w:tcPr>
            <w:tcW w:w="992" w:type="dxa"/>
            <w:shd w:val="clear" w:color="auto" w:fill="D9D9D9" w:themeFill="background1" w:themeFillShade="D9"/>
            <w:vAlign w:val="center"/>
          </w:tcPr>
          <w:p>
            <w:pPr>
              <w:jc w:val="center"/>
              <w:rPr>
                <w:b/>
                <w:noProof/>
                <w:sz w:val="20"/>
                <w:szCs w:val="20"/>
              </w:rPr>
            </w:pPr>
            <w:r>
              <w:rPr>
                <w:b/>
                <w:noProof/>
                <w:sz w:val="20"/>
                <w:szCs w:val="20"/>
              </w:rPr>
              <w:t>644</w:t>
            </w:r>
          </w:p>
        </w:tc>
        <w:tc>
          <w:tcPr>
            <w:tcW w:w="1134" w:type="dxa"/>
            <w:shd w:val="clear" w:color="auto" w:fill="D9D9D9" w:themeFill="background1" w:themeFillShade="D9"/>
            <w:vAlign w:val="center"/>
          </w:tcPr>
          <w:p>
            <w:pPr>
              <w:jc w:val="right"/>
              <w:rPr>
                <w:b/>
                <w:noProof/>
                <w:sz w:val="20"/>
                <w:szCs w:val="20"/>
              </w:rPr>
            </w:pPr>
            <w:r>
              <w:rPr>
                <w:b/>
                <w:noProof/>
                <w:sz w:val="20"/>
                <w:szCs w:val="20"/>
              </w:rPr>
              <w:t>448 731</w:t>
            </w:r>
          </w:p>
        </w:tc>
      </w:tr>
    </w:tbl>
    <w:p>
      <w:pPr>
        <w:pStyle w:val="Text1"/>
        <w:spacing w:after="240"/>
        <w:ind w:left="0"/>
        <w:rPr>
          <w:noProof/>
          <w:sz w:val="20"/>
          <w:szCs w:val="20"/>
        </w:rPr>
      </w:pPr>
    </w:p>
    <w:p>
      <w:pPr>
        <w:pStyle w:val="Text1"/>
        <w:spacing w:after="240"/>
        <w:ind w:left="0"/>
        <w:rPr>
          <w:noProof/>
          <w:sz w:val="20"/>
          <w:szCs w:val="20"/>
        </w:rPr>
      </w:pPr>
      <w:r>
        <w:rPr>
          <w:noProof/>
          <w:sz w:val="20"/>
          <w:szCs w:val="20"/>
        </w:rPr>
        <w:t xml:space="preserve">Table 6 – </w:t>
      </w:r>
      <w:r>
        <w:rPr>
          <w:b/>
          <w:noProof/>
          <w:sz w:val="20"/>
          <w:szCs w:val="20"/>
        </w:rPr>
        <w:t>ANTI-FRAUD</w:t>
      </w:r>
      <w:r>
        <w:rPr>
          <w:noProof/>
          <w:sz w:val="20"/>
          <w:szCs w:val="20"/>
        </w:rPr>
        <w:t xml:space="preserve"> </w:t>
      </w:r>
      <w:r>
        <w:rPr>
          <w:b/>
          <w:noProof/>
          <w:sz w:val="20"/>
          <w:szCs w:val="20"/>
        </w:rPr>
        <w:t>TRAINING &amp; CONFERENCES</w:t>
      </w:r>
      <w:r>
        <w:rPr>
          <w:noProof/>
          <w:sz w:val="20"/>
          <w:szCs w:val="20"/>
        </w:rPr>
        <w:t xml:space="preserve"> grants </w:t>
      </w:r>
      <w:r>
        <w:rPr>
          <w:b/>
          <w:noProof/>
          <w:sz w:val="20"/>
          <w:szCs w:val="20"/>
        </w:rPr>
        <w:t>FINALISED</w:t>
      </w:r>
      <w:r>
        <w:rPr>
          <w:noProof/>
          <w:sz w:val="20"/>
          <w:szCs w:val="20"/>
        </w:rPr>
        <w:t xml:space="preserve"> in 2019</w:t>
      </w:r>
    </w:p>
    <w:tbl>
      <w:tblPr>
        <w:tblStyle w:val="TableGrid2"/>
        <w:tblW w:w="10031" w:type="dxa"/>
        <w:tblLook w:val="04A0" w:firstRow="1" w:lastRow="0" w:firstColumn="1" w:lastColumn="0" w:noHBand="0" w:noVBand="1"/>
      </w:tblPr>
      <w:tblGrid>
        <w:gridCol w:w="481"/>
        <w:gridCol w:w="615"/>
        <w:gridCol w:w="2273"/>
        <w:gridCol w:w="4252"/>
        <w:gridCol w:w="1441"/>
        <w:gridCol w:w="969"/>
      </w:tblGrid>
      <w:tr>
        <w:tc>
          <w:tcPr>
            <w:tcW w:w="481" w:type="dxa"/>
            <w:tcBorders>
              <w:top w:val="nil"/>
              <w:left w:val="nil"/>
            </w:tcBorders>
            <w:vAlign w:val="center"/>
          </w:tcPr>
          <w:p>
            <w:pPr>
              <w:pStyle w:val="ListNumber2"/>
              <w:numPr>
                <w:ilvl w:val="0"/>
                <w:numId w:val="50"/>
              </w:numPr>
              <w:rPr>
                <w:noProof/>
                <w:sz w:val="20"/>
                <w:szCs w:val="20"/>
                <w:lang w:val="en-GB"/>
              </w:rPr>
            </w:pPr>
          </w:p>
        </w:tc>
        <w:tc>
          <w:tcPr>
            <w:tcW w:w="615" w:type="dxa"/>
            <w:shd w:val="clear" w:color="auto" w:fill="D9D9D9" w:themeFill="background1" w:themeFillShade="D9"/>
            <w:vAlign w:val="center"/>
          </w:tcPr>
          <w:p>
            <w:pPr>
              <w:jc w:val="center"/>
              <w:rPr>
                <w:noProof/>
                <w:sz w:val="20"/>
                <w:szCs w:val="20"/>
                <w:lang w:val="en-GB"/>
              </w:rPr>
            </w:pPr>
            <w:r>
              <w:rPr>
                <w:noProof/>
                <w:sz w:val="20"/>
                <w:szCs w:val="20"/>
                <w:lang w:val="en-GB"/>
              </w:rPr>
              <w:t>MS</w:t>
            </w:r>
          </w:p>
        </w:tc>
        <w:tc>
          <w:tcPr>
            <w:tcW w:w="2273" w:type="dxa"/>
            <w:shd w:val="clear" w:color="auto" w:fill="D9D9D9" w:themeFill="background1" w:themeFillShade="D9"/>
            <w:vAlign w:val="center"/>
          </w:tcPr>
          <w:p>
            <w:pPr>
              <w:jc w:val="center"/>
              <w:rPr>
                <w:noProof/>
                <w:sz w:val="20"/>
                <w:szCs w:val="20"/>
                <w:lang w:val="en-GB"/>
              </w:rPr>
            </w:pPr>
            <w:r>
              <w:rPr>
                <w:noProof/>
                <w:sz w:val="20"/>
                <w:szCs w:val="20"/>
                <w:lang w:val="en-GB"/>
              </w:rPr>
              <w:t>Beneficiary</w:t>
            </w:r>
          </w:p>
        </w:tc>
        <w:tc>
          <w:tcPr>
            <w:tcW w:w="4252" w:type="dxa"/>
            <w:shd w:val="clear" w:color="auto" w:fill="D9D9D9" w:themeFill="background1" w:themeFillShade="D9"/>
            <w:vAlign w:val="center"/>
          </w:tcPr>
          <w:p>
            <w:pPr>
              <w:jc w:val="center"/>
              <w:rPr>
                <w:noProof/>
                <w:sz w:val="20"/>
                <w:szCs w:val="20"/>
                <w:lang w:val="en-GB"/>
              </w:rPr>
            </w:pPr>
            <w:r>
              <w:rPr>
                <w:noProof/>
                <w:sz w:val="20"/>
                <w:szCs w:val="20"/>
                <w:lang w:val="en-GB"/>
              </w:rPr>
              <w:t>Title</w:t>
            </w:r>
          </w:p>
        </w:tc>
        <w:tc>
          <w:tcPr>
            <w:tcW w:w="1441" w:type="dxa"/>
            <w:shd w:val="clear" w:color="auto" w:fill="D9D9D9" w:themeFill="background1" w:themeFillShade="D9"/>
            <w:vAlign w:val="center"/>
          </w:tcPr>
          <w:p>
            <w:pPr>
              <w:jc w:val="center"/>
              <w:rPr>
                <w:noProof/>
                <w:sz w:val="20"/>
                <w:szCs w:val="20"/>
                <w:lang w:val="en-GB"/>
              </w:rPr>
            </w:pPr>
            <w:r>
              <w:rPr>
                <w:noProof/>
                <w:sz w:val="20"/>
                <w:szCs w:val="20"/>
                <w:lang w:val="en-GB"/>
              </w:rPr>
              <w:t>Amount paid (EUR)</w:t>
            </w:r>
          </w:p>
        </w:tc>
        <w:tc>
          <w:tcPr>
            <w:tcW w:w="969" w:type="dxa"/>
            <w:shd w:val="clear" w:color="auto" w:fill="D9D9D9" w:themeFill="background1" w:themeFillShade="D9"/>
            <w:vAlign w:val="center"/>
          </w:tcPr>
          <w:p>
            <w:pPr>
              <w:jc w:val="center"/>
              <w:rPr>
                <w:noProof/>
                <w:sz w:val="20"/>
                <w:szCs w:val="20"/>
                <w:lang w:val="en-GB"/>
              </w:rPr>
            </w:pPr>
            <w:r>
              <w:rPr>
                <w:bCs/>
                <w:noProof/>
                <w:sz w:val="20"/>
                <w:szCs w:val="20"/>
                <w:lang w:val="en-GB"/>
              </w:rPr>
              <w:t>Amount paid as % to initial commit-ment</w:t>
            </w:r>
            <w:r>
              <w:rPr>
                <w:bCs/>
                <w:noProof/>
                <w:sz w:val="20"/>
                <w:szCs w:val="20"/>
                <w:vertAlign w:val="superscript"/>
                <w:lang w:val="en-GB"/>
              </w:rPr>
              <w:footnoteReference w:id="32"/>
            </w:r>
          </w:p>
        </w:tc>
      </w:tr>
      <w:tr>
        <w:tc>
          <w:tcPr>
            <w:tcW w:w="481" w:type="dxa"/>
            <w:tcBorders>
              <w:bottom w:val="single" w:sz="4" w:space="0" w:color="auto"/>
            </w:tcBorders>
            <w:shd w:val="clear" w:color="auto" w:fill="auto"/>
            <w:vAlign w:val="center"/>
          </w:tcPr>
          <w:p>
            <w:pPr>
              <w:jc w:val="center"/>
              <w:rPr>
                <w:noProof/>
                <w:sz w:val="20"/>
                <w:szCs w:val="20"/>
                <w:lang w:val="en-GB"/>
              </w:rPr>
            </w:pPr>
            <w:r>
              <w:rPr>
                <w:noProof/>
                <w:sz w:val="20"/>
                <w:szCs w:val="20"/>
                <w:lang w:val="en-GB"/>
              </w:rPr>
              <w:t>1</w:t>
            </w:r>
          </w:p>
        </w:tc>
        <w:tc>
          <w:tcPr>
            <w:tcW w:w="615" w:type="dxa"/>
            <w:tcBorders>
              <w:bottom w:val="single" w:sz="4" w:space="0" w:color="auto"/>
            </w:tcBorders>
            <w:shd w:val="clear" w:color="auto" w:fill="auto"/>
            <w:vAlign w:val="center"/>
          </w:tcPr>
          <w:p>
            <w:pPr>
              <w:jc w:val="center"/>
              <w:rPr>
                <w:noProof/>
                <w:sz w:val="20"/>
                <w:szCs w:val="20"/>
                <w:lang w:val="en-GB"/>
              </w:rPr>
            </w:pPr>
            <w:r>
              <w:rPr>
                <w:noProof/>
                <w:sz w:val="20"/>
                <w:szCs w:val="20"/>
                <w:lang w:val="en-GB"/>
              </w:rPr>
              <w:t>CZ</w:t>
            </w:r>
          </w:p>
        </w:tc>
        <w:tc>
          <w:tcPr>
            <w:tcW w:w="2273" w:type="dxa"/>
            <w:tcBorders>
              <w:bottom w:val="single" w:sz="4" w:space="0" w:color="auto"/>
            </w:tcBorders>
            <w:shd w:val="clear" w:color="auto" w:fill="auto"/>
            <w:vAlign w:val="center"/>
          </w:tcPr>
          <w:p>
            <w:pPr>
              <w:rPr>
                <w:noProof/>
                <w:sz w:val="20"/>
                <w:szCs w:val="20"/>
                <w:lang w:val="en-GB"/>
              </w:rPr>
            </w:pPr>
            <w:r>
              <w:rPr>
                <w:noProof/>
                <w:sz w:val="20"/>
                <w:szCs w:val="20"/>
                <w:lang w:val="en-GB"/>
              </w:rPr>
              <w:t xml:space="preserve">Transparency International - </w:t>
            </w:r>
            <w:r>
              <w:rPr>
                <w:noProof/>
                <w:color w:val="222222"/>
                <w:sz w:val="20"/>
                <w:szCs w:val="20"/>
                <w:lang w:val="en-GB" w:eastAsia="en-GB"/>
              </w:rPr>
              <w:t>Czech Republic</w:t>
            </w:r>
          </w:p>
        </w:tc>
        <w:tc>
          <w:tcPr>
            <w:tcW w:w="4252" w:type="dxa"/>
            <w:tcBorders>
              <w:bottom w:val="single" w:sz="4" w:space="0" w:color="auto"/>
            </w:tcBorders>
            <w:shd w:val="clear" w:color="auto" w:fill="auto"/>
            <w:vAlign w:val="center"/>
          </w:tcPr>
          <w:p>
            <w:pPr>
              <w:rPr>
                <w:noProof/>
                <w:sz w:val="20"/>
                <w:szCs w:val="20"/>
                <w:lang w:val="en-GB"/>
              </w:rPr>
            </w:pPr>
            <w:r>
              <w:rPr>
                <w:noProof/>
                <w:sz w:val="20"/>
                <w:szCs w:val="20"/>
                <w:lang w:val="en-GB"/>
              </w:rPr>
              <w:t>Clean contraction in the European Funds</w:t>
            </w:r>
          </w:p>
        </w:tc>
        <w:tc>
          <w:tcPr>
            <w:tcW w:w="1441" w:type="dxa"/>
            <w:tcBorders>
              <w:bottom w:val="single" w:sz="4" w:space="0" w:color="auto"/>
            </w:tcBorders>
            <w:shd w:val="clear" w:color="auto" w:fill="auto"/>
            <w:vAlign w:val="center"/>
          </w:tcPr>
          <w:p>
            <w:pPr>
              <w:jc w:val="right"/>
              <w:rPr>
                <w:noProof/>
                <w:sz w:val="20"/>
                <w:szCs w:val="20"/>
                <w:lang w:val="en-GB"/>
              </w:rPr>
            </w:pPr>
            <w:r>
              <w:rPr>
                <w:noProof/>
                <w:sz w:val="20"/>
                <w:szCs w:val="20"/>
                <w:lang w:val="en-GB"/>
              </w:rPr>
              <w:t xml:space="preserve">32 129 </w:t>
            </w:r>
          </w:p>
        </w:tc>
        <w:tc>
          <w:tcPr>
            <w:tcW w:w="969" w:type="dxa"/>
            <w:tcBorders>
              <w:bottom w:val="single" w:sz="4" w:space="0" w:color="auto"/>
            </w:tcBorders>
            <w:shd w:val="clear" w:color="auto" w:fill="auto"/>
            <w:vAlign w:val="center"/>
          </w:tcPr>
          <w:p>
            <w:pPr>
              <w:jc w:val="center"/>
              <w:rPr>
                <w:noProof/>
                <w:sz w:val="20"/>
                <w:szCs w:val="20"/>
                <w:lang w:val="en-GB"/>
              </w:rPr>
            </w:pPr>
            <w:r>
              <w:rPr>
                <w:noProof/>
                <w:sz w:val="20"/>
                <w:szCs w:val="20"/>
                <w:lang w:val="en-GB"/>
              </w:rPr>
              <w:t>72</w:t>
            </w:r>
          </w:p>
        </w:tc>
      </w:tr>
      <w:tr>
        <w:trPr>
          <w:trHeight w:val="1101"/>
        </w:trPr>
        <w:tc>
          <w:tcPr>
            <w:tcW w:w="481" w:type="dxa"/>
            <w:tcBorders>
              <w:bottom w:val="single" w:sz="4" w:space="0" w:color="auto"/>
            </w:tcBorders>
            <w:shd w:val="clear" w:color="auto" w:fill="EEECE1" w:themeFill="background2"/>
            <w:vAlign w:val="center"/>
          </w:tcPr>
          <w:p>
            <w:pPr>
              <w:jc w:val="center"/>
              <w:rPr>
                <w:noProof/>
                <w:sz w:val="20"/>
                <w:szCs w:val="20"/>
                <w:lang w:val="en-GB"/>
              </w:rPr>
            </w:pPr>
            <w:r>
              <w:rPr>
                <w:noProof/>
                <w:sz w:val="20"/>
                <w:szCs w:val="20"/>
                <w:lang w:val="en-GB"/>
              </w:rPr>
              <w:t>2</w:t>
            </w:r>
          </w:p>
        </w:tc>
        <w:tc>
          <w:tcPr>
            <w:tcW w:w="615" w:type="dxa"/>
            <w:tcBorders>
              <w:bottom w:val="single" w:sz="4" w:space="0" w:color="auto"/>
            </w:tcBorders>
            <w:shd w:val="clear" w:color="auto" w:fill="EEECE1" w:themeFill="background2"/>
            <w:vAlign w:val="center"/>
          </w:tcPr>
          <w:p>
            <w:pPr>
              <w:jc w:val="center"/>
              <w:rPr>
                <w:noProof/>
                <w:sz w:val="20"/>
                <w:szCs w:val="20"/>
                <w:lang w:val="en-GB"/>
              </w:rPr>
            </w:pPr>
            <w:r>
              <w:rPr>
                <w:noProof/>
                <w:sz w:val="20"/>
                <w:szCs w:val="20"/>
                <w:lang w:val="en-GB"/>
              </w:rPr>
              <w:t>HR</w:t>
            </w:r>
          </w:p>
        </w:tc>
        <w:tc>
          <w:tcPr>
            <w:tcW w:w="2273" w:type="dxa"/>
            <w:tcBorders>
              <w:bottom w:val="single" w:sz="4" w:space="0" w:color="auto"/>
            </w:tcBorders>
            <w:shd w:val="clear" w:color="auto" w:fill="EEECE1" w:themeFill="background2"/>
            <w:vAlign w:val="center"/>
          </w:tcPr>
          <w:p>
            <w:pPr>
              <w:rPr>
                <w:noProof/>
                <w:sz w:val="20"/>
                <w:szCs w:val="20"/>
                <w:lang w:val="en-GB"/>
              </w:rPr>
            </w:pPr>
            <w:r>
              <w:rPr>
                <w:noProof/>
                <w:color w:val="222222"/>
                <w:sz w:val="20"/>
                <w:szCs w:val="20"/>
                <w:lang w:val="en-GB" w:eastAsia="en-GB"/>
              </w:rPr>
              <w:t>Ministry of Finance</w:t>
            </w:r>
          </w:p>
        </w:tc>
        <w:tc>
          <w:tcPr>
            <w:tcW w:w="4252" w:type="dxa"/>
            <w:tcBorders>
              <w:bottom w:val="single" w:sz="4" w:space="0" w:color="auto"/>
            </w:tcBorders>
            <w:shd w:val="clear" w:color="auto" w:fill="EEECE1" w:themeFill="background2"/>
            <w:vAlign w:val="center"/>
          </w:tcPr>
          <w:p>
            <w:pPr>
              <w:rPr>
                <w:noProof/>
                <w:sz w:val="20"/>
                <w:szCs w:val="20"/>
                <w:lang w:val="en-GB"/>
              </w:rPr>
            </w:pPr>
            <w:r>
              <w:rPr>
                <w:noProof/>
                <w:sz w:val="20"/>
                <w:szCs w:val="20"/>
                <w:lang w:val="en-GB"/>
              </w:rPr>
              <w:t>Further strengthening of the competent institutions in the area of managing on irregularities with the aim of protection of EU financial interests</w:t>
            </w:r>
          </w:p>
        </w:tc>
        <w:tc>
          <w:tcPr>
            <w:tcW w:w="1441" w:type="dxa"/>
            <w:tcBorders>
              <w:bottom w:val="single" w:sz="4" w:space="0" w:color="auto"/>
            </w:tcBorders>
            <w:shd w:val="clear" w:color="auto" w:fill="EEECE1" w:themeFill="background2"/>
            <w:vAlign w:val="center"/>
          </w:tcPr>
          <w:p>
            <w:pPr>
              <w:jc w:val="right"/>
              <w:rPr>
                <w:noProof/>
                <w:sz w:val="20"/>
                <w:szCs w:val="20"/>
                <w:lang w:val="en-GB"/>
              </w:rPr>
            </w:pPr>
            <w:r>
              <w:rPr>
                <w:noProof/>
                <w:sz w:val="20"/>
                <w:szCs w:val="20"/>
                <w:lang w:val="en-GB"/>
              </w:rPr>
              <w:t xml:space="preserve">47 201 </w:t>
            </w:r>
          </w:p>
        </w:tc>
        <w:tc>
          <w:tcPr>
            <w:tcW w:w="969" w:type="dxa"/>
            <w:tcBorders>
              <w:bottom w:val="single" w:sz="4" w:space="0" w:color="auto"/>
            </w:tcBorders>
            <w:shd w:val="clear" w:color="auto" w:fill="EEECE1" w:themeFill="background2"/>
            <w:vAlign w:val="center"/>
          </w:tcPr>
          <w:p>
            <w:pPr>
              <w:jc w:val="center"/>
              <w:rPr>
                <w:noProof/>
                <w:sz w:val="20"/>
                <w:szCs w:val="20"/>
                <w:lang w:val="en-GB"/>
              </w:rPr>
            </w:pPr>
            <w:r>
              <w:rPr>
                <w:noProof/>
                <w:sz w:val="20"/>
                <w:szCs w:val="20"/>
                <w:lang w:val="en-GB"/>
              </w:rPr>
              <w:t>71</w:t>
            </w:r>
          </w:p>
        </w:tc>
      </w:tr>
      <w:tr>
        <w:tc>
          <w:tcPr>
            <w:tcW w:w="481" w:type="dxa"/>
            <w:shd w:val="clear" w:color="auto" w:fill="auto"/>
            <w:vAlign w:val="center"/>
          </w:tcPr>
          <w:p>
            <w:pPr>
              <w:jc w:val="center"/>
              <w:rPr>
                <w:noProof/>
                <w:sz w:val="20"/>
                <w:szCs w:val="20"/>
                <w:lang w:val="en-GB"/>
              </w:rPr>
            </w:pPr>
            <w:r>
              <w:rPr>
                <w:noProof/>
                <w:sz w:val="20"/>
                <w:szCs w:val="20"/>
                <w:lang w:val="en-GB"/>
              </w:rPr>
              <w:t>3</w:t>
            </w:r>
          </w:p>
        </w:tc>
        <w:tc>
          <w:tcPr>
            <w:tcW w:w="615" w:type="dxa"/>
            <w:shd w:val="clear" w:color="auto" w:fill="auto"/>
            <w:vAlign w:val="center"/>
          </w:tcPr>
          <w:p>
            <w:pPr>
              <w:jc w:val="center"/>
              <w:rPr>
                <w:noProof/>
                <w:sz w:val="20"/>
                <w:szCs w:val="20"/>
                <w:lang w:val="en-GB"/>
              </w:rPr>
            </w:pPr>
            <w:r>
              <w:rPr>
                <w:noProof/>
                <w:sz w:val="20"/>
                <w:szCs w:val="20"/>
                <w:lang w:val="en-GB"/>
              </w:rPr>
              <w:t>IT</w:t>
            </w:r>
          </w:p>
        </w:tc>
        <w:tc>
          <w:tcPr>
            <w:tcW w:w="2273" w:type="dxa"/>
            <w:shd w:val="clear" w:color="auto" w:fill="auto"/>
            <w:vAlign w:val="center"/>
          </w:tcPr>
          <w:p>
            <w:pPr>
              <w:rPr>
                <w:noProof/>
                <w:sz w:val="20"/>
                <w:szCs w:val="20"/>
                <w:lang w:val="en-GB"/>
              </w:rPr>
            </w:pPr>
            <w:r>
              <w:rPr>
                <w:noProof/>
                <w:color w:val="333333"/>
                <w:sz w:val="20"/>
                <w:szCs w:val="20"/>
                <w:lang w:val="en-GB" w:eastAsia="en-GB"/>
              </w:rPr>
              <w:t>Ministry of Economy and Finance/</w:t>
            </w:r>
            <w:r>
              <w:rPr>
                <w:noProof/>
                <w:sz w:val="20"/>
                <w:szCs w:val="20"/>
                <w:lang w:val="en-GB" w:eastAsia="en-GB"/>
              </w:rPr>
              <w:t>Guardia di Finanza/</w:t>
            </w:r>
            <w:r>
              <w:rPr>
                <w:noProof/>
                <w:color w:val="333333"/>
                <w:sz w:val="20"/>
                <w:szCs w:val="20"/>
                <w:lang w:val="en-GB" w:eastAsia="en-GB"/>
              </w:rPr>
              <w:t>Italian AFCOS</w:t>
            </w:r>
          </w:p>
        </w:tc>
        <w:tc>
          <w:tcPr>
            <w:tcW w:w="4252" w:type="dxa"/>
            <w:shd w:val="clear" w:color="auto" w:fill="auto"/>
            <w:vAlign w:val="center"/>
          </w:tcPr>
          <w:p>
            <w:pPr>
              <w:rPr>
                <w:noProof/>
                <w:sz w:val="20"/>
                <w:szCs w:val="20"/>
                <w:lang w:val="en-GB"/>
              </w:rPr>
            </w:pPr>
            <w:r>
              <w:rPr>
                <w:noProof/>
                <w:sz w:val="20"/>
                <w:szCs w:val="20"/>
                <w:lang w:val="en-GB"/>
              </w:rPr>
              <w:t>Cooperation Project 2</w:t>
            </w:r>
          </w:p>
        </w:tc>
        <w:tc>
          <w:tcPr>
            <w:tcW w:w="1441" w:type="dxa"/>
            <w:shd w:val="clear" w:color="auto" w:fill="auto"/>
            <w:vAlign w:val="center"/>
          </w:tcPr>
          <w:p>
            <w:pPr>
              <w:jc w:val="right"/>
              <w:rPr>
                <w:noProof/>
                <w:sz w:val="20"/>
                <w:szCs w:val="20"/>
                <w:lang w:val="en-GB"/>
              </w:rPr>
            </w:pPr>
            <w:r>
              <w:rPr>
                <w:noProof/>
                <w:sz w:val="20"/>
                <w:szCs w:val="20"/>
                <w:lang w:val="en-GB"/>
              </w:rPr>
              <w:t>80 943</w:t>
            </w:r>
          </w:p>
        </w:tc>
        <w:tc>
          <w:tcPr>
            <w:tcW w:w="969" w:type="dxa"/>
            <w:shd w:val="clear" w:color="auto" w:fill="auto"/>
            <w:vAlign w:val="center"/>
          </w:tcPr>
          <w:p>
            <w:pPr>
              <w:jc w:val="center"/>
              <w:rPr>
                <w:noProof/>
                <w:sz w:val="20"/>
                <w:szCs w:val="20"/>
                <w:lang w:val="en-GB"/>
              </w:rPr>
            </w:pPr>
            <w:r>
              <w:rPr>
                <w:noProof/>
                <w:sz w:val="20"/>
                <w:szCs w:val="20"/>
                <w:lang w:val="en-GB"/>
              </w:rPr>
              <w:t>84</w:t>
            </w:r>
          </w:p>
        </w:tc>
      </w:tr>
      <w:tr>
        <w:trPr>
          <w:trHeight w:val="558"/>
        </w:trPr>
        <w:tc>
          <w:tcPr>
            <w:tcW w:w="481" w:type="dxa"/>
            <w:tcBorders>
              <w:bottom w:val="single" w:sz="4" w:space="0" w:color="auto"/>
            </w:tcBorders>
            <w:shd w:val="clear" w:color="auto" w:fill="EEECE1" w:themeFill="background2"/>
            <w:vAlign w:val="center"/>
          </w:tcPr>
          <w:p>
            <w:pPr>
              <w:jc w:val="center"/>
              <w:rPr>
                <w:noProof/>
                <w:sz w:val="20"/>
                <w:szCs w:val="20"/>
                <w:lang w:val="en-GB"/>
              </w:rPr>
            </w:pPr>
            <w:r>
              <w:rPr>
                <w:noProof/>
                <w:sz w:val="20"/>
                <w:szCs w:val="20"/>
                <w:lang w:val="en-GB"/>
              </w:rPr>
              <w:t>4</w:t>
            </w:r>
          </w:p>
        </w:tc>
        <w:tc>
          <w:tcPr>
            <w:tcW w:w="615" w:type="dxa"/>
            <w:tcBorders>
              <w:bottom w:val="single" w:sz="4" w:space="0" w:color="auto"/>
            </w:tcBorders>
            <w:shd w:val="clear" w:color="auto" w:fill="EEECE1" w:themeFill="background2"/>
            <w:vAlign w:val="center"/>
          </w:tcPr>
          <w:p>
            <w:pPr>
              <w:jc w:val="center"/>
              <w:rPr>
                <w:noProof/>
                <w:sz w:val="20"/>
                <w:szCs w:val="20"/>
                <w:lang w:val="en-GB"/>
              </w:rPr>
            </w:pPr>
            <w:r>
              <w:rPr>
                <w:noProof/>
                <w:sz w:val="20"/>
                <w:szCs w:val="20"/>
                <w:lang w:val="en-GB"/>
              </w:rPr>
              <w:t>IT</w:t>
            </w:r>
          </w:p>
        </w:tc>
        <w:tc>
          <w:tcPr>
            <w:tcW w:w="2273" w:type="dxa"/>
            <w:tcBorders>
              <w:bottom w:val="single" w:sz="4" w:space="0" w:color="auto"/>
            </w:tcBorders>
            <w:shd w:val="clear" w:color="auto" w:fill="EEECE1" w:themeFill="background2"/>
            <w:vAlign w:val="center"/>
          </w:tcPr>
          <w:p>
            <w:pPr>
              <w:rPr>
                <w:noProof/>
                <w:sz w:val="20"/>
                <w:szCs w:val="20"/>
                <w:lang w:val="it-IT"/>
              </w:rPr>
            </w:pPr>
            <w:r>
              <w:rPr>
                <w:noProof/>
                <w:color w:val="222222"/>
                <w:sz w:val="20"/>
                <w:szCs w:val="20"/>
                <w:lang w:val="it-IT" w:eastAsia="en-GB"/>
              </w:rPr>
              <w:t>Foundation Lelio E Lisli Basso</w:t>
            </w:r>
          </w:p>
        </w:tc>
        <w:tc>
          <w:tcPr>
            <w:tcW w:w="4252" w:type="dxa"/>
            <w:tcBorders>
              <w:bottom w:val="single" w:sz="4" w:space="0" w:color="auto"/>
            </w:tcBorders>
            <w:shd w:val="clear" w:color="auto" w:fill="EEECE1" w:themeFill="background2"/>
            <w:vAlign w:val="center"/>
          </w:tcPr>
          <w:p>
            <w:pPr>
              <w:rPr>
                <w:noProof/>
                <w:sz w:val="20"/>
                <w:szCs w:val="20"/>
                <w:lang w:val="en-GB"/>
              </w:rPr>
            </w:pPr>
            <w:r>
              <w:rPr>
                <w:noProof/>
                <w:sz w:val="20"/>
                <w:szCs w:val="20"/>
                <w:lang w:val="en-GB"/>
              </w:rPr>
              <w:t>International Conference on Enhanced Cooperation for the Establishment of the EPPO.</w:t>
            </w:r>
          </w:p>
        </w:tc>
        <w:tc>
          <w:tcPr>
            <w:tcW w:w="1441" w:type="dxa"/>
            <w:tcBorders>
              <w:bottom w:val="single" w:sz="4" w:space="0" w:color="auto"/>
            </w:tcBorders>
            <w:shd w:val="clear" w:color="auto" w:fill="EEECE1" w:themeFill="background2"/>
            <w:vAlign w:val="center"/>
          </w:tcPr>
          <w:p>
            <w:pPr>
              <w:jc w:val="right"/>
              <w:rPr>
                <w:noProof/>
                <w:sz w:val="20"/>
                <w:szCs w:val="20"/>
                <w:lang w:val="en-GB"/>
              </w:rPr>
            </w:pPr>
            <w:r>
              <w:rPr>
                <w:noProof/>
                <w:sz w:val="20"/>
                <w:szCs w:val="20"/>
                <w:lang w:val="en-GB"/>
              </w:rPr>
              <w:t>56 607</w:t>
            </w:r>
          </w:p>
        </w:tc>
        <w:tc>
          <w:tcPr>
            <w:tcW w:w="969" w:type="dxa"/>
            <w:tcBorders>
              <w:bottom w:val="single" w:sz="4" w:space="0" w:color="auto"/>
            </w:tcBorders>
            <w:shd w:val="clear" w:color="auto" w:fill="EEECE1" w:themeFill="background2"/>
            <w:vAlign w:val="center"/>
          </w:tcPr>
          <w:p>
            <w:pPr>
              <w:jc w:val="center"/>
              <w:rPr>
                <w:noProof/>
                <w:sz w:val="20"/>
                <w:szCs w:val="20"/>
                <w:lang w:val="en-GB"/>
              </w:rPr>
            </w:pPr>
            <w:r>
              <w:rPr>
                <w:noProof/>
                <w:sz w:val="20"/>
                <w:szCs w:val="20"/>
                <w:lang w:val="en-GB"/>
              </w:rPr>
              <w:t>87</w:t>
            </w:r>
          </w:p>
        </w:tc>
      </w:tr>
      <w:tr>
        <w:trPr>
          <w:trHeight w:val="1081"/>
        </w:trPr>
        <w:tc>
          <w:tcPr>
            <w:tcW w:w="481" w:type="dxa"/>
            <w:shd w:val="clear" w:color="auto" w:fill="auto"/>
            <w:vAlign w:val="center"/>
          </w:tcPr>
          <w:p>
            <w:pPr>
              <w:jc w:val="center"/>
              <w:rPr>
                <w:noProof/>
                <w:sz w:val="20"/>
                <w:szCs w:val="20"/>
                <w:lang w:val="en-GB"/>
              </w:rPr>
            </w:pPr>
            <w:r>
              <w:rPr>
                <w:noProof/>
                <w:sz w:val="20"/>
                <w:szCs w:val="20"/>
                <w:lang w:val="en-GB"/>
              </w:rPr>
              <w:t>5</w:t>
            </w:r>
          </w:p>
        </w:tc>
        <w:tc>
          <w:tcPr>
            <w:tcW w:w="615" w:type="dxa"/>
            <w:shd w:val="clear" w:color="auto" w:fill="auto"/>
            <w:vAlign w:val="center"/>
          </w:tcPr>
          <w:p>
            <w:pPr>
              <w:jc w:val="center"/>
              <w:rPr>
                <w:noProof/>
                <w:sz w:val="20"/>
                <w:szCs w:val="20"/>
                <w:lang w:val="en-GB"/>
              </w:rPr>
            </w:pPr>
            <w:r>
              <w:rPr>
                <w:noProof/>
                <w:sz w:val="20"/>
                <w:szCs w:val="20"/>
                <w:lang w:val="en-GB"/>
              </w:rPr>
              <w:t>IT</w:t>
            </w:r>
          </w:p>
        </w:tc>
        <w:tc>
          <w:tcPr>
            <w:tcW w:w="2273" w:type="dxa"/>
            <w:shd w:val="clear" w:color="auto" w:fill="auto"/>
            <w:vAlign w:val="center"/>
          </w:tcPr>
          <w:p>
            <w:pPr>
              <w:rPr>
                <w:noProof/>
                <w:sz w:val="20"/>
                <w:szCs w:val="20"/>
                <w:lang w:val="en-GB"/>
              </w:rPr>
            </w:pPr>
            <w:r>
              <w:rPr>
                <w:noProof/>
                <w:color w:val="222222"/>
                <w:sz w:val="20"/>
                <w:szCs w:val="20"/>
                <w:lang w:val="en-GB" w:eastAsia="en-GB"/>
              </w:rPr>
              <w:t>European Institute For Socio-Economic Development Association</w:t>
            </w:r>
          </w:p>
        </w:tc>
        <w:tc>
          <w:tcPr>
            <w:tcW w:w="4252" w:type="dxa"/>
            <w:shd w:val="clear" w:color="auto" w:fill="auto"/>
            <w:vAlign w:val="center"/>
          </w:tcPr>
          <w:p>
            <w:pPr>
              <w:rPr>
                <w:noProof/>
                <w:sz w:val="20"/>
                <w:szCs w:val="20"/>
                <w:lang w:val="en-GB"/>
              </w:rPr>
            </w:pPr>
            <w:r>
              <w:rPr>
                <w:noProof/>
                <w:sz w:val="20"/>
                <w:szCs w:val="20"/>
                <w:lang w:val="en-GB"/>
              </w:rPr>
              <w:t>EU Funded actions: detecting, handling, and learning how to prevent frauds and irregularities in international cooperation and development projects (IPA and ENI)</w:t>
            </w:r>
          </w:p>
        </w:tc>
        <w:tc>
          <w:tcPr>
            <w:tcW w:w="1441" w:type="dxa"/>
            <w:shd w:val="clear" w:color="auto" w:fill="auto"/>
            <w:vAlign w:val="center"/>
          </w:tcPr>
          <w:p>
            <w:pPr>
              <w:jc w:val="right"/>
              <w:rPr>
                <w:noProof/>
                <w:sz w:val="20"/>
                <w:szCs w:val="20"/>
                <w:lang w:val="en-GB"/>
              </w:rPr>
            </w:pPr>
            <w:r>
              <w:rPr>
                <w:noProof/>
                <w:sz w:val="20"/>
                <w:szCs w:val="20"/>
                <w:lang w:val="en-GB"/>
              </w:rPr>
              <w:t>78 778</w:t>
            </w:r>
          </w:p>
        </w:tc>
        <w:tc>
          <w:tcPr>
            <w:tcW w:w="969" w:type="dxa"/>
            <w:shd w:val="clear" w:color="auto" w:fill="auto"/>
            <w:vAlign w:val="center"/>
          </w:tcPr>
          <w:p>
            <w:pPr>
              <w:jc w:val="center"/>
              <w:rPr>
                <w:noProof/>
                <w:sz w:val="20"/>
                <w:szCs w:val="20"/>
                <w:lang w:val="en-GB"/>
              </w:rPr>
            </w:pPr>
            <w:r>
              <w:rPr>
                <w:noProof/>
                <w:sz w:val="20"/>
                <w:szCs w:val="20"/>
                <w:lang w:val="en-GB"/>
              </w:rPr>
              <w:t>86</w:t>
            </w:r>
          </w:p>
        </w:tc>
      </w:tr>
      <w:tr>
        <w:trPr>
          <w:trHeight w:val="551"/>
        </w:trPr>
        <w:tc>
          <w:tcPr>
            <w:tcW w:w="481" w:type="dxa"/>
            <w:tcBorders>
              <w:bottom w:val="single" w:sz="4" w:space="0" w:color="auto"/>
            </w:tcBorders>
            <w:shd w:val="clear" w:color="auto" w:fill="EEECE1" w:themeFill="background2"/>
            <w:vAlign w:val="center"/>
          </w:tcPr>
          <w:p>
            <w:pPr>
              <w:jc w:val="center"/>
              <w:rPr>
                <w:noProof/>
                <w:sz w:val="20"/>
                <w:szCs w:val="20"/>
                <w:lang w:val="en-GB"/>
              </w:rPr>
            </w:pPr>
            <w:r>
              <w:rPr>
                <w:noProof/>
                <w:sz w:val="20"/>
                <w:szCs w:val="20"/>
                <w:lang w:val="en-GB"/>
              </w:rPr>
              <w:t>6</w:t>
            </w:r>
          </w:p>
        </w:tc>
        <w:tc>
          <w:tcPr>
            <w:tcW w:w="615" w:type="dxa"/>
            <w:tcBorders>
              <w:bottom w:val="single" w:sz="4" w:space="0" w:color="auto"/>
            </w:tcBorders>
            <w:shd w:val="clear" w:color="auto" w:fill="EEECE1" w:themeFill="background2"/>
            <w:vAlign w:val="center"/>
          </w:tcPr>
          <w:p>
            <w:pPr>
              <w:jc w:val="center"/>
              <w:rPr>
                <w:noProof/>
                <w:sz w:val="20"/>
                <w:szCs w:val="20"/>
                <w:lang w:val="en-GB"/>
              </w:rPr>
            </w:pPr>
            <w:r>
              <w:rPr>
                <w:noProof/>
                <w:sz w:val="20"/>
                <w:szCs w:val="20"/>
                <w:lang w:val="en-GB"/>
              </w:rPr>
              <w:t>IT</w:t>
            </w:r>
          </w:p>
        </w:tc>
        <w:tc>
          <w:tcPr>
            <w:tcW w:w="2273" w:type="dxa"/>
            <w:tcBorders>
              <w:bottom w:val="single" w:sz="4" w:space="0" w:color="auto"/>
            </w:tcBorders>
            <w:shd w:val="clear" w:color="auto" w:fill="EEECE1" w:themeFill="background2"/>
            <w:vAlign w:val="center"/>
          </w:tcPr>
          <w:p>
            <w:pPr>
              <w:rPr>
                <w:noProof/>
                <w:sz w:val="20"/>
                <w:szCs w:val="20"/>
                <w:lang w:val="en-GB"/>
              </w:rPr>
            </w:pPr>
            <w:r>
              <w:rPr>
                <w:noProof/>
                <w:color w:val="222222"/>
                <w:sz w:val="20"/>
                <w:szCs w:val="20"/>
                <w:lang w:val="en-GB" w:eastAsia="en-GB"/>
              </w:rPr>
              <w:t>Veneto Agency For Agricultural Payments</w:t>
            </w:r>
          </w:p>
        </w:tc>
        <w:tc>
          <w:tcPr>
            <w:tcW w:w="4252" w:type="dxa"/>
            <w:tcBorders>
              <w:bottom w:val="single" w:sz="4" w:space="0" w:color="auto"/>
            </w:tcBorders>
            <w:shd w:val="clear" w:color="auto" w:fill="EEECE1" w:themeFill="background2"/>
            <w:vAlign w:val="center"/>
          </w:tcPr>
          <w:p>
            <w:pPr>
              <w:rPr>
                <w:noProof/>
                <w:sz w:val="20"/>
                <w:szCs w:val="20"/>
                <w:lang w:val="en-GB"/>
              </w:rPr>
            </w:pPr>
            <w:r>
              <w:rPr>
                <w:noProof/>
                <w:sz w:val="20"/>
                <w:szCs w:val="20"/>
                <w:lang w:val="en-GB"/>
              </w:rPr>
              <w:t>Strengthening actions to fight fraud in procurement</w:t>
            </w:r>
          </w:p>
        </w:tc>
        <w:tc>
          <w:tcPr>
            <w:tcW w:w="1441" w:type="dxa"/>
            <w:tcBorders>
              <w:bottom w:val="single" w:sz="4" w:space="0" w:color="auto"/>
            </w:tcBorders>
            <w:shd w:val="clear" w:color="auto" w:fill="EEECE1" w:themeFill="background2"/>
            <w:vAlign w:val="center"/>
          </w:tcPr>
          <w:p>
            <w:pPr>
              <w:jc w:val="right"/>
              <w:rPr>
                <w:noProof/>
                <w:sz w:val="20"/>
                <w:szCs w:val="20"/>
                <w:lang w:val="en-GB"/>
              </w:rPr>
            </w:pPr>
            <w:r>
              <w:rPr>
                <w:noProof/>
                <w:sz w:val="20"/>
                <w:szCs w:val="20"/>
                <w:lang w:val="en-GB"/>
              </w:rPr>
              <w:t>67 994</w:t>
            </w:r>
          </w:p>
        </w:tc>
        <w:tc>
          <w:tcPr>
            <w:tcW w:w="969" w:type="dxa"/>
            <w:tcBorders>
              <w:bottom w:val="single" w:sz="4" w:space="0" w:color="auto"/>
            </w:tcBorders>
            <w:shd w:val="clear" w:color="auto" w:fill="EEECE1" w:themeFill="background2"/>
            <w:vAlign w:val="center"/>
          </w:tcPr>
          <w:p>
            <w:pPr>
              <w:jc w:val="center"/>
              <w:rPr>
                <w:noProof/>
                <w:sz w:val="20"/>
                <w:szCs w:val="20"/>
                <w:lang w:val="en-GB"/>
              </w:rPr>
            </w:pPr>
            <w:r>
              <w:rPr>
                <w:noProof/>
                <w:sz w:val="20"/>
                <w:szCs w:val="20"/>
                <w:lang w:val="en-GB"/>
              </w:rPr>
              <w:t>99</w:t>
            </w:r>
          </w:p>
        </w:tc>
      </w:tr>
      <w:tr>
        <w:trPr>
          <w:trHeight w:val="559"/>
        </w:trPr>
        <w:tc>
          <w:tcPr>
            <w:tcW w:w="481" w:type="dxa"/>
            <w:shd w:val="clear" w:color="auto" w:fill="auto"/>
            <w:vAlign w:val="center"/>
          </w:tcPr>
          <w:p>
            <w:pPr>
              <w:jc w:val="center"/>
              <w:rPr>
                <w:noProof/>
                <w:sz w:val="20"/>
                <w:szCs w:val="20"/>
                <w:lang w:val="en-GB"/>
              </w:rPr>
            </w:pPr>
            <w:r>
              <w:rPr>
                <w:noProof/>
                <w:sz w:val="20"/>
                <w:szCs w:val="20"/>
                <w:lang w:val="en-GB"/>
              </w:rPr>
              <w:t>7</w:t>
            </w:r>
          </w:p>
        </w:tc>
        <w:tc>
          <w:tcPr>
            <w:tcW w:w="615" w:type="dxa"/>
            <w:shd w:val="clear" w:color="auto" w:fill="auto"/>
            <w:vAlign w:val="center"/>
          </w:tcPr>
          <w:p>
            <w:pPr>
              <w:jc w:val="center"/>
              <w:rPr>
                <w:noProof/>
                <w:sz w:val="20"/>
                <w:szCs w:val="20"/>
                <w:lang w:val="en-GB"/>
              </w:rPr>
            </w:pPr>
            <w:r>
              <w:rPr>
                <w:noProof/>
                <w:sz w:val="20"/>
                <w:szCs w:val="20"/>
                <w:lang w:val="en-GB"/>
              </w:rPr>
              <w:t>HU</w:t>
            </w:r>
          </w:p>
        </w:tc>
        <w:tc>
          <w:tcPr>
            <w:tcW w:w="2273" w:type="dxa"/>
            <w:shd w:val="clear" w:color="auto" w:fill="auto"/>
            <w:vAlign w:val="center"/>
          </w:tcPr>
          <w:p>
            <w:pPr>
              <w:rPr>
                <w:noProof/>
                <w:sz w:val="20"/>
                <w:szCs w:val="20"/>
                <w:lang w:val="en-GB"/>
              </w:rPr>
            </w:pPr>
            <w:r>
              <w:rPr>
                <w:noProof/>
                <w:color w:val="222222"/>
                <w:sz w:val="20"/>
                <w:szCs w:val="20"/>
                <w:lang w:val="en-GB" w:eastAsia="en-GB"/>
              </w:rPr>
              <w:t>National Tax and Customs</w:t>
            </w:r>
          </w:p>
        </w:tc>
        <w:tc>
          <w:tcPr>
            <w:tcW w:w="4252" w:type="dxa"/>
            <w:shd w:val="clear" w:color="auto" w:fill="auto"/>
            <w:vAlign w:val="center"/>
          </w:tcPr>
          <w:p>
            <w:pPr>
              <w:rPr>
                <w:noProof/>
                <w:sz w:val="20"/>
                <w:szCs w:val="20"/>
                <w:lang w:val="en-GB"/>
              </w:rPr>
            </w:pPr>
            <w:r>
              <w:rPr>
                <w:noProof/>
                <w:sz w:val="20"/>
                <w:szCs w:val="20"/>
                <w:lang w:val="en-GB"/>
              </w:rPr>
              <w:t>Anti-cigarette smuggling staff exchange program</w:t>
            </w:r>
          </w:p>
        </w:tc>
        <w:tc>
          <w:tcPr>
            <w:tcW w:w="1441" w:type="dxa"/>
            <w:shd w:val="clear" w:color="auto" w:fill="auto"/>
            <w:vAlign w:val="center"/>
          </w:tcPr>
          <w:p>
            <w:pPr>
              <w:jc w:val="right"/>
              <w:rPr>
                <w:noProof/>
                <w:sz w:val="20"/>
                <w:szCs w:val="20"/>
                <w:lang w:val="en-GB"/>
              </w:rPr>
            </w:pPr>
            <w:r>
              <w:rPr>
                <w:noProof/>
                <w:sz w:val="20"/>
                <w:szCs w:val="20"/>
                <w:lang w:val="en-GB"/>
              </w:rPr>
              <w:t>45 237</w:t>
            </w:r>
          </w:p>
        </w:tc>
        <w:tc>
          <w:tcPr>
            <w:tcW w:w="969" w:type="dxa"/>
            <w:shd w:val="clear" w:color="auto" w:fill="auto"/>
            <w:vAlign w:val="center"/>
          </w:tcPr>
          <w:p>
            <w:pPr>
              <w:jc w:val="center"/>
              <w:rPr>
                <w:noProof/>
                <w:sz w:val="20"/>
                <w:szCs w:val="20"/>
                <w:lang w:val="en-GB"/>
              </w:rPr>
            </w:pPr>
            <w:r>
              <w:rPr>
                <w:noProof/>
                <w:sz w:val="20"/>
                <w:szCs w:val="20"/>
                <w:lang w:val="en-GB"/>
              </w:rPr>
              <w:t>53</w:t>
            </w:r>
          </w:p>
        </w:tc>
      </w:tr>
      <w:tr>
        <w:tc>
          <w:tcPr>
            <w:tcW w:w="481" w:type="dxa"/>
            <w:shd w:val="clear" w:color="auto" w:fill="EEECE1" w:themeFill="background2"/>
            <w:vAlign w:val="center"/>
          </w:tcPr>
          <w:p>
            <w:pPr>
              <w:jc w:val="center"/>
              <w:rPr>
                <w:noProof/>
                <w:sz w:val="20"/>
                <w:szCs w:val="20"/>
                <w:lang w:val="en-GB"/>
              </w:rPr>
            </w:pPr>
            <w:r>
              <w:rPr>
                <w:noProof/>
                <w:sz w:val="20"/>
                <w:szCs w:val="20"/>
                <w:lang w:val="en-GB"/>
              </w:rPr>
              <w:t>8</w:t>
            </w:r>
          </w:p>
        </w:tc>
        <w:tc>
          <w:tcPr>
            <w:tcW w:w="615" w:type="dxa"/>
            <w:shd w:val="clear" w:color="auto" w:fill="EEECE1" w:themeFill="background2"/>
            <w:vAlign w:val="center"/>
          </w:tcPr>
          <w:p>
            <w:pPr>
              <w:jc w:val="center"/>
              <w:rPr>
                <w:noProof/>
                <w:sz w:val="20"/>
                <w:szCs w:val="20"/>
                <w:lang w:val="en-GB"/>
              </w:rPr>
            </w:pPr>
            <w:r>
              <w:rPr>
                <w:noProof/>
                <w:sz w:val="20"/>
                <w:szCs w:val="20"/>
                <w:lang w:val="en-GB"/>
              </w:rPr>
              <w:t>HU</w:t>
            </w:r>
          </w:p>
        </w:tc>
        <w:tc>
          <w:tcPr>
            <w:tcW w:w="2273" w:type="dxa"/>
            <w:shd w:val="clear" w:color="auto" w:fill="EEECE1" w:themeFill="background2"/>
            <w:vAlign w:val="center"/>
          </w:tcPr>
          <w:p>
            <w:pPr>
              <w:rPr>
                <w:noProof/>
                <w:sz w:val="20"/>
                <w:szCs w:val="20"/>
                <w:lang w:val="en-GB"/>
              </w:rPr>
            </w:pPr>
            <w:r>
              <w:rPr>
                <w:noProof/>
                <w:sz w:val="20"/>
                <w:szCs w:val="20"/>
                <w:lang w:val="en-GB"/>
              </w:rPr>
              <w:t>Transparency International - Hungary</w:t>
            </w:r>
          </w:p>
        </w:tc>
        <w:tc>
          <w:tcPr>
            <w:tcW w:w="4252" w:type="dxa"/>
            <w:shd w:val="clear" w:color="auto" w:fill="EEECE1" w:themeFill="background2"/>
            <w:vAlign w:val="center"/>
          </w:tcPr>
          <w:p>
            <w:pPr>
              <w:rPr>
                <w:noProof/>
                <w:sz w:val="20"/>
                <w:szCs w:val="20"/>
                <w:lang w:val="en-GB"/>
              </w:rPr>
            </w:pPr>
            <w:r>
              <w:rPr>
                <w:noProof/>
                <w:sz w:val="20"/>
                <w:szCs w:val="20"/>
                <w:lang w:val="en-GB"/>
              </w:rPr>
              <w:t>Exchange of expertise in identifying fraud risks to protect EU financial interests</w:t>
            </w:r>
          </w:p>
        </w:tc>
        <w:tc>
          <w:tcPr>
            <w:tcW w:w="1441" w:type="dxa"/>
            <w:shd w:val="clear" w:color="auto" w:fill="EEECE1" w:themeFill="background2"/>
            <w:vAlign w:val="center"/>
          </w:tcPr>
          <w:p>
            <w:pPr>
              <w:jc w:val="right"/>
              <w:rPr>
                <w:noProof/>
                <w:sz w:val="20"/>
                <w:szCs w:val="20"/>
                <w:lang w:val="en-GB"/>
              </w:rPr>
            </w:pPr>
            <w:r>
              <w:rPr>
                <w:noProof/>
                <w:sz w:val="20"/>
                <w:szCs w:val="20"/>
                <w:lang w:val="en-GB"/>
              </w:rPr>
              <w:t>38 055</w:t>
            </w:r>
          </w:p>
        </w:tc>
        <w:tc>
          <w:tcPr>
            <w:tcW w:w="969" w:type="dxa"/>
            <w:shd w:val="clear" w:color="auto" w:fill="EEECE1" w:themeFill="background2"/>
            <w:vAlign w:val="center"/>
          </w:tcPr>
          <w:p>
            <w:pPr>
              <w:jc w:val="center"/>
              <w:rPr>
                <w:noProof/>
                <w:sz w:val="20"/>
                <w:szCs w:val="20"/>
                <w:lang w:val="en-GB"/>
              </w:rPr>
            </w:pPr>
            <w:r>
              <w:rPr>
                <w:noProof/>
                <w:sz w:val="20"/>
                <w:szCs w:val="20"/>
                <w:lang w:val="en-GB"/>
              </w:rPr>
              <w:t>94</w:t>
            </w:r>
          </w:p>
        </w:tc>
      </w:tr>
      <w:tr>
        <w:tc>
          <w:tcPr>
            <w:tcW w:w="481" w:type="dxa"/>
            <w:tcBorders>
              <w:bottom w:val="single" w:sz="4" w:space="0" w:color="auto"/>
            </w:tcBorders>
            <w:shd w:val="clear" w:color="auto" w:fill="auto"/>
            <w:vAlign w:val="center"/>
          </w:tcPr>
          <w:p>
            <w:pPr>
              <w:jc w:val="center"/>
              <w:rPr>
                <w:noProof/>
                <w:sz w:val="20"/>
                <w:szCs w:val="20"/>
                <w:lang w:val="en-GB"/>
              </w:rPr>
            </w:pPr>
            <w:r>
              <w:rPr>
                <w:noProof/>
                <w:sz w:val="20"/>
                <w:szCs w:val="20"/>
                <w:lang w:val="en-GB"/>
              </w:rPr>
              <w:t>9</w:t>
            </w:r>
          </w:p>
        </w:tc>
        <w:tc>
          <w:tcPr>
            <w:tcW w:w="615" w:type="dxa"/>
            <w:tcBorders>
              <w:bottom w:val="single" w:sz="4" w:space="0" w:color="auto"/>
            </w:tcBorders>
            <w:shd w:val="clear" w:color="auto" w:fill="auto"/>
            <w:vAlign w:val="center"/>
          </w:tcPr>
          <w:p>
            <w:pPr>
              <w:jc w:val="center"/>
              <w:rPr>
                <w:noProof/>
                <w:sz w:val="20"/>
                <w:szCs w:val="20"/>
                <w:lang w:val="en-GB"/>
              </w:rPr>
            </w:pPr>
            <w:r>
              <w:rPr>
                <w:noProof/>
                <w:sz w:val="20"/>
                <w:szCs w:val="20"/>
                <w:lang w:val="en-GB"/>
              </w:rPr>
              <w:t>RO</w:t>
            </w:r>
          </w:p>
        </w:tc>
        <w:tc>
          <w:tcPr>
            <w:tcW w:w="2273" w:type="dxa"/>
            <w:tcBorders>
              <w:bottom w:val="single" w:sz="4" w:space="0" w:color="auto"/>
            </w:tcBorders>
            <w:shd w:val="clear" w:color="auto" w:fill="auto"/>
            <w:vAlign w:val="center"/>
          </w:tcPr>
          <w:p>
            <w:pPr>
              <w:rPr>
                <w:noProof/>
                <w:sz w:val="20"/>
                <w:szCs w:val="20"/>
                <w:lang w:val="en-GB"/>
              </w:rPr>
            </w:pPr>
            <w:r>
              <w:rPr>
                <w:noProof/>
                <w:color w:val="222222"/>
                <w:sz w:val="20"/>
                <w:szCs w:val="20"/>
                <w:lang w:val="en-GB" w:eastAsia="en-GB"/>
              </w:rPr>
              <w:t>National Agency for Fiscal Administration</w:t>
            </w:r>
          </w:p>
        </w:tc>
        <w:tc>
          <w:tcPr>
            <w:tcW w:w="4252" w:type="dxa"/>
            <w:tcBorders>
              <w:bottom w:val="single" w:sz="4" w:space="0" w:color="auto"/>
            </w:tcBorders>
            <w:shd w:val="clear" w:color="auto" w:fill="auto"/>
            <w:vAlign w:val="center"/>
          </w:tcPr>
          <w:p>
            <w:pPr>
              <w:rPr>
                <w:noProof/>
                <w:sz w:val="20"/>
                <w:szCs w:val="20"/>
                <w:lang w:val="en-GB"/>
              </w:rPr>
            </w:pPr>
            <w:r>
              <w:rPr>
                <w:noProof/>
                <w:sz w:val="20"/>
                <w:szCs w:val="20"/>
                <w:lang w:val="en-GB"/>
              </w:rPr>
              <w:t>Improving NAFA’s administrative capacity in fighting VAT intra-community fraud through an increased knowledge and awareness of the risks and a better use of fraud prevention and combating tools</w:t>
            </w:r>
          </w:p>
        </w:tc>
        <w:tc>
          <w:tcPr>
            <w:tcW w:w="1441" w:type="dxa"/>
            <w:tcBorders>
              <w:bottom w:val="single" w:sz="4" w:space="0" w:color="auto"/>
            </w:tcBorders>
            <w:shd w:val="clear" w:color="auto" w:fill="auto"/>
            <w:vAlign w:val="center"/>
          </w:tcPr>
          <w:p>
            <w:pPr>
              <w:jc w:val="right"/>
              <w:rPr>
                <w:noProof/>
                <w:sz w:val="20"/>
                <w:szCs w:val="20"/>
                <w:lang w:val="en-GB"/>
              </w:rPr>
            </w:pPr>
            <w:r>
              <w:rPr>
                <w:noProof/>
                <w:sz w:val="20"/>
                <w:szCs w:val="20"/>
                <w:lang w:val="en-GB"/>
              </w:rPr>
              <w:t>40 605</w:t>
            </w:r>
          </w:p>
        </w:tc>
        <w:tc>
          <w:tcPr>
            <w:tcW w:w="969" w:type="dxa"/>
            <w:tcBorders>
              <w:bottom w:val="single" w:sz="4" w:space="0" w:color="auto"/>
            </w:tcBorders>
            <w:shd w:val="clear" w:color="auto" w:fill="auto"/>
            <w:vAlign w:val="center"/>
          </w:tcPr>
          <w:p>
            <w:pPr>
              <w:jc w:val="center"/>
              <w:rPr>
                <w:noProof/>
                <w:sz w:val="20"/>
                <w:szCs w:val="20"/>
                <w:lang w:val="en-GB"/>
              </w:rPr>
            </w:pPr>
            <w:r>
              <w:rPr>
                <w:noProof/>
                <w:sz w:val="20"/>
                <w:szCs w:val="20"/>
                <w:lang w:val="en-GB"/>
              </w:rPr>
              <w:t>68</w:t>
            </w:r>
          </w:p>
        </w:tc>
      </w:tr>
      <w:tr>
        <w:tc>
          <w:tcPr>
            <w:tcW w:w="481" w:type="dxa"/>
            <w:shd w:val="clear" w:color="auto" w:fill="EEECE1" w:themeFill="background2"/>
            <w:vAlign w:val="center"/>
          </w:tcPr>
          <w:p>
            <w:pPr>
              <w:jc w:val="center"/>
              <w:rPr>
                <w:noProof/>
                <w:sz w:val="20"/>
                <w:szCs w:val="20"/>
                <w:lang w:val="en-GB"/>
              </w:rPr>
            </w:pPr>
            <w:r>
              <w:rPr>
                <w:noProof/>
                <w:sz w:val="20"/>
                <w:szCs w:val="20"/>
                <w:lang w:val="en-GB"/>
              </w:rPr>
              <w:t>10</w:t>
            </w:r>
          </w:p>
        </w:tc>
        <w:tc>
          <w:tcPr>
            <w:tcW w:w="615" w:type="dxa"/>
            <w:shd w:val="clear" w:color="auto" w:fill="EEECE1" w:themeFill="background2"/>
            <w:vAlign w:val="center"/>
          </w:tcPr>
          <w:p>
            <w:pPr>
              <w:jc w:val="center"/>
              <w:rPr>
                <w:noProof/>
                <w:sz w:val="20"/>
                <w:szCs w:val="20"/>
                <w:lang w:val="en-GB"/>
              </w:rPr>
            </w:pPr>
            <w:r>
              <w:rPr>
                <w:noProof/>
                <w:sz w:val="20"/>
                <w:szCs w:val="20"/>
                <w:lang w:val="en-GB"/>
              </w:rPr>
              <w:t>RO</w:t>
            </w:r>
          </w:p>
        </w:tc>
        <w:tc>
          <w:tcPr>
            <w:tcW w:w="2273" w:type="dxa"/>
            <w:shd w:val="clear" w:color="auto" w:fill="EEECE1" w:themeFill="background2"/>
            <w:vAlign w:val="center"/>
          </w:tcPr>
          <w:p>
            <w:pPr>
              <w:rPr>
                <w:noProof/>
                <w:sz w:val="20"/>
                <w:szCs w:val="20"/>
                <w:lang w:val="en-GB"/>
              </w:rPr>
            </w:pPr>
            <w:r>
              <w:rPr>
                <w:noProof/>
                <w:color w:val="222222"/>
                <w:sz w:val="20"/>
                <w:szCs w:val="20"/>
                <w:lang w:val="en-GB" w:eastAsia="en-GB"/>
              </w:rPr>
              <w:t>Legal Resources Centre Foundation</w:t>
            </w:r>
          </w:p>
        </w:tc>
        <w:tc>
          <w:tcPr>
            <w:tcW w:w="4252" w:type="dxa"/>
            <w:shd w:val="clear" w:color="auto" w:fill="EEECE1" w:themeFill="background2"/>
            <w:vAlign w:val="center"/>
          </w:tcPr>
          <w:p>
            <w:pPr>
              <w:rPr>
                <w:noProof/>
                <w:sz w:val="20"/>
                <w:szCs w:val="20"/>
                <w:lang w:val="en-GB"/>
              </w:rPr>
            </w:pPr>
            <w:r>
              <w:rPr>
                <w:noProof/>
                <w:sz w:val="20"/>
                <w:szCs w:val="20"/>
                <w:lang w:val="en-GB"/>
              </w:rPr>
              <w:t>Corruption in EU financed projects: a review of corruption schemes, prevention mechanisms and investigation strategies</w:t>
            </w:r>
          </w:p>
        </w:tc>
        <w:tc>
          <w:tcPr>
            <w:tcW w:w="1441" w:type="dxa"/>
            <w:shd w:val="clear" w:color="auto" w:fill="EEECE1" w:themeFill="background2"/>
            <w:vAlign w:val="center"/>
          </w:tcPr>
          <w:p>
            <w:pPr>
              <w:jc w:val="right"/>
              <w:rPr>
                <w:noProof/>
                <w:sz w:val="20"/>
                <w:szCs w:val="20"/>
                <w:lang w:val="en-GB"/>
              </w:rPr>
            </w:pPr>
            <w:r>
              <w:rPr>
                <w:noProof/>
                <w:sz w:val="20"/>
                <w:szCs w:val="20"/>
                <w:lang w:val="en-GB"/>
              </w:rPr>
              <w:t>48 368</w:t>
            </w:r>
          </w:p>
        </w:tc>
        <w:tc>
          <w:tcPr>
            <w:tcW w:w="969" w:type="dxa"/>
            <w:shd w:val="clear" w:color="auto" w:fill="EEECE1" w:themeFill="background2"/>
            <w:vAlign w:val="center"/>
          </w:tcPr>
          <w:p>
            <w:pPr>
              <w:jc w:val="center"/>
              <w:rPr>
                <w:noProof/>
                <w:sz w:val="20"/>
                <w:szCs w:val="20"/>
                <w:lang w:val="en-GB"/>
              </w:rPr>
            </w:pPr>
            <w:r>
              <w:rPr>
                <w:noProof/>
                <w:sz w:val="20"/>
                <w:szCs w:val="20"/>
                <w:lang w:val="en-GB"/>
              </w:rPr>
              <w:t>60</w:t>
            </w:r>
          </w:p>
        </w:tc>
      </w:tr>
      <w:tr>
        <w:tc>
          <w:tcPr>
            <w:tcW w:w="481" w:type="dxa"/>
            <w:tcBorders>
              <w:bottom w:val="single" w:sz="4" w:space="0" w:color="auto"/>
            </w:tcBorders>
            <w:shd w:val="clear" w:color="auto" w:fill="auto"/>
            <w:vAlign w:val="center"/>
          </w:tcPr>
          <w:p>
            <w:pPr>
              <w:jc w:val="center"/>
              <w:rPr>
                <w:noProof/>
                <w:sz w:val="20"/>
                <w:szCs w:val="20"/>
                <w:lang w:val="en-GB"/>
              </w:rPr>
            </w:pPr>
            <w:r>
              <w:rPr>
                <w:noProof/>
                <w:sz w:val="20"/>
                <w:szCs w:val="20"/>
                <w:lang w:val="en-GB"/>
              </w:rPr>
              <w:t>11</w:t>
            </w:r>
          </w:p>
        </w:tc>
        <w:tc>
          <w:tcPr>
            <w:tcW w:w="615" w:type="dxa"/>
            <w:tcBorders>
              <w:bottom w:val="single" w:sz="4" w:space="0" w:color="auto"/>
            </w:tcBorders>
            <w:shd w:val="clear" w:color="auto" w:fill="auto"/>
            <w:vAlign w:val="center"/>
          </w:tcPr>
          <w:p>
            <w:pPr>
              <w:jc w:val="center"/>
              <w:rPr>
                <w:noProof/>
                <w:sz w:val="20"/>
                <w:szCs w:val="20"/>
                <w:lang w:val="en-GB"/>
              </w:rPr>
            </w:pPr>
            <w:r>
              <w:rPr>
                <w:noProof/>
                <w:sz w:val="20"/>
                <w:szCs w:val="20"/>
                <w:lang w:val="en-GB"/>
              </w:rPr>
              <w:t>RO</w:t>
            </w:r>
          </w:p>
        </w:tc>
        <w:tc>
          <w:tcPr>
            <w:tcW w:w="2273" w:type="dxa"/>
            <w:tcBorders>
              <w:bottom w:val="single" w:sz="4" w:space="0" w:color="auto"/>
            </w:tcBorders>
            <w:shd w:val="clear" w:color="auto" w:fill="auto"/>
            <w:vAlign w:val="center"/>
          </w:tcPr>
          <w:p>
            <w:pPr>
              <w:rPr>
                <w:noProof/>
                <w:sz w:val="20"/>
                <w:szCs w:val="20"/>
                <w:lang w:val="en-GB"/>
              </w:rPr>
            </w:pPr>
            <w:r>
              <w:rPr>
                <w:noProof/>
                <w:color w:val="222222"/>
                <w:sz w:val="20"/>
                <w:szCs w:val="20"/>
                <w:lang w:val="en-GB" w:eastAsia="en-GB"/>
              </w:rPr>
              <w:t>Alexandru Ioan Cuza Police Academy</w:t>
            </w:r>
          </w:p>
        </w:tc>
        <w:tc>
          <w:tcPr>
            <w:tcW w:w="4252" w:type="dxa"/>
            <w:tcBorders>
              <w:bottom w:val="single" w:sz="4" w:space="0" w:color="auto"/>
            </w:tcBorders>
            <w:shd w:val="clear" w:color="auto" w:fill="auto"/>
            <w:vAlign w:val="center"/>
          </w:tcPr>
          <w:p>
            <w:pPr>
              <w:rPr>
                <w:noProof/>
                <w:sz w:val="20"/>
                <w:szCs w:val="20"/>
                <w:lang w:val="en-GB"/>
              </w:rPr>
            </w:pPr>
            <w:r>
              <w:rPr>
                <w:noProof/>
                <w:sz w:val="20"/>
                <w:szCs w:val="20"/>
                <w:lang w:val="en-GB"/>
              </w:rPr>
              <w:t>Eliminating fraud and preventing incompatibilities, a safe way towards successful access to European funds</w:t>
            </w:r>
          </w:p>
        </w:tc>
        <w:tc>
          <w:tcPr>
            <w:tcW w:w="1441" w:type="dxa"/>
            <w:tcBorders>
              <w:bottom w:val="single" w:sz="4" w:space="0" w:color="auto"/>
            </w:tcBorders>
            <w:shd w:val="clear" w:color="auto" w:fill="auto"/>
            <w:vAlign w:val="center"/>
          </w:tcPr>
          <w:p>
            <w:pPr>
              <w:jc w:val="right"/>
              <w:rPr>
                <w:noProof/>
                <w:sz w:val="20"/>
                <w:szCs w:val="20"/>
                <w:lang w:val="en-GB"/>
              </w:rPr>
            </w:pPr>
            <w:r>
              <w:rPr>
                <w:noProof/>
                <w:sz w:val="20"/>
                <w:szCs w:val="20"/>
                <w:lang w:val="en-GB"/>
              </w:rPr>
              <w:t>13 289</w:t>
            </w:r>
          </w:p>
        </w:tc>
        <w:tc>
          <w:tcPr>
            <w:tcW w:w="969" w:type="dxa"/>
            <w:tcBorders>
              <w:bottom w:val="single" w:sz="4" w:space="0" w:color="auto"/>
            </w:tcBorders>
            <w:shd w:val="clear" w:color="auto" w:fill="auto"/>
            <w:vAlign w:val="center"/>
          </w:tcPr>
          <w:p>
            <w:pPr>
              <w:jc w:val="center"/>
              <w:rPr>
                <w:noProof/>
                <w:sz w:val="20"/>
                <w:szCs w:val="20"/>
                <w:lang w:val="en-GB"/>
              </w:rPr>
            </w:pPr>
            <w:r>
              <w:rPr>
                <w:noProof/>
                <w:sz w:val="20"/>
                <w:szCs w:val="20"/>
                <w:lang w:val="en-GB"/>
              </w:rPr>
              <w:t>38</w:t>
            </w:r>
          </w:p>
        </w:tc>
      </w:tr>
      <w:tr>
        <w:trPr>
          <w:trHeight w:val="880"/>
        </w:trPr>
        <w:tc>
          <w:tcPr>
            <w:tcW w:w="481" w:type="dxa"/>
            <w:tcBorders>
              <w:bottom w:val="single" w:sz="4" w:space="0" w:color="auto"/>
            </w:tcBorders>
            <w:shd w:val="clear" w:color="auto" w:fill="EEECE1" w:themeFill="background2"/>
            <w:vAlign w:val="center"/>
          </w:tcPr>
          <w:p>
            <w:pPr>
              <w:jc w:val="center"/>
              <w:rPr>
                <w:noProof/>
                <w:sz w:val="20"/>
                <w:szCs w:val="20"/>
                <w:lang w:val="en-GB"/>
              </w:rPr>
            </w:pPr>
            <w:r>
              <w:rPr>
                <w:noProof/>
                <w:sz w:val="20"/>
                <w:szCs w:val="20"/>
                <w:lang w:val="en-GB"/>
              </w:rPr>
              <w:t>12</w:t>
            </w:r>
          </w:p>
        </w:tc>
        <w:tc>
          <w:tcPr>
            <w:tcW w:w="615" w:type="dxa"/>
            <w:tcBorders>
              <w:bottom w:val="single" w:sz="4" w:space="0" w:color="auto"/>
            </w:tcBorders>
            <w:shd w:val="clear" w:color="auto" w:fill="EEECE1" w:themeFill="background2"/>
            <w:vAlign w:val="center"/>
          </w:tcPr>
          <w:p>
            <w:pPr>
              <w:jc w:val="center"/>
              <w:rPr>
                <w:noProof/>
                <w:sz w:val="20"/>
                <w:szCs w:val="20"/>
                <w:lang w:val="en-GB"/>
              </w:rPr>
            </w:pPr>
            <w:r>
              <w:rPr>
                <w:noProof/>
                <w:sz w:val="20"/>
                <w:szCs w:val="20"/>
                <w:lang w:val="en-GB"/>
              </w:rPr>
              <w:t>RO</w:t>
            </w:r>
          </w:p>
        </w:tc>
        <w:tc>
          <w:tcPr>
            <w:tcW w:w="2273" w:type="dxa"/>
            <w:tcBorders>
              <w:bottom w:val="single" w:sz="4" w:space="0" w:color="auto"/>
            </w:tcBorders>
            <w:shd w:val="clear" w:color="auto" w:fill="EEECE1" w:themeFill="background2"/>
            <w:vAlign w:val="center"/>
          </w:tcPr>
          <w:p>
            <w:pPr>
              <w:rPr>
                <w:noProof/>
                <w:sz w:val="20"/>
                <w:szCs w:val="20"/>
                <w:lang w:val="en-GB"/>
              </w:rPr>
            </w:pPr>
            <w:r>
              <w:rPr>
                <w:noProof/>
                <w:color w:val="222222"/>
                <w:sz w:val="20"/>
                <w:szCs w:val="20"/>
                <w:lang w:val="en-GB" w:eastAsia="en-GB"/>
              </w:rPr>
              <w:t>The Romanian Branch of the Freedom House Inc. Foundation</w:t>
            </w:r>
          </w:p>
        </w:tc>
        <w:tc>
          <w:tcPr>
            <w:tcW w:w="4252" w:type="dxa"/>
            <w:shd w:val="clear" w:color="auto" w:fill="EEECE1" w:themeFill="background2"/>
            <w:vAlign w:val="center"/>
          </w:tcPr>
          <w:p>
            <w:pPr>
              <w:rPr>
                <w:noProof/>
                <w:sz w:val="20"/>
                <w:szCs w:val="20"/>
                <w:lang w:val="en-GB"/>
              </w:rPr>
            </w:pPr>
            <w:r>
              <w:rPr>
                <w:noProof/>
                <w:sz w:val="20"/>
                <w:szCs w:val="20"/>
                <w:lang w:val="en-GB"/>
              </w:rPr>
              <w:t>Enhancing the legal protection for EU financial interests in Romania</w:t>
            </w:r>
          </w:p>
        </w:tc>
        <w:tc>
          <w:tcPr>
            <w:tcW w:w="1441" w:type="dxa"/>
            <w:shd w:val="clear" w:color="auto" w:fill="EEECE1" w:themeFill="background2"/>
            <w:vAlign w:val="center"/>
          </w:tcPr>
          <w:p>
            <w:pPr>
              <w:jc w:val="right"/>
              <w:rPr>
                <w:noProof/>
                <w:sz w:val="20"/>
                <w:szCs w:val="20"/>
                <w:lang w:val="en-GB"/>
              </w:rPr>
            </w:pPr>
            <w:r>
              <w:rPr>
                <w:noProof/>
                <w:sz w:val="20"/>
                <w:szCs w:val="20"/>
                <w:lang w:val="en-GB"/>
              </w:rPr>
              <w:t xml:space="preserve">44 327 </w:t>
            </w:r>
          </w:p>
        </w:tc>
        <w:tc>
          <w:tcPr>
            <w:tcW w:w="969" w:type="dxa"/>
            <w:shd w:val="clear" w:color="auto" w:fill="EEECE1" w:themeFill="background2"/>
            <w:vAlign w:val="center"/>
          </w:tcPr>
          <w:p>
            <w:pPr>
              <w:jc w:val="center"/>
              <w:rPr>
                <w:noProof/>
                <w:sz w:val="20"/>
                <w:szCs w:val="20"/>
                <w:lang w:val="en-GB"/>
              </w:rPr>
            </w:pPr>
            <w:r>
              <w:rPr>
                <w:noProof/>
                <w:sz w:val="20"/>
                <w:szCs w:val="20"/>
                <w:lang w:val="en-GB"/>
              </w:rPr>
              <w:t>59</w:t>
            </w:r>
          </w:p>
        </w:tc>
      </w:tr>
      <w:tr>
        <w:trPr>
          <w:trHeight w:val="391"/>
        </w:trPr>
        <w:tc>
          <w:tcPr>
            <w:tcW w:w="3369" w:type="dxa"/>
            <w:gridSpan w:val="3"/>
            <w:tcBorders>
              <w:left w:val="nil"/>
              <w:bottom w:val="nil"/>
            </w:tcBorders>
            <w:vAlign w:val="center"/>
          </w:tcPr>
          <w:p>
            <w:pPr>
              <w:rPr>
                <w:noProof/>
                <w:sz w:val="20"/>
                <w:szCs w:val="20"/>
                <w:lang w:val="en-GB"/>
              </w:rPr>
            </w:pPr>
          </w:p>
        </w:tc>
        <w:tc>
          <w:tcPr>
            <w:tcW w:w="4252" w:type="dxa"/>
            <w:tcBorders>
              <w:bottom w:val="single" w:sz="4" w:space="0" w:color="auto"/>
            </w:tcBorders>
            <w:shd w:val="clear" w:color="auto" w:fill="D9D9D9" w:themeFill="background1" w:themeFillShade="D9"/>
            <w:vAlign w:val="center"/>
          </w:tcPr>
          <w:p>
            <w:pPr>
              <w:jc w:val="right"/>
              <w:rPr>
                <w:b/>
                <w:noProof/>
                <w:sz w:val="20"/>
                <w:szCs w:val="20"/>
                <w:lang w:val="en-GB"/>
              </w:rPr>
            </w:pPr>
            <w:r>
              <w:rPr>
                <w:b/>
                <w:noProof/>
                <w:sz w:val="20"/>
                <w:szCs w:val="20"/>
                <w:lang w:val="en-GB"/>
              </w:rPr>
              <w:t>TOTAL</w:t>
            </w:r>
          </w:p>
        </w:tc>
        <w:tc>
          <w:tcPr>
            <w:tcW w:w="1441" w:type="dxa"/>
            <w:tcBorders>
              <w:bottom w:val="single" w:sz="4" w:space="0" w:color="auto"/>
            </w:tcBorders>
            <w:shd w:val="clear" w:color="auto" w:fill="D9D9D9" w:themeFill="background1" w:themeFillShade="D9"/>
            <w:vAlign w:val="center"/>
          </w:tcPr>
          <w:p>
            <w:pPr>
              <w:jc w:val="right"/>
              <w:rPr>
                <w:b/>
                <w:noProof/>
                <w:sz w:val="20"/>
                <w:szCs w:val="20"/>
                <w:lang w:val="en-GB"/>
              </w:rPr>
            </w:pPr>
            <w:r>
              <w:rPr>
                <w:b/>
                <w:noProof/>
                <w:sz w:val="20"/>
                <w:szCs w:val="20"/>
                <w:lang w:val="en-GB"/>
              </w:rPr>
              <w:t>593 538</w:t>
            </w:r>
          </w:p>
        </w:tc>
        <w:tc>
          <w:tcPr>
            <w:tcW w:w="969" w:type="dxa"/>
            <w:tcBorders>
              <w:bottom w:val="single" w:sz="4" w:space="0" w:color="auto"/>
            </w:tcBorders>
            <w:shd w:val="clear" w:color="auto" w:fill="D9D9D9" w:themeFill="background1" w:themeFillShade="D9"/>
            <w:vAlign w:val="center"/>
          </w:tcPr>
          <w:p>
            <w:pPr>
              <w:jc w:val="center"/>
              <w:rPr>
                <w:b/>
                <w:noProof/>
                <w:sz w:val="20"/>
                <w:szCs w:val="20"/>
                <w:lang w:val="en-GB"/>
              </w:rPr>
            </w:pPr>
            <w:r>
              <w:rPr>
                <w:b/>
                <w:noProof/>
                <w:sz w:val="20"/>
                <w:szCs w:val="20"/>
                <w:lang w:val="en-GB"/>
              </w:rPr>
              <w:t>73</w:t>
            </w:r>
          </w:p>
        </w:tc>
      </w:tr>
    </w:tbl>
    <w:p>
      <w:pPr>
        <w:keepNext/>
        <w:spacing w:after="0" w:line="240" w:lineRule="exact"/>
        <w:rPr>
          <w:noProof/>
          <w:sz w:val="20"/>
          <w:szCs w:val="20"/>
        </w:rPr>
      </w:pPr>
    </w:p>
    <w:p>
      <w:pPr>
        <w:keepNext/>
        <w:spacing w:after="0" w:line="240" w:lineRule="exact"/>
        <w:rPr>
          <w:noProof/>
          <w:sz w:val="20"/>
          <w:szCs w:val="20"/>
        </w:rPr>
      </w:pPr>
    </w:p>
    <w:p>
      <w:pPr>
        <w:keepNext/>
        <w:spacing w:after="0" w:line="240" w:lineRule="exact"/>
        <w:rPr>
          <w:noProof/>
          <w:sz w:val="20"/>
          <w:szCs w:val="20"/>
        </w:rPr>
      </w:pPr>
      <w:r>
        <w:rPr>
          <w:noProof/>
          <w:sz w:val="20"/>
          <w:szCs w:val="20"/>
        </w:rPr>
        <w:t>Table 7 –</w:t>
      </w:r>
      <w:r>
        <w:rPr>
          <w:b/>
          <w:noProof/>
          <w:sz w:val="20"/>
          <w:szCs w:val="20"/>
        </w:rPr>
        <w:t xml:space="preserve"> LEGAL TRAINING &amp; STUDIES </w:t>
      </w:r>
      <w:r>
        <w:rPr>
          <w:noProof/>
          <w:sz w:val="20"/>
          <w:szCs w:val="20"/>
        </w:rPr>
        <w:t xml:space="preserve">grants </w:t>
      </w:r>
      <w:r>
        <w:rPr>
          <w:b/>
          <w:noProof/>
          <w:sz w:val="20"/>
          <w:szCs w:val="20"/>
        </w:rPr>
        <w:t>AWARDED</w:t>
      </w:r>
      <w:r>
        <w:rPr>
          <w:noProof/>
          <w:sz w:val="20"/>
          <w:szCs w:val="20"/>
        </w:rPr>
        <w:t xml:space="preserve"> under the 2019 Financing Decision</w:t>
      </w:r>
    </w:p>
    <w:p>
      <w:pPr>
        <w:keepNext/>
        <w:spacing w:after="0" w:line="240" w:lineRule="exact"/>
        <w:rPr>
          <w:noProof/>
          <w:sz w:val="20"/>
          <w:szCs w:val="20"/>
        </w:rPr>
      </w:pPr>
    </w:p>
    <w:tbl>
      <w:tblPr>
        <w:tblStyle w:val="TableGrid"/>
        <w:tblW w:w="0" w:type="auto"/>
        <w:tblLook w:val="04A0" w:firstRow="1" w:lastRow="0" w:firstColumn="1" w:lastColumn="0" w:noHBand="0" w:noVBand="1"/>
      </w:tblPr>
      <w:tblGrid>
        <w:gridCol w:w="534"/>
        <w:gridCol w:w="708"/>
        <w:gridCol w:w="2127"/>
        <w:gridCol w:w="4252"/>
        <w:gridCol w:w="1559"/>
        <w:gridCol w:w="782"/>
      </w:tblGrid>
      <w:tr>
        <w:tc>
          <w:tcPr>
            <w:tcW w:w="534" w:type="dxa"/>
            <w:tcBorders>
              <w:top w:val="nil"/>
              <w:left w:val="nil"/>
            </w:tcBorders>
            <w:vAlign w:val="center"/>
          </w:tcPr>
          <w:p>
            <w:pPr>
              <w:jc w:val="center"/>
              <w:rPr>
                <w:noProof/>
                <w:sz w:val="20"/>
                <w:szCs w:val="20"/>
              </w:rPr>
            </w:pPr>
          </w:p>
        </w:tc>
        <w:tc>
          <w:tcPr>
            <w:tcW w:w="708" w:type="dxa"/>
            <w:shd w:val="clear" w:color="auto" w:fill="D9D9D9" w:themeFill="background1" w:themeFillShade="D9"/>
            <w:vAlign w:val="center"/>
          </w:tcPr>
          <w:p>
            <w:pPr>
              <w:jc w:val="center"/>
              <w:rPr>
                <w:noProof/>
                <w:sz w:val="20"/>
                <w:szCs w:val="20"/>
              </w:rPr>
            </w:pPr>
            <w:r>
              <w:rPr>
                <w:noProof/>
                <w:sz w:val="20"/>
                <w:szCs w:val="20"/>
              </w:rPr>
              <w:t>MS</w:t>
            </w:r>
          </w:p>
        </w:tc>
        <w:tc>
          <w:tcPr>
            <w:tcW w:w="2127" w:type="dxa"/>
            <w:shd w:val="clear" w:color="auto" w:fill="D9D9D9" w:themeFill="background1" w:themeFillShade="D9"/>
            <w:vAlign w:val="center"/>
          </w:tcPr>
          <w:p>
            <w:pPr>
              <w:jc w:val="center"/>
              <w:rPr>
                <w:noProof/>
                <w:sz w:val="20"/>
                <w:szCs w:val="20"/>
              </w:rPr>
            </w:pPr>
            <w:r>
              <w:rPr>
                <w:noProof/>
                <w:sz w:val="20"/>
                <w:szCs w:val="20"/>
              </w:rPr>
              <w:t>Beneficiary</w:t>
            </w:r>
          </w:p>
        </w:tc>
        <w:tc>
          <w:tcPr>
            <w:tcW w:w="4252" w:type="dxa"/>
            <w:shd w:val="clear" w:color="auto" w:fill="D9D9D9" w:themeFill="background1" w:themeFillShade="D9"/>
            <w:vAlign w:val="center"/>
          </w:tcPr>
          <w:p>
            <w:pPr>
              <w:jc w:val="center"/>
              <w:rPr>
                <w:noProof/>
                <w:sz w:val="20"/>
                <w:szCs w:val="20"/>
              </w:rPr>
            </w:pPr>
            <w:r>
              <w:rPr>
                <w:noProof/>
                <w:sz w:val="20"/>
                <w:szCs w:val="20"/>
              </w:rPr>
              <w:t>Title</w:t>
            </w:r>
          </w:p>
        </w:tc>
        <w:tc>
          <w:tcPr>
            <w:tcW w:w="1559" w:type="dxa"/>
            <w:shd w:val="clear" w:color="auto" w:fill="D9D9D9" w:themeFill="background1" w:themeFillShade="D9"/>
            <w:vAlign w:val="center"/>
          </w:tcPr>
          <w:p>
            <w:pPr>
              <w:jc w:val="center"/>
              <w:rPr>
                <w:noProof/>
                <w:sz w:val="20"/>
                <w:szCs w:val="20"/>
              </w:rPr>
            </w:pPr>
            <w:r>
              <w:rPr>
                <w:noProof/>
                <w:sz w:val="20"/>
                <w:szCs w:val="20"/>
              </w:rPr>
              <w:t>Awarded Grant (EUR)</w:t>
            </w:r>
          </w:p>
        </w:tc>
        <w:tc>
          <w:tcPr>
            <w:tcW w:w="782" w:type="dxa"/>
            <w:shd w:val="clear" w:color="auto" w:fill="D9D9D9" w:themeFill="background1" w:themeFillShade="D9"/>
            <w:vAlign w:val="center"/>
          </w:tcPr>
          <w:p>
            <w:pPr>
              <w:jc w:val="center"/>
              <w:rPr>
                <w:noProof/>
                <w:sz w:val="20"/>
                <w:szCs w:val="20"/>
                <w:highlight w:val="yellow"/>
              </w:rPr>
            </w:pPr>
            <w:r>
              <w:rPr>
                <w:noProof/>
                <w:sz w:val="20"/>
                <w:szCs w:val="20"/>
              </w:rPr>
              <w:t>Co-fin %</w:t>
            </w:r>
          </w:p>
        </w:tc>
      </w:tr>
      <w:tr>
        <w:trPr>
          <w:trHeight w:val="1015"/>
        </w:trPr>
        <w:tc>
          <w:tcPr>
            <w:tcW w:w="534" w:type="dxa"/>
            <w:tcBorders>
              <w:bottom w:val="single" w:sz="4" w:space="0" w:color="auto"/>
            </w:tcBorders>
            <w:shd w:val="clear" w:color="auto" w:fill="auto"/>
            <w:vAlign w:val="center"/>
          </w:tcPr>
          <w:p>
            <w:pPr>
              <w:jc w:val="center"/>
              <w:rPr>
                <w:noProof/>
                <w:sz w:val="20"/>
                <w:szCs w:val="20"/>
              </w:rPr>
            </w:pPr>
            <w:r>
              <w:rPr>
                <w:noProof/>
                <w:sz w:val="20"/>
                <w:szCs w:val="20"/>
              </w:rPr>
              <w:t>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noProof/>
                <w:color w:val="333333"/>
                <w:sz w:val="20"/>
                <w:szCs w:val="20"/>
              </w:rPr>
            </w:pPr>
            <w:r>
              <w:rPr>
                <w:noProof/>
                <w:color w:val="333333"/>
                <w:sz w:val="20"/>
                <w:szCs w:val="20"/>
              </w:rPr>
              <w:t>DE</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pPr>
              <w:rPr>
                <w:noProof/>
                <w:color w:val="333333"/>
                <w:sz w:val="20"/>
                <w:szCs w:val="20"/>
              </w:rPr>
            </w:pPr>
            <w:r>
              <w:rPr>
                <w:noProof/>
                <w:color w:val="333333"/>
                <w:sz w:val="20"/>
                <w:szCs w:val="20"/>
              </w:rPr>
              <w:t>Max-Planck Institute</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pPr>
              <w:rPr>
                <w:noProof/>
                <w:color w:val="333333"/>
                <w:sz w:val="20"/>
                <w:szCs w:val="20"/>
              </w:rPr>
            </w:pPr>
            <w:r>
              <w:rPr>
                <w:noProof/>
                <w:color w:val="333333"/>
                <w:sz w:val="20"/>
                <w:szCs w:val="20"/>
              </w:rPr>
              <w:t>eucrim - The European Criminal Law Associations' Forum - publication of a periodical on the protection of the EU's financial interests</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pPr>
              <w:jc w:val="right"/>
              <w:rPr>
                <w:noProof/>
                <w:color w:val="333333"/>
                <w:sz w:val="20"/>
                <w:szCs w:val="20"/>
              </w:rPr>
            </w:pPr>
            <w:r>
              <w:rPr>
                <w:noProof/>
                <w:color w:val="333333"/>
                <w:sz w:val="20"/>
                <w:szCs w:val="20"/>
              </w:rPr>
              <w:t>157 161</w:t>
            </w:r>
          </w:p>
        </w:tc>
        <w:tc>
          <w:tcPr>
            <w:tcW w:w="782" w:type="dxa"/>
            <w:tcBorders>
              <w:bottom w:val="single" w:sz="4" w:space="0" w:color="auto"/>
            </w:tcBorders>
            <w:shd w:val="clear" w:color="auto" w:fill="auto"/>
            <w:vAlign w:val="center"/>
          </w:tcPr>
          <w:p>
            <w:pPr>
              <w:jc w:val="center"/>
              <w:rPr>
                <w:noProof/>
                <w:sz w:val="20"/>
                <w:szCs w:val="20"/>
                <w:highlight w:val="yellow"/>
              </w:rPr>
            </w:pPr>
            <w:r>
              <w:rPr>
                <w:noProof/>
                <w:sz w:val="20"/>
                <w:szCs w:val="20"/>
              </w:rPr>
              <w:t>80</w:t>
            </w:r>
          </w:p>
        </w:tc>
      </w:tr>
      <w:tr>
        <w:tc>
          <w:tcPr>
            <w:tcW w:w="534" w:type="dxa"/>
            <w:shd w:val="clear" w:color="auto" w:fill="EEECE1" w:themeFill="background2"/>
            <w:vAlign w:val="center"/>
          </w:tcPr>
          <w:p>
            <w:pPr>
              <w:jc w:val="center"/>
              <w:rPr>
                <w:noProof/>
                <w:sz w:val="20"/>
                <w:szCs w:val="20"/>
              </w:rPr>
            </w:pPr>
            <w:r>
              <w:rPr>
                <w:noProof/>
                <w:sz w:val="20"/>
                <w:szCs w:val="20"/>
              </w:rPr>
              <w:t>2</w:t>
            </w:r>
          </w:p>
        </w:tc>
        <w:tc>
          <w:tcPr>
            <w:tcW w:w="708" w:type="dxa"/>
            <w:tcBorders>
              <w:top w:val="nil"/>
              <w:left w:val="single" w:sz="4" w:space="0" w:color="auto"/>
              <w:bottom w:val="single" w:sz="4" w:space="0" w:color="auto"/>
              <w:right w:val="single" w:sz="4" w:space="0" w:color="auto"/>
            </w:tcBorders>
            <w:shd w:val="clear" w:color="auto" w:fill="EEECE1" w:themeFill="background2"/>
            <w:vAlign w:val="center"/>
          </w:tcPr>
          <w:p>
            <w:pPr>
              <w:jc w:val="center"/>
              <w:rPr>
                <w:noProof/>
                <w:color w:val="333333"/>
                <w:sz w:val="20"/>
                <w:szCs w:val="20"/>
              </w:rPr>
            </w:pPr>
            <w:r>
              <w:rPr>
                <w:noProof/>
                <w:color w:val="333333"/>
                <w:sz w:val="20"/>
                <w:szCs w:val="20"/>
              </w:rPr>
              <w:t>DE</w:t>
            </w:r>
          </w:p>
        </w:tc>
        <w:tc>
          <w:tcPr>
            <w:tcW w:w="2127" w:type="dxa"/>
            <w:tcBorders>
              <w:top w:val="nil"/>
              <w:left w:val="single" w:sz="4" w:space="0" w:color="auto"/>
              <w:bottom w:val="single" w:sz="4" w:space="0" w:color="auto"/>
              <w:right w:val="single" w:sz="4" w:space="0" w:color="auto"/>
            </w:tcBorders>
            <w:shd w:val="clear" w:color="auto" w:fill="EEECE1" w:themeFill="background2"/>
            <w:vAlign w:val="center"/>
          </w:tcPr>
          <w:p>
            <w:pPr>
              <w:rPr>
                <w:noProof/>
                <w:color w:val="333333"/>
                <w:sz w:val="20"/>
                <w:szCs w:val="20"/>
              </w:rPr>
            </w:pPr>
            <w:r>
              <w:rPr>
                <w:noProof/>
                <w:color w:val="333333"/>
                <w:sz w:val="20"/>
                <w:szCs w:val="20"/>
              </w:rPr>
              <w:t>European Academy of Law Trier Public Foundation</w:t>
            </w:r>
          </w:p>
        </w:tc>
        <w:tc>
          <w:tcPr>
            <w:tcW w:w="4252" w:type="dxa"/>
            <w:tcBorders>
              <w:top w:val="nil"/>
              <w:left w:val="single" w:sz="4" w:space="0" w:color="auto"/>
              <w:bottom w:val="single" w:sz="4" w:space="0" w:color="auto"/>
              <w:right w:val="single" w:sz="4" w:space="0" w:color="auto"/>
            </w:tcBorders>
            <w:shd w:val="clear" w:color="auto" w:fill="EEECE1" w:themeFill="background2"/>
            <w:vAlign w:val="center"/>
          </w:tcPr>
          <w:p>
            <w:pPr>
              <w:rPr>
                <w:noProof/>
                <w:color w:val="333333"/>
                <w:sz w:val="20"/>
                <w:szCs w:val="20"/>
              </w:rPr>
            </w:pPr>
            <w:r>
              <w:rPr>
                <w:noProof/>
                <w:color w:val="333333"/>
                <w:sz w:val="20"/>
                <w:szCs w:val="20"/>
              </w:rPr>
              <w:t>Transposition of PIF Directive and its consequences on the effectiveness of the EPPO</w:t>
            </w:r>
          </w:p>
        </w:tc>
        <w:tc>
          <w:tcPr>
            <w:tcW w:w="1559" w:type="dxa"/>
            <w:tcBorders>
              <w:top w:val="nil"/>
              <w:left w:val="single" w:sz="4" w:space="0" w:color="auto"/>
              <w:bottom w:val="single" w:sz="4" w:space="0" w:color="auto"/>
              <w:right w:val="single" w:sz="4" w:space="0" w:color="auto"/>
            </w:tcBorders>
            <w:shd w:val="clear" w:color="auto" w:fill="EEECE1" w:themeFill="background2"/>
            <w:vAlign w:val="center"/>
          </w:tcPr>
          <w:p>
            <w:pPr>
              <w:jc w:val="right"/>
              <w:rPr>
                <w:noProof/>
                <w:color w:val="333333"/>
                <w:sz w:val="20"/>
                <w:szCs w:val="20"/>
              </w:rPr>
            </w:pPr>
            <w:r>
              <w:rPr>
                <w:noProof/>
                <w:color w:val="333333"/>
                <w:sz w:val="20"/>
                <w:szCs w:val="20"/>
              </w:rPr>
              <w:t>39 892</w:t>
            </w:r>
          </w:p>
        </w:tc>
        <w:tc>
          <w:tcPr>
            <w:tcW w:w="782" w:type="dxa"/>
            <w:shd w:val="clear" w:color="auto" w:fill="EEECE1" w:themeFill="background2"/>
            <w:vAlign w:val="center"/>
          </w:tcPr>
          <w:p>
            <w:pPr>
              <w:jc w:val="center"/>
              <w:rPr>
                <w:noProof/>
                <w:sz w:val="20"/>
                <w:szCs w:val="20"/>
              </w:rPr>
            </w:pPr>
            <w:r>
              <w:rPr>
                <w:noProof/>
                <w:sz w:val="20"/>
                <w:szCs w:val="20"/>
              </w:rPr>
              <w:t>80</w:t>
            </w:r>
          </w:p>
        </w:tc>
      </w:tr>
      <w:tr>
        <w:trPr>
          <w:trHeight w:val="756"/>
        </w:trPr>
        <w:tc>
          <w:tcPr>
            <w:tcW w:w="534" w:type="dxa"/>
            <w:tcBorders>
              <w:bottom w:val="single" w:sz="4" w:space="0" w:color="auto"/>
            </w:tcBorders>
            <w:shd w:val="clear" w:color="auto" w:fill="auto"/>
            <w:vAlign w:val="center"/>
          </w:tcPr>
          <w:p>
            <w:pPr>
              <w:jc w:val="center"/>
              <w:rPr>
                <w:noProof/>
                <w:sz w:val="20"/>
                <w:szCs w:val="20"/>
              </w:rPr>
            </w:pPr>
            <w:r>
              <w:rPr>
                <w:noProof/>
                <w:sz w:val="20"/>
                <w:szCs w:val="20"/>
              </w:rPr>
              <w:t>3</w:t>
            </w:r>
          </w:p>
        </w:tc>
        <w:tc>
          <w:tcPr>
            <w:tcW w:w="708" w:type="dxa"/>
            <w:tcBorders>
              <w:top w:val="nil"/>
              <w:left w:val="single" w:sz="4" w:space="0" w:color="auto"/>
              <w:bottom w:val="single" w:sz="4" w:space="0" w:color="auto"/>
              <w:right w:val="single" w:sz="4" w:space="0" w:color="auto"/>
            </w:tcBorders>
            <w:shd w:val="clear" w:color="auto" w:fill="auto"/>
            <w:vAlign w:val="center"/>
          </w:tcPr>
          <w:p>
            <w:pPr>
              <w:jc w:val="center"/>
              <w:rPr>
                <w:noProof/>
                <w:color w:val="333333"/>
                <w:sz w:val="20"/>
                <w:szCs w:val="20"/>
              </w:rPr>
            </w:pPr>
            <w:r>
              <w:rPr>
                <w:noProof/>
                <w:color w:val="333333"/>
                <w:sz w:val="20"/>
                <w:szCs w:val="20"/>
              </w:rPr>
              <w:t>ES</w:t>
            </w:r>
          </w:p>
        </w:tc>
        <w:tc>
          <w:tcPr>
            <w:tcW w:w="2127" w:type="dxa"/>
            <w:tcBorders>
              <w:top w:val="nil"/>
              <w:left w:val="single" w:sz="4" w:space="0" w:color="auto"/>
              <w:bottom w:val="single" w:sz="4" w:space="0" w:color="auto"/>
              <w:right w:val="single" w:sz="4" w:space="0" w:color="auto"/>
            </w:tcBorders>
            <w:shd w:val="clear" w:color="auto" w:fill="auto"/>
            <w:vAlign w:val="center"/>
          </w:tcPr>
          <w:p>
            <w:pPr>
              <w:rPr>
                <w:noProof/>
                <w:color w:val="333333"/>
                <w:sz w:val="20"/>
                <w:szCs w:val="20"/>
              </w:rPr>
            </w:pPr>
            <w:r>
              <w:rPr>
                <w:noProof/>
                <w:color w:val="333333"/>
                <w:sz w:val="20"/>
                <w:szCs w:val="20"/>
              </w:rPr>
              <w:t>University of Burgos</w:t>
            </w:r>
          </w:p>
        </w:tc>
        <w:tc>
          <w:tcPr>
            <w:tcW w:w="4252" w:type="dxa"/>
            <w:tcBorders>
              <w:top w:val="nil"/>
              <w:left w:val="single" w:sz="4" w:space="0" w:color="auto"/>
              <w:bottom w:val="single" w:sz="4" w:space="0" w:color="auto"/>
              <w:right w:val="single" w:sz="4" w:space="0" w:color="auto"/>
            </w:tcBorders>
            <w:shd w:val="clear" w:color="auto" w:fill="auto"/>
            <w:vAlign w:val="center"/>
          </w:tcPr>
          <w:p>
            <w:pPr>
              <w:rPr>
                <w:noProof/>
                <w:color w:val="333333"/>
                <w:sz w:val="20"/>
                <w:szCs w:val="20"/>
              </w:rPr>
            </w:pPr>
            <w:r>
              <w:rPr>
                <w:noProof/>
                <w:color w:val="333333"/>
                <w:sz w:val="20"/>
                <w:szCs w:val="20"/>
              </w:rPr>
              <w:t>Toolkit for the prevention of frauds in European funds with special attention to ERDF and CF</w:t>
            </w:r>
          </w:p>
        </w:tc>
        <w:tc>
          <w:tcPr>
            <w:tcW w:w="1559" w:type="dxa"/>
            <w:tcBorders>
              <w:top w:val="nil"/>
              <w:left w:val="single" w:sz="4" w:space="0" w:color="auto"/>
              <w:bottom w:val="single" w:sz="4" w:space="0" w:color="auto"/>
              <w:right w:val="single" w:sz="4" w:space="0" w:color="auto"/>
            </w:tcBorders>
            <w:shd w:val="clear" w:color="auto" w:fill="auto"/>
            <w:vAlign w:val="center"/>
          </w:tcPr>
          <w:p>
            <w:pPr>
              <w:jc w:val="right"/>
              <w:rPr>
                <w:noProof/>
                <w:color w:val="333333"/>
                <w:sz w:val="20"/>
                <w:szCs w:val="20"/>
              </w:rPr>
            </w:pPr>
            <w:r>
              <w:rPr>
                <w:noProof/>
                <w:color w:val="333333"/>
                <w:sz w:val="20"/>
                <w:szCs w:val="20"/>
              </w:rPr>
              <w:t>79 033</w:t>
            </w:r>
          </w:p>
        </w:tc>
        <w:tc>
          <w:tcPr>
            <w:tcW w:w="782" w:type="dxa"/>
            <w:tcBorders>
              <w:bottom w:val="single" w:sz="4" w:space="0" w:color="auto"/>
            </w:tcBorders>
            <w:shd w:val="clear" w:color="auto" w:fill="auto"/>
            <w:vAlign w:val="center"/>
          </w:tcPr>
          <w:p>
            <w:pPr>
              <w:jc w:val="center"/>
              <w:rPr>
                <w:noProof/>
                <w:sz w:val="20"/>
                <w:szCs w:val="20"/>
              </w:rPr>
            </w:pPr>
            <w:r>
              <w:rPr>
                <w:noProof/>
                <w:sz w:val="20"/>
                <w:szCs w:val="20"/>
              </w:rPr>
              <w:t>90</w:t>
            </w:r>
          </w:p>
        </w:tc>
      </w:tr>
      <w:tr>
        <w:trPr>
          <w:trHeight w:val="798"/>
        </w:trPr>
        <w:tc>
          <w:tcPr>
            <w:tcW w:w="534" w:type="dxa"/>
            <w:shd w:val="clear" w:color="auto" w:fill="EEECE1" w:themeFill="background2"/>
            <w:vAlign w:val="center"/>
          </w:tcPr>
          <w:p>
            <w:pPr>
              <w:jc w:val="center"/>
              <w:rPr>
                <w:noProof/>
                <w:sz w:val="20"/>
                <w:szCs w:val="20"/>
              </w:rPr>
            </w:pPr>
            <w:r>
              <w:rPr>
                <w:noProof/>
                <w:sz w:val="20"/>
                <w:szCs w:val="20"/>
              </w:rPr>
              <w:t>4</w:t>
            </w:r>
          </w:p>
        </w:tc>
        <w:tc>
          <w:tcPr>
            <w:tcW w:w="708" w:type="dxa"/>
            <w:tcBorders>
              <w:top w:val="nil"/>
              <w:left w:val="single" w:sz="4" w:space="0" w:color="auto"/>
              <w:bottom w:val="single" w:sz="4" w:space="0" w:color="auto"/>
              <w:right w:val="single" w:sz="4" w:space="0" w:color="auto"/>
            </w:tcBorders>
            <w:shd w:val="clear" w:color="auto" w:fill="EEECE1" w:themeFill="background2"/>
            <w:vAlign w:val="center"/>
          </w:tcPr>
          <w:p>
            <w:pPr>
              <w:jc w:val="center"/>
              <w:rPr>
                <w:noProof/>
                <w:color w:val="333333"/>
                <w:sz w:val="20"/>
                <w:szCs w:val="20"/>
              </w:rPr>
            </w:pPr>
            <w:r>
              <w:rPr>
                <w:noProof/>
                <w:color w:val="333333"/>
                <w:sz w:val="20"/>
                <w:szCs w:val="20"/>
              </w:rPr>
              <w:t>IT</w:t>
            </w:r>
          </w:p>
        </w:tc>
        <w:tc>
          <w:tcPr>
            <w:tcW w:w="2127" w:type="dxa"/>
            <w:tcBorders>
              <w:top w:val="nil"/>
              <w:left w:val="single" w:sz="4" w:space="0" w:color="auto"/>
              <w:bottom w:val="single" w:sz="4" w:space="0" w:color="auto"/>
              <w:right w:val="single" w:sz="4" w:space="0" w:color="auto"/>
            </w:tcBorders>
            <w:shd w:val="clear" w:color="auto" w:fill="EEECE1" w:themeFill="background2"/>
            <w:vAlign w:val="center"/>
          </w:tcPr>
          <w:p>
            <w:pPr>
              <w:rPr>
                <w:noProof/>
                <w:color w:val="333333"/>
                <w:sz w:val="20"/>
                <w:szCs w:val="20"/>
              </w:rPr>
            </w:pPr>
            <w:r>
              <w:rPr>
                <w:noProof/>
                <w:color w:val="333333"/>
                <w:sz w:val="20"/>
                <w:szCs w:val="20"/>
              </w:rPr>
              <w:t>University of Perugia</w:t>
            </w:r>
          </w:p>
        </w:tc>
        <w:tc>
          <w:tcPr>
            <w:tcW w:w="4252" w:type="dxa"/>
            <w:tcBorders>
              <w:top w:val="nil"/>
              <w:left w:val="single" w:sz="4" w:space="0" w:color="auto"/>
              <w:bottom w:val="single" w:sz="4" w:space="0" w:color="auto"/>
              <w:right w:val="single" w:sz="4" w:space="0" w:color="auto"/>
            </w:tcBorders>
            <w:shd w:val="clear" w:color="auto" w:fill="EEECE1" w:themeFill="background2"/>
            <w:vAlign w:val="center"/>
          </w:tcPr>
          <w:p>
            <w:pPr>
              <w:rPr>
                <w:noProof/>
                <w:color w:val="333333"/>
                <w:sz w:val="20"/>
                <w:szCs w:val="20"/>
              </w:rPr>
            </w:pPr>
            <w:r>
              <w:rPr>
                <w:noProof/>
                <w:color w:val="333333"/>
                <w:sz w:val="20"/>
                <w:szCs w:val="20"/>
              </w:rPr>
              <w:t>Administrative prevention through targeted anti-corruption models for candidate countries</w:t>
            </w:r>
          </w:p>
        </w:tc>
        <w:tc>
          <w:tcPr>
            <w:tcW w:w="1559" w:type="dxa"/>
            <w:tcBorders>
              <w:top w:val="nil"/>
              <w:left w:val="single" w:sz="4" w:space="0" w:color="auto"/>
              <w:bottom w:val="single" w:sz="4" w:space="0" w:color="auto"/>
              <w:right w:val="single" w:sz="4" w:space="0" w:color="auto"/>
            </w:tcBorders>
            <w:shd w:val="clear" w:color="auto" w:fill="EEECE1" w:themeFill="background2"/>
            <w:vAlign w:val="center"/>
          </w:tcPr>
          <w:p>
            <w:pPr>
              <w:jc w:val="right"/>
              <w:rPr>
                <w:noProof/>
                <w:color w:val="333333"/>
                <w:sz w:val="20"/>
                <w:szCs w:val="20"/>
              </w:rPr>
            </w:pPr>
            <w:r>
              <w:rPr>
                <w:noProof/>
                <w:color w:val="333333"/>
                <w:sz w:val="20"/>
                <w:szCs w:val="20"/>
              </w:rPr>
              <w:t>72 491</w:t>
            </w:r>
          </w:p>
        </w:tc>
        <w:tc>
          <w:tcPr>
            <w:tcW w:w="782" w:type="dxa"/>
            <w:shd w:val="clear" w:color="auto" w:fill="EEECE1" w:themeFill="background2"/>
            <w:vAlign w:val="center"/>
          </w:tcPr>
          <w:p>
            <w:pPr>
              <w:jc w:val="center"/>
              <w:rPr>
                <w:noProof/>
                <w:sz w:val="20"/>
                <w:szCs w:val="20"/>
              </w:rPr>
            </w:pPr>
            <w:r>
              <w:rPr>
                <w:noProof/>
                <w:sz w:val="20"/>
                <w:szCs w:val="20"/>
              </w:rPr>
              <w:t>80</w:t>
            </w:r>
          </w:p>
        </w:tc>
      </w:tr>
      <w:tr>
        <w:trPr>
          <w:trHeight w:val="838"/>
        </w:trPr>
        <w:tc>
          <w:tcPr>
            <w:tcW w:w="534" w:type="dxa"/>
            <w:tcBorders>
              <w:bottom w:val="single" w:sz="4" w:space="0" w:color="auto"/>
            </w:tcBorders>
            <w:shd w:val="clear" w:color="auto" w:fill="auto"/>
            <w:vAlign w:val="center"/>
          </w:tcPr>
          <w:p>
            <w:pPr>
              <w:jc w:val="center"/>
              <w:rPr>
                <w:noProof/>
                <w:sz w:val="20"/>
                <w:szCs w:val="20"/>
              </w:rPr>
            </w:pPr>
            <w:r>
              <w:rPr>
                <w:noProof/>
                <w:sz w:val="20"/>
                <w:szCs w:val="20"/>
              </w:rPr>
              <w:t>5</w:t>
            </w:r>
          </w:p>
        </w:tc>
        <w:tc>
          <w:tcPr>
            <w:tcW w:w="708" w:type="dxa"/>
            <w:tcBorders>
              <w:top w:val="nil"/>
              <w:left w:val="single" w:sz="4" w:space="0" w:color="auto"/>
              <w:bottom w:val="single" w:sz="4" w:space="0" w:color="auto"/>
              <w:right w:val="single" w:sz="4" w:space="0" w:color="auto"/>
            </w:tcBorders>
            <w:shd w:val="clear" w:color="auto" w:fill="auto"/>
            <w:vAlign w:val="center"/>
          </w:tcPr>
          <w:p>
            <w:pPr>
              <w:jc w:val="center"/>
              <w:rPr>
                <w:noProof/>
                <w:color w:val="333333"/>
                <w:sz w:val="20"/>
                <w:szCs w:val="20"/>
              </w:rPr>
            </w:pPr>
            <w:r>
              <w:rPr>
                <w:noProof/>
                <w:color w:val="333333"/>
                <w:sz w:val="20"/>
                <w:szCs w:val="20"/>
              </w:rPr>
              <w:t>UK</w:t>
            </w:r>
          </w:p>
        </w:tc>
        <w:tc>
          <w:tcPr>
            <w:tcW w:w="2127" w:type="dxa"/>
            <w:tcBorders>
              <w:top w:val="nil"/>
              <w:left w:val="single" w:sz="4" w:space="0" w:color="auto"/>
              <w:bottom w:val="single" w:sz="4" w:space="0" w:color="auto"/>
              <w:right w:val="single" w:sz="4" w:space="0" w:color="auto"/>
            </w:tcBorders>
            <w:shd w:val="clear" w:color="auto" w:fill="auto"/>
            <w:vAlign w:val="center"/>
          </w:tcPr>
          <w:p>
            <w:pPr>
              <w:rPr>
                <w:noProof/>
                <w:color w:val="333333"/>
                <w:sz w:val="20"/>
                <w:szCs w:val="20"/>
              </w:rPr>
            </w:pPr>
            <w:r>
              <w:rPr>
                <w:noProof/>
                <w:color w:val="333333"/>
                <w:sz w:val="20"/>
                <w:szCs w:val="20"/>
              </w:rPr>
              <w:t>Coventry University</w:t>
            </w:r>
          </w:p>
        </w:tc>
        <w:tc>
          <w:tcPr>
            <w:tcW w:w="4252" w:type="dxa"/>
            <w:tcBorders>
              <w:top w:val="nil"/>
              <w:left w:val="single" w:sz="4" w:space="0" w:color="auto"/>
              <w:bottom w:val="single" w:sz="4" w:space="0" w:color="auto"/>
              <w:right w:val="single" w:sz="4" w:space="0" w:color="auto"/>
            </w:tcBorders>
            <w:shd w:val="clear" w:color="auto" w:fill="auto"/>
            <w:vAlign w:val="center"/>
          </w:tcPr>
          <w:p>
            <w:pPr>
              <w:rPr>
                <w:noProof/>
                <w:color w:val="333333"/>
                <w:sz w:val="20"/>
                <w:szCs w:val="20"/>
              </w:rPr>
            </w:pPr>
            <w:r>
              <w:rPr>
                <w:noProof/>
                <w:color w:val="333333"/>
                <w:sz w:val="20"/>
                <w:szCs w:val="20"/>
              </w:rPr>
              <w:t>VAT fraud: interdisciplinary research on tax crimes in the European Union</w:t>
            </w:r>
          </w:p>
        </w:tc>
        <w:tc>
          <w:tcPr>
            <w:tcW w:w="1559" w:type="dxa"/>
            <w:tcBorders>
              <w:top w:val="nil"/>
              <w:left w:val="single" w:sz="4" w:space="0" w:color="auto"/>
              <w:bottom w:val="single" w:sz="4" w:space="0" w:color="auto"/>
              <w:right w:val="single" w:sz="4" w:space="0" w:color="auto"/>
            </w:tcBorders>
            <w:shd w:val="clear" w:color="auto" w:fill="auto"/>
            <w:vAlign w:val="center"/>
          </w:tcPr>
          <w:p>
            <w:pPr>
              <w:jc w:val="right"/>
              <w:rPr>
                <w:noProof/>
                <w:color w:val="333333"/>
                <w:sz w:val="20"/>
                <w:szCs w:val="20"/>
              </w:rPr>
            </w:pPr>
            <w:r>
              <w:rPr>
                <w:noProof/>
                <w:color w:val="333333"/>
                <w:sz w:val="20"/>
                <w:szCs w:val="20"/>
              </w:rPr>
              <w:t>83 498</w:t>
            </w:r>
          </w:p>
        </w:tc>
        <w:tc>
          <w:tcPr>
            <w:tcW w:w="782" w:type="dxa"/>
            <w:tcBorders>
              <w:bottom w:val="single" w:sz="4" w:space="0" w:color="auto"/>
            </w:tcBorders>
            <w:shd w:val="clear" w:color="auto" w:fill="auto"/>
            <w:vAlign w:val="center"/>
          </w:tcPr>
          <w:p>
            <w:pPr>
              <w:jc w:val="center"/>
              <w:rPr>
                <w:noProof/>
                <w:sz w:val="20"/>
                <w:szCs w:val="20"/>
              </w:rPr>
            </w:pPr>
            <w:r>
              <w:rPr>
                <w:noProof/>
                <w:sz w:val="20"/>
                <w:szCs w:val="20"/>
              </w:rPr>
              <w:t>80</w:t>
            </w:r>
          </w:p>
        </w:tc>
      </w:tr>
      <w:tr>
        <w:trPr>
          <w:trHeight w:val="450"/>
        </w:trPr>
        <w:tc>
          <w:tcPr>
            <w:tcW w:w="534" w:type="dxa"/>
            <w:tcBorders>
              <w:left w:val="nil"/>
              <w:bottom w:val="nil"/>
              <w:right w:val="nil"/>
            </w:tcBorders>
            <w:vAlign w:val="center"/>
          </w:tcPr>
          <w:p>
            <w:pPr>
              <w:rPr>
                <w:noProof/>
                <w:sz w:val="20"/>
                <w:szCs w:val="20"/>
              </w:rPr>
            </w:pPr>
          </w:p>
        </w:tc>
        <w:tc>
          <w:tcPr>
            <w:tcW w:w="708" w:type="dxa"/>
            <w:tcBorders>
              <w:left w:val="nil"/>
              <w:bottom w:val="nil"/>
              <w:right w:val="nil"/>
            </w:tcBorders>
            <w:vAlign w:val="center"/>
          </w:tcPr>
          <w:p>
            <w:pPr>
              <w:rPr>
                <w:noProof/>
                <w:sz w:val="20"/>
                <w:szCs w:val="20"/>
              </w:rPr>
            </w:pPr>
          </w:p>
        </w:tc>
        <w:tc>
          <w:tcPr>
            <w:tcW w:w="2127" w:type="dxa"/>
            <w:tcBorders>
              <w:left w:val="nil"/>
              <w:bottom w:val="nil"/>
            </w:tcBorders>
            <w:vAlign w:val="center"/>
          </w:tcPr>
          <w:p>
            <w:pPr>
              <w:rPr>
                <w:noProof/>
                <w:sz w:val="20"/>
                <w:szCs w:val="20"/>
              </w:rPr>
            </w:pPr>
          </w:p>
        </w:tc>
        <w:tc>
          <w:tcPr>
            <w:tcW w:w="4252" w:type="dxa"/>
            <w:shd w:val="clear" w:color="auto" w:fill="D9D9D9" w:themeFill="background1" w:themeFillShade="D9"/>
            <w:vAlign w:val="center"/>
          </w:tcPr>
          <w:p>
            <w:pPr>
              <w:jc w:val="right"/>
              <w:rPr>
                <w:b/>
                <w:noProof/>
                <w:sz w:val="20"/>
                <w:szCs w:val="20"/>
              </w:rPr>
            </w:pPr>
            <w:r>
              <w:rPr>
                <w:b/>
                <w:noProof/>
                <w:sz w:val="20"/>
                <w:szCs w:val="20"/>
              </w:rPr>
              <w:t>TOTAL</w:t>
            </w:r>
          </w:p>
        </w:tc>
        <w:tc>
          <w:tcPr>
            <w:tcW w:w="1559" w:type="dxa"/>
            <w:shd w:val="clear" w:color="auto" w:fill="D9D9D9" w:themeFill="background1" w:themeFillShade="D9"/>
            <w:vAlign w:val="center"/>
          </w:tcPr>
          <w:p>
            <w:pPr>
              <w:jc w:val="right"/>
              <w:rPr>
                <w:b/>
                <w:noProof/>
                <w:sz w:val="20"/>
                <w:szCs w:val="20"/>
              </w:rPr>
            </w:pPr>
            <w:r>
              <w:rPr>
                <w:b/>
                <w:noProof/>
                <w:sz w:val="20"/>
                <w:szCs w:val="20"/>
              </w:rPr>
              <w:t>432 075</w:t>
            </w:r>
          </w:p>
        </w:tc>
        <w:tc>
          <w:tcPr>
            <w:tcW w:w="782" w:type="dxa"/>
            <w:shd w:val="clear" w:color="auto" w:fill="D9D9D9" w:themeFill="background1" w:themeFillShade="D9"/>
            <w:vAlign w:val="center"/>
          </w:tcPr>
          <w:p>
            <w:pPr>
              <w:jc w:val="center"/>
              <w:rPr>
                <w:b/>
                <w:noProof/>
                <w:sz w:val="20"/>
                <w:szCs w:val="20"/>
              </w:rPr>
            </w:pPr>
            <w:r>
              <w:rPr>
                <w:b/>
                <w:noProof/>
                <w:sz w:val="20"/>
                <w:szCs w:val="20"/>
              </w:rPr>
              <w:t>82</w:t>
            </w:r>
          </w:p>
        </w:tc>
      </w:tr>
    </w:tbl>
    <w:p>
      <w:pPr>
        <w:pStyle w:val="Text1"/>
        <w:spacing w:after="240"/>
        <w:ind w:left="0"/>
        <w:rPr>
          <w:noProof/>
          <w:sz w:val="20"/>
          <w:szCs w:val="20"/>
        </w:rPr>
      </w:pPr>
    </w:p>
    <w:p>
      <w:pPr>
        <w:pStyle w:val="Text1"/>
        <w:spacing w:after="240"/>
        <w:ind w:left="0"/>
        <w:rPr>
          <w:noProof/>
          <w:sz w:val="20"/>
          <w:szCs w:val="20"/>
        </w:rPr>
      </w:pPr>
      <w:r>
        <w:rPr>
          <w:noProof/>
          <w:sz w:val="20"/>
          <w:szCs w:val="20"/>
        </w:rPr>
        <w:t xml:space="preserve">Table 8 – </w:t>
      </w:r>
      <w:r>
        <w:rPr>
          <w:b/>
          <w:noProof/>
          <w:sz w:val="20"/>
          <w:szCs w:val="20"/>
        </w:rPr>
        <w:t>LEGAL TRAINING &amp; STUDIES</w:t>
      </w:r>
      <w:r>
        <w:rPr>
          <w:noProof/>
          <w:sz w:val="20"/>
          <w:szCs w:val="20"/>
        </w:rPr>
        <w:t xml:space="preserve"> grants </w:t>
      </w:r>
      <w:r>
        <w:rPr>
          <w:b/>
          <w:noProof/>
          <w:sz w:val="20"/>
          <w:szCs w:val="20"/>
        </w:rPr>
        <w:t>FINALISED</w:t>
      </w:r>
      <w:r>
        <w:rPr>
          <w:noProof/>
          <w:sz w:val="20"/>
          <w:szCs w:val="20"/>
        </w:rPr>
        <w:t xml:space="preserve"> in 2019</w:t>
      </w:r>
    </w:p>
    <w:tbl>
      <w:tblPr>
        <w:tblStyle w:val="TableGrid"/>
        <w:tblW w:w="0" w:type="auto"/>
        <w:tblLook w:val="04A0" w:firstRow="1" w:lastRow="0" w:firstColumn="1" w:lastColumn="0" w:noHBand="0" w:noVBand="1"/>
      </w:tblPr>
      <w:tblGrid>
        <w:gridCol w:w="534"/>
        <w:gridCol w:w="708"/>
        <w:gridCol w:w="2694"/>
        <w:gridCol w:w="3827"/>
        <w:gridCol w:w="1417"/>
        <w:gridCol w:w="894"/>
      </w:tblGrid>
      <w:tr>
        <w:tc>
          <w:tcPr>
            <w:tcW w:w="534" w:type="dxa"/>
            <w:tcBorders>
              <w:top w:val="nil"/>
              <w:left w:val="nil"/>
              <w:bottom w:val="single" w:sz="4" w:space="0" w:color="auto"/>
              <w:right w:val="single" w:sz="4" w:space="0" w:color="auto"/>
            </w:tcBorders>
            <w:vAlign w:val="center"/>
          </w:tcPr>
          <w:p>
            <w:pPr>
              <w:jc w:val="center"/>
              <w:rPr>
                <w:noProof/>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pPr>
              <w:jc w:val="center"/>
              <w:rPr>
                <w:noProof/>
                <w:sz w:val="20"/>
                <w:szCs w:val="20"/>
              </w:rPr>
            </w:pPr>
            <w:r>
              <w:rPr>
                <w:noProof/>
                <w:sz w:val="20"/>
                <w:szCs w:val="20"/>
              </w:rPr>
              <w:t>MS</w:t>
            </w:r>
          </w:p>
        </w:tc>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pPr>
              <w:jc w:val="center"/>
              <w:rPr>
                <w:noProof/>
                <w:sz w:val="20"/>
                <w:szCs w:val="20"/>
              </w:rPr>
            </w:pPr>
            <w:r>
              <w:rPr>
                <w:noProof/>
                <w:sz w:val="20"/>
                <w:szCs w:val="20"/>
              </w:rPr>
              <w:t>Beneficiary</w:t>
            </w:r>
          </w:p>
        </w:tc>
        <w:tc>
          <w:tcPr>
            <w:tcW w:w="38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pPr>
              <w:jc w:val="center"/>
              <w:rPr>
                <w:noProof/>
                <w:sz w:val="20"/>
                <w:szCs w:val="20"/>
              </w:rPr>
            </w:pPr>
            <w:r>
              <w:rPr>
                <w:noProof/>
                <w:sz w:val="20"/>
                <w:szCs w:val="20"/>
              </w:rPr>
              <w:t>Title</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pPr>
              <w:jc w:val="center"/>
              <w:rPr>
                <w:noProof/>
                <w:sz w:val="20"/>
                <w:szCs w:val="20"/>
              </w:rPr>
            </w:pPr>
            <w:r>
              <w:rPr>
                <w:noProof/>
                <w:sz w:val="20"/>
                <w:szCs w:val="20"/>
              </w:rPr>
              <w:t>Amount paid (EUR)</w:t>
            </w:r>
          </w:p>
        </w:tc>
        <w:tc>
          <w:tcPr>
            <w:tcW w:w="78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pPr>
              <w:jc w:val="center"/>
              <w:rPr>
                <w:noProof/>
                <w:sz w:val="20"/>
                <w:szCs w:val="20"/>
              </w:rPr>
            </w:pPr>
            <w:r>
              <w:rPr>
                <w:bCs/>
                <w:noProof/>
                <w:sz w:val="20"/>
                <w:szCs w:val="20"/>
              </w:rPr>
              <w:t>Amount paid as % to initial commit-ment</w:t>
            </w:r>
            <w:r>
              <w:rPr>
                <w:bCs/>
                <w:noProof/>
                <w:sz w:val="20"/>
                <w:szCs w:val="20"/>
                <w:vertAlign w:val="superscript"/>
              </w:rPr>
              <w:footnoteReference w:id="33"/>
            </w:r>
          </w:p>
        </w:tc>
      </w:tr>
      <w:t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pPr>
              <w:jc w:val="center"/>
              <w:rPr>
                <w:noProof/>
                <w:sz w:val="20"/>
                <w:szCs w:val="20"/>
              </w:rPr>
            </w:pPr>
            <w:r>
              <w:rPr>
                <w:noProof/>
                <w:sz w:val="20"/>
                <w:szCs w:val="20"/>
              </w:rPr>
              <w:t>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pPr>
              <w:jc w:val="center"/>
              <w:rPr>
                <w:noProof/>
                <w:sz w:val="20"/>
                <w:szCs w:val="20"/>
              </w:rPr>
            </w:pPr>
            <w:r>
              <w:rPr>
                <w:noProof/>
                <w:sz w:val="20"/>
                <w:szCs w:val="20"/>
              </w:rPr>
              <w:t>NL</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pPr>
              <w:rPr>
                <w:noProof/>
                <w:sz w:val="20"/>
                <w:szCs w:val="20"/>
              </w:rPr>
            </w:pPr>
            <w:r>
              <w:rPr>
                <w:noProof/>
                <w:sz w:val="20"/>
                <w:szCs w:val="20"/>
              </w:rPr>
              <w:t>University of Utrecht</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pPr>
              <w:rPr>
                <w:noProof/>
                <w:sz w:val="20"/>
                <w:szCs w:val="20"/>
                <w:highlight w:val="yellow"/>
              </w:rPr>
            </w:pPr>
            <w:r>
              <w:rPr>
                <w:noProof/>
                <w:sz w:val="20"/>
                <w:szCs w:val="20"/>
              </w:rPr>
              <w:t>OLAF and the EPPO in the new institutional setting for the protection of the financial interests of the EU</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pPr>
              <w:jc w:val="right"/>
              <w:rPr>
                <w:noProof/>
                <w:sz w:val="20"/>
                <w:szCs w:val="20"/>
              </w:rPr>
            </w:pPr>
            <w:r>
              <w:rPr>
                <w:noProof/>
                <w:sz w:val="20"/>
                <w:szCs w:val="20"/>
              </w:rPr>
              <w:t>23 806</w:t>
            </w:r>
          </w:p>
        </w:tc>
        <w:tc>
          <w:tcPr>
            <w:tcW w:w="782" w:type="dxa"/>
            <w:tcBorders>
              <w:top w:val="single" w:sz="4" w:space="0" w:color="auto"/>
              <w:left w:val="single" w:sz="4" w:space="0" w:color="auto"/>
              <w:bottom w:val="single" w:sz="4" w:space="0" w:color="auto"/>
              <w:right w:val="single" w:sz="4" w:space="0" w:color="auto"/>
            </w:tcBorders>
            <w:shd w:val="clear" w:color="auto" w:fill="auto"/>
            <w:vAlign w:val="center"/>
            <w:hideMark/>
          </w:tcPr>
          <w:p>
            <w:pPr>
              <w:jc w:val="center"/>
              <w:rPr>
                <w:noProof/>
                <w:sz w:val="20"/>
                <w:szCs w:val="20"/>
              </w:rPr>
            </w:pPr>
            <w:r>
              <w:rPr>
                <w:noProof/>
                <w:sz w:val="20"/>
                <w:szCs w:val="20"/>
              </w:rPr>
              <w:t>59</w:t>
            </w:r>
          </w:p>
        </w:tc>
      </w:tr>
      <w:tr>
        <w:tc>
          <w:tcPr>
            <w:tcW w:w="534"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pPr>
              <w:jc w:val="center"/>
              <w:rPr>
                <w:noProof/>
                <w:sz w:val="20"/>
                <w:szCs w:val="20"/>
              </w:rPr>
            </w:pPr>
            <w:r>
              <w:rPr>
                <w:noProof/>
                <w:sz w:val="20"/>
                <w:szCs w:val="20"/>
              </w:rPr>
              <w:t>2</w:t>
            </w:r>
          </w:p>
        </w:tc>
        <w:tc>
          <w:tcPr>
            <w:tcW w:w="708"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pPr>
              <w:jc w:val="center"/>
              <w:rPr>
                <w:noProof/>
                <w:sz w:val="20"/>
                <w:szCs w:val="20"/>
              </w:rPr>
            </w:pPr>
            <w:r>
              <w:rPr>
                <w:noProof/>
                <w:sz w:val="20"/>
                <w:szCs w:val="20"/>
              </w:rPr>
              <w:t>DE</w:t>
            </w:r>
          </w:p>
        </w:tc>
        <w:tc>
          <w:tcPr>
            <w:tcW w:w="2694"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pPr>
              <w:rPr>
                <w:noProof/>
                <w:sz w:val="20"/>
                <w:szCs w:val="20"/>
              </w:rPr>
            </w:pPr>
            <w:r>
              <w:rPr>
                <w:noProof/>
                <w:sz w:val="20"/>
                <w:szCs w:val="20"/>
              </w:rPr>
              <w:t xml:space="preserve">European Law Academy </w:t>
            </w:r>
          </w:p>
        </w:tc>
        <w:tc>
          <w:tcPr>
            <w:tcW w:w="3827"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pPr>
              <w:rPr>
                <w:noProof/>
                <w:sz w:val="20"/>
                <w:szCs w:val="20"/>
              </w:rPr>
            </w:pPr>
            <w:r>
              <w:rPr>
                <w:noProof/>
                <w:sz w:val="20"/>
                <w:szCs w:val="20"/>
              </w:rPr>
              <w:t>Understanding each step of the “anti-fraud cycle”: prevention, detection, investigation, sanctioning and recovery to combat the irregularities affecting the financial interests of the European Union</w:t>
            </w:r>
          </w:p>
        </w:tc>
        <w:tc>
          <w:tcPr>
            <w:tcW w:w="1417"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pPr>
              <w:jc w:val="right"/>
              <w:rPr>
                <w:noProof/>
                <w:sz w:val="20"/>
                <w:szCs w:val="20"/>
              </w:rPr>
            </w:pPr>
            <w:r>
              <w:rPr>
                <w:noProof/>
                <w:sz w:val="20"/>
                <w:szCs w:val="20"/>
              </w:rPr>
              <w:t>25 184</w:t>
            </w:r>
          </w:p>
        </w:tc>
        <w:tc>
          <w:tcPr>
            <w:tcW w:w="782"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pPr>
              <w:jc w:val="center"/>
              <w:rPr>
                <w:noProof/>
                <w:sz w:val="20"/>
                <w:szCs w:val="20"/>
              </w:rPr>
            </w:pPr>
            <w:r>
              <w:rPr>
                <w:noProof/>
                <w:sz w:val="20"/>
                <w:szCs w:val="20"/>
              </w:rPr>
              <w:t>60</w:t>
            </w:r>
          </w:p>
        </w:tc>
      </w:tr>
      <w:tr>
        <w:trPr>
          <w:trHeight w:val="431"/>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pPr>
              <w:jc w:val="center"/>
              <w:rPr>
                <w:noProof/>
                <w:sz w:val="20"/>
                <w:szCs w:val="20"/>
              </w:rPr>
            </w:pPr>
            <w:r>
              <w:rPr>
                <w:noProof/>
                <w:sz w:val="20"/>
                <w:szCs w:val="20"/>
              </w:rPr>
              <w:t>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pPr>
              <w:jc w:val="center"/>
              <w:rPr>
                <w:noProof/>
                <w:sz w:val="20"/>
                <w:szCs w:val="20"/>
              </w:rPr>
            </w:pPr>
            <w:r>
              <w:rPr>
                <w:noProof/>
                <w:sz w:val="20"/>
                <w:szCs w:val="20"/>
              </w:rPr>
              <w:t>IT</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pPr>
              <w:rPr>
                <w:noProof/>
                <w:sz w:val="20"/>
                <w:szCs w:val="20"/>
              </w:rPr>
            </w:pPr>
            <w:r>
              <w:rPr>
                <w:noProof/>
                <w:sz w:val="20"/>
                <w:szCs w:val="20"/>
              </w:rPr>
              <w:t xml:space="preserve">University of Modena </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pPr>
              <w:rPr>
                <w:noProof/>
                <w:sz w:val="20"/>
                <w:szCs w:val="20"/>
              </w:rPr>
            </w:pPr>
            <w:r>
              <w:rPr>
                <w:noProof/>
                <w:sz w:val="20"/>
                <w:szCs w:val="20"/>
              </w:rPr>
              <w:t>Europe Against Cyber VAT Frauds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pPr>
              <w:jc w:val="right"/>
              <w:rPr>
                <w:noProof/>
                <w:sz w:val="20"/>
                <w:szCs w:val="20"/>
              </w:rPr>
            </w:pPr>
            <w:r>
              <w:rPr>
                <w:noProof/>
                <w:sz w:val="20"/>
                <w:szCs w:val="20"/>
              </w:rPr>
              <w:t xml:space="preserve">66 323 </w:t>
            </w:r>
          </w:p>
        </w:tc>
        <w:tc>
          <w:tcPr>
            <w:tcW w:w="782" w:type="dxa"/>
            <w:tcBorders>
              <w:top w:val="single" w:sz="4" w:space="0" w:color="auto"/>
              <w:left w:val="single" w:sz="4" w:space="0" w:color="auto"/>
              <w:bottom w:val="single" w:sz="4" w:space="0" w:color="auto"/>
              <w:right w:val="single" w:sz="4" w:space="0" w:color="auto"/>
            </w:tcBorders>
            <w:shd w:val="clear" w:color="auto" w:fill="auto"/>
            <w:vAlign w:val="center"/>
            <w:hideMark/>
          </w:tcPr>
          <w:p>
            <w:pPr>
              <w:jc w:val="center"/>
              <w:rPr>
                <w:noProof/>
                <w:sz w:val="20"/>
                <w:szCs w:val="20"/>
              </w:rPr>
            </w:pPr>
            <w:r>
              <w:rPr>
                <w:noProof/>
                <w:sz w:val="20"/>
                <w:szCs w:val="20"/>
              </w:rPr>
              <w:t>100</w:t>
            </w:r>
          </w:p>
        </w:tc>
      </w:tr>
      <w:tr>
        <w:tc>
          <w:tcPr>
            <w:tcW w:w="534"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pPr>
              <w:jc w:val="center"/>
              <w:rPr>
                <w:noProof/>
                <w:sz w:val="20"/>
                <w:szCs w:val="20"/>
              </w:rPr>
            </w:pPr>
            <w:r>
              <w:rPr>
                <w:noProof/>
                <w:sz w:val="20"/>
                <w:szCs w:val="20"/>
              </w:rPr>
              <w:t>4</w:t>
            </w:r>
          </w:p>
        </w:tc>
        <w:tc>
          <w:tcPr>
            <w:tcW w:w="708"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pPr>
              <w:jc w:val="center"/>
              <w:rPr>
                <w:noProof/>
                <w:sz w:val="20"/>
                <w:szCs w:val="20"/>
              </w:rPr>
            </w:pPr>
            <w:r>
              <w:rPr>
                <w:noProof/>
                <w:sz w:val="20"/>
                <w:szCs w:val="20"/>
              </w:rPr>
              <w:t>HU</w:t>
            </w:r>
          </w:p>
        </w:tc>
        <w:tc>
          <w:tcPr>
            <w:tcW w:w="2694"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pPr>
              <w:rPr>
                <w:noProof/>
                <w:sz w:val="20"/>
                <w:szCs w:val="20"/>
              </w:rPr>
            </w:pPr>
            <w:r>
              <w:rPr>
                <w:noProof/>
                <w:sz w:val="20"/>
                <w:szCs w:val="20"/>
              </w:rPr>
              <w:t>University of Miskolc</w:t>
            </w:r>
          </w:p>
        </w:tc>
        <w:tc>
          <w:tcPr>
            <w:tcW w:w="3827"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pPr>
              <w:rPr>
                <w:noProof/>
                <w:sz w:val="20"/>
                <w:szCs w:val="20"/>
              </w:rPr>
            </w:pPr>
            <w:r>
              <w:rPr>
                <w:noProof/>
                <w:sz w:val="20"/>
                <w:szCs w:val="20"/>
              </w:rPr>
              <w:t>Criminal law protection of the financial interests of the EU – Focusing on money laundering, tax fraud, corruption and on criminal compliance in the national legal systems with reference to cybercrime</w:t>
            </w:r>
          </w:p>
        </w:tc>
        <w:tc>
          <w:tcPr>
            <w:tcW w:w="1417"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pPr>
              <w:jc w:val="right"/>
              <w:rPr>
                <w:noProof/>
                <w:sz w:val="20"/>
                <w:szCs w:val="20"/>
              </w:rPr>
            </w:pPr>
            <w:r>
              <w:rPr>
                <w:noProof/>
                <w:sz w:val="20"/>
                <w:szCs w:val="20"/>
              </w:rPr>
              <w:t>56 985</w:t>
            </w:r>
          </w:p>
        </w:tc>
        <w:tc>
          <w:tcPr>
            <w:tcW w:w="782"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pPr>
              <w:jc w:val="center"/>
              <w:rPr>
                <w:noProof/>
                <w:sz w:val="20"/>
                <w:szCs w:val="20"/>
              </w:rPr>
            </w:pPr>
            <w:r>
              <w:rPr>
                <w:noProof/>
                <w:sz w:val="20"/>
                <w:szCs w:val="20"/>
              </w:rPr>
              <w:t>77</w:t>
            </w:r>
          </w:p>
        </w:tc>
      </w:tr>
      <w:tr>
        <w:trPr>
          <w:trHeight w:val="1463"/>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pPr>
              <w:jc w:val="center"/>
              <w:rPr>
                <w:noProof/>
                <w:sz w:val="20"/>
                <w:szCs w:val="20"/>
              </w:rPr>
            </w:pPr>
            <w:r>
              <w:rPr>
                <w:noProof/>
                <w:sz w:val="20"/>
                <w:szCs w:val="20"/>
              </w:rPr>
              <w:t>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pPr>
              <w:jc w:val="center"/>
              <w:rPr>
                <w:noProof/>
                <w:sz w:val="20"/>
                <w:szCs w:val="20"/>
              </w:rPr>
            </w:pPr>
            <w:r>
              <w:rPr>
                <w:noProof/>
                <w:sz w:val="20"/>
                <w:szCs w:val="20"/>
              </w:rPr>
              <w:t>RO</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pPr>
              <w:rPr>
                <w:noProof/>
                <w:sz w:val="20"/>
                <w:szCs w:val="20"/>
              </w:rPr>
            </w:pPr>
            <w:r>
              <w:rPr>
                <w:noProof/>
                <w:sz w:val="20"/>
                <w:szCs w:val="20"/>
              </w:rPr>
              <w:t>The National Anticorruption Directorate</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pPr>
              <w:rPr>
                <w:noProof/>
                <w:sz w:val="20"/>
                <w:szCs w:val="20"/>
              </w:rPr>
            </w:pPr>
            <w:r>
              <w:rPr>
                <w:noProof/>
                <w:sz w:val="20"/>
                <w:szCs w:val="20"/>
              </w:rPr>
              <w:t>Promoting the protection of the financial interests of the EU by supporting the actions of the member states and the European institutions in the transition towards the EPPO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pPr>
              <w:jc w:val="right"/>
              <w:rPr>
                <w:noProof/>
                <w:sz w:val="20"/>
                <w:szCs w:val="20"/>
              </w:rPr>
            </w:pPr>
            <w:r>
              <w:rPr>
                <w:noProof/>
                <w:sz w:val="20"/>
                <w:szCs w:val="20"/>
              </w:rPr>
              <w:t>35 785</w:t>
            </w:r>
          </w:p>
        </w:tc>
        <w:tc>
          <w:tcPr>
            <w:tcW w:w="782" w:type="dxa"/>
            <w:tcBorders>
              <w:top w:val="single" w:sz="4" w:space="0" w:color="auto"/>
              <w:left w:val="single" w:sz="4" w:space="0" w:color="auto"/>
              <w:bottom w:val="single" w:sz="4" w:space="0" w:color="auto"/>
              <w:right w:val="single" w:sz="4" w:space="0" w:color="auto"/>
            </w:tcBorders>
            <w:shd w:val="clear" w:color="auto" w:fill="auto"/>
            <w:vAlign w:val="center"/>
            <w:hideMark/>
          </w:tcPr>
          <w:p>
            <w:pPr>
              <w:jc w:val="center"/>
              <w:rPr>
                <w:noProof/>
                <w:sz w:val="20"/>
                <w:szCs w:val="20"/>
              </w:rPr>
            </w:pPr>
            <w:r>
              <w:rPr>
                <w:noProof/>
                <w:sz w:val="20"/>
                <w:szCs w:val="20"/>
              </w:rPr>
              <w:t>55</w:t>
            </w:r>
          </w:p>
        </w:tc>
      </w:tr>
      <w:tr>
        <w:trPr>
          <w:trHeight w:val="704"/>
        </w:trPr>
        <w:tc>
          <w:tcPr>
            <w:tcW w:w="534"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pPr>
              <w:jc w:val="center"/>
              <w:rPr>
                <w:noProof/>
                <w:sz w:val="20"/>
                <w:szCs w:val="20"/>
              </w:rPr>
            </w:pPr>
            <w:r>
              <w:rPr>
                <w:noProof/>
                <w:sz w:val="20"/>
                <w:szCs w:val="20"/>
              </w:rPr>
              <w:t>6</w:t>
            </w:r>
          </w:p>
        </w:tc>
        <w:tc>
          <w:tcPr>
            <w:tcW w:w="708"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pPr>
              <w:jc w:val="center"/>
              <w:rPr>
                <w:noProof/>
                <w:sz w:val="20"/>
                <w:szCs w:val="20"/>
              </w:rPr>
            </w:pPr>
            <w:r>
              <w:rPr>
                <w:noProof/>
                <w:sz w:val="20"/>
                <w:szCs w:val="20"/>
              </w:rPr>
              <w:t>LU</w:t>
            </w:r>
          </w:p>
        </w:tc>
        <w:tc>
          <w:tcPr>
            <w:tcW w:w="2694"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pPr>
              <w:rPr>
                <w:noProof/>
                <w:sz w:val="20"/>
                <w:szCs w:val="20"/>
              </w:rPr>
            </w:pPr>
            <w:r>
              <w:rPr>
                <w:noProof/>
                <w:sz w:val="20"/>
                <w:szCs w:val="20"/>
              </w:rPr>
              <w:t>University of Luxembourg</w:t>
            </w:r>
          </w:p>
        </w:tc>
        <w:tc>
          <w:tcPr>
            <w:tcW w:w="3827"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pPr>
              <w:rPr>
                <w:noProof/>
                <w:sz w:val="20"/>
                <w:szCs w:val="20"/>
              </w:rPr>
            </w:pPr>
            <w:r>
              <w:rPr>
                <w:noProof/>
                <w:sz w:val="20"/>
                <w:szCs w:val="20"/>
              </w:rPr>
              <w:t>Admissibility of OLAF final reports as evidence in criminal proceedings</w:t>
            </w:r>
          </w:p>
        </w:tc>
        <w:tc>
          <w:tcPr>
            <w:tcW w:w="1417"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pPr>
              <w:jc w:val="right"/>
              <w:rPr>
                <w:noProof/>
                <w:sz w:val="20"/>
                <w:szCs w:val="20"/>
              </w:rPr>
            </w:pPr>
            <w:r>
              <w:rPr>
                <w:noProof/>
                <w:sz w:val="20"/>
                <w:szCs w:val="20"/>
              </w:rPr>
              <w:t>58 496</w:t>
            </w:r>
          </w:p>
        </w:tc>
        <w:tc>
          <w:tcPr>
            <w:tcW w:w="782"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pPr>
              <w:jc w:val="center"/>
              <w:rPr>
                <w:noProof/>
                <w:sz w:val="20"/>
                <w:szCs w:val="20"/>
              </w:rPr>
            </w:pPr>
            <w:r>
              <w:rPr>
                <w:noProof/>
                <w:sz w:val="20"/>
                <w:szCs w:val="20"/>
              </w:rPr>
              <w:t>75</w:t>
            </w:r>
          </w:p>
        </w:tc>
      </w:tr>
      <w:tr>
        <w:trPr>
          <w:trHeight w:val="155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pPr>
              <w:jc w:val="center"/>
              <w:rPr>
                <w:noProof/>
                <w:sz w:val="20"/>
                <w:szCs w:val="20"/>
              </w:rPr>
            </w:pPr>
            <w:r>
              <w:rPr>
                <w:noProof/>
                <w:sz w:val="20"/>
                <w:szCs w:val="20"/>
              </w:rPr>
              <w:t>7</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pPr>
              <w:jc w:val="center"/>
              <w:rPr>
                <w:noProof/>
                <w:sz w:val="20"/>
                <w:szCs w:val="20"/>
              </w:rPr>
            </w:pPr>
            <w:r>
              <w:rPr>
                <w:noProof/>
                <w:sz w:val="20"/>
                <w:szCs w:val="20"/>
              </w:rPr>
              <w:t>RO</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pPr>
              <w:rPr>
                <w:noProof/>
                <w:sz w:val="20"/>
                <w:szCs w:val="20"/>
              </w:rPr>
            </w:pPr>
            <w:r>
              <w:rPr>
                <w:noProof/>
                <w:sz w:val="20"/>
                <w:szCs w:val="20"/>
              </w:rPr>
              <w:t>“Alexandru Ioan Cuza” Police Academy</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pPr>
              <w:rPr>
                <w:noProof/>
                <w:sz w:val="20"/>
                <w:szCs w:val="20"/>
              </w:rPr>
            </w:pPr>
            <w:r>
              <w:rPr>
                <w:noProof/>
                <w:sz w:val="20"/>
                <w:szCs w:val="20"/>
              </w:rPr>
              <w:t>Developing the capacity to prevent and investigate situations of incompatibility and conflict of interest affecting the financial interests of the European Union</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pPr>
              <w:jc w:val="right"/>
              <w:rPr>
                <w:noProof/>
                <w:sz w:val="20"/>
                <w:szCs w:val="20"/>
              </w:rPr>
            </w:pPr>
            <w:r>
              <w:rPr>
                <w:noProof/>
                <w:sz w:val="20"/>
                <w:szCs w:val="20"/>
              </w:rPr>
              <w:t>22 799</w:t>
            </w:r>
          </w:p>
        </w:tc>
        <w:tc>
          <w:tcPr>
            <w:tcW w:w="782" w:type="dxa"/>
            <w:tcBorders>
              <w:top w:val="single" w:sz="4" w:space="0" w:color="auto"/>
              <w:left w:val="single" w:sz="4" w:space="0" w:color="auto"/>
              <w:bottom w:val="single" w:sz="4" w:space="0" w:color="auto"/>
              <w:right w:val="single" w:sz="4" w:space="0" w:color="auto"/>
            </w:tcBorders>
            <w:shd w:val="clear" w:color="auto" w:fill="auto"/>
            <w:vAlign w:val="center"/>
            <w:hideMark/>
          </w:tcPr>
          <w:p>
            <w:pPr>
              <w:jc w:val="center"/>
              <w:rPr>
                <w:noProof/>
                <w:sz w:val="20"/>
                <w:szCs w:val="20"/>
              </w:rPr>
            </w:pPr>
            <w:r>
              <w:rPr>
                <w:noProof/>
                <w:sz w:val="20"/>
                <w:szCs w:val="20"/>
              </w:rPr>
              <w:t>54</w:t>
            </w:r>
          </w:p>
        </w:tc>
      </w:tr>
      <w:tr>
        <w:trPr>
          <w:trHeight w:val="409"/>
        </w:trPr>
        <w:tc>
          <w:tcPr>
            <w:tcW w:w="534" w:type="dxa"/>
            <w:tcBorders>
              <w:top w:val="single" w:sz="4" w:space="0" w:color="auto"/>
              <w:left w:val="nil"/>
              <w:bottom w:val="nil"/>
              <w:right w:val="nil"/>
            </w:tcBorders>
            <w:vAlign w:val="center"/>
          </w:tcPr>
          <w:p>
            <w:pPr>
              <w:rPr>
                <w:noProof/>
                <w:sz w:val="20"/>
                <w:szCs w:val="20"/>
              </w:rPr>
            </w:pPr>
          </w:p>
        </w:tc>
        <w:tc>
          <w:tcPr>
            <w:tcW w:w="708" w:type="dxa"/>
            <w:tcBorders>
              <w:top w:val="single" w:sz="4" w:space="0" w:color="auto"/>
              <w:left w:val="nil"/>
              <w:bottom w:val="nil"/>
              <w:right w:val="nil"/>
            </w:tcBorders>
            <w:vAlign w:val="center"/>
          </w:tcPr>
          <w:p>
            <w:pPr>
              <w:jc w:val="center"/>
              <w:rPr>
                <w:noProof/>
                <w:sz w:val="20"/>
                <w:szCs w:val="20"/>
              </w:rPr>
            </w:pPr>
          </w:p>
        </w:tc>
        <w:tc>
          <w:tcPr>
            <w:tcW w:w="2694" w:type="dxa"/>
            <w:tcBorders>
              <w:top w:val="single" w:sz="4" w:space="0" w:color="auto"/>
              <w:left w:val="nil"/>
              <w:bottom w:val="nil"/>
              <w:right w:val="single" w:sz="4" w:space="0" w:color="auto"/>
            </w:tcBorders>
            <w:vAlign w:val="center"/>
          </w:tcPr>
          <w:p>
            <w:pPr>
              <w:rPr>
                <w:noProof/>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pPr>
              <w:jc w:val="right"/>
              <w:rPr>
                <w:b/>
                <w:noProof/>
                <w:sz w:val="20"/>
                <w:szCs w:val="20"/>
              </w:rPr>
            </w:pPr>
            <w:r>
              <w:rPr>
                <w:b/>
                <w:noProof/>
                <w:sz w:val="20"/>
                <w:szCs w:val="20"/>
              </w:rPr>
              <w:t>TOTAL</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pPr>
              <w:jc w:val="right"/>
              <w:rPr>
                <w:b/>
                <w:noProof/>
                <w:sz w:val="20"/>
                <w:szCs w:val="20"/>
              </w:rPr>
            </w:pPr>
            <w:r>
              <w:rPr>
                <w:b/>
                <w:noProof/>
                <w:sz w:val="20"/>
                <w:szCs w:val="20"/>
              </w:rPr>
              <w:t>289 378</w:t>
            </w:r>
          </w:p>
        </w:tc>
        <w:tc>
          <w:tcPr>
            <w:tcW w:w="78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pPr>
              <w:jc w:val="center"/>
              <w:rPr>
                <w:noProof/>
                <w:sz w:val="20"/>
                <w:szCs w:val="20"/>
              </w:rPr>
            </w:pPr>
            <w:r>
              <w:rPr>
                <w:noProof/>
                <w:sz w:val="20"/>
                <w:szCs w:val="20"/>
              </w:rPr>
              <w:t>71</w:t>
            </w:r>
          </w:p>
        </w:tc>
      </w:tr>
    </w:tbl>
    <w:p>
      <w:pPr>
        <w:rPr>
          <w:noProof/>
          <w:sz w:val="20"/>
          <w:szCs w:val="20"/>
        </w:rPr>
      </w:pPr>
    </w:p>
    <w:p>
      <w:pPr>
        <w:rPr>
          <w:noProof/>
          <w:sz w:val="20"/>
          <w:szCs w:val="20"/>
        </w:rPr>
      </w:pPr>
    </w:p>
    <w:p>
      <w:pPr>
        <w:rPr>
          <w:noProof/>
          <w:sz w:val="20"/>
          <w:szCs w:val="20"/>
        </w:rPr>
      </w:pPr>
    </w:p>
    <w:p>
      <w:pPr>
        <w:rPr>
          <w:noProof/>
          <w:sz w:val="20"/>
          <w:szCs w:val="20"/>
        </w:rPr>
      </w:pPr>
    </w:p>
    <w:p>
      <w:pPr>
        <w:rPr>
          <w:noProof/>
          <w:sz w:val="20"/>
          <w:szCs w:val="20"/>
        </w:rPr>
      </w:pPr>
    </w:p>
    <w:p>
      <w:pPr>
        <w:rPr>
          <w:noProof/>
          <w:sz w:val="20"/>
          <w:szCs w:val="20"/>
        </w:rPr>
      </w:pPr>
    </w:p>
    <w:p>
      <w:pPr>
        <w:rPr>
          <w:noProof/>
          <w:sz w:val="20"/>
          <w:szCs w:val="20"/>
        </w:rPr>
      </w:pPr>
    </w:p>
    <w:p>
      <w:pPr>
        <w:rPr>
          <w:noProof/>
          <w:sz w:val="20"/>
          <w:szCs w:val="20"/>
          <w:highlight w:val="green"/>
        </w:rPr>
      </w:pPr>
    </w:p>
    <w:p>
      <w:pPr>
        <w:rPr>
          <w:noProof/>
          <w:sz w:val="20"/>
          <w:szCs w:val="20"/>
        </w:rPr>
      </w:pPr>
      <w:r>
        <w:rPr>
          <w:noProof/>
          <w:sz w:val="20"/>
          <w:szCs w:val="20"/>
        </w:rPr>
        <w:t xml:space="preserve">Table 9 </w:t>
      </w:r>
      <w:r>
        <w:rPr>
          <w:b/>
          <w:noProof/>
          <w:sz w:val="20"/>
          <w:szCs w:val="20"/>
        </w:rPr>
        <w:t>– GLOBAL OVERVIEW</w:t>
      </w:r>
      <w:r>
        <w:rPr>
          <w:noProof/>
          <w:sz w:val="20"/>
          <w:szCs w:val="20"/>
        </w:rPr>
        <w:t xml:space="preserve"> per country of awarded grants and rejected applications in 2019</w:t>
      </w:r>
    </w:p>
    <w:tbl>
      <w:tblPr>
        <w:tblStyle w:val="TableGrid"/>
        <w:tblW w:w="0" w:type="auto"/>
        <w:tblLook w:val="04A0" w:firstRow="1" w:lastRow="0" w:firstColumn="1" w:lastColumn="0" w:noHBand="0" w:noVBand="1"/>
      </w:tblPr>
      <w:tblGrid>
        <w:gridCol w:w="3227"/>
        <w:gridCol w:w="1276"/>
        <w:gridCol w:w="1275"/>
        <w:gridCol w:w="2127"/>
        <w:gridCol w:w="1984"/>
      </w:tblGrid>
      <w:tr>
        <w:trPr>
          <w:trHeight w:val="1172"/>
        </w:trPr>
        <w:tc>
          <w:tcPr>
            <w:tcW w:w="3227" w:type="dxa"/>
            <w:tcBorders>
              <w:top w:val="nil"/>
              <w:left w:val="nil"/>
            </w:tcBorders>
            <w:vAlign w:val="center"/>
          </w:tcPr>
          <w:p>
            <w:pPr>
              <w:rPr>
                <w:b/>
                <w:bCs/>
                <w:noProof/>
                <w:sz w:val="20"/>
                <w:szCs w:val="20"/>
              </w:rPr>
            </w:pPr>
          </w:p>
        </w:tc>
        <w:tc>
          <w:tcPr>
            <w:tcW w:w="1276" w:type="dxa"/>
            <w:tcBorders>
              <w:bottom w:val="single" w:sz="4" w:space="0" w:color="auto"/>
            </w:tcBorders>
            <w:shd w:val="clear" w:color="auto" w:fill="F2F2F2" w:themeFill="background1" w:themeFillShade="F2"/>
            <w:vAlign w:val="center"/>
          </w:tcPr>
          <w:p>
            <w:pPr>
              <w:jc w:val="center"/>
              <w:rPr>
                <w:noProof/>
                <w:sz w:val="20"/>
                <w:szCs w:val="20"/>
              </w:rPr>
            </w:pPr>
            <w:r>
              <w:rPr>
                <w:noProof/>
                <w:sz w:val="20"/>
                <w:szCs w:val="20"/>
              </w:rPr>
              <w:t>Number of applications received</w:t>
            </w:r>
          </w:p>
        </w:tc>
        <w:tc>
          <w:tcPr>
            <w:tcW w:w="1275" w:type="dxa"/>
            <w:tcBorders>
              <w:bottom w:val="single" w:sz="4" w:space="0" w:color="auto"/>
            </w:tcBorders>
            <w:shd w:val="clear" w:color="auto" w:fill="F2F2F2" w:themeFill="background1" w:themeFillShade="F2"/>
            <w:vAlign w:val="center"/>
          </w:tcPr>
          <w:p>
            <w:pPr>
              <w:jc w:val="center"/>
              <w:rPr>
                <w:noProof/>
                <w:sz w:val="20"/>
                <w:szCs w:val="20"/>
              </w:rPr>
            </w:pPr>
            <w:r>
              <w:rPr>
                <w:noProof/>
                <w:sz w:val="20"/>
                <w:szCs w:val="20"/>
              </w:rPr>
              <w:t>Number of awarded grants</w:t>
            </w:r>
          </w:p>
        </w:tc>
        <w:tc>
          <w:tcPr>
            <w:tcW w:w="2127" w:type="dxa"/>
            <w:tcBorders>
              <w:bottom w:val="single" w:sz="4" w:space="0" w:color="auto"/>
            </w:tcBorders>
            <w:shd w:val="clear" w:color="auto" w:fill="F2F2F2" w:themeFill="background1" w:themeFillShade="F2"/>
            <w:vAlign w:val="center"/>
          </w:tcPr>
          <w:p>
            <w:pPr>
              <w:jc w:val="center"/>
              <w:rPr>
                <w:noProof/>
                <w:sz w:val="20"/>
                <w:szCs w:val="20"/>
              </w:rPr>
            </w:pPr>
            <w:r>
              <w:rPr>
                <w:noProof/>
                <w:sz w:val="20"/>
                <w:szCs w:val="20"/>
              </w:rPr>
              <w:t>Grants requested (EUR)</w:t>
            </w:r>
          </w:p>
        </w:tc>
        <w:tc>
          <w:tcPr>
            <w:tcW w:w="1984" w:type="dxa"/>
            <w:tcBorders>
              <w:bottom w:val="single" w:sz="4" w:space="0" w:color="auto"/>
            </w:tcBorders>
            <w:shd w:val="clear" w:color="auto" w:fill="F2F2F2" w:themeFill="background1" w:themeFillShade="F2"/>
            <w:vAlign w:val="center"/>
          </w:tcPr>
          <w:p>
            <w:pPr>
              <w:jc w:val="center"/>
              <w:rPr>
                <w:noProof/>
                <w:sz w:val="20"/>
                <w:szCs w:val="20"/>
              </w:rPr>
            </w:pPr>
            <w:r>
              <w:rPr>
                <w:noProof/>
                <w:sz w:val="20"/>
                <w:szCs w:val="20"/>
              </w:rPr>
              <w:t>Grants awarded</w:t>
            </w:r>
          </w:p>
          <w:p>
            <w:pPr>
              <w:jc w:val="center"/>
              <w:rPr>
                <w:noProof/>
                <w:sz w:val="20"/>
                <w:szCs w:val="20"/>
              </w:rPr>
            </w:pPr>
            <w:r>
              <w:rPr>
                <w:noProof/>
                <w:sz w:val="20"/>
                <w:szCs w:val="20"/>
              </w:rPr>
              <w:t>(EUR)</w:t>
            </w:r>
          </w:p>
        </w:tc>
      </w:tr>
      <w:tr>
        <w:trPr>
          <w:trHeight w:val="753"/>
        </w:trPr>
        <w:tc>
          <w:tcPr>
            <w:tcW w:w="3227" w:type="dxa"/>
            <w:shd w:val="clear" w:color="auto" w:fill="DDD9C3" w:themeFill="background2" w:themeFillShade="E6"/>
            <w:vAlign w:val="center"/>
            <w:hideMark/>
          </w:tcPr>
          <w:p>
            <w:pPr>
              <w:jc w:val="center"/>
              <w:rPr>
                <w:b/>
                <w:bCs/>
                <w:noProof/>
                <w:sz w:val="20"/>
                <w:szCs w:val="20"/>
              </w:rPr>
            </w:pPr>
            <w:r>
              <w:rPr>
                <w:b/>
                <w:bCs/>
                <w:noProof/>
                <w:sz w:val="20"/>
                <w:szCs w:val="20"/>
              </w:rPr>
              <w:t>TECHNICAL ASSISTANCE 2019</w:t>
            </w:r>
          </w:p>
        </w:tc>
        <w:tc>
          <w:tcPr>
            <w:tcW w:w="1276" w:type="dxa"/>
            <w:shd w:val="clear" w:color="auto" w:fill="DDD9C3" w:themeFill="background2" w:themeFillShade="E6"/>
            <w:vAlign w:val="center"/>
            <w:hideMark/>
          </w:tcPr>
          <w:p>
            <w:pPr>
              <w:jc w:val="center"/>
              <w:rPr>
                <w:b/>
                <w:bCs/>
                <w:noProof/>
                <w:sz w:val="20"/>
                <w:szCs w:val="20"/>
              </w:rPr>
            </w:pPr>
            <w:r>
              <w:rPr>
                <w:b/>
                <w:bCs/>
                <w:noProof/>
                <w:sz w:val="20"/>
                <w:szCs w:val="20"/>
              </w:rPr>
              <w:t>43</w:t>
            </w:r>
          </w:p>
        </w:tc>
        <w:tc>
          <w:tcPr>
            <w:tcW w:w="1275" w:type="dxa"/>
            <w:shd w:val="clear" w:color="auto" w:fill="DDD9C3" w:themeFill="background2" w:themeFillShade="E6"/>
            <w:vAlign w:val="center"/>
            <w:hideMark/>
          </w:tcPr>
          <w:p>
            <w:pPr>
              <w:jc w:val="center"/>
              <w:rPr>
                <w:b/>
                <w:bCs/>
                <w:noProof/>
                <w:sz w:val="20"/>
                <w:szCs w:val="20"/>
              </w:rPr>
            </w:pPr>
            <w:r>
              <w:rPr>
                <w:b/>
                <w:bCs/>
                <w:noProof/>
                <w:sz w:val="20"/>
                <w:szCs w:val="20"/>
              </w:rPr>
              <w:t>13</w:t>
            </w:r>
          </w:p>
        </w:tc>
        <w:tc>
          <w:tcPr>
            <w:tcW w:w="2127" w:type="dxa"/>
            <w:shd w:val="clear" w:color="auto" w:fill="DDD9C3" w:themeFill="background2" w:themeFillShade="E6"/>
            <w:vAlign w:val="center"/>
            <w:hideMark/>
          </w:tcPr>
          <w:p>
            <w:pPr>
              <w:jc w:val="right"/>
              <w:rPr>
                <w:b/>
                <w:bCs/>
                <w:noProof/>
                <w:sz w:val="20"/>
                <w:szCs w:val="20"/>
              </w:rPr>
            </w:pPr>
            <w:r>
              <w:rPr>
                <w:b/>
                <w:bCs/>
                <w:noProof/>
                <w:sz w:val="20"/>
                <w:szCs w:val="20"/>
              </w:rPr>
              <w:t xml:space="preserve">36 003 542 </w:t>
            </w:r>
          </w:p>
        </w:tc>
        <w:tc>
          <w:tcPr>
            <w:tcW w:w="1984" w:type="dxa"/>
            <w:shd w:val="clear" w:color="auto" w:fill="DDD9C3" w:themeFill="background2" w:themeFillShade="E6"/>
            <w:vAlign w:val="center"/>
            <w:hideMark/>
          </w:tcPr>
          <w:p>
            <w:pPr>
              <w:jc w:val="right"/>
              <w:rPr>
                <w:b/>
                <w:bCs/>
                <w:noProof/>
                <w:sz w:val="20"/>
                <w:szCs w:val="20"/>
              </w:rPr>
            </w:pPr>
            <w:r>
              <w:rPr>
                <w:b/>
                <w:bCs/>
                <w:noProof/>
                <w:sz w:val="20"/>
                <w:szCs w:val="20"/>
              </w:rPr>
              <w:t>10 901 200</w:t>
            </w:r>
          </w:p>
        </w:tc>
      </w:tr>
      <w:tr>
        <w:trPr>
          <w:trHeight w:val="255"/>
        </w:trPr>
        <w:tc>
          <w:tcPr>
            <w:tcW w:w="3227" w:type="dxa"/>
            <w:vAlign w:val="center"/>
            <w:hideMark/>
          </w:tcPr>
          <w:p>
            <w:pPr>
              <w:rPr>
                <w:noProof/>
                <w:sz w:val="20"/>
                <w:szCs w:val="20"/>
              </w:rPr>
            </w:pPr>
            <w:r>
              <w:rPr>
                <w:noProof/>
                <w:sz w:val="20"/>
                <w:szCs w:val="20"/>
              </w:rPr>
              <w:t>Belgium</w:t>
            </w:r>
          </w:p>
        </w:tc>
        <w:tc>
          <w:tcPr>
            <w:tcW w:w="1276" w:type="dxa"/>
            <w:vAlign w:val="center"/>
            <w:hideMark/>
          </w:tcPr>
          <w:p>
            <w:pPr>
              <w:jc w:val="center"/>
              <w:rPr>
                <w:noProof/>
                <w:sz w:val="20"/>
                <w:szCs w:val="20"/>
              </w:rPr>
            </w:pPr>
            <w:r>
              <w:rPr>
                <w:noProof/>
                <w:sz w:val="20"/>
                <w:szCs w:val="20"/>
              </w:rPr>
              <w:t>2</w:t>
            </w:r>
          </w:p>
        </w:tc>
        <w:tc>
          <w:tcPr>
            <w:tcW w:w="1275" w:type="dxa"/>
            <w:vAlign w:val="center"/>
            <w:hideMark/>
          </w:tcPr>
          <w:p>
            <w:pPr>
              <w:jc w:val="center"/>
              <w:rPr>
                <w:noProof/>
                <w:sz w:val="20"/>
                <w:szCs w:val="20"/>
              </w:rPr>
            </w:pPr>
            <w:r>
              <w:rPr>
                <w:noProof/>
                <w:sz w:val="20"/>
                <w:szCs w:val="20"/>
              </w:rPr>
              <w:t>1</w:t>
            </w:r>
          </w:p>
        </w:tc>
        <w:tc>
          <w:tcPr>
            <w:tcW w:w="2127" w:type="dxa"/>
            <w:vAlign w:val="center"/>
            <w:hideMark/>
          </w:tcPr>
          <w:p>
            <w:pPr>
              <w:jc w:val="right"/>
              <w:rPr>
                <w:noProof/>
                <w:sz w:val="20"/>
                <w:szCs w:val="20"/>
              </w:rPr>
            </w:pPr>
            <w:r>
              <w:rPr>
                <w:noProof/>
                <w:sz w:val="20"/>
                <w:szCs w:val="20"/>
              </w:rPr>
              <w:t>1 183 440</w:t>
            </w:r>
          </w:p>
        </w:tc>
        <w:tc>
          <w:tcPr>
            <w:tcW w:w="1984" w:type="dxa"/>
            <w:vAlign w:val="center"/>
            <w:hideMark/>
          </w:tcPr>
          <w:p>
            <w:pPr>
              <w:jc w:val="right"/>
              <w:rPr>
                <w:noProof/>
                <w:sz w:val="20"/>
                <w:szCs w:val="20"/>
              </w:rPr>
            </w:pPr>
            <w:r>
              <w:rPr>
                <w:noProof/>
                <w:sz w:val="20"/>
                <w:szCs w:val="20"/>
              </w:rPr>
              <w:t xml:space="preserve">930 441 </w:t>
            </w:r>
          </w:p>
        </w:tc>
      </w:tr>
      <w:tr>
        <w:trPr>
          <w:trHeight w:val="255"/>
        </w:trPr>
        <w:tc>
          <w:tcPr>
            <w:tcW w:w="3227" w:type="dxa"/>
            <w:shd w:val="clear" w:color="auto" w:fill="EEECE1" w:themeFill="background2"/>
            <w:vAlign w:val="center"/>
            <w:hideMark/>
          </w:tcPr>
          <w:p>
            <w:pPr>
              <w:rPr>
                <w:noProof/>
                <w:sz w:val="20"/>
                <w:szCs w:val="20"/>
              </w:rPr>
            </w:pPr>
            <w:r>
              <w:rPr>
                <w:noProof/>
                <w:sz w:val="20"/>
                <w:szCs w:val="20"/>
              </w:rPr>
              <w:t>Bulgaria</w:t>
            </w:r>
          </w:p>
        </w:tc>
        <w:tc>
          <w:tcPr>
            <w:tcW w:w="1276" w:type="dxa"/>
            <w:shd w:val="clear" w:color="auto" w:fill="EEECE1" w:themeFill="background2"/>
            <w:vAlign w:val="center"/>
            <w:hideMark/>
          </w:tcPr>
          <w:p>
            <w:pPr>
              <w:jc w:val="center"/>
              <w:rPr>
                <w:noProof/>
                <w:sz w:val="20"/>
                <w:szCs w:val="20"/>
              </w:rPr>
            </w:pPr>
            <w:r>
              <w:rPr>
                <w:noProof/>
                <w:sz w:val="20"/>
                <w:szCs w:val="20"/>
              </w:rPr>
              <w:t>2</w:t>
            </w:r>
          </w:p>
        </w:tc>
        <w:tc>
          <w:tcPr>
            <w:tcW w:w="1275" w:type="dxa"/>
            <w:shd w:val="clear" w:color="auto" w:fill="EEECE1" w:themeFill="background2"/>
            <w:vAlign w:val="center"/>
            <w:hideMark/>
          </w:tcPr>
          <w:p>
            <w:pPr>
              <w:jc w:val="center"/>
              <w:rPr>
                <w:noProof/>
                <w:sz w:val="20"/>
                <w:szCs w:val="20"/>
              </w:rPr>
            </w:pPr>
            <w:r>
              <w:rPr>
                <w:noProof/>
                <w:sz w:val="20"/>
                <w:szCs w:val="20"/>
              </w:rPr>
              <w:t>0</w:t>
            </w:r>
          </w:p>
        </w:tc>
        <w:tc>
          <w:tcPr>
            <w:tcW w:w="2127" w:type="dxa"/>
            <w:shd w:val="clear" w:color="auto" w:fill="EEECE1" w:themeFill="background2"/>
            <w:vAlign w:val="center"/>
            <w:hideMark/>
          </w:tcPr>
          <w:p>
            <w:pPr>
              <w:jc w:val="right"/>
              <w:rPr>
                <w:noProof/>
                <w:sz w:val="20"/>
                <w:szCs w:val="20"/>
              </w:rPr>
            </w:pPr>
            <w:r>
              <w:rPr>
                <w:noProof/>
                <w:sz w:val="20"/>
                <w:szCs w:val="20"/>
              </w:rPr>
              <w:t xml:space="preserve">1 055 579 </w:t>
            </w:r>
          </w:p>
        </w:tc>
        <w:tc>
          <w:tcPr>
            <w:tcW w:w="1984" w:type="dxa"/>
            <w:shd w:val="clear" w:color="auto" w:fill="EEECE1" w:themeFill="background2"/>
            <w:vAlign w:val="center"/>
            <w:hideMark/>
          </w:tcPr>
          <w:p>
            <w:pPr>
              <w:jc w:val="right"/>
              <w:rPr>
                <w:noProof/>
                <w:sz w:val="20"/>
                <w:szCs w:val="20"/>
              </w:rPr>
            </w:pPr>
          </w:p>
        </w:tc>
      </w:tr>
      <w:tr>
        <w:trPr>
          <w:trHeight w:val="255"/>
        </w:trPr>
        <w:tc>
          <w:tcPr>
            <w:tcW w:w="3227" w:type="dxa"/>
            <w:vAlign w:val="center"/>
            <w:hideMark/>
          </w:tcPr>
          <w:p>
            <w:pPr>
              <w:rPr>
                <w:noProof/>
                <w:sz w:val="20"/>
                <w:szCs w:val="20"/>
              </w:rPr>
            </w:pPr>
            <w:r>
              <w:rPr>
                <w:noProof/>
                <w:sz w:val="20"/>
                <w:szCs w:val="20"/>
              </w:rPr>
              <w:t>Croatia</w:t>
            </w:r>
          </w:p>
        </w:tc>
        <w:tc>
          <w:tcPr>
            <w:tcW w:w="1276" w:type="dxa"/>
            <w:vAlign w:val="center"/>
            <w:hideMark/>
          </w:tcPr>
          <w:p>
            <w:pPr>
              <w:jc w:val="center"/>
              <w:rPr>
                <w:noProof/>
                <w:sz w:val="20"/>
                <w:szCs w:val="20"/>
              </w:rPr>
            </w:pPr>
            <w:r>
              <w:rPr>
                <w:noProof/>
                <w:sz w:val="20"/>
                <w:szCs w:val="20"/>
              </w:rPr>
              <w:t>2</w:t>
            </w:r>
          </w:p>
        </w:tc>
        <w:tc>
          <w:tcPr>
            <w:tcW w:w="1275" w:type="dxa"/>
            <w:vAlign w:val="center"/>
            <w:hideMark/>
          </w:tcPr>
          <w:p>
            <w:pPr>
              <w:jc w:val="center"/>
              <w:rPr>
                <w:noProof/>
                <w:sz w:val="20"/>
                <w:szCs w:val="20"/>
              </w:rPr>
            </w:pPr>
            <w:r>
              <w:rPr>
                <w:noProof/>
                <w:sz w:val="20"/>
                <w:szCs w:val="20"/>
              </w:rPr>
              <w:t>1</w:t>
            </w:r>
          </w:p>
        </w:tc>
        <w:tc>
          <w:tcPr>
            <w:tcW w:w="2127" w:type="dxa"/>
            <w:vAlign w:val="center"/>
            <w:hideMark/>
          </w:tcPr>
          <w:p>
            <w:pPr>
              <w:jc w:val="right"/>
              <w:rPr>
                <w:noProof/>
                <w:sz w:val="20"/>
                <w:szCs w:val="20"/>
              </w:rPr>
            </w:pPr>
            <w:r>
              <w:rPr>
                <w:noProof/>
                <w:sz w:val="20"/>
                <w:szCs w:val="20"/>
              </w:rPr>
              <w:t xml:space="preserve">2 200 758 </w:t>
            </w:r>
          </w:p>
        </w:tc>
        <w:tc>
          <w:tcPr>
            <w:tcW w:w="1984" w:type="dxa"/>
            <w:vAlign w:val="center"/>
            <w:hideMark/>
          </w:tcPr>
          <w:p>
            <w:pPr>
              <w:jc w:val="right"/>
              <w:rPr>
                <w:noProof/>
                <w:sz w:val="20"/>
                <w:szCs w:val="20"/>
              </w:rPr>
            </w:pPr>
            <w:r>
              <w:rPr>
                <w:noProof/>
                <w:sz w:val="20"/>
                <w:szCs w:val="20"/>
              </w:rPr>
              <w:t xml:space="preserve">873 600 </w:t>
            </w:r>
          </w:p>
        </w:tc>
      </w:tr>
      <w:tr>
        <w:trPr>
          <w:trHeight w:val="255"/>
        </w:trPr>
        <w:tc>
          <w:tcPr>
            <w:tcW w:w="3227" w:type="dxa"/>
            <w:shd w:val="clear" w:color="auto" w:fill="EEECE1" w:themeFill="background2"/>
            <w:vAlign w:val="center"/>
            <w:hideMark/>
          </w:tcPr>
          <w:p>
            <w:pPr>
              <w:rPr>
                <w:noProof/>
                <w:sz w:val="20"/>
                <w:szCs w:val="20"/>
              </w:rPr>
            </w:pPr>
            <w:r>
              <w:rPr>
                <w:noProof/>
                <w:sz w:val="20"/>
                <w:szCs w:val="20"/>
              </w:rPr>
              <w:t>Czech Republic</w:t>
            </w:r>
          </w:p>
        </w:tc>
        <w:tc>
          <w:tcPr>
            <w:tcW w:w="1276" w:type="dxa"/>
            <w:shd w:val="clear" w:color="auto" w:fill="EEECE1" w:themeFill="background2"/>
            <w:vAlign w:val="center"/>
            <w:hideMark/>
          </w:tcPr>
          <w:p>
            <w:pPr>
              <w:jc w:val="center"/>
              <w:rPr>
                <w:noProof/>
                <w:sz w:val="20"/>
                <w:szCs w:val="20"/>
              </w:rPr>
            </w:pPr>
            <w:r>
              <w:rPr>
                <w:noProof/>
                <w:sz w:val="20"/>
                <w:szCs w:val="20"/>
              </w:rPr>
              <w:t>1</w:t>
            </w:r>
          </w:p>
        </w:tc>
        <w:tc>
          <w:tcPr>
            <w:tcW w:w="1275" w:type="dxa"/>
            <w:shd w:val="clear" w:color="auto" w:fill="EEECE1" w:themeFill="background2"/>
            <w:vAlign w:val="center"/>
            <w:hideMark/>
          </w:tcPr>
          <w:p>
            <w:pPr>
              <w:jc w:val="center"/>
              <w:rPr>
                <w:noProof/>
                <w:sz w:val="20"/>
                <w:szCs w:val="20"/>
              </w:rPr>
            </w:pPr>
            <w:r>
              <w:rPr>
                <w:noProof/>
                <w:sz w:val="20"/>
                <w:szCs w:val="20"/>
              </w:rPr>
              <w:t>1</w:t>
            </w:r>
          </w:p>
        </w:tc>
        <w:tc>
          <w:tcPr>
            <w:tcW w:w="2127" w:type="dxa"/>
            <w:shd w:val="clear" w:color="auto" w:fill="EEECE1" w:themeFill="background2"/>
            <w:vAlign w:val="center"/>
            <w:hideMark/>
          </w:tcPr>
          <w:p>
            <w:pPr>
              <w:jc w:val="right"/>
              <w:rPr>
                <w:noProof/>
                <w:sz w:val="20"/>
                <w:szCs w:val="20"/>
              </w:rPr>
            </w:pPr>
            <w:r>
              <w:rPr>
                <w:noProof/>
                <w:sz w:val="20"/>
                <w:szCs w:val="20"/>
              </w:rPr>
              <w:t xml:space="preserve">269 640 </w:t>
            </w:r>
          </w:p>
        </w:tc>
        <w:tc>
          <w:tcPr>
            <w:tcW w:w="1984" w:type="dxa"/>
            <w:shd w:val="clear" w:color="auto" w:fill="EEECE1" w:themeFill="background2"/>
            <w:vAlign w:val="center"/>
            <w:hideMark/>
          </w:tcPr>
          <w:p>
            <w:pPr>
              <w:jc w:val="right"/>
              <w:rPr>
                <w:noProof/>
                <w:sz w:val="20"/>
                <w:szCs w:val="20"/>
              </w:rPr>
            </w:pPr>
            <w:r>
              <w:rPr>
                <w:noProof/>
                <w:sz w:val="20"/>
                <w:szCs w:val="20"/>
              </w:rPr>
              <w:t xml:space="preserve">252 000 </w:t>
            </w:r>
          </w:p>
        </w:tc>
      </w:tr>
      <w:tr>
        <w:trPr>
          <w:trHeight w:val="255"/>
        </w:trPr>
        <w:tc>
          <w:tcPr>
            <w:tcW w:w="3227" w:type="dxa"/>
            <w:vAlign w:val="center"/>
            <w:hideMark/>
          </w:tcPr>
          <w:p>
            <w:pPr>
              <w:rPr>
                <w:noProof/>
                <w:sz w:val="20"/>
                <w:szCs w:val="20"/>
              </w:rPr>
            </w:pPr>
            <w:r>
              <w:rPr>
                <w:noProof/>
                <w:sz w:val="20"/>
                <w:szCs w:val="20"/>
              </w:rPr>
              <w:t>Finland</w:t>
            </w:r>
          </w:p>
        </w:tc>
        <w:tc>
          <w:tcPr>
            <w:tcW w:w="1276" w:type="dxa"/>
            <w:vAlign w:val="center"/>
            <w:hideMark/>
          </w:tcPr>
          <w:p>
            <w:pPr>
              <w:jc w:val="center"/>
              <w:rPr>
                <w:noProof/>
                <w:sz w:val="20"/>
                <w:szCs w:val="20"/>
              </w:rPr>
            </w:pPr>
            <w:r>
              <w:rPr>
                <w:noProof/>
                <w:sz w:val="20"/>
                <w:szCs w:val="20"/>
              </w:rPr>
              <w:t>1</w:t>
            </w:r>
          </w:p>
        </w:tc>
        <w:tc>
          <w:tcPr>
            <w:tcW w:w="1275" w:type="dxa"/>
            <w:vAlign w:val="center"/>
            <w:hideMark/>
          </w:tcPr>
          <w:p>
            <w:pPr>
              <w:jc w:val="center"/>
              <w:rPr>
                <w:noProof/>
                <w:sz w:val="20"/>
                <w:szCs w:val="20"/>
              </w:rPr>
            </w:pPr>
            <w:r>
              <w:rPr>
                <w:noProof/>
                <w:sz w:val="20"/>
                <w:szCs w:val="20"/>
              </w:rPr>
              <w:t>0</w:t>
            </w:r>
          </w:p>
        </w:tc>
        <w:tc>
          <w:tcPr>
            <w:tcW w:w="2127" w:type="dxa"/>
            <w:vAlign w:val="center"/>
            <w:hideMark/>
          </w:tcPr>
          <w:p>
            <w:pPr>
              <w:jc w:val="right"/>
              <w:rPr>
                <w:noProof/>
                <w:sz w:val="20"/>
                <w:szCs w:val="20"/>
              </w:rPr>
            </w:pPr>
            <w:r>
              <w:rPr>
                <w:noProof/>
                <w:sz w:val="20"/>
                <w:szCs w:val="20"/>
              </w:rPr>
              <w:t xml:space="preserve">416 272 </w:t>
            </w:r>
          </w:p>
        </w:tc>
        <w:tc>
          <w:tcPr>
            <w:tcW w:w="1984" w:type="dxa"/>
            <w:vAlign w:val="center"/>
            <w:hideMark/>
          </w:tcPr>
          <w:p>
            <w:pPr>
              <w:jc w:val="right"/>
              <w:rPr>
                <w:noProof/>
                <w:sz w:val="20"/>
                <w:szCs w:val="20"/>
              </w:rPr>
            </w:pPr>
          </w:p>
        </w:tc>
      </w:tr>
      <w:tr>
        <w:trPr>
          <w:trHeight w:val="255"/>
        </w:trPr>
        <w:tc>
          <w:tcPr>
            <w:tcW w:w="3227" w:type="dxa"/>
            <w:shd w:val="clear" w:color="auto" w:fill="EEECE1" w:themeFill="background2"/>
            <w:vAlign w:val="center"/>
            <w:hideMark/>
          </w:tcPr>
          <w:p>
            <w:pPr>
              <w:rPr>
                <w:noProof/>
                <w:sz w:val="20"/>
                <w:szCs w:val="20"/>
              </w:rPr>
            </w:pPr>
            <w:r>
              <w:rPr>
                <w:noProof/>
                <w:sz w:val="20"/>
                <w:szCs w:val="20"/>
              </w:rPr>
              <w:t>Greece</w:t>
            </w:r>
          </w:p>
        </w:tc>
        <w:tc>
          <w:tcPr>
            <w:tcW w:w="1276" w:type="dxa"/>
            <w:shd w:val="clear" w:color="auto" w:fill="EEECE1" w:themeFill="background2"/>
            <w:vAlign w:val="center"/>
            <w:hideMark/>
          </w:tcPr>
          <w:p>
            <w:pPr>
              <w:jc w:val="center"/>
              <w:rPr>
                <w:noProof/>
                <w:sz w:val="20"/>
                <w:szCs w:val="20"/>
              </w:rPr>
            </w:pPr>
            <w:r>
              <w:rPr>
                <w:noProof/>
                <w:sz w:val="20"/>
                <w:szCs w:val="20"/>
              </w:rPr>
              <w:t>3</w:t>
            </w:r>
          </w:p>
        </w:tc>
        <w:tc>
          <w:tcPr>
            <w:tcW w:w="1275" w:type="dxa"/>
            <w:shd w:val="clear" w:color="auto" w:fill="EEECE1" w:themeFill="background2"/>
            <w:vAlign w:val="center"/>
            <w:hideMark/>
          </w:tcPr>
          <w:p>
            <w:pPr>
              <w:jc w:val="center"/>
              <w:rPr>
                <w:noProof/>
                <w:sz w:val="20"/>
                <w:szCs w:val="20"/>
              </w:rPr>
            </w:pPr>
            <w:r>
              <w:rPr>
                <w:noProof/>
                <w:sz w:val="20"/>
                <w:szCs w:val="20"/>
              </w:rPr>
              <w:t>0</w:t>
            </w:r>
          </w:p>
        </w:tc>
        <w:tc>
          <w:tcPr>
            <w:tcW w:w="2127" w:type="dxa"/>
            <w:shd w:val="clear" w:color="auto" w:fill="EEECE1" w:themeFill="background2"/>
            <w:vAlign w:val="center"/>
            <w:hideMark/>
          </w:tcPr>
          <w:p>
            <w:pPr>
              <w:jc w:val="right"/>
              <w:rPr>
                <w:noProof/>
                <w:sz w:val="20"/>
                <w:szCs w:val="20"/>
              </w:rPr>
            </w:pPr>
            <w:r>
              <w:rPr>
                <w:noProof/>
                <w:sz w:val="20"/>
                <w:szCs w:val="20"/>
              </w:rPr>
              <w:t xml:space="preserve">1 780 276 </w:t>
            </w:r>
          </w:p>
        </w:tc>
        <w:tc>
          <w:tcPr>
            <w:tcW w:w="1984" w:type="dxa"/>
            <w:shd w:val="clear" w:color="auto" w:fill="EEECE1" w:themeFill="background2"/>
            <w:vAlign w:val="center"/>
            <w:hideMark/>
          </w:tcPr>
          <w:p>
            <w:pPr>
              <w:jc w:val="right"/>
              <w:rPr>
                <w:noProof/>
                <w:sz w:val="20"/>
                <w:szCs w:val="20"/>
              </w:rPr>
            </w:pPr>
          </w:p>
        </w:tc>
      </w:tr>
      <w:tr>
        <w:trPr>
          <w:trHeight w:val="255"/>
        </w:trPr>
        <w:tc>
          <w:tcPr>
            <w:tcW w:w="3227" w:type="dxa"/>
            <w:vAlign w:val="center"/>
            <w:hideMark/>
          </w:tcPr>
          <w:p>
            <w:pPr>
              <w:rPr>
                <w:noProof/>
                <w:sz w:val="20"/>
                <w:szCs w:val="20"/>
              </w:rPr>
            </w:pPr>
            <w:r>
              <w:rPr>
                <w:noProof/>
                <w:sz w:val="20"/>
                <w:szCs w:val="20"/>
              </w:rPr>
              <w:t>Hungary</w:t>
            </w:r>
          </w:p>
        </w:tc>
        <w:tc>
          <w:tcPr>
            <w:tcW w:w="1276" w:type="dxa"/>
            <w:vAlign w:val="center"/>
            <w:hideMark/>
          </w:tcPr>
          <w:p>
            <w:pPr>
              <w:jc w:val="center"/>
              <w:rPr>
                <w:noProof/>
                <w:sz w:val="20"/>
                <w:szCs w:val="20"/>
              </w:rPr>
            </w:pPr>
            <w:r>
              <w:rPr>
                <w:noProof/>
                <w:sz w:val="20"/>
                <w:szCs w:val="20"/>
              </w:rPr>
              <w:t>2</w:t>
            </w:r>
          </w:p>
        </w:tc>
        <w:tc>
          <w:tcPr>
            <w:tcW w:w="1275" w:type="dxa"/>
            <w:vAlign w:val="center"/>
            <w:hideMark/>
          </w:tcPr>
          <w:p>
            <w:pPr>
              <w:jc w:val="center"/>
              <w:rPr>
                <w:noProof/>
                <w:sz w:val="20"/>
                <w:szCs w:val="20"/>
              </w:rPr>
            </w:pPr>
            <w:r>
              <w:rPr>
                <w:noProof/>
                <w:sz w:val="20"/>
                <w:szCs w:val="20"/>
              </w:rPr>
              <w:t>0</w:t>
            </w:r>
          </w:p>
        </w:tc>
        <w:tc>
          <w:tcPr>
            <w:tcW w:w="2127" w:type="dxa"/>
            <w:vAlign w:val="center"/>
            <w:hideMark/>
          </w:tcPr>
          <w:p>
            <w:pPr>
              <w:jc w:val="right"/>
              <w:rPr>
                <w:noProof/>
                <w:sz w:val="20"/>
                <w:szCs w:val="20"/>
              </w:rPr>
            </w:pPr>
            <w:r>
              <w:rPr>
                <w:noProof/>
                <w:sz w:val="20"/>
                <w:szCs w:val="20"/>
              </w:rPr>
              <w:t xml:space="preserve">4 123 522 </w:t>
            </w:r>
          </w:p>
        </w:tc>
        <w:tc>
          <w:tcPr>
            <w:tcW w:w="1984" w:type="dxa"/>
            <w:vAlign w:val="center"/>
            <w:hideMark/>
          </w:tcPr>
          <w:p>
            <w:pPr>
              <w:jc w:val="right"/>
              <w:rPr>
                <w:noProof/>
                <w:sz w:val="20"/>
                <w:szCs w:val="20"/>
              </w:rPr>
            </w:pPr>
          </w:p>
        </w:tc>
      </w:tr>
      <w:tr>
        <w:trPr>
          <w:trHeight w:val="255"/>
        </w:trPr>
        <w:tc>
          <w:tcPr>
            <w:tcW w:w="3227" w:type="dxa"/>
            <w:shd w:val="clear" w:color="auto" w:fill="EEECE1" w:themeFill="background2"/>
            <w:vAlign w:val="center"/>
            <w:hideMark/>
          </w:tcPr>
          <w:p>
            <w:pPr>
              <w:rPr>
                <w:noProof/>
                <w:sz w:val="20"/>
                <w:szCs w:val="20"/>
              </w:rPr>
            </w:pPr>
            <w:r>
              <w:rPr>
                <w:noProof/>
                <w:sz w:val="20"/>
                <w:szCs w:val="20"/>
              </w:rPr>
              <w:t>Ireland</w:t>
            </w:r>
          </w:p>
        </w:tc>
        <w:tc>
          <w:tcPr>
            <w:tcW w:w="1276" w:type="dxa"/>
            <w:shd w:val="clear" w:color="auto" w:fill="EEECE1" w:themeFill="background2"/>
            <w:vAlign w:val="center"/>
            <w:hideMark/>
          </w:tcPr>
          <w:p>
            <w:pPr>
              <w:jc w:val="center"/>
              <w:rPr>
                <w:noProof/>
                <w:sz w:val="20"/>
                <w:szCs w:val="20"/>
              </w:rPr>
            </w:pPr>
            <w:r>
              <w:rPr>
                <w:noProof/>
                <w:sz w:val="20"/>
                <w:szCs w:val="20"/>
              </w:rPr>
              <w:t>1</w:t>
            </w:r>
          </w:p>
        </w:tc>
        <w:tc>
          <w:tcPr>
            <w:tcW w:w="1275" w:type="dxa"/>
            <w:shd w:val="clear" w:color="auto" w:fill="EEECE1" w:themeFill="background2"/>
            <w:vAlign w:val="center"/>
            <w:hideMark/>
          </w:tcPr>
          <w:p>
            <w:pPr>
              <w:jc w:val="center"/>
              <w:rPr>
                <w:noProof/>
                <w:sz w:val="20"/>
                <w:szCs w:val="20"/>
              </w:rPr>
            </w:pPr>
            <w:r>
              <w:rPr>
                <w:noProof/>
                <w:sz w:val="20"/>
                <w:szCs w:val="20"/>
              </w:rPr>
              <w:t>1</w:t>
            </w:r>
          </w:p>
        </w:tc>
        <w:tc>
          <w:tcPr>
            <w:tcW w:w="2127" w:type="dxa"/>
            <w:shd w:val="clear" w:color="auto" w:fill="EEECE1" w:themeFill="background2"/>
            <w:vAlign w:val="center"/>
            <w:hideMark/>
          </w:tcPr>
          <w:p>
            <w:pPr>
              <w:jc w:val="right"/>
              <w:rPr>
                <w:noProof/>
                <w:sz w:val="20"/>
                <w:szCs w:val="20"/>
              </w:rPr>
            </w:pPr>
            <w:r>
              <w:rPr>
                <w:noProof/>
                <w:sz w:val="20"/>
                <w:szCs w:val="20"/>
              </w:rPr>
              <w:t xml:space="preserve">1 734 720 </w:t>
            </w:r>
          </w:p>
        </w:tc>
        <w:tc>
          <w:tcPr>
            <w:tcW w:w="1984" w:type="dxa"/>
            <w:shd w:val="clear" w:color="auto" w:fill="EEECE1" w:themeFill="background2"/>
            <w:vAlign w:val="center"/>
            <w:hideMark/>
          </w:tcPr>
          <w:p>
            <w:pPr>
              <w:jc w:val="right"/>
              <w:rPr>
                <w:noProof/>
                <w:sz w:val="20"/>
                <w:szCs w:val="20"/>
              </w:rPr>
            </w:pPr>
            <w:r>
              <w:rPr>
                <w:noProof/>
                <w:sz w:val="20"/>
                <w:szCs w:val="20"/>
              </w:rPr>
              <w:t xml:space="preserve">1 734 720 </w:t>
            </w:r>
          </w:p>
        </w:tc>
      </w:tr>
      <w:tr>
        <w:trPr>
          <w:trHeight w:val="255"/>
        </w:trPr>
        <w:tc>
          <w:tcPr>
            <w:tcW w:w="3227" w:type="dxa"/>
            <w:vAlign w:val="center"/>
            <w:hideMark/>
          </w:tcPr>
          <w:p>
            <w:pPr>
              <w:rPr>
                <w:noProof/>
                <w:sz w:val="20"/>
                <w:szCs w:val="20"/>
              </w:rPr>
            </w:pPr>
            <w:r>
              <w:rPr>
                <w:noProof/>
                <w:sz w:val="20"/>
                <w:szCs w:val="20"/>
              </w:rPr>
              <w:t>Italy</w:t>
            </w:r>
          </w:p>
        </w:tc>
        <w:tc>
          <w:tcPr>
            <w:tcW w:w="1276" w:type="dxa"/>
            <w:vAlign w:val="center"/>
            <w:hideMark/>
          </w:tcPr>
          <w:p>
            <w:pPr>
              <w:jc w:val="center"/>
              <w:rPr>
                <w:noProof/>
                <w:sz w:val="20"/>
                <w:szCs w:val="20"/>
              </w:rPr>
            </w:pPr>
            <w:r>
              <w:rPr>
                <w:noProof/>
                <w:sz w:val="20"/>
                <w:szCs w:val="20"/>
              </w:rPr>
              <w:t>2</w:t>
            </w:r>
          </w:p>
        </w:tc>
        <w:tc>
          <w:tcPr>
            <w:tcW w:w="1275" w:type="dxa"/>
            <w:vAlign w:val="center"/>
            <w:hideMark/>
          </w:tcPr>
          <w:p>
            <w:pPr>
              <w:jc w:val="center"/>
              <w:rPr>
                <w:noProof/>
                <w:sz w:val="20"/>
                <w:szCs w:val="20"/>
              </w:rPr>
            </w:pPr>
            <w:r>
              <w:rPr>
                <w:noProof/>
                <w:sz w:val="20"/>
                <w:szCs w:val="20"/>
              </w:rPr>
              <w:t>2</w:t>
            </w:r>
          </w:p>
        </w:tc>
        <w:tc>
          <w:tcPr>
            <w:tcW w:w="2127" w:type="dxa"/>
            <w:vAlign w:val="center"/>
            <w:hideMark/>
          </w:tcPr>
          <w:p>
            <w:pPr>
              <w:jc w:val="right"/>
              <w:rPr>
                <w:noProof/>
                <w:sz w:val="20"/>
                <w:szCs w:val="20"/>
              </w:rPr>
            </w:pPr>
            <w:r>
              <w:rPr>
                <w:noProof/>
                <w:sz w:val="20"/>
                <w:szCs w:val="20"/>
              </w:rPr>
              <w:t xml:space="preserve">1 353 418 </w:t>
            </w:r>
          </w:p>
        </w:tc>
        <w:tc>
          <w:tcPr>
            <w:tcW w:w="1984" w:type="dxa"/>
            <w:vAlign w:val="center"/>
            <w:hideMark/>
          </w:tcPr>
          <w:p>
            <w:pPr>
              <w:jc w:val="right"/>
              <w:rPr>
                <w:noProof/>
                <w:sz w:val="20"/>
                <w:szCs w:val="20"/>
              </w:rPr>
            </w:pPr>
            <w:r>
              <w:rPr>
                <w:noProof/>
                <w:sz w:val="20"/>
                <w:szCs w:val="20"/>
              </w:rPr>
              <w:t xml:space="preserve">1 137 055 </w:t>
            </w:r>
          </w:p>
        </w:tc>
      </w:tr>
      <w:tr>
        <w:trPr>
          <w:trHeight w:val="255"/>
        </w:trPr>
        <w:tc>
          <w:tcPr>
            <w:tcW w:w="3227" w:type="dxa"/>
            <w:shd w:val="clear" w:color="auto" w:fill="EEECE1" w:themeFill="background2"/>
            <w:vAlign w:val="center"/>
            <w:hideMark/>
          </w:tcPr>
          <w:p>
            <w:pPr>
              <w:rPr>
                <w:noProof/>
                <w:sz w:val="20"/>
                <w:szCs w:val="20"/>
              </w:rPr>
            </w:pPr>
            <w:r>
              <w:rPr>
                <w:noProof/>
                <w:sz w:val="20"/>
                <w:szCs w:val="20"/>
              </w:rPr>
              <w:t>Latvia</w:t>
            </w:r>
          </w:p>
        </w:tc>
        <w:tc>
          <w:tcPr>
            <w:tcW w:w="1276" w:type="dxa"/>
            <w:shd w:val="clear" w:color="auto" w:fill="EEECE1" w:themeFill="background2"/>
            <w:vAlign w:val="center"/>
            <w:hideMark/>
          </w:tcPr>
          <w:p>
            <w:pPr>
              <w:jc w:val="center"/>
              <w:rPr>
                <w:noProof/>
                <w:sz w:val="20"/>
                <w:szCs w:val="20"/>
              </w:rPr>
            </w:pPr>
            <w:r>
              <w:rPr>
                <w:noProof/>
                <w:sz w:val="20"/>
                <w:szCs w:val="20"/>
              </w:rPr>
              <w:t>7</w:t>
            </w:r>
          </w:p>
        </w:tc>
        <w:tc>
          <w:tcPr>
            <w:tcW w:w="1275" w:type="dxa"/>
            <w:shd w:val="clear" w:color="auto" w:fill="EEECE1" w:themeFill="background2"/>
            <w:vAlign w:val="center"/>
            <w:hideMark/>
          </w:tcPr>
          <w:p>
            <w:pPr>
              <w:jc w:val="center"/>
              <w:rPr>
                <w:noProof/>
                <w:sz w:val="20"/>
                <w:szCs w:val="20"/>
              </w:rPr>
            </w:pPr>
            <w:r>
              <w:rPr>
                <w:noProof/>
                <w:sz w:val="20"/>
                <w:szCs w:val="20"/>
              </w:rPr>
              <w:t>2</w:t>
            </w:r>
          </w:p>
        </w:tc>
        <w:tc>
          <w:tcPr>
            <w:tcW w:w="2127" w:type="dxa"/>
            <w:shd w:val="clear" w:color="auto" w:fill="EEECE1" w:themeFill="background2"/>
            <w:vAlign w:val="center"/>
            <w:hideMark/>
          </w:tcPr>
          <w:p>
            <w:pPr>
              <w:jc w:val="right"/>
              <w:rPr>
                <w:noProof/>
                <w:sz w:val="20"/>
                <w:szCs w:val="20"/>
              </w:rPr>
            </w:pPr>
            <w:r>
              <w:rPr>
                <w:noProof/>
                <w:sz w:val="20"/>
                <w:szCs w:val="20"/>
              </w:rPr>
              <w:t xml:space="preserve">3 791 837 </w:t>
            </w:r>
          </w:p>
        </w:tc>
        <w:tc>
          <w:tcPr>
            <w:tcW w:w="1984" w:type="dxa"/>
            <w:shd w:val="clear" w:color="auto" w:fill="EEECE1" w:themeFill="background2"/>
            <w:vAlign w:val="center"/>
            <w:hideMark/>
          </w:tcPr>
          <w:p>
            <w:pPr>
              <w:jc w:val="right"/>
              <w:rPr>
                <w:noProof/>
                <w:sz w:val="20"/>
                <w:szCs w:val="20"/>
              </w:rPr>
            </w:pPr>
            <w:r>
              <w:rPr>
                <w:noProof/>
                <w:sz w:val="20"/>
                <w:szCs w:val="20"/>
              </w:rPr>
              <w:t xml:space="preserve">2 200 861 </w:t>
            </w:r>
          </w:p>
        </w:tc>
      </w:tr>
      <w:tr>
        <w:trPr>
          <w:trHeight w:val="255"/>
        </w:trPr>
        <w:tc>
          <w:tcPr>
            <w:tcW w:w="3227" w:type="dxa"/>
            <w:vAlign w:val="center"/>
            <w:hideMark/>
          </w:tcPr>
          <w:p>
            <w:pPr>
              <w:rPr>
                <w:noProof/>
                <w:sz w:val="20"/>
                <w:szCs w:val="20"/>
              </w:rPr>
            </w:pPr>
            <w:r>
              <w:rPr>
                <w:noProof/>
                <w:sz w:val="20"/>
                <w:szCs w:val="20"/>
              </w:rPr>
              <w:t>Lithuania</w:t>
            </w:r>
          </w:p>
        </w:tc>
        <w:tc>
          <w:tcPr>
            <w:tcW w:w="1276" w:type="dxa"/>
            <w:vAlign w:val="center"/>
            <w:hideMark/>
          </w:tcPr>
          <w:p>
            <w:pPr>
              <w:jc w:val="center"/>
              <w:rPr>
                <w:noProof/>
                <w:sz w:val="20"/>
                <w:szCs w:val="20"/>
              </w:rPr>
            </w:pPr>
            <w:r>
              <w:rPr>
                <w:noProof/>
                <w:sz w:val="20"/>
                <w:szCs w:val="20"/>
              </w:rPr>
              <w:t>3</w:t>
            </w:r>
          </w:p>
        </w:tc>
        <w:tc>
          <w:tcPr>
            <w:tcW w:w="1275" w:type="dxa"/>
            <w:vAlign w:val="center"/>
            <w:hideMark/>
          </w:tcPr>
          <w:p>
            <w:pPr>
              <w:jc w:val="center"/>
              <w:rPr>
                <w:noProof/>
                <w:sz w:val="20"/>
                <w:szCs w:val="20"/>
              </w:rPr>
            </w:pPr>
            <w:r>
              <w:rPr>
                <w:noProof/>
                <w:sz w:val="20"/>
                <w:szCs w:val="20"/>
              </w:rPr>
              <w:t>1</w:t>
            </w:r>
          </w:p>
        </w:tc>
        <w:tc>
          <w:tcPr>
            <w:tcW w:w="2127" w:type="dxa"/>
            <w:vAlign w:val="center"/>
            <w:hideMark/>
          </w:tcPr>
          <w:p>
            <w:pPr>
              <w:jc w:val="right"/>
              <w:rPr>
                <w:noProof/>
                <w:sz w:val="20"/>
                <w:szCs w:val="20"/>
              </w:rPr>
            </w:pPr>
            <w:r>
              <w:rPr>
                <w:noProof/>
                <w:sz w:val="20"/>
                <w:szCs w:val="20"/>
              </w:rPr>
              <w:t xml:space="preserve">1 319 818 </w:t>
            </w:r>
          </w:p>
        </w:tc>
        <w:tc>
          <w:tcPr>
            <w:tcW w:w="1984" w:type="dxa"/>
            <w:vAlign w:val="center"/>
            <w:hideMark/>
          </w:tcPr>
          <w:p>
            <w:pPr>
              <w:jc w:val="right"/>
              <w:rPr>
                <w:noProof/>
                <w:sz w:val="20"/>
                <w:szCs w:val="20"/>
              </w:rPr>
            </w:pPr>
            <w:r>
              <w:rPr>
                <w:noProof/>
                <w:sz w:val="20"/>
                <w:szCs w:val="20"/>
              </w:rPr>
              <w:t xml:space="preserve">102 818 </w:t>
            </w:r>
          </w:p>
        </w:tc>
      </w:tr>
      <w:tr>
        <w:trPr>
          <w:trHeight w:val="255"/>
        </w:trPr>
        <w:tc>
          <w:tcPr>
            <w:tcW w:w="3227" w:type="dxa"/>
            <w:shd w:val="clear" w:color="auto" w:fill="EEECE1" w:themeFill="background2"/>
            <w:vAlign w:val="center"/>
            <w:hideMark/>
          </w:tcPr>
          <w:p>
            <w:pPr>
              <w:rPr>
                <w:noProof/>
                <w:sz w:val="20"/>
                <w:szCs w:val="20"/>
              </w:rPr>
            </w:pPr>
            <w:r>
              <w:rPr>
                <w:noProof/>
                <w:sz w:val="20"/>
                <w:szCs w:val="20"/>
              </w:rPr>
              <w:t>Malta</w:t>
            </w:r>
          </w:p>
        </w:tc>
        <w:tc>
          <w:tcPr>
            <w:tcW w:w="1276" w:type="dxa"/>
            <w:shd w:val="clear" w:color="auto" w:fill="EEECE1" w:themeFill="background2"/>
            <w:vAlign w:val="center"/>
            <w:hideMark/>
          </w:tcPr>
          <w:p>
            <w:pPr>
              <w:jc w:val="center"/>
              <w:rPr>
                <w:noProof/>
                <w:sz w:val="20"/>
                <w:szCs w:val="20"/>
              </w:rPr>
            </w:pPr>
            <w:r>
              <w:rPr>
                <w:noProof/>
                <w:sz w:val="20"/>
                <w:szCs w:val="20"/>
              </w:rPr>
              <w:t>1</w:t>
            </w:r>
          </w:p>
        </w:tc>
        <w:tc>
          <w:tcPr>
            <w:tcW w:w="1275" w:type="dxa"/>
            <w:shd w:val="clear" w:color="auto" w:fill="EEECE1" w:themeFill="background2"/>
            <w:vAlign w:val="center"/>
            <w:hideMark/>
          </w:tcPr>
          <w:p>
            <w:pPr>
              <w:jc w:val="center"/>
              <w:rPr>
                <w:noProof/>
                <w:sz w:val="20"/>
                <w:szCs w:val="20"/>
              </w:rPr>
            </w:pPr>
            <w:r>
              <w:rPr>
                <w:noProof/>
                <w:sz w:val="20"/>
                <w:szCs w:val="20"/>
              </w:rPr>
              <w:t>0</w:t>
            </w:r>
          </w:p>
        </w:tc>
        <w:tc>
          <w:tcPr>
            <w:tcW w:w="2127" w:type="dxa"/>
            <w:shd w:val="clear" w:color="auto" w:fill="EEECE1" w:themeFill="background2"/>
            <w:vAlign w:val="center"/>
            <w:hideMark/>
          </w:tcPr>
          <w:p>
            <w:pPr>
              <w:jc w:val="right"/>
              <w:rPr>
                <w:noProof/>
                <w:sz w:val="20"/>
                <w:szCs w:val="20"/>
              </w:rPr>
            </w:pPr>
            <w:r>
              <w:rPr>
                <w:noProof/>
                <w:sz w:val="20"/>
                <w:szCs w:val="20"/>
              </w:rPr>
              <w:t xml:space="preserve">93 600 </w:t>
            </w:r>
          </w:p>
        </w:tc>
        <w:tc>
          <w:tcPr>
            <w:tcW w:w="1984" w:type="dxa"/>
            <w:shd w:val="clear" w:color="auto" w:fill="EEECE1" w:themeFill="background2"/>
            <w:vAlign w:val="center"/>
            <w:hideMark/>
          </w:tcPr>
          <w:p>
            <w:pPr>
              <w:jc w:val="right"/>
              <w:rPr>
                <w:noProof/>
                <w:sz w:val="20"/>
                <w:szCs w:val="20"/>
              </w:rPr>
            </w:pPr>
          </w:p>
        </w:tc>
      </w:tr>
      <w:tr>
        <w:trPr>
          <w:trHeight w:val="255"/>
        </w:trPr>
        <w:tc>
          <w:tcPr>
            <w:tcW w:w="3227" w:type="dxa"/>
            <w:vAlign w:val="center"/>
            <w:hideMark/>
          </w:tcPr>
          <w:p>
            <w:pPr>
              <w:rPr>
                <w:noProof/>
                <w:sz w:val="20"/>
                <w:szCs w:val="20"/>
              </w:rPr>
            </w:pPr>
            <w:r>
              <w:rPr>
                <w:noProof/>
                <w:sz w:val="20"/>
                <w:szCs w:val="20"/>
              </w:rPr>
              <w:t>Poland</w:t>
            </w:r>
          </w:p>
        </w:tc>
        <w:tc>
          <w:tcPr>
            <w:tcW w:w="1276" w:type="dxa"/>
            <w:vAlign w:val="center"/>
            <w:hideMark/>
          </w:tcPr>
          <w:p>
            <w:pPr>
              <w:jc w:val="center"/>
              <w:rPr>
                <w:noProof/>
                <w:sz w:val="20"/>
                <w:szCs w:val="20"/>
              </w:rPr>
            </w:pPr>
            <w:r>
              <w:rPr>
                <w:noProof/>
                <w:sz w:val="20"/>
                <w:szCs w:val="20"/>
              </w:rPr>
              <w:t>6</w:t>
            </w:r>
          </w:p>
        </w:tc>
        <w:tc>
          <w:tcPr>
            <w:tcW w:w="1275" w:type="dxa"/>
            <w:vAlign w:val="center"/>
            <w:hideMark/>
          </w:tcPr>
          <w:p>
            <w:pPr>
              <w:jc w:val="center"/>
              <w:rPr>
                <w:noProof/>
                <w:sz w:val="20"/>
                <w:szCs w:val="20"/>
              </w:rPr>
            </w:pPr>
            <w:r>
              <w:rPr>
                <w:noProof/>
                <w:sz w:val="20"/>
                <w:szCs w:val="20"/>
              </w:rPr>
              <w:t>2</w:t>
            </w:r>
          </w:p>
        </w:tc>
        <w:tc>
          <w:tcPr>
            <w:tcW w:w="2127" w:type="dxa"/>
            <w:vAlign w:val="center"/>
            <w:hideMark/>
          </w:tcPr>
          <w:p>
            <w:pPr>
              <w:jc w:val="right"/>
              <w:rPr>
                <w:noProof/>
                <w:sz w:val="20"/>
                <w:szCs w:val="20"/>
              </w:rPr>
            </w:pPr>
            <w:r>
              <w:rPr>
                <w:noProof/>
                <w:sz w:val="20"/>
                <w:szCs w:val="20"/>
              </w:rPr>
              <w:t xml:space="preserve">3 384 202 </w:t>
            </w:r>
          </w:p>
        </w:tc>
        <w:tc>
          <w:tcPr>
            <w:tcW w:w="1984" w:type="dxa"/>
            <w:vAlign w:val="center"/>
            <w:hideMark/>
          </w:tcPr>
          <w:p>
            <w:pPr>
              <w:jc w:val="right"/>
              <w:rPr>
                <w:noProof/>
                <w:sz w:val="20"/>
                <w:szCs w:val="20"/>
              </w:rPr>
            </w:pPr>
            <w:r>
              <w:rPr>
                <w:noProof/>
                <w:sz w:val="20"/>
                <w:szCs w:val="20"/>
              </w:rPr>
              <w:t xml:space="preserve">1 395 595 </w:t>
            </w:r>
          </w:p>
        </w:tc>
      </w:tr>
      <w:tr>
        <w:trPr>
          <w:trHeight w:val="255"/>
        </w:trPr>
        <w:tc>
          <w:tcPr>
            <w:tcW w:w="3227" w:type="dxa"/>
            <w:shd w:val="clear" w:color="auto" w:fill="EEECE1" w:themeFill="background2"/>
            <w:vAlign w:val="center"/>
            <w:hideMark/>
          </w:tcPr>
          <w:p>
            <w:pPr>
              <w:rPr>
                <w:noProof/>
                <w:sz w:val="20"/>
                <w:szCs w:val="20"/>
              </w:rPr>
            </w:pPr>
            <w:r>
              <w:rPr>
                <w:noProof/>
                <w:sz w:val="20"/>
                <w:szCs w:val="20"/>
              </w:rPr>
              <w:t>Romania</w:t>
            </w:r>
          </w:p>
        </w:tc>
        <w:tc>
          <w:tcPr>
            <w:tcW w:w="1276" w:type="dxa"/>
            <w:shd w:val="clear" w:color="auto" w:fill="EEECE1" w:themeFill="background2"/>
            <w:vAlign w:val="center"/>
            <w:hideMark/>
          </w:tcPr>
          <w:p>
            <w:pPr>
              <w:jc w:val="center"/>
              <w:rPr>
                <w:noProof/>
                <w:sz w:val="20"/>
                <w:szCs w:val="20"/>
              </w:rPr>
            </w:pPr>
            <w:r>
              <w:rPr>
                <w:noProof/>
                <w:sz w:val="20"/>
                <w:szCs w:val="20"/>
              </w:rPr>
              <w:t>6</w:t>
            </w:r>
          </w:p>
        </w:tc>
        <w:tc>
          <w:tcPr>
            <w:tcW w:w="1275" w:type="dxa"/>
            <w:shd w:val="clear" w:color="auto" w:fill="EEECE1" w:themeFill="background2"/>
            <w:vAlign w:val="center"/>
            <w:hideMark/>
          </w:tcPr>
          <w:p>
            <w:pPr>
              <w:jc w:val="center"/>
              <w:rPr>
                <w:noProof/>
                <w:sz w:val="20"/>
                <w:szCs w:val="20"/>
              </w:rPr>
            </w:pPr>
            <w:r>
              <w:rPr>
                <w:noProof/>
                <w:sz w:val="20"/>
                <w:szCs w:val="20"/>
              </w:rPr>
              <w:t>1</w:t>
            </w:r>
          </w:p>
        </w:tc>
        <w:tc>
          <w:tcPr>
            <w:tcW w:w="2127" w:type="dxa"/>
            <w:shd w:val="clear" w:color="auto" w:fill="EEECE1" w:themeFill="background2"/>
            <w:vAlign w:val="center"/>
            <w:hideMark/>
          </w:tcPr>
          <w:p>
            <w:pPr>
              <w:jc w:val="right"/>
              <w:rPr>
                <w:noProof/>
                <w:sz w:val="20"/>
                <w:szCs w:val="20"/>
              </w:rPr>
            </w:pPr>
            <w:r>
              <w:rPr>
                <w:noProof/>
                <w:sz w:val="20"/>
                <w:szCs w:val="20"/>
              </w:rPr>
              <w:t xml:space="preserve">5 415 071 </w:t>
            </w:r>
          </w:p>
        </w:tc>
        <w:tc>
          <w:tcPr>
            <w:tcW w:w="1984" w:type="dxa"/>
            <w:shd w:val="clear" w:color="auto" w:fill="EEECE1" w:themeFill="background2"/>
            <w:vAlign w:val="center"/>
            <w:hideMark/>
          </w:tcPr>
          <w:p>
            <w:pPr>
              <w:jc w:val="right"/>
              <w:rPr>
                <w:noProof/>
                <w:sz w:val="20"/>
                <w:szCs w:val="20"/>
              </w:rPr>
            </w:pPr>
            <w:r>
              <w:rPr>
                <w:noProof/>
                <w:sz w:val="20"/>
                <w:szCs w:val="20"/>
              </w:rPr>
              <w:t xml:space="preserve">474 109 </w:t>
            </w:r>
          </w:p>
        </w:tc>
      </w:tr>
      <w:tr>
        <w:trPr>
          <w:trHeight w:val="255"/>
        </w:trPr>
        <w:tc>
          <w:tcPr>
            <w:tcW w:w="3227" w:type="dxa"/>
            <w:vAlign w:val="center"/>
            <w:hideMark/>
          </w:tcPr>
          <w:p>
            <w:pPr>
              <w:rPr>
                <w:noProof/>
                <w:sz w:val="20"/>
                <w:szCs w:val="20"/>
              </w:rPr>
            </w:pPr>
            <w:r>
              <w:rPr>
                <w:noProof/>
                <w:sz w:val="20"/>
                <w:szCs w:val="20"/>
              </w:rPr>
              <w:t>Slovakia</w:t>
            </w:r>
          </w:p>
        </w:tc>
        <w:tc>
          <w:tcPr>
            <w:tcW w:w="1276" w:type="dxa"/>
            <w:vAlign w:val="center"/>
            <w:hideMark/>
          </w:tcPr>
          <w:p>
            <w:pPr>
              <w:jc w:val="center"/>
              <w:rPr>
                <w:noProof/>
                <w:sz w:val="20"/>
                <w:szCs w:val="20"/>
              </w:rPr>
            </w:pPr>
            <w:r>
              <w:rPr>
                <w:noProof/>
                <w:sz w:val="20"/>
                <w:szCs w:val="20"/>
              </w:rPr>
              <w:t>1</w:t>
            </w:r>
          </w:p>
        </w:tc>
        <w:tc>
          <w:tcPr>
            <w:tcW w:w="1275" w:type="dxa"/>
            <w:vAlign w:val="center"/>
            <w:hideMark/>
          </w:tcPr>
          <w:p>
            <w:pPr>
              <w:jc w:val="center"/>
              <w:rPr>
                <w:noProof/>
                <w:sz w:val="20"/>
                <w:szCs w:val="20"/>
              </w:rPr>
            </w:pPr>
            <w:r>
              <w:rPr>
                <w:noProof/>
                <w:sz w:val="20"/>
                <w:szCs w:val="20"/>
              </w:rPr>
              <w:t>1</w:t>
            </w:r>
          </w:p>
        </w:tc>
        <w:tc>
          <w:tcPr>
            <w:tcW w:w="2127" w:type="dxa"/>
            <w:vAlign w:val="center"/>
            <w:hideMark/>
          </w:tcPr>
          <w:p>
            <w:pPr>
              <w:jc w:val="right"/>
              <w:rPr>
                <w:noProof/>
                <w:sz w:val="20"/>
                <w:szCs w:val="20"/>
              </w:rPr>
            </w:pPr>
            <w:r>
              <w:rPr>
                <w:noProof/>
                <w:sz w:val="20"/>
                <w:szCs w:val="20"/>
              </w:rPr>
              <w:t>2 100 000</w:t>
            </w:r>
          </w:p>
        </w:tc>
        <w:tc>
          <w:tcPr>
            <w:tcW w:w="1984" w:type="dxa"/>
            <w:vAlign w:val="center"/>
            <w:hideMark/>
          </w:tcPr>
          <w:p>
            <w:pPr>
              <w:jc w:val="right"/>
              <w:rPr>
                <w:noProof/>
                <w:sz w:val="20"/>
                <w:szCs w:val="20"/>
              </w:rPr>
            </w:pPr>
            <w:r>
              <w:rPr>
                <w:noProof/>
                <w:sz w:val="20"/>
                <w:szCs w:val="20"/>
              </w:rPr>
              <w:t xml:space="preserve">1 800 000 </w:t>
            </w:r>
          </w:p>
        </w:tc>
      </w:tr>
      <w:tr>
        <w:trPr>
          <w:trHeight w:val="255"/>
        </w:trPr>
        <w:tc>
          <w:tcPr>
            <w:tcW w:w="3227" w:type="dxa"/>
            <w:shd w:val="clear" w:color="auto" w:fill="EEECE1" w:themeFill="background2"/>
            <w:vAlign w:val="center"/>
            <w:hideMark/>
          </w:tcPr>
          <w:p>
            <w:pPr>
              <w:rPr>
                <w:noProof/>
                <w:sz w:val="20"/>
                <w:szCs w:val="20"/>
              </w:rPr>
            </w:pPr>
            <w:r>
              <w:rPr>
                <w:noProof/>
                <w:sz w:val="20"/>
                <w:szCs w:val="20"/>
              </w:rPr>
              <w:t>Spain</w:t>
            </w:r>
          </w:p>
        </w:tc>
        <w:tc>
          <w:tcPr>
            <w:tcW w:w="1276" w:type="dxa"/>
            <w:shd w:val="clear" w:color="auto" w:fill="EEECE1" w:themeFill="background2"/>
            <w:vAlign w:val="center"/>
            <w:hideMark/>
          </w:tcPr>
          <w:p>
            <w:pPr>
              <w:jc w:val="center"/>
              <w:rPr>
                <w:noProof/>
                <w:sz w:val="20"/>
                <w:szCs w:val="20"/>
              </w:rPr>
            </w:pPr>
            <w:r>
              <w:rPr>
                <w:noProof/>
                <w:sz w:val="20"/>
                <w:szCs w:val="20"/>
              </w:rPr>
              <w:t>3</w:t>
            </w:r>
          </w:p>
        </w:tc>
        <w:tc>
          <w:tcPr>
            <w:tcW w:w="1275" w:type="dxa"/>
            <w:shd w:val="clear" w:color="auto" w:fill="EEECE1" w:themeFill="background2"/>
            <w:vAlign w:val="center"/>
            <w:hideMark/>
          </w:tcPr>
          <w:p>
            <w:pPr>
              <w:jc w:val="center"/>
              <w:rPr>
                <w:noProof/>
                <w:sz w:val="20"/>
                <w:szCs w:val="20"/>
              </w:rPr>
            </w:pPr>
            <w:r>
              <w:rPr>
                <w:noProof/>
                <w:sz w:val="20"/>
                <w:szCs w:val="20"/>
              </w:rPr>
              <w:t>0</w:t>
            </w:r>
          </w:p>
        </w:tc>
        <w:tc>
          <w:tcPr>
            <w:tcW w:w="2127" w:type="dxa"/>
            <w:shd w:val="clear" w:color="auto" w:fill="EEECE1" w:themeFill="background2"/>
            <w:vAlign w:val="center"/>
            <w:hideMark/>
          </w:tcPr>
          <w:p>
            <w:pPr>
              <w:jc w:val="right"/>
              <w:rPr>
                <w:noProof/>
                <w:sz w:val="20"/>
                <w:szCs w:val="20"/>
              </w:rPr>
            </w:pPr>
            <w:r>
              <w:rPr>
                <w:noProof/>
                <w:sz w:val="20"/>
                <w:szCs w:val="20"/>
              </w:rPr>
              <w:t xml:space="preserve">2 281 385 </w:t>
            </w:r>
          </w:p>
        </w:tc>
        <w:tc>
          <w:tcPr>
            <w:tcW w:w="1984" w:type="dxa"/>
            <w:shd w:val="clear" w:color="auto" w:fill="EEECE1" w:themeFill="background2"/>
            <w:vAlign w:val="center"/>
            <w:hideMark/>
          </w:tcPr>
          <w:p>
            <w:pPr>
              <w:jc w:val="right"/>
              <w:rPr>
                <w:noProof/>
                <w:sz w:val="20"/>
                <w:szCs w:val="20"/>
              </w:rPr>
            </w:pPr>
          </w:p>
        </w:tc>
      </w:tr>
      <w:tr>
        <w:trPr>
          <w:trHeight w:val="610"/>
        </w:trPr>
        <w:tc>
          <w:tcPr>
            <w:tcW w:w="3227" w:type="dxa"/>
            <w:shd w:val="clear" w:color="auto" w:fill="DDD9C3" w:themeFill="background2" w:themeFillShade="E6"/>
            <w:vAlign w:val="center"/>
            <w:hideMark/>
          </w:tcPr>
          <w:p>
            <w:pPr>
              <w:rPr>
                <w:b/>
                <w:bCs/>
                <w:noProof/>
                <w:sz w:val="20"/>
                <w:szCs w:val="20"/>
              </w:rPr>
            </w:pPr>
            <w:r>
              <w:rPr>
                <w:b/>
                <w:bCs/>
                <w:noProof/>
                <w:sz w:val="20"/>
                <w:szCs w:val="20"/>
              </w:rPr>
              <w:t>TRAINING &amp; CONFERENCES 2019</w:t>
            </w:r>
          </w:p>
        </w:tc>
        <w:tc>
          <w:tcPr>
            <w:tcW w:w="1276" w:type="dxa"/>
            <w:shd w:val="clear" w:color="auto" w:fill="DDD9C3" w:themeFill="background2" w:themeFillShade="E6"/>
            <w:vAlign w:val="center"/>
            <w:hideMark/>
          </w:tcPr>
          <w:p>
            <w:pPr>
              <w:jc w:val="center"/>
              <w:rPr>
                <w:b/>
                <w:bCs/>
                <w:noProof/>
                <w:sz w:val="20"/>
                <w:szCs w:val="20"/>
              </w:rPr>
            </w:pPr>
            <w:r>
              <w:rPr>
                <w:b/>
                <w:bCs/>
                <w:noProof/>
                <w:sz w:val="20"/>
                <w:szCs w:val="20"/>
              </w:rPr>
              <w:t>19</w:t>
            </w:r>
          </w:p>
        </w:tc>
        <w:tc>
          <w:tcPr>
            <w:tcW w:w="1275" w:type="dxa"/>
            <w:shd w:val="clear" w:color="auto" w:fill="DDD9C3" w:themeFill="background2" w:themeFillShade="E6"/>
            <w:vAlign w:val="center"/>
            <w:hideMark/>
          </w:tcPr>
          <w:p>
            <w:pPr>
              <w:jc w:val="center"/>
              <w:rPr>
                <w:b/>
                <w:bCs/>
                <w:noProof/>
                <w:sz w:val="20"/>
                <w:szCs w:val="20"/>
              </w:rPr>
            </w:pPr>
            <w:r>
              <w:rPr>
                <w:b/>
                <w:bCs/>
                <w:noProof/>
                <w:sz w:val="20"/>
                <w:szCs w:val="20"/>
              </w:rPr>
              <w:t>10</w:t>
            </w:r>
          </w:p>
        </w:tc>
        <w:tc>
          <w:tcPr>
            <w:tcW w:w="2127" w:type="dxa"/>
            <w:shd w:val="clear" w:color="auto" w:fill="DDD9C3" w:themeFill="background2" w:themeFillShade="E6"/>
            <w:vAlign w:val="center"/>
            <w:hideMark/>
          </w:tcPr>
          <w:p>
            <w:pPr>
              <w:jc w:val="right"/>
              <w:rPr>
                <w:b/>
                <w:bCs/>
                <w:noProof/>
                <w:sz w:val="20"/>
                <w:szCs w:val="20"/>
              </w:rPr>
            </w:pPr>
            <w:r>
              <w:rPr>
                <w:b/>
                <w:bCs/>
                <w:noProof/>
                <w:sz w:val="20"/>
                <w:szCs w:val="20"/>
              </w:rPr>
              <w:t xml:space="preserve">1 486 009  </w:t>
            </w:r>
          </w:p>
        </w:tc>
        <w:tc>
          <w:tcPr>
            <w:tcW w:w="1984" w:type="dxa"/>
            <w:shd w:val="clear" w:color="auto" w:fill="DDD9C3" w:themeFill="background2" w:themeFillShade="E6"/>
            <w:vAlign w:val="center"/>
            <w:hideMark/>
          </w:tcPr>
          <w:p>
            <w:pPr>
              <w:jc w:val="right"/>
              <w:rPr>
                <w:b/>
                <w:bCs/>
                <w:noProof/>
                <w:sz w:val="20"/>
                <w:szCs w:val="20"/>
              </w:rPr>
            </w:pPr>
            <w:r>
              <w:rPr>
                <w:b/>
                <w:bCs/>
                <w:noProof/>
                <w:sz w:val="20"/>
                <w:szCs w:val="20"/>
              </w:rPr>
              <w:t xml:space="preserve">605 056 </w:t>
            </w:r>
          </w:p>
        </w:tc>
      </w:tr>
      <w:tr>
        <w:trPr>
          <w:trHeight w:val="255"/>
        </w:trPr>
        <w:tc>
          <w:tcPr>
            <w:tcW w:w="3227" w:type="dxa"/>
            <w:vAlign w:val="center"/>
            <w:hideMark/>
          </w:tcPr>
          <w:p>
            <w:pPr>
              <w:rPr>
                <w:noProof/>
                <w:sz w:val="20"/>
                <w:szCs w:val="20"/>
              </w:rPr>
            </w:pPr>
            <w:r>
              <w:rPr>
                <w:noProof/>
                <w:sz w:val="20"/>
                <w:szCs w:val="20"/>
              </w:rPr>
              <w:t>Bulgaria</w:t>
            </w:r>
          </w:p>
        </w:tc>
        <w:tc>
          <w:tcPr>
            <w:tcW w:w="1276" w:type="dxa"/>
            <w:vAlign w:val="center"/>
            <w:hideMark/>
          </w:tcPr>
          <w:p>
            <w:pPr>
              <w:jc w:val="center"/>
              <w:rPr>
                <w:noProof/>
                <w:sz w:val="20"/>
                <w:szCs w:val="20"/>
              </w:rPr>
            </w:pPr>
            <w:r>
              <w:rPr>
                <w:noProof/>
                <w:sz w:val="20"/>
                <w:szCs w:val="20"/>
              </w:rPr>
              <w:t>1</w:t>
            </w:r>
          </w:p>
        </w:tc>
        <w:tc>
          <w:tcPr>
            <w:tcW w:w="1275" w:type="dxa"/>
            <w:vAlign w:val="center"/>
            <w:hideMark/>
          </w:tcPr>
          <w:p>
            <w:pPr>
              <w:jc w:val="center"/>
              <w:rPr>
                <w:noProof/>
                <w:sz w:val="20"/>
                <w:szCs w:val="20"/>
              </w:rPr>
            </w:pPr>
            <w:r>
              <w:rPr>
                <w:noProof/>
                <w:sz w:val="20"/>
                <w:szCs w:val="20"/>
              </w:rPr>
              <w:t>0</w:t>
            </w:r>
          </w:p>
        </w:tc>
        <w:tc>
          <w:tcPr>
            <w:tcW w:w="2127" w:type="dxa"/>
            <w:vAlign w:val="center"/>
            <w:hideMark/>
          </w:tcPr>
          <w:p>
            <w:pPr>
              <w:jc w:val="right"/>
              <w:rPr>
                <w:noProof/>
                <w:sz w:val="20"/>
                <w:szCs w:val="20"/>
              </w:rPr>
            </w:pPr>
            <w:r>
              <w:rPr>
                <w:noProof/>
                <w:sz w:val="20"/>
                <w:szCs w:val="20"/>
              </w:rPr>
              <w:t xml:space="preserve">43 266 </w:t>
            </w:r>
          </w:p>
        </w:tc>
        <w:tc>
          <w:tcPr>
            <w:tcW w:w="1984" w:type="dxa"/>
            <w:vAlign w:val="center"/>
            <w:hideMark/>
          </w:tcPr>
          <w:p>
            <w:pPr>
              <w:jc w:val="right"/>
              <w:rPr>
                <w:noProof/>
                <w:sz w:val="20"/>
                <w:szCs w:val="20"/>
              </w:rPr>
            </w:pPr>
          </w:p>
        </w:tc>
      </w:tr>
      <w:tr>
        <w:trPr>
          <w:trHeight w:val="255"/>
        </w:trPr>
        <w:tc>
          <w:tcPr>
            <w:tcW w:w="3227" w:type="dxa"/>
            <w:shd w:val="clear" w:color="auto" w:fill="EEECE1" w:themeFill="background2"/>
            <w:vAlign w:val="center"/>
            <w:hideMark/>
          </w:tcPr>
          <w:p>
            <w:pPr>
              <w:rPr>
                <w:noProof/>
                <w:sz w:val="20"/>
                <w:szCs w:val="20"/>
              </w:rPr>
            </w:pPr>
            <w:r>
              <w:rPr>
                <w:noProof/>
                <w:sz w:val="20"/>
                <w:szCs w:val="20"/>
              </w:rPr>
              <w:t>Cyprus</w:t>
            </w:r>
          </w:p>
        </w:tc>
        <w:tc>
          <w:tcPr>
            <w:tcW w:w="1276" w:type="dxa"/>
            <w:shd w:val="clear" w:color="auto" w:fill="EEECE1" w:themeFill="background2"/>
            <w:vAlign w:val="center"/>
            <w:hideMark/>
          </w:tcPr>
          <w:p>
            <w:pPr>
              <w:jc w:val="center"/>
              <w:rPr>
                <w:noProof/>
                <w:sz w:val="20"/>
                <w:szCs w:val="20"/>
              </w:rPr>
            </w:pPr>
            <w:r>
              <w:rPr>
                <w:noProof/>
                <w:sz w:val="20"/>
                <w:szCs w:val="20"/>
              </w:rPr>
              <w:t>1</w:t>
            </w:r>
          </w:p>
        </w:tc>
        <w:tc>
          <w:tcPr>
            <w:tcW w:w="1275" w:type="dxa"/>
            <w:shd w:val="clear" w:color="auto" w:fill="EEECE1" w:themeFill="background2"/>
            <w:vAlign w:val="center"/>
            <w:hideMark/>
          </w:tcPr>
          <w:p>
            <w:pPr>
              <w:jc w:val="center"/>
              <w:rPr>
                <w:noProof/>
                <w:sz w:val="20"/>
                <w:szCs w:val="20"/>
              </w:rPr>
            </w:pPr>
            <w:r>
              <w:rPr>
                <w:noProof/>
                <w:sz w:val="20"/>
                <w:szCs w:val="20"/>
              </w:rPr>
              <w:t>0</w:t>
            </w:r>
          </w:p>
        </w:tc>
        <w:tc>
          <w:tcPr>
            <w:tcW w:w="2127" w:type="dxa"/>
            <w:shd w:val="clear" w:color="auto" w:fill="EEECE1" w:themeFill="background2"/>
            <w:vAlign w:val="center"/>
            <w:hideMark/>
          </w:tcPr>
          <w:p>
            <w:pPr>
              <w:jc w:val="right"/>
              <w:rPr>
                <w:noProof/>
                <w:sz w:val="20"/>
                <w:szCs w:val="20"/>
              </w:rPr>
            </w:pPr>
            <w:r>
              <w:rPr>
                <w:noProof/>
                <w:sz w:val="20"/>
                <w:szCs w:val="20"/>
              </w:rPr>
              <w:t xml:space="preserve">81 417 </w:t>
            </w:r>
          </w:p>
        </w:tc>
        <w:tc>
          <w:tcPr>
            <w:tcW w:w="1984" w:type="dxa"/>
            <w:shd w:val="clear" w:color="auto" w:fill="EEECE1" w:themeFill="background2"/>
            <w:vAlign w:val="center"/>
            <w:hideMark/>
          </w:tcPr>
          <w:p>
            <w:pPr>
              <w:jc w:val="right"/>
              <w:rPr>
                <w:noProof/>
                <w:sz w:val="20"/>
                <w:szCs w:val="20"/>
              </w:rPr>
            </w:pPr>
          </w:p>
        </w:tc>
      </w:tr>
      <w:tr>
        <w:trPr>
          <w:trHeight w:val="255"/>
        </w:trPr>
        <w:tc>
          <w:tcPr>
            <w:tcW w:w="3227" w:type="dxa"/>
            <w:vAlign w:val="center"/>
            <w:hideMark/>
          </w:tcPr>
          <w:p>
            <w:pPr>
              <w:rPr>
                <w:noProof/>
                <w:sz w:val="20"/>
                <w:szCs w:val="20"/>
              </w:rPr>
            </w:pPr>
            <w:r>
              <w:rPr>
                <w:noProof/>
                <w:sz w:val="20"/>
                <w:szCs w:val="20"/>
              </w:rPr>
              <w:t>Greece</w:t>
            </w:r>
          </w:p>
        </w:tc>
        <w:tc>
          <w:tcPr>
            <w:tcW w:w="1276" w:type="dxa"/>
            <w:vAlign w:val="center"/>
            <w:hideMark/>
          </w:tcPr>
          <w:p>
            <w:pPr>
              <w:jc w:val="center"/>
              <w:rPr>
                <w:noProof/>
                <w:sz w:val="20"/>
                <w:szCs w:val="20"/>
              </w:rPr>
            </w:pPr>
            <w:r>
              <w:rPr>
                <w:noProof/>
                <w:sz w:val="20"/>
                <w:szCs w:val="20"/>
              </w:rPr>
              <w:t>1</w:t>
            </w:r>
          </w:p>
        </w:tc>
        <w:tc>
          <w:tcPr>
            <w:tcW w:w="1275" w:type="dxa"/>
            <w:vAlign w:val="center"/>
            <w:hideMark/>
          </w:tcPr>
          <w:p>
            <w:pPr>
              <w:jc w:val="center"/>
              <w:rPr>
                <w:noProof/>
                <w:sz w:val="20"/>
                <w:szCs w:val="20"/>
              </w:rPr>
            </w:pPr>
            <w:r>
              <w:rPr>
                <w:noProof/>
                <w:sz w:val="20"/>
                <w:szCs w:val="20"/>
              </w:rPr>
              <w:t>0</w:t>
            </w:r>
          </w:p>
        </w:tc>
        <w:tc>
          <w:tcPr>
            <w:tcW w:w="2127" w:type="dxa"/>
            <w:vAlign w:val="center"/>
            <w:hideMark/>
          </w:tcPr>
          <w:p>
            <w:pPr>
              <w:jc w:val="right"/>
              <w:rPr>
                <w:noProof/>
                <w:sz w:val="20"/>
                <w:szCs w:val="20"/>
              </w:rPr>
            </w:pPr>
            <w:r>
              <w:rPr>
                <w:noProof/>
                <w:sz w:val="20"/>
                <w:szCs w:val="20"/>
              </w:rPr>
              <w:t xml:space="preserve">203 728 </w:t>
            </w:r>
          </w:p>
        </w:tc>
        <w:tc>
          <w:tcPr>
            <w:tcW w:w="1984" w:type="dxa"/>
            <w:vAlign w:val="center"/>
            <w:hideMark/>
          </w:tcPr>
          <w:p>
            <w:pPr>
              <w:jc w:val="right"/>
              <w:rPr>
                <w:noProof/>
                <w:sz w:val="20"/>
                <w:szCs w:val="20"/>
              </w:rPr>
            </w:pPr>
          </w:p>
        </w:tc>
      </w:tr>
      <w:tr>
        <w:trPr>
          <w:trHeight w:val="255"/>
        </w:trPr>
        <w:tc>
          <w:tcPr>
            <w:tcW w:w="3227" w:type="dxa"/>
            <w:shd w:val="clear" w:color="auto" w:fill="EEECE1" w:themeFill="background2"/>
            <w:vAlign w:val="center"/>
            <w:hideMark/>
          </w:tcPr>
          <w:p>
            <w:pPr>
              <w:rPr>
                <w:noProof/>
                <w:sz w:val="20"/>
                <w:szCs w:val="20"/>
              </w:rPr>
            </w:pPr>
            <w:r>
              <w:rPr>
                <w:noProof/>
                <w:sz w:val="20"/>
                <w:szCs w:val="20"/>
              </w:rPr>
              <w:t>Hungary</w:t>
            </w:r>
          </w:p>
        </w:tc>
        <w:tc>
          <w:tcPr>
            <w:tcW w:w="1276" w:type="dxa"/>
            <w:shd w:val="clear" w:color="auto" w:fill="EEECE1" w:themeFill="background2"/>
            <w:vAlign w:val="center"/>
            <w:hideMark/>
          </w:tcPr>
          <w:p>
            <w:pPr>
              <w:jc w:val="center"/>
              <w:rPr>
                <w:noProof/>
                <w:sz w:val="20"/>
                <w:szCs w:val="20"/>
              </w:rPr>
            </w:pPr>
            <w:r>
              <w:rPr>
                <w:noProof/>
                <w:sz w:val="20"/>
                <w:szCs w:val="20"/>
              </w:rPr>
              <w:t>2</w:t>
            </w:r>
          </w:p>
        </w:tc>
        <w:tc>
          <w:tcPr>
            <w:tcW w:w="1275" w:type="dxa"/>
            <w:shd w:val="clear" w:color="auto" w:fill="EEECE1" w:themeFill="background2"/>
            <w:vAlign w:val="center"/>
            <w:hideMark/>
          </w:tcPr>
          <w:p>
            <w:pPr>
              <w:jc w:val="center"/>
              <w:rPr>
                <w:noProof/>
                <w:sz w:val="20"/>
                <w:szCs w:val="20"/>
              </w:rPr>
            </w:pPr>
            <w:r>
              <w:rPr>
                <w:noProof/>
                <w:sz w:val="20"/>
                <w:szCs w:val="20"/>
              </w:rPr>
              <w:t>1</w:t>
            </w:r>
          </w:p>
        </w:tc>
        <w:tc>
          <w:tcPr>
            <w:tcW w:w="2127" w:type="dxa"/>
            <w:shd w:val="clear" w:color="auto" w:fill="EEECE1" w:themeFill="background2"/>
            <w:vAlign w:val="center"/>
            <w:hideMark/>
          </w:tcPr>
          <w:p>
            <w:pPr>
              <w:jc w:val="right"/>
              <w:rPr>
                <w:noProof/>
                <w:sz w:val="20"/>
                <w:szCs w:val="20"/>
              </w:rPr>
            </w:pPr>
            <w:r>
              <w:rPr>
                <w:noProof/>
                <w:sz w:val="20"/>
                <w:szCs w:val="20"/>
              </w:rPr>
              <w:t xml:space="preserve">190 870 </w:t>
            </w:r>
          </w:p>
        </w:tc>
        <w:tc>
          <w:tcPr>
            <w:tcW w:w="1984" w:type="dxa"/>
            <w:shd w:val="clear" w:color="auto" w:fill="EEECE1" w:themeFill="background2"/>
            <w:vAlign w:val="center"/>
            <w:hideMark/>
          </w:tcPr>
          <w:p>
            <w:pPr>
              <w:jc w:val="right"/>
              <w:rPr>
                <w:noProof/>
                <w:sz w:val="20"/>
                <w:szCs w:val="20"/>
              </w:rPr>
            </w:pPr>
            <w:r>
              <w:rPr>
                <w:noProof/>
                <w:sz w:val="20"/>
                <w:szCs w:val="20"/>
              </w:rPr>
              <w:t xml:space="preserve">57 306 </w:t>
            </w:r>
          </w:p>
        </w:tc>
      </w:tr>
      <w:tr>
        <w:trPr>
          <w:trHeight w:val="255"/>
        </w:trPr>
        <w:tc>
          <w:tcPr>
            <w:tcW w:w="3227" w:type="dxa"/>
            <w:vAlign w:val="center"/>
            <w:hideMark/>
          </w:tcPr>
          <w:p>
            <w:pPr>
              <w:rPr>
                <w:noProof/>
                <w:sz w:val="20"/>
                <w:szCs w:val="20"/>
              </w:rPr>
            </w:pPr>
            <w:r>
              <w:rPr>
                <w:noProof/>
                <w:sz w:val="20"/>
                <w:szCs w:val="20"/>
              </w:rPr>
              <w:t>Italy</w:t>
            </w:r>
          </w:p>
        </w:tc>
        <w:tc>
          <w:tcPr>
            <w:tcW w:w="1276" w:type="dxa"/>
            <w:vAlign w:val="center"/>
            <w:hideMark/>
          </w:tcPr>
          <w:p>
            <w:pPr>
              <w:jc w:val="center"/>
              <w:rPr>
                <w:noProof/>
                <w:sz w:val="20"/>
                <w:szCs w:val="20"/>
              </w:rPr>
            </w:pPr>
            <w:r>
              <w:rPr>
                <w:noProof/>
                <w:sz w:val="20"/>
                <w:szCs w:val="20"/>
              </w:rPr>
              <w:t>4</w:t>
            </w:r>
          </w:p>
        </w:tc>
        <w:tc>
          <w:tcPr>
            <w:tcW w:w="1275" w:type="dxa"/>
            <w:vAlign w:val="center"/>
            <w:hideMark/>
          </w:tcPr>
          <w:p>
            <w:pPr>
              <w:jc w:val="center"/>
              <w:rPr>
                <w:noProof/>
                <w:sz w:val="20"/>
                <w:szCs w:val="20"/>
              </w:rPr>
            </w:pPr>
            <w:r>
              <w:rPr>
                <w:noProof/>
                <w:sz w:val="20"/>
                <w:szCs w:val="20"/>
              </w:rPr>
              <w:t>3</w:t>
            </w:r>
          </w:p>
        </w:tc>
        <w:tc>
          <w:tcPr>
            <w:tcW w:w="2127" w:type="dxa"/>
            <w:vAlign w:val="center"/>
            <w:hideMark/>
          </w:tcPr>
          <w:p>
            <w:pPr>
              <w:jc w:val="right"/>
              <w:rPr>
                <w:noProof/>
                <w:sz w:val="20"/>
                <w:szCs w:val="20"/>
              </w:rPr>
            </w:pPr>
            <w:r>
              <w:rPr>
                <w:noProof/>
                <w:sz w:val="20"/>
                <w:szCs w:val="20"/>
              </w:rPr>
              <w:t xml:space="preserve">305 201 </w:t>
            </w:r>
          </w:p>
        </w:tc>
        <w:tc>
          <w:tcPr>
            <w:tcW w:w="1984" w:type="dxa"/>
            <w:vAlign w:val="center"/>
            <w:hideMark/>
          </w:tcPr>
          <w:p>
            <w:pPr>
              <w:jc w:val="right"/>
              <w:rPr>
                <w:noProof/>
                <w:sz w:val="20"/>
                <w:szCs w:val="20"/>
              </w:rPr>
            </w:pPr>
            <w:r>
              <w:rPr>
                <w:noProof/>
                <w:sz w:val="20"/>
                <w:szCs w:val="20"/>
              </w:rPr>
              <w:t xml:space="preserve">222 004 </w:t>
            </w:r>
          </w:p>
        </w:tc>
      </w:tr>
      <w:tr>
        <w:trPr>
          <w:trHeight w:val="255"/>
        </w:trPr>
        <w:tc>
          <w:tcPr>
            <w:tcW w:w="3227" w:type="dxa"/>
            <w:shd w:val="clear" w:color="auto" w:fill="EEECE1" w:themeFill="background2"/>
            <w:vAlign w:val="center"/>
            <w:hideMark/>
          </w:tcPr>
          <w:p>
            <w:pPr>
              <w:rPr>
                <w:noProof/>
                <w:sz w:val="20"/>
                <w:szCs w:val="20"/>
              </w:rPr>
            </w:pPr>
            <w:r>
              <w:rPr>
                <w:noProof/>
                <w:sz w:val="20"/>
                <w:szCs w:val="20"/>
              </w:rPr>
              <w:t>Lithuania</w:t>
            </w:r>
          </w:p>
        </w:tc>
        <w:tc>
          <w:tcPr>
            <w:tcW w:w="1276" w:type="dxa"/>
            <w:shd w:val="clear" w:color="auto" w:fill="EEECE1" w:themeFill="background2"/>
            <w:vAlign w:val="center"/>
            <w:hideMark/>
          </w:tcPr>
          <w:p>
            <w:pPr>
              <w:jc w:val="center"/>
              <w:rPr>
                <w:noProof/>
                <w:sz w:val="20"/>
                <w:szCs w:val="20"/>
              </w:rPr>
            </w:pPr>
            <w:r>
              <w:rPr>
                <w:noProof/>
                <w:sz w:val="20"/>
                <w:szCs w:val="20"/>
              </w:rPr>
              <w:t>2</w:t>
            </w:r>
          </w:p>
        </w:tc>
        <w:tc>
          <w:tcPr>
            <w:tcW w:w="1275" w:type="dxa"/>
            <w:shd w:val="clear" w:color="auto" w:fill="EEECE1" w:themeFill="background2"/>
            <w:vAlign w:val="center"/>
            <w:hideMark/>
          </w:tcPr>
          <w:p>
            <w:pPr>
              <w:jc w:val="center"/>
              <w:rPr>
                <w:noProof/>
                <w:sz w:val="20"/>
                <w:szCs w:val="20"/>
              </w:rPr>
            </w:pPr>
            <w:r>
              <w:rPr>
                <w:noProof/>
                <w:sz w:val="20"/>
                <w:szCs w:val="20"/>
              </w:rPr>
              <w:t>2</w:t>
            </w:r>
          </w:p>
        </w:tc>
        <w:tc>
          <w:tcPr>
            <w:tcW w:w="2127" w:type="dxa"/>
            <w:shd w:val="clear" w:color="auto" w:fill="EEECE1" w:themeFill="background2"/>
            <w:vAlign w:val="center"/>
            <w:hideMark/>
          </w:tcPr>
          <w:p>
            <w:pPr>
              <w:jc w:val="right"/>
              <w:rPr>
                <w:noProof/>
                <w:sz w:val="20"/>
                <w:szCs w:val="20"/>
              </w:rPr>
            </w:pPr>
            <w:r>
              <w:rPr>
                <w:noProof/>
                <w:sz w:val="20"/>
                <w:szCs w:val="20"/>
              </w:rPr>
              <w:t xml:space="preserve">84 959 </w:t>
            </w:r>
          </w:p>
        </w:tc>
        <w:tc>
          <w:tcPr>
            <w:tcW w:w="1984" w:type="dxa"/>
            <w:shd w:val="clear" w:color="auto" w:fill="EEECE1" w:themeFill="background2"/>
            <w:vAlign w:val="center"/>
            <w:hideMark/>
          </w:tcPr>
          <w:p>
            <w:pPr>
              <w:jc w:val="right"/>
              <w:rPr>
                <w:noProof/>
                <w:sz w:val="20"/>
                <w:szCs w:val="20"/>
              </w:rPr>
            </w:pPr>
            <w:r>
              <w:rPr>
                <w:noProof/>
                <w:sz w:val="20"/>
                <w:szCs w:val="20"/>
              </w:rPr>
              <w:t xml:space="preserve">77 433 </w:t>
            </w:r>
          </w:p>
        </w:tc>
      </w:tr>
      <w:tr>
        <w:trPr>
          <w:trHeight w:val="255"/>
        </w:trPr>
        <w:tc>
          <w:tcPr>
            <w:tcW w:w="3227" w:type="dxa"/>
            <w:vAlign w:val="center"/>
            <w:hideMark/>
          </w:tcPr>
          <w:p>
            <w:pPr>
              <w:rPr>
                <w:noProof/>
                <w:sz w:val="20"/>
                <w:szCs w:val="20"/>
              </w:rPr>
            </w:pPr>
            <w:r>
              <w:rPr>
                <w:noProof/>
                <w:sz w:val="20"/>
                <w:szCs w:val="20"/>
              </w:rPr>
              <w:t>Malta</w:t>
            </w:r>
          </w:p>
        </w:tc>
        <w:tc>
          <w:tcPr>
            <w:tcW w:w="1276" w:type="dxa"/>
            <w:vAlign w:val="center"/>
            <w:hideMark/>
          </w:tcPr>
          <w:p>
            <w:pPr>
              <w:jc w:val="center"/>
              <w:rPr>
                <w:noProof/>
                <w:sz w:val="20"/>
                <w:szCs w:val="20"/>
              </w:rPr>
            </w:pPr>
            <w:r>
              <w:rPr>
                <w:noProof/>
                <w:sz w:val="20"/>
                <w:szCs w:val="20"/>
              </w:rPr>
              <w:t>1</w:t>
            </w:r>
          </w:p>
        </w:tc>
        <w:tc>
          <w:tcPr>
            <w:tcW w:w="1275" w:type="dxa"/>
            <w:vAlign w:val="center"/>
            <w:hideMark/>
          </w:tcPr>
          <w:p>
            <w:pPr>
              <w:jc w:val="center"/>
              <w:rPr>
                <w:noProof/>
                <w:sz w:val="20"/>
                <w:szCs w:val="20"/>
              </w:rPr>
            </w:pPr>
            <w:r>
              <w:rPr>
                <w:noProof/>
                <w:sz w:val="20"/>
                <w:szCs w:val="20"/>
              </w:rPr>
              <w:t>0</w:t>
            </w:r>
          </w:p>
        </w:tc>
        <w:tc>
          <w:tcPr>
            <w:tcW w:w="2127" w:type="dxa"/>
            <w:vAlign w:val="center"/>
            <w:hideMark/>
          </w:tcPr>
          <w:p>
            <w:pPr>
              <w:jc w:val="right"/>
              <w:rPr>
                <w:noProof/>
                <w:sz w:val="20"/>
                <w:szCs w:val="20"/>
              </w:rPr>
            </w:pPr>
            <w:r>
              <w:rPr>
                <w:noProof/>
                <w:sz w:val="20"/>
                <w:szCs w:val="20"/>
              </w:rPr>
              <w:t xml:space="preserve">59 506 </w:t>
            </w:r>
          </w:p>
        </w:tc>
        <w:tc>
          <w:tcPr>
            <w:tcW w:w="1984" w:type="dxa"/>
            <w:vAlign w:val="center"/>
            <w:hideMark/>
          </w:tcPr>
          <w:p>
            <w:pPr>
              <w:jc w:val="right"/>
              <w:rPr>
                <w:noProof/>
                <w:sz w:val="20"/>
                <w:szCs w:val="20"/>
              </w:rPr>
            </w:pPr>
          </w:p>
        </w:tc>
      </w:tr>
      <w:tr>
        <w:trPr>
          <w:trHeight w:val="255"/>
        </w:trPr>
        <w:tc>
          <w:tcPr>
            <w:tcW w:w="3227" w:type="dxa"/>
            <w:shd w:val="clear" w:color="auto" w:fill="EEECE1" w:themeFill="background2"/>
            <w:vAlign w:val="center"/>
            <w:hideMark/>
          </w:tcPr>
          <w:p>
            <w:pPr>
              <w:rPr>
                <w:noProof/>
                <w:sz w:val="20"/>
                <w:szCs w:val="20"/>
              </w:rPr>
            </w:pPr>
            <w:r>
              <w:rPr>
                <w:noProof/>
                <w:sz w:val="20"/>
                <w:szCs w:val="20"/>
              </w:rPr>
              <w:t>Poland</w:t>
            </w:r>
          </w:p>
        </w:tc>
        <w:tc>
          <w:tcPr>
            <w:tcW w:w="1276" w:type="dxa"/>
            <w:shd w:val="clear" w:color="auto" w:fill="EEECE1" w:themeFill="background2"/>
            <w:vAlign w:val="center"/>
            <w:hideMark/>
          </w:tcPr>
          <w:p>
            <w:pPr>
              <w:jc w:val="center"/>
              <w:rPr>
                <w:noProof/>
                <w:sz w:val="20"/>
                <w:szCs w:val="20"/>
              </w:rPr>
            </w:pPr>
            <w:r>
              <w:rPr>
                <w:noProof/>
                <w:sz w:val="20"/>
                <w:szCs w:val="20"/>
              </w:rPr>
              <w:t>2</w:t>
            </w:r>
          </w:p>
        </w:tc>
        <w:tc>
          <w:tcPr>
            <w:tcW w:w="1275" w:type="dxa"/>
            <w:shd w:val="clear" w:color="auto" w:fill="EEECE1" w:themeFill="background2"/>
            <w:vAlign w:val="center"/>
            <w:hideMark/>
          </w:tcPr>
          <w:p>
            <w:pPr>
              <w:jc w:val="center"/>
              <w:rPr>
                <w:noProof/>
                <w:sz w:val="20"/>
                <w:szCs w:val="20"/>
              </w:rPr>
            </w:pPr>
            <w:r>
              <w:rPr>
                <w:noProof/>
                <w:sz w:val="20"/>
                <w:szCs w:val="20"/>
              </w:rPr>
              <w:t>1</w:t>
            </w:r>
          </w:p>
        </w:tc>
        <w:tc>
          <w:tcPr>
            <w:tcW w:w="2127" w:type="dxa"/>
            <w:shd w:val="clear" w:color="auto" w:fill="EEECE1" w:themeFill="background2"/>
            <w:vAlign w:val="center"/>
            <w:hideMark/>
          </w:tcPr>
          <w:p>
            <w:pPr>
              <w:jc w:val="right"/>
              <w:rPr>
                <w:noProof/>
                <w:sz w:val="20"/>
                <w:szCs w:val="20"/>
              </w:rPr>
            </w:pPr>
            <w:r>
              <w:rPr>
                <w:noProof/>
                <w:sz w:val="20"/>
                <w:szCs w:val="20"/>
              </w:rPr>
              <w:t xml:space="preserve">73 387 </w:t>
            </w:r>
          </w:p>
        </w:tc>
        <w:tc>
          <w:tcPr>
            <w:tcW w:w="1984" w:type="dxa"/>
            <w:shd w:val="clear" w:color="auto" w:fill="EEECE1" w:themeFill="background2"/>
            <w:vAlign w:val="center"/>
            <w:hideMark/>
          </w:tcPr>
          <w:p>
            <w:pPr>
              <w:jc w:val="right"/>
              <w:rPr>
                <w:noProof/>
                <w:sz w:val="20"/>
                <w:szCs w:val="20"/>
              </w:rPr>
            </w:pPr>
            <w:r>
              <w:rPr>
                <w:noProof/>
                <w:sz w:val="20"/>
                <w:szCs w:val="20"/>
              </w:rPr>
              <w:t>54 017</w:t>
            </w:r>
          </w:p>
        </w:tc>
      </w:tr>
      <w:tr>
        <w:trPr>
          <w:trHeight w:val="255"/>
        </w:trPr>
        <w:tc>
          <w:tcPr>
            <w:tcW w:w="3227" w:type="dxa"/>
            <w:vAlign w:val="center"/>
            <w:hideMark/>
          </w:tcPr>
          <w:p>
            <w:pPr>
              <w:rPr>
                <w:noProof/>
                <w:sz w:val="20"/>
                <w:szCs w:val="20"/>
              </w:rPr>
            </w:pPr>
            <w:r>
              <w:rPr>
                <w:noProof/>
                <w:sz w:val="20"/>
                <w:szCs w:val="20"/>
              </w:rPr>
              <w:t>Romania</w:t>
            </w:r>
          </w:p>
        </w:tc>
        <w:tc>
          <w:tcPr>
            <w:tcW w:w="1276" w:type="dxa"/>
            <w:vAlign w:val="center"/>
            <w:hideMark/>
          </w:tcPr>
          <w:p>
            <w:pPr>
              <w:jc w:val="center"/>
              <w:rPr>
                <w:noProof/>
                <w:sz w:val="20"/>
                <w:szCs w:val="20"/>
              </w:rPr>
            </w:pPr>
            <w:r>
              <w:rPr>
                <w:noProof/>
                <w:sz w:val="20"/>
                <w:szCs w:val="20"/>
              </w:rPr>
              <w:t>3</w:t>
            </w:r>
          </w:p>
        </w:tc>
        <w:tc>
          <w:tcPr>
            <w:tcW w:w="1275" w:type="dxa"/>
            <w:vAlign w:val="center"/>
            <w:hideMark/>
          </w:tcPr>
          <w:p>
            <w:pPr>
              <w:jc w:val="center"/>
              <w:rPr>
                <w:noProof/>
                <w:sz w:val="20"/>
                <w:szCs w:val="20"/>
              </w:rPr>
            </w:pPr>
            <w:r>
              <w:rPr>
                <w:noProof/>
                <w:sz w:val="20"/>
                <w:szCs w:val="20"/>
              </w:rPr>
              <w:t>2</w:t>
            </w:r>
          </w:p>
        </w:tc>
        <w:tc>
          <w:tcPr>
            <w:tcW w:w="2127" w:type="dxa"/>
            <w:vAlign w:val="center"/>
            <w:hideMark/>
          </w:tcPr>
          <w:p>
            <w:pPr>
              <w:jc w:val="right"/>
              <w:rPr>
                <w:noProof/>
                <w:sz w:val="20"/>
                <w:szCs w:val="20"/>
              </w:rPr>
            </w:pPr>
            <w:r>
              <w:rPr>
                <w:noProof/>
                <w:sz w:val="20"/>
                <w:szCs w:val="20"/>
              </w:rPr>
              <w:t xml:space="preserve">211 592 </w:t>
            </w:r>
          </w:p>
        </w:tc>
        <w:tc>
          <w:tcPr>
            <w:tcW w:w="1984" w:type="dxa"/>
            <w:vAlign w:val="center"/>
            <w:hideMark/>
          </w:tcPr>
          <w:p>
            <w:pPr>
              <w:jc w:val="right"/>
              <w:rPr>
                <w:noProof/>
                <w:sz w:val="20"/>
                <w:szCs w:val="20"/>
              </w:rPr>
            </w:pPr>
            <w:r>
              <w:rPr>
                <w:noProof/>
                <w:sz w:val="20"/>
                <w:szCs w:val="20"/>
              </w:rPr>
              <w:t xml:space="preserve">118 392 </w:t>
            </w:r>
          </w:p>
        </w:tc>
      </w:tr>
      <w:tr>
        <w:trPr>
          <w:trHeight w:val="255"/>
        </w:trPr>
        <w:tc>
          <w:tcPr>
            <w:tcW w:w="3227" w:type="dxa"/>
            <w:shd w:val="clear" w:color="auto" w:fill="EEECE1" w:themeFill="background2"/>
            <w:vAlign w:val="center"/>
            <w:hideMark/>
          </w:tcPr>
          <w:p>
            <w:pPr>
              <w:rPr>
                <w:noProof/>
                <w:sz w:val="20"/>
                <w:szCs w:val="20"/>
              </w:rPr>
            </w:pPr>
            <w:r>
              <w:rPr>
                <w:noProof/>
                <w:sz w:val="20"/>
                <w:szCs w:val="20"/>
              </w:rPr>
              <w:t>Slovakia</w:t>
            </w:r>
          </w:p>
        </w:tc>
        <w:tc>
          <w:tcPr>
            <w:tcW w:w="1276" w:type="dxa"/>
            <w:shd w:val="clear" w:color="auto" w:fill="EEECE1" w:themeFill="background2"/>
            <w:vAlign w:val="center"/>
            <w:hideMark/>
          </w:tcPr>
          <w:p>
            <w:pPr>
              <w:jc w:val="center"/>
              <w:rPr>
                <w:noProof/>
                <w:sz w:val="20"/>
                <w:szCs w:val="20"/>
              </w:rPr>
            </w:pPr>
            <w:r>
              <w:rPr>
                <w:noProof/>
                <w:sz w:val="20"/>
                <w:szCs w:val="20"/>
              </w:rPr>
              <w:t>2</w:t>
            </w:r>
          </w:p>
        </w:tc>
        <w:tc>
          <w:tcPr>
            <w:tcW w:w="1275" w:type="dxa"/>
            <w:shd w:val="clear" w:color="auto" w:fill="EEECE1" w:themeFill="background2"/>
            <w:vAlign w:val="center"/>
            <w:hideMark/>
          </w:tcPr>
          <w:p>
            <w:pPr>
              <w:jc w:val="center"/>
              <w:rPr>
                <w:noProof/>
                <w:sz w:val="20"/>
                <w:szCs w:val="20"/>
              </w:rPr>
            </w:pPr>
            <w:r>
              <w:rPr>
                <w:noProof/>
                <w:sz w:val="20"/>
                <w:szCs w:val="20"/>
              </w:rPr>
              <w:t>1</w:t>
            </w:r>
          </w:p>
        </w:tc>
        <w:tc>
          <w:tcPr>
            <w:tcW w:w="2127" w:type="dxa"/>
            <w:shd w:val="clear" w:color="auto" w:fill="EEECE1" w:themeFill="background2"/>
            <w:vAlign w:val="center"/>
            <w:hideMark/>
          </w:tcPr>
          <w:p>
            <w:pPr>
              <w:jc w:val="right"/>
              <w:rPr>
                <w:noProof/>
                <w:sz w:val="20"/>
                <w:szCs w:val="20"/>
              </w:rPr>
            </w:pPr>
            <w:r>
              <w:rPr>
                <w:noProof/>
                <w:sz w:val="20"/>
                <w:szCs w:val="20"/>
              </w:rPr>
              <w:t>232 078</w:t>
            </w:r>
          </w:p>
        </w:tc>
        <w:tc>
          <w:tcPr>
            <w:tcW w:w="1984" w:type="dxa"/>
            <w:shd w:val="clear" w:color="auto" w:fill="EEECE1" w:themeFill="background2"/>
            <w:vAlign w:val="center"/>
            <w:hideMark/>
          </w:tcPr>
          <w:p>
            <w:pPr>
              <w:jc w:val="right"/>
              <w:rPr>
                <w:noProof/>
                <w:sz w:val="20"/>
                <w:szCs w:val="20"/>
              </w:rPr>
            </w:pPr>
            <w:r>
              <w:rPr>
                <w:noProof/>
                <w:sz w:val="20"/>
                <w:szCs w:val="20"/>
              </w:rPr>
              <w:t>75 899</w:t>
            </w:r>
          </w:p>
        </w:tc>
      </w:tr>
      <w:tr>
        <w:trPr>
          <w:trHeight w:val="558"/>
        </w:trPr>
        <w:tc>
          <w:tcPr>
            <w:tcW w:w="3227" w:type="dxa"/>
            <w:shd w:val="clear" w:color="auto" w:fill="DDD9C3" w:themeFill="background2" w:themeFillShade="E6"/>
            <w:vAlign w:val="center"/>
            <w:hideMark/>
          </w:tcPr>
          <w:p>
            <w:pPr>
              <w:rPr>
                <w:b/>
                <w:bCs/>
                <w:noProof/>
                <w:sz w:val="20"/>
                <w:szCs w:val="20"/>
              </w:rPr>
            </w:pPr>
            <w:r>
              <w:rPr>
                <w:b/>
                <w:bCs/>
                <w:noProof/>
                <w:sz w:val="20"/>
                <w:szCs w:val="20"/>
              </w:rPr>
              <w:t>LEGAL TRAINING 2019</w:t>
            </w:r>
          </w:p>
        </w:tc>
        <w:tc>
          <w:tcPr>
            <w:tcW w:w="1276" w:type="dxa"/>
            <w:shd w:val="clear" w:color="auto" w:fill="DDD9C3" w:themeFill="background2" w:themeFillShade="E6"/>
            <w:vAlign w:val="center"/>
            <w:hideMark/>
          </w:tcPr>
          <w:p>
            <w:pPr>
              <w:jc w:val="center"/>
              <w:rPr>
                <w:b/>
                <w:bCs/>
                <w:noProof/>
                <w:sz w:val="20"/>
                <w:szCs w:val="20"/>
              </w:rPr>
            </w:pPr>
            <w:r>
              <w:rPr>
                <w:b/>
                <w:bCs/>
                <w:noProof/>
                <w:sz w:val="20"/>
                <w:szCs w:val="20"/>
              </w:rPr>
              <w:t>6</w:t>
            </w:r>
          </w:p>
        </w:tc>
        <w:tc>
          <w:tcPr>
            <w:tcW w:w="1275" w:type="dxa"/>
            <w:shd w:val="clear" w:color="auto" w:fill="DDD9C3" w:themeFill="background2" w:themeFillShade="E6"/>
            <w:vAlign w:val="center"/>
            <w:hideMark/>
          </w:tcPr>
          <w:p>
            <w:pPr>
              <w:jc w:val="center"/>
              <w:rPr>
                <w:b/>
                <w:bCs/>
                <w:noProof/>
                <w:sz w:val="20"/>
                <w:szCs w:val="20"/>
              </w:rPr>
            </w:pPr>
            <w:r>
              <w:rPr>
                <w:b/>
                <w:bCs/>
                <w:noProof/>
                <w:sz w:val="20"/>
                <w:szCs w:val="20"/>
              </w:rPr>
              <w:t>5</w:t>
            </w:r>
          </w:p>
        </w:tc>
        <w:tc>
          <w:tcPr>
            <w:tcW w:w="2127" w:type="dxa"/>
            <w:shd w:val="clear" w:color="auto" w:fill="DDD9C3" w:themeFill="background2" w:themeFillShade="E6"/>
            <w:vAlign w:val="center"/>
            <w:hideMark/>
          </w:tcPr>
          <w:p>
            <w:pPr>
              <w:jc w:val="right"/>
              <w:rPr>
                <w:b/>
                <w:bCs/>
                <w:noProof/>
                <w:sz w:val="20"/>
                <w:szCs w:val="20"/>
              </w:rPr>
            </w:pPr>
            <w:r>
              <w:rPr>
                <w:b/>
                <w:bCs/>
                <w:noProof/>
                <w:sz w:val="20"/>
                <w:szCs w:val="20"/>
              </w:rPr>
              <w:t xml:space="preserve">542 104 </w:t>
            </w:r>
          </w:p>
        </w:tc>
        <w:tc>
          <w:tcPr>
            <w:tcW w:w="1984" w:type="dxa"/>
            <w:shd w:val="clear" w:color="auto" w:fill="DDD9C3" w:themeFill="background2" w:themeFillShade="E6"/>
            <w:vAlign w:val="center"/>
            <w:hideMark/>
          </w:tcPr>
          <w:p>
            <w:pPr>
              <w:jc w:val="right"/>
              <w:rPr>
                <w:b/>
                <w:bCs/>
                <w:noProof/>
                <w:sz w:val="20"/>
                <w:szCs w:val="20"/>
              </w:rPr>
            </w:pPr>
            <w:r>
              <w:rPr>
                <w:b/>
                <w:bCs/>
                <w:noProof/>
                <w:sz w:val="20"/>
                <w:szCs w:val="20"/>
              </w:rPr>
              <w:t xml:space="preserve">432 075 </w:t>
            </w:r>
          </w:p>
        </w:tc>
      </w:tr>
      <w:tr>
        <w:trPr>
          <w:trHeight w:val="255"/>
        </w:trPr>
        <w:tc>
          <w:tcPr>
            <w:tcW w:w="3227" w:type="dxa"/>
            <w:vAlign w:val="center"/>
            <w:hideMark/>
          </w:tcPr>
          <w:p>
            <w:pPr>
              <w:rPr>
                <w:noProof/>
                <w:sz w:val="20"/>
                <w:szCs w:val="20"/>
              </w:rPr>
            </w:pPr>
            <w:r>
              <w:rPr>
                <w:noProof/>
                <w:sz w:val="20"/>
                <w:szCs w:val="20"/>
              </w:rPr>
              <w:t>Germany</w:t>
            </w:r>
          </w:p>
        </w:tc>
        <w:tc>
          <w:tcPr>
            <w:tcW w:w="1276" w:type="dxa"/>
            <w:vAlign w:val="center"/>
            <w:hideMark/>
          </w:tcPr>
          <w:p>
            <w:pPr>
              <w:jc w:val="center"/>
              <w:rPr>
                <w:noProof/>
                <w:sz w:val="20"/>
                <w:szCs w:val="20"/>
              </w:rPr>
            </w:pPr>
            <w:r>
              <w:rPr>
                <w:noProof/>
                <w:sz w:val="20"/>
                <w:szCs w:val="20"/>
              </w:rPr>
              <w:t>2</w:t>
            </w:r>
          </w:p>
        </w:tc>
        <w:tc>
          <w:tcPr>
            <w:tcW w:w="1275" w:type="dxa"/>
            <w:vAlign w:val="center"/>
            <w:hideMark/>
          </w:tcPr>
          <w:p>
            <w:pPr>
              <w:jc w:val="center"/>
              <w:rPr>
                <w:noProof/>
                <w:sz w:val="20"/>
                <w:szCs w:val="20"/>
              </w:rPr>
            </w:pPr>
            <w:r>
              <w:rPr>
                <w:noProof/>
                <w:sz w:val="20"/>
                <w:szCs w:val="20"/>
              </w:rPr>
              <w:t>2</w:t>
            </w:r>
          </w:p>
        </w:tc>
        <w:tc>
          <w:tcPr>
            <w:tcW w:w="2127" w:type="dxa"/>
            <w:vAlign w:val="center"/>
            <w:hideMark/>
          </w:tcPr>
          <w:p>
            <w:pPr>
              <w:jc w:val="right"/>
              <w:rPr>
                <w:noProof/>
                <w:sz w:val="20"/>
                <w:szCs w:val="20"/>
              </w:rPr>
            </w:pPr>
            <w:r>
              <w:rPr>
                <w:noProof/>
                <w:sz w:val="20"/>
                <w:szCs w:val="20"/>
              </w:rPr>
              <w:t xml:space="preserve">197 096 </w:t>
            </w:r>
          </w:p>
        </w:tc>
        <w:tc>
          <w:tcPr>
            <w:tcW w:w="1984" w:type="dxa"/>
            <w:vAlign w:val="center"/>
            <w:hideMark/>
          </w:tcPr>
          <w:p>
            <w:pPr>
              <w:jc w:val="right"/>
              <w:rPr>
                <w:noProof/>
                <w:sz w:val="20"/>
                <w:szCs w:val="20"/>
              </w:rPr>
            </w:pPr>
            <w:r>
              <w:rPr>
                <w:noProof/>
                <w:sz w:val="20"/>
                <w:szCs w:val="20"/>
              </w:rPr>
              <w:t xml:space="preserve">197 053 </w:t>
            </w:r>
          </w:p>
        </w:tc>
      </w:tr>
      <w:tr>
        <w:trPr>
          <w:trHeight w:val="255"/>
        </w:trPr>
        <w:tc>
          <w:tcPr>
            <w:tcW w:w="3227" w:type="dxa"/>
            <w:shd w:val="clear" w:color="auto" w:fill="EEECE1" w:themeFill="background2"/>
            <w:vAlign w:val="center"/>
            <w:hideMark/>
          </w:tcPr>
          <w:p>
            <w:pPr>
              <w:rPr>
                <w:noProof/>
                <w:sz w:val="20"/>
                <w:szCs w:val="20"/>
              </w:rPr>
            </w:pPr>
            <w:r>
              <w:rPr>
                <w:noProof/>
                <w:sz w:val="20"/>
                <w:szCs w:val="20"/>
              </w:rPr>
              <w:t>Italy</w:t>
            </w:r>
          </w:p>
        </w:tc>
        <w:tc>
          <w:tcPr>
            <w:tcW w:w="1276" w:type="dxa"/>
            <w:shd w:val="clear" w:color="auto" w:fill="EEECE1" w:themeFill="background2"/>
            <w:vAlign w:val="center"/>
            <w:hideMark/>
          </w:tcPr>
          <w:p>
            <w:pPr>
              <w:jc w:val="center"/>
              <w:rPr>
                <w:noProof/>
                <w:sz w:val="20"/>
                <w:szCs w:val="20"/>
              </w:rPr>
            </w:pPr>
            <w:r>
              <w:rPr>
                <w:noProof/>
                <w:sz w:val="20"/>
                <w:szCs w:val="20"/>
              </w:rPr>
              <w:t>2</w:t>
            </w:r>
          </w:p>
        </w:tc>
        <w:tc>
          <w:tcPr>
            <w:tcW w:w="1275" w:type="dxa"/>
            <w:shd w:val="clear" w:color="auto" w:fill="EEECE1" w:themeFill="background2"/>
            <w:vAlign w:val="center"/>
            <w:hideMark/>
          </w:tcPr>
          <w:p>
            <w:pPr>
              <w:jc w:val="center"/>
              <w:rPr>
                <w:noProof/>
                <w:sz w:val="20"/>
                <w:szCs w:val="20"/>
              </w:rPr>
            </w:pPr>
            <w:r>
              <w:rPr>
                <w:noProof/>
                <w:sz w:val="20"/>
                <w:szCs w:val="20"/>
              </w:rPr>
              <w:t>1</w:t>
            </w:r>
          </w:p>
        </w:tc>
        <w:tc>
          <w:tcPr>
            <w:tcW w:w="2127" w:type="dxa"/>
            <w:shd w:val="clear" w:color="auto" w:fill="EEECE1" w:themeFill="background2"/>
            <w:vAlign w:val="center"/>
            <w:hideMark/>
          </w:tcPr>
          <w:p>
            <w:pPr>
              <w:jc w:val="right"/>
              <w:rPr>
                <w:noProof/>
                <w:sz w:val="20"/>
                <w:szCs w:val="20"/>
              </w:rPr>
            </w:pPr>
            <w:r>
              <w:rPr>
                <w:noProof/>
                <w:sz w:val="20"/>
                <w:szCs w:val="20"/>
              </w:rPr>
              <w:t xml:space="preserve">191 259 </w:t>
            </w:r>
          </w:p>
        </w:tc>
        <w:tc>
          <w:tcPr>
            <w:tcW w:w="1984" w:type="dxa"/>
            <w:shd w:val="clear" w:color="auto" w:fill="EEECE1" w:themeFill="background2"/>
            <w:vAlign w:val="center"/>
            <w:hideMark/>
          </w:tcPr>
          <w:p>
            <w:pPr>
              <w:jc w:val="right"/>
              <w:rPr>
                <w:noProof/>
                <w:sz w:val="20"/>
                <w:szCs w:val="20"/>
              </w:rPr>
            </w:pPr>
            <w:r>
              <w:rPr>
                <w:noProof/>
                <w:sz w:val="20"/>
                <w:szCs w:val="20"/>
              </w:rPr>
              <w:t xml:space="preserve">72 491 </w:t>
            </w:r>
          </w:p>
        </w:tc>
      </w:tr>
      <w:tr>
        <w:trPr>
          <w:trHeight w:val="255"/>
        </w:trPr>
        <w:tc>
          <w:tcPr>
            <w:tcW w:w="3227" w:type="dxa"/>
            <w:vAlign w:val="center"/>
            <w:hideMark/>
          </w:tcPr>
          <w:p>
            <w:pPr>
              <w:rPr>
                <w:noProof/>
                <w:sz w:val="20"/>
                <w:szCs w:val="20"/>
              </w:rPr>
            </w:pPr>
            <w:r>
              <w:rPr>
                <w:noProof/>
                <w:sz w:val="20"/>
                <w:szCs w:val="20"/>
              </w:rPr>
              <w:t>Spain</w:t>
            </w:r>
          </w:p>
        </w:tc>
        <w:tc>
          <w:tcPr>
            <w:tcW w:w="1276" w:type="dxa"/>
            <w:vAlign w:val="center"/>
            <w:hideMark/>
          </w:tcPr>
          <w:p>
            <w:pPr>
              <w:jc w:val="center"/>
              <w:rPr>
                <w:noProof/>
                <w:sz w:val="20"/>
                <w:szCs w:val="20"/>
              </w:rPr>
            </w:pPr>
            <w:r>
              <w:rPr>
                <w:noProof/>
                <w:sz w:val="20"/>
                <w:szCs w:val="20"/>
              </w:rPr>
              <w:t>1</w:t>
            </w:r>
          </w:p>
        </w:tc>
        <w:tc>
          <w:tcPr>
            <w:tcW w:w="1275" w:type="dxa"/>
            <w:vAlign w:val="center"/>
            <w:hideMark/>
          </w:tcPr>
          <w:p>
            <w:pPr>
              <w:jc w:val="center"/>
              <w:rPr>
                <w:noProof/>
                <w:sz w:val="20"/>
                <w:szCs w:val="20"/>
              </w:rPr>
            </w:pPr>
            <w:r>
              <w:rPr>
                <w:noProof/>
                <w:sz w:val="20"/>
                <w:szCs w:val="20"/>
              </w:rPr>
              <w:t>1</w:t>
            </w:r>
          </w:p>
        </w:tc>
        <w:tc>
          <w:tcPr>
            <w:tcW w:w="2127" w:type="dxa"/>
            <w:vAlign w:val="center"/>
            <w:hideMark/>
          </w:tcPr>
          <w:p>
            <w:pPr>
              <w:jc w:val="right"/>
              <w:rPr>
                <w:noProof/>
                <w:sz w:val="20"/>
                <w:szCs w:val="20"/>
              </w:rPr>
            </w:pPr>
            <w:r>
              <w:rPr>
                <w:noProof/>
                <w:sz w:val="20"/>
                <w:szCs w:val="20"/>
              </w:rPr>
              <w:t xml:space="preserve">70 251 </w:t>
            </w:r>
          </w:p>
        </w:tc>
        <w:tc>
          <w:tcPr>
            <w:tcW w:w="1984" w:type="dxa"/>
            <w:vAlign w:val="center"/>
            <w:hideMark/>
          </w:tcPr>
          <w:p>
            <w:pPr>
              <w:jc w:val="right"/>
              <w:rPr>
                <w:noProof/>
                <w:sz w:val="20"/>
                <w:szCs w:val="20"/>
              </w:rPr>
            </w:pPr>
            <w:r>
              <w:rPr>
                <w:noProof/>
                <w:sz w:val="20"/>
                <w:szCs w:val="20"/>
              </w:rPr>
              <w:t xml:space="preserve">79 033 </w:t>
            </w:r>
          </w:p>
        </w:tc>
      </w:tr>
      <w:tr>
        <w:trPr>
          <w:trHeight w:val="255"/>
        </w:trPr>
        <w:tc>
          <w:tcPr>
            <w:tcW w:w="3227" w:type="dxa"/>
            <w:shd w:val="clear" w:color="auto" w:fill="EEECE1" w:themeFill="background2"/>
            <w:vAlign w:val="center"/>
            <w:hideMark/>
          </w:tcPr>
          <w:p>
            <w:pPr>
              <w:rPr>
                <w:noProof/>
                <w:sz w:val="20"/>
                <w:szCs w:val="20"/>
              </w:rPr>
            </w:pPr>
            <w:r>
              <w:rPr>
                <w:noProof/>
                <w:sz w:val="20"/>
                <w:szCs w:val="20"/>
              </w:rPr>
              <w:t>United Kingdom</w:t>
            </w:r>
          </w:p>
        </w:tc>
        <w:tc>
          <w:tcPr>
            <w:tcW w:w="1276" w:type="dxa"/>
            <w:shd w:val="clear" w:color="auto" w:fill="EEECE1" w:themeFill="background2"/>
            <w:vAlign w:val="center"/>
            <w:hideMark/>
          </w:tcPr>
          <w:p>
            <w:pPr>
              <w:jc w:val="center"/>
              <w:rPr>
                <w:noProof/>
                <w:sz w:val="20"/>
                <w:szCs w:val="20"/>
              </w:rPr>
            </w:pPr>
            <w:r>
              <w:rPr>
                <w:noProof/>
                <w:sz w:val="20"/>
                <w:szCs w:val="20"/>
              </w:rPr>
              <w:t>1</w:t>
            </w:r>
          </w:p>
        </w:tc>
        <w:tc>
          <w:tcPr>
            <w:tcW w:w="1275" w:type="dxa"/>
            <w:shd w:val="clear" w:color="auto" w:fill="EEECE1" w:themeFill="background2"/>
            <w:vAlign w:val="center"/>
            <w:hideMark/>
          </w:tcPr>
          <w:p>
            <w:pPr>
              <w:jc w:val="center"/>
              <w:rPr>
                <w:noProof/>
                <w:sz w:val="20"/>
                <w:szCs w:val="20"/>
              </w:rPr>
            </w:pPr>
            <w:r>
              <w:rPr>
                <w:noProof/>
                <w:sz w:val="20"/>
                <w:szCs w:val="20"/>
              </w:rPr>
              <w:t>1</w:t>
            </w:r>
          </w:p>
        </w:tc>
        <w:tc>
          <w:tcPr>
            <w:tcW w:w="2127" w:type="dxa"/>
            <w:shd w:val="clear" w:color="auto" w:fill="EEECE1" w:themeFill="background2"/>
            <w:vAlign w:val="center"/>
            <w:hideMark/>
          </w:tcPr>
          <w:p>
            <w:pPr>
              <w:jc w:val="right"/>
              <w:rPr>
                <w:noProof/>
                <w:sz w:val="20"/>
                <w:szCs w:val="20"/>
              </w:rPr>
            </w:pPr>
            <w:r>
              <w:rPr>
                <w:noProof/>
                <w:sz w:val="20"/>
                <w:szCs w:val="20"/>
              </w:rPr>
              <w:t xml:space="preserve">83 498 </w:t>
            </w:r>
          </w:p>
        </w:tc>
        <w:tc>
          <w:tcPr>
            <w:tcW w:w="1984" w:type="dxa"/>
            <w:shd w:val="clear" w:color="auto" w:fill="EEECE1" w:themeFill="background2"/>
            <w:vAlign w:val="center"/>
            <w:hideMark/>
          </w:tcPr>
          <w:p>
            <w:pPr>
              <w:jc w:val="right"/>
              <w:rPr>
                <w:noProof/>
                <w:sz w:val="20"/>
                <w:szCs w:val="20"/>
              </w:rPr>
            </w:pPr>
            <w:r>
              <w:rPr>
                <w:noProof/>
                <w:sz w:val="20"/>
                <w:szCs w:val="20"/>
              </w:rPr>
              <w:t xml:space="preserve">83 498 </w:t>
            </w:r>
          </w:p>
        </w:tc>
      </w:tr>
      <w:tr>
        <w:trPr>
          <w:trHeight w:val="581"/>
        </w:trPr>
        <w:tc>
          <w:tcPr>
            <w:tcW w:w="3227" w:type="dxa"/>
            <w:vAlign w:val="center"/>
            <w:hideMark/>
          </w:tcPr>
          <w:p>
            <w:pPr>
              <w:rPr>
                <w:b/>
                <w:noProof/>
                <w:sz w:val="20"/>
                <w:szCs w:val="20"/>
              </w:rPr>
            </w:pPr>
            <w:r>
              <w:rPr>
                <w:b/>
                <w:noProof/>
                <w:sz w:val="20"/>
                <w:szCs w:val="20"/>
              </w:rPr>
              <w:t xml:space="preserve">TOTAL </w:t>
            </w:r>
          </w:p>
        </w:tc>
        <w:tc>
          <w:tcPr>
            <w:tcW w:w="1276" w:type="dxa"/>
            <w:vAlign w:val="center"/>
            <w:hideMark/>
          </w:tcPr>
          <w:p>
            <w:pPr>
              <w:jc w:val="center"/>
              <w:rPr>
                <w:b/>
                <w:noProof/>
                <w:sz w:val="20"/>
                <w:szCs w:val="20"/>
              </w:rPr>
            </w:pPr>
            <w:r>
              <w:rPr>
                <w:b/>
                <w:noProof/>
                <w:sz w:val="20"/>
                <w:szCs w:val="20"/>
              </w:rPr>
              <w:t>68</w:t>
            </w:r>
          </w:p>
        </w:tc>
        <w:tc>
          <w:tcPr>
            <w:tcW w:w="1275" w:type="dxa"/>
            <w:vAlign w:val="center"/>
            <w:hideMark/>
          </w:tcPr>
          <w:p>
            <w:pPr>
              <w:jc w:val="center"/>
              <w:rPr>
                <w:b/>
                <w:noProof/>
                <w:sz w:val="20"/>
                <w:szCs w:val="20"/>
              </w:rPr>
            </w:pPr>
            <w:r>
              <w:rPr>
                <w:b/>
                <w:noProof/>
                <w:sz w:val="20"/>
                <w:szCs w:val="20"/>
              </w:rPr>
              <w:t>28</w:t>
            </w:r>
          </w:p>
        </w:tc>
        <w:tc>
          <w:tcPr>
            <w:tcW w:w="2127" w:type="dxa"/>
            <w:vAlign w:val="center"/>
            <w:hideMark/>
          </w:tcPr>
          <w:p>
            <w:pPr>
              <w:jc w:val="right"/>
              <w:rPr>
                <w:b/>
                <w:noProof/>
                <w:sz w:val="20"/>
                <w:szCs w:val="20"/>
              </w:rPr>
            </w:pPr>
            <w:r>
              <w:rPr>
                <w:b/>
                <w:noProof/>
                <w:sz w:val="20"/>
                <w:szCs w:val="20"/>
              </w:rPr>
              <w:t>38 031 655</w:t>
            </w:r>
          </w:p>
        </w:tc>
        <w:tc>
          <w:tcPr>
            <w:tcW w:w="1984" w:type="dxa"/>
            <w:vAlign w:val="center"/>
            <w:hideMark/>
          </w:tcPr>
          <w:p>
            <w:pPr>
              <w:jc w:val="right"/>
              <w:rPr>
                <w:b/>
                <w:noProof/>
                <w:sz w:val="20"/>
                <w:szCs w:val="20"/>
              </w:rPr>
            </w:pPr>
            <w:r>
              <w:rPr>
                <w:b/>
                <w:noProof/>
                <w:sz w:val="20"/>
                <w:szCs w:val="20"/>
              </w:rPr>
              <w:t xml:space="preserve">13 814 230 </w:t>
            </w:r>
          </w:p>
        </w:tc>
      </w:tr>
    </w:tbl>
    <w:p>
      <w:pPr>
        <w:rPr>
          <w:noProof/>
          <w:sz w:val="20"/>
          <w:szCs w:val="20"/>
        </w:rPr>
      </w:pPr>
    </w:p>
    <w:p>
      <w:pPr>
        <w:rPr>
          <w:noProof/>
          <w:lang w:eastAsia="de-DE"/>
        </w:rPr>
      </w:pPr>
    </w:p>
    <w:sectPr>
      <w:headerReference w:type="even" r:id="rId21"/>
      <w:headerReference w:type="default" r:id="rId22"/>
      <w:footerReference w:type="even" r:id="rId23"/>
      <w:footerReference w:type="default" r:id="rId24"/>
      <w:headerReference w:type="first" r:id="rId25"/>
      <w:footerReference w:type="first" r:id="rId26"/>
      <w:pgSz w:w="11906" w:h="16838"/>
      <w:pgMar w:top="720" w:right="720" w:bottom="720" w:left="720" w:header="708" w:footer="708"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1B63C6C" w16cid:durableId="22713B61"/>
  <w16cid:commentId w16cid:paraId="6814AB4D" w16cid:durableId="227141D4"/>
  <w16cid:commentId w16cid:paraId="36C2AF22" w16cid:durableId="2271563F"/>
  <w16cid:commentId w16cid:paraId="74E56E36" w16cid:durableId="2271574C"/>
  <w16cid:commentId w16cid:paraId="61958C69" w16cid:durableId="22715AE6"/>
  <w16cid:commentId w16cid:paraId="349B67C4" w16cid:durableId="22715AF7"/>
  <w16cid:commentId w16cid:paraId="3FA88C20" w16cid:durableId="227159BF"/>
  <w16cid:commentId w16cid:paraId="4BEB45D7" w16cid:durableId="22715C2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516429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 xml:space="preserve"> </w:t>
      </w:r>
      <w:r>
        <w:rPr>
          <w:color w:val="1F497D" w:themeColor="text2"/>
        </w:rPr>
        <w:tab/>
      </w:r>
      <w:r>
        <w:t xml:space="preserve">Regulation 250/2014 of the European Parliament and of the Council of 26 February 2014, OJ L 84 of 20 March 2014. </w:t>
      </w:r>
    </w:p>
  </w:footnote>
  <w:footnote w:id="2">
    <w:p>
      <w:pPr>
        <w:pStyle w:val="FootnoteText"/>
      </w:pPr>
      <w:r>
        <w:rPr>
          <w:rStyle w:val="FootnoteReference"/>
        </w:rPr>
        <w:footnoteRef/>
      </w:r>
      <w:r>
        <w:t xml:space="preserve"> </w:t>
      </w:r>
      <w:r>
        <w:tab/>
        <w:t>The sixth annual work programme was adopted by Financing Decision C(2018) 8568 final of 17 December 2018.</w:t>
      </w:r>
    </w:p>
  </w:footnote>
  <w:footnote w:id="3">
    <w:p>
      <w:pPr>
        <w:pStyle w:val="FootnoteText"/>
      </w:pPr>
      <w:r>
        <w:rPr>
          <w:rStyle w:val="FootnoteReference"/>
        </w:rPr>
        <w:footnoteRef/>
      </w:r>
      <w:r>
        <w:t xml:space="preserve"> </w:t>
      </w:r>
      <w:r>
        <w:tab/>
        <w:t>Article 13 of Regulation 250/2014 (Monitoring and Evaluation) requires the Commission “</w:t>
      </w:r>
      <w:r>
        <w:rPr>
          <w:i/>
        </w:rPr>
        <w:t>to provide the European Parliament and the Council, on an annual basis, with information on the implementation of the Programme, including on the achievement of the objectives of the Programme and the results</w:t>
      </w:r>
      <w:r>
        <w:t xml:space="preserve">”. </w:t>
      </w:r>
    </w:p>
  </w:footnote>
  <w:footnote w:id="4">
    <w:p>
      <w:pPr>
        <w:pStyle w:val="FootnoteText"/>
      </w:pPr>
      <w:r>
        <w:rPr>
          <w:rStyle w:val="FootnoteReference"/>
        </w:rPr>
        <w:footnoteRef/>
      </w:r>
      <w:r>
        <w:t xml:space="preserve"> </w:t>
      </w:r>
      <w:r>
        <w:tab/>
        <w:t>Regulation (EU, Euratom) 2018/1046 of the European Parliament and of the Council of 18 July 2018 on the financial rules applicable to the general budget of the Union (Financial Regulation – FR).</w:t>
      </w:r>
    </w:p>
  </w:footnote>
  <w:footnote w:id="5">
    <w:p>
      <w:pPr>
        <w:pStyle w:val="FootnoteText"/>
      </w:pPr>
      <w:r>
        <w:rPr>
          <w:rStyle w:val="FootnoteReference"/>
        </w:rPr>
        <w:footnoteRef/>
      </w:r>
      <w:r>
        <w:t xml:space="preserve"> </w:t>
      </w:r>
      <w:r>
        <w:tab/>
        <w:t>Article 3 of Regulation 250/2014.</w:t>
      </w:r>
    </w:p>
  </w:footnote>
  <w:footnote w:id="6">
    <w:p>
      <w:pPr>
        <w:pStyle w:val="FootnoteText"/>
      </w:pPr>
      <w:r>
        <w:rPr>
          <w:rStyle w:val="FootnoteReference"/>
        </w:rPr>
        <w:footnoteRef/>
      </w:r>
      <w:r>
        <w:t xml:space="preserve"> </w:t>
      </w:r>
      <w:r>
        <w:tab/>
        <w:t>Article 4 of Regulation 250/2014.</w:t>
      </w:r>
    </w:p>
  </w:footnote>
  <w:footnote w:id="7">
    <w:p>
      <w:pPr>
        <w:pStyle w:val="FootnoteText"/>
      </w:pPr>
      <w:r>
        <w:rPr>
          <w:rStyle w:val="FootnoteReference"/>
        </w:rPr>
        <w:footnoteRef/>
      </w:r>
      <w:r>
        <w:t xml:space="preserve"> </w:t>
      </w:r>
      <w:r>
        <w:tab/>
        <w:t>Article 5 of Regulation 250/2014.</w:t>
      </w:r>
    </w:p>
  </w:footnote>
  <w:footnote w:id="8">
    <w:p>
      <w:pPr>
        <w:pStyle w:val="FootnoteText"/>
      </w:pPr>
      <w:r>
        <w:rPr>
          <w:rStyle w:val="FootnoteReference"/>
        </w:rPr>
        <w:footnoteRef/>
      </w:r>
      <w:r>
        <w:t xml:space="preserve"> </w:t>
      </w:r>
      <w:r>
        <w:tab/>
        <w:t>Article 8 of Regulation 250/2014. Article 8(a) lists 7 types of actions for Technical Assistance and Article 8(b) lists 7 types of actions for Training.</w:t>
      </w:r>
    </w:p>
  </w:footnote>
  <w:footnote w:id="9">
    <w:p>
      <w:pPr>
        <w:pStyle w:val="FootnoteText"/>
      </w:pPr>
      <w:r>
        <w:rPr>
          <w:rStyle w:val="FootnoteReference"/>
        </w:rPr>
        <w:footnoteRef/>
      </w:r>
      <w:r>
        <w:t xml:space="preserve"> </w:t>
      </w:r>
      <w:r>
        <w:tab/>
        <w:t>It is important to underline that “Technical Assistance” as defined in Regulation 250/2014 differs from the term “Technical Assistance” used in Article 121(7) of the Rules of Application, which defines Technical Assistance as “</w:t>
      </w:r>
      <w:r>
        <w:rPr>
          <w:i/>
        </w:rPr>
        <w:t>support and capacity-building activities necessary for the implementation of a programme or an action, in particular preparatory, management, monitoring, evaluation, audit and control activities</w:t>
      </w:r>
      <w:r>
        <w:t xml:space="preserve">”. </w:t>
      </w:r>
    </w:p>
  </w:footnote>
  <w:footnote w:id="10">
    <w:p>
      <w:pPr>
        <w:pStyle w:val="FootnoteText"/>
      </w:pPr>
      <w:r>
        <w:rPr>
          <w:rStyle w:val="FootnoteReference"/>
        </w:rPr>
        <w:footnoteRef/>
      </w:r>
      <w:r>
        <w:t xml:space="preserve"> </w:t>
      </w:r>
      <w:r>
        <w:tab/>
        <w:t xml:space="preserve">Article 6 of Regulation 250/2014. Article 7 of Regulation 250/2014 defines the geographical scope of the Programme. The participation of national and regional administrations from non-EU countries, such as EEA countries, Switzerland, candidate countries and European Neighbourhood Policy countries, is subject to an agreement between the respective countries and the Union on the former’s participation in Union Programmes. For the time being, no such agreement is in force. </w:t>
      </w:r>
    </w:p>
  </w:footnote>
  <w:footnote w:id="11">
    <w:p>
      <w:pPr>
        <w:pStyle w:val="FootnoteText"/>
      </w:pPr>
      <w:r>
        <w:rPr>
          <w:rStyle w:val="FootnoteReference"/>
        </w:rPr>
        <w:footnoteRef/>
      </w:r>
      <w:r>
        <w:t xml:space="preserve"> </w:t>
      </w:r>
      <w:r>
        <w:tab/>
        <w:t>The budget corresponds to the summary table in the Annual Work Programme 2019 as adopted by the Financing Decision 2019 C(2018)8568 final of 17 December 2018.</w:t>
      </w:r>
    </w:p>
  </w:footnote>
  <w:footnote w:id="12">
    <w:p>
      <w:pPr>
        <w:pStyle w:val="FootnoteText"/>
      </w:pPr>
      <w:r>
        <w:rPr>
          <w:rStyle w:val="FootnoteReference"/>
        </w:rPr>
        <w:footnoteRef/>
      </w:r>
      <w:r>
        <w:t xml:space="preserve"> </w:t>
      </w:r>
      <w:r>
        <w:tab/>
        <w:t xml:space="preserve">Commitments cover the total costs in 2019 of legal obligations (contracts, grant agreements/decisions) entered into for operations extending over more than one year. </w:t>
      </w:r>
    </w:p>
  </w:footnote>
  <w:footnote w:id="13">
    <w:p>
      <w:pPr>
        <w:pStyle w:val="FootnoteText"/>
      </w:pPr>
      <w:r>
        <w:rPr>
          <w:rStyle w:val="FootnoteReference"/>
        </w:rPr>
        <w:footnoteRef/>
      </w:r>
      <w:r>
        <w:t xml:space="preserve"> </w:t>
      </w:r>
      <w:r>
        <w:tab/>
        <w:t xml:space="preserve">Article 10 of Regulation 250/2014. </w:t>
      </w:r>
    </w:p>
  </w:footnote>
  <w:footnote w:id="14">
    <w:p>
      <w:pPr>
        <w:pStyle w:val="FootnoteText"/>
      </w:pPr>
      <w:r>
        <w:rPr>
          <w:rStyle w:val="FootnoteReference"/>
        </w:rPr>
        <w:footnoteRef/>
      </w:r>
      <w:r>
        <w:t xml:space="preserve"> </w:t>
      </w:r>
      <w:r>
        <w:tab/>
        <w:t xml:space="preserve">Article 10(4) of Regulation 250/2014. The annual work programme 2019 contained the criteria as required under Article 11 of Regulation 250/2014 for the definition of these exceptional cases. Applicants for "Technical Assistance" and "Legal Training and Studies" grants were given the possibility to request the maximum co-financing percentage of 90%.  </w:t>
      </w:r>
    </w:p>
  </w:footnote>
  <w:footnote w:id="15">
    <w:p>
      <w:pPr>
        <w:pStyle w:val="FootnoteText"/>
      </w:pPr>
      <w:r>
        <w:rPr>
          <w:rStyle w:val="FootnoteReference"/>
        </w:rPr>
        <w:footnoteRef/>
      </w:r>
      <w:r>
        <w:t xml:space="preserve"> </w:t>
      </w:r>
      <w:r>
        <w:tab/>
        <w:t>Technical Assistance: 43, Legal Training: 6 and Training and Conferences: 19.</w:t>
      </w:r>
    </w:p>
  </w:footnote>
  <w:footnote w:id="16">
    <w:p>
      <w:pPr>
        <w:pStyle w:val="FootnoteText"/>
        <w:rPr>
          <w:color w:val="1F497D" w:themeColor="text2"/>
        </w:rPr>
      </w:pPr>
      <w:r>
        <w:rPr>
          <w:rStyle w:val="FootnoteReference"/>
        </w:rPr>
        <w:footnoteRef/>
      </w:r>
      <w:r>
        <w:t xml:space="preserve"> </w:t>
      </w:r>
      <w:r>
        <w:tab/>
        <w:t>Technical Assistance: 13, Legal Training: 5 and Training and Conferences:10.</w:t>
      </w:r>
    </w:p>
  </w:footnote>
  <w:footnote w:id="17">
    <w:p>
      <w:pPr>
        <w:pStyle w:val="FootnoteText"/>
      </w:pPr>
      <w:r>
        <w:rPr>
          <w:rStyle w:val="FootnoteReference"/>
        </w:rPr>
        <w:footnoteRef/>
      </w:r>
      <w:r>
        <w:t xml:space="preserve"> </w:t>
      </w:r>
      <w:r>
        <w:tab/>
        <w:t xml:space="preserve">The maximum co-financing rate is 80% for Technical Assistance grants but the Commission may award in exceptional and duly justified cases a grant up to 90% of eligible costs. In order to finance more projects in 2019, the evaluation committee recommended that only 80% co-financing should be awarded. The two projects financed from the reserve list were co-financed at a rate of 70%.  </w:t>
      </w:r>
    </w:p>
  </w:footnote>
  <w:footnote w:id="18">
    <w:p>
      <w:pPr>
        <w:pStyle w:val="FootnoteText"/>
        <w:tabs>
          <w:tab w:val="left" w:pos="726"/>
        </w:tabs>
      </w:pPr>
      <w:r>
        <w:rPr>
          <w:rStyle w:val="FootnoteReference"/>
        </w:rPr>
        <w:footnoteRef/>
      </w:r>
      <w:r>
        <w:t xml:space="preserve"> </w:t>
      </w:r>
      <w:r>
        <w:tab/>
        <w:t xml:space="preserve">The use of the databases made by OLAF staff is paid from the administrative budget of the Commission (OLAF).   </w:t>
      </w:r>
    </w:p>
  </w:footnote>
  <w:footnote w:id="19">
    <w:p>
      <w:pPr>
        <w:pStyle w:val="FootnoteText"/>
        <w:ind w:left="709" w:hanging="709"/>
        <w:rPr>
          <w:color w:val="1F497D" w:themeColor="text2"/>
        </w:rPr>
      </w:pPr>
      <w:r>
        <w:rPr>
          <w:rStyle w:val="FootnoteReference"/>
        </w:rPr>
        <w:footnoteRef/>
      </w:r>
      <w:r>
        <w:t xml:space="preserve"> </w:t>
      </w:r>
      <w:r>
        <w:tab/>
      </w:r>
      <w:r>
        <w:tab/>
        <w:t>Two framework contracts concluded by Eurostat for trade and company data in 2015 and 2016 and a framework          contract concluded by OLAF for vessel movements information in 2016.</w:t>
      </w:r>
    </w:p>
  </w:footnote>
  <w:footnote w:id="20">
    <w:p>
      <w:pPr>
        <w:spacing w:after="0"/>
        <w:ind w:left="567" w:hanging="567"/>
        <w:rPr>
          <w:sz w:val="20"/>
          <w:szCs w:val="20"/>
        </w:rPr>
      </w:pPr>
      <w:r>
        <w:rPr>
          <w:rStyle w:val="FootnoteReference"/>
          <w:sz w:val="20"/>
          <w:szCs w:val="20"/>
        </w:rPr>
        <w:footnoteRef/>
      </w:r>
      <w:r>
        <w:rPr>
          <w:sz w:val="20"/>
          <w:szCs w:val="20"/>
        </w:rPr>
        <w:t xml:space="preserve"> </w:t>
      </w:r>
      <w:r>
        <w:rPr>
          <w:sz w:val="20"/>
          <w:szCs w:val="20"/>
        </w:rPr>
        <w:tab/>
        <w:t>The setting up of an independent tobacco testing facility was an objective of the Action Plan accompanying the Commission communication of 6 June 2013 "Stepping up the fight against cigarette smuggling and other forms of illicit trade in tobacco products".</w:t>
      </w:r>
    </w:p>
  </w:footnote>
  <w:footnote w:id="21">
    <w:p>
      <w:pPr>
        <w:pStyle w:val="FootnoteText"/>
        <w:ind w:left="567" w:hanging="567"/>
      </w:pPr>
      <w:r>
        <w:rPr>
          <w:rStyle w:val="FootnoteReference"/>
        </w:rPr>
        <w:footnoteRef/>
      </w:r>
      <w:r>
        <w:t xml:space="preserve"> </w:t>
      </w:r>
      <w:r>
        <w:tab/>
        <w:t xml:space="preserve">COM(2018)846 final of 7 December 2018. </w:t>
      </w:r>
    </w:p>
  </w:footnote>
  <w:footnote w:id="22">
    <w:p>
      <w:pPr>
        <w:pStyle w:val="FootnoteText"/>
      </w:pPr>
      <w:r>
        <w:rPr>
          <w:rStyle w:val="FootnoteReference"/>
        </w:rPr>
        <w:footnoteRef/>
      </w:r>
      <w:r>
        <w:t xml:space="preserve"> </w:t>
      </w:r>
      <w:r>
        <w:tab/>
        <w:t>Article 5(a) of Regulation 250/2014.</w:t>
      </w:r>
    </w:p>
  </w:footnote>
  <w:footnote w:id="23">
    <w:p>
      <w:pPr>
        <w:pStyle w:val="FootnoteText"/>
      </w:pPr>
      <w:r>
        <w:rPr>
          <w:rStyle w:val="FootnoteReference"/>
        </w:rPr>
        <w:footnoteRef/>
      </w:r>
      <w:r>
        <w:t xml:space="preserve"> </w:t>
      </w:r>
      <w:r>
        <w:tab/>
        <w:t>Article 5 (b) of Regulation 250/2014.</w:t>
      </w:r>
    </w:p>
  </w:footnote>
  <w:footnote w:id="24">
    <w:p>
      <w:pPr>
        <w:pStyle w:val="FootnoteText"/>
      </w:pPr>
      <w:r>
        <w:rPr>
          <w:rStyle w:val="FootnoteReference"/>
        </w:rPr>
        <w:footnoteRef/>
      </w:r>
      <w:r>
        <w:t xml:space="preserve"> </w:t>
      </w:r>
      <w:r>
        <w:tab/>
        <w:t>Article 5 (c) of Regulation 250/2014.</w:t>
      </w:r>
    </w:p>
  </w:footnote>
  <w:footnote w:id="25">
    <w:p>
      <w:pPr>
        <w:pStyle w:val="FootnoteText"/>
      </w:pPr>
      <w:r>
        <w:rPr>
          <w:rStyle w:val="FootnoteReference"/>
        </w:rPr>
        <w:footnoteRef/>
      </w:r>
      <w:r>
        <w:t xml:space="preserve"> </w:t>
      </w:r>
      <w:r>
        <w:tab/>
        <w:t>Article 5(d) of Regulation 250/2014.</w:t>
      </w:r>
    </w:p>
  </w:footnote>
  <w:footnote w:id="26">
    <w:p>
      <w:pPr>
        <w:pStyle w:val="FootnoteText"/>
      </w:pPr>
      <w:r>
        <w:rPr>
          <w:rStyle w:val="FootnoteReference"/>
        </w:rPr>
        <w:footnoteRef/>
      </w:r>
      <w:r>
        <w:t xml:space="preserve"> </w:t>
      </w:r>
      <w:r>
        <w:tab/>
        <w:t>Article 5(e) of Regulation 250/2014.</w:t>
      </w:r>
    </w:p>
  </w:footnote>
  <w:footnote w:id="27">
    <w:p>
      <w:pPr>
        <w:pStyle w:val="FootnoteText"/>
      </w:pPr>
      <w:r>
        <w:rPr>
          <w:rStyle w:val="FootnoteReference"/>
        </w:rPr>
        <w:footnoteRef/>
      </w:r>
      <w:r>
        <w:t xml:space="preserve"> </w:t>
      </w:r>
      <w:r>
        <w:tab/>
      </w:r>
      <w:hyperlink r:id="rId1" w:history="1">
        <w:r>
          <w:rPr>
            <w:rStyle w:val="Hyperlink"/>
          </w:rPr>
          <w:t>https://eucrim.mpicc.de/</w:t>
        </w:r>
      </w:hyperlink>
      <w:r>
        <w:t xml:space="preserve">  </w:t>
      </w:r>
    </w:p>
  </w:footnote>
  <w:footnote w:id="28">
    <w:p>
      <w:pPr>
        <w:pStyle w:val="FootnoteText"/>
      </w:pPr>
      <w:r>
        <w:rPr>
          <w:rStyle w:val="FootnoteReference"/>
        </w:rPr>
        <w:footnoteRef/>
      </w:r>
      <w:r>
        <w:t xml:space="preserve"> </w:t>
      </w:r>
      <w:r>
        <w:tab/>
        <w:t xml:space="preserve">Article 13(1) of Regulation 250/2015: </w:t>
      </w:r>
      <w:r>
        <w:rPr>
          <w:i/>
        </w:rPr>
        <w:t xml:space="preserve">The Commission shall on an on-going basis disseminate, including on relevant websites, the results of the activities supported under the Programme to increase transparency on the use of the </w:t>
      </w:r>
      <w:r>
        <w:t xml:space="preserve">funds”.  </w:t>
      </w:r>
    </w:p>
  </w:footnote>
  <w:footnote w:id="29">
    <w:p>
      <w:pPr>
        <w:pStyle w:val="FootnoteText"/>
      </w:pPr>
      <w:r>
        <w:rPr>
          <w:rStyle w:val="FootnoteReference"/>
        </w:rPr>
        <w:footnoteRef/>
      </w:r>
      <w:r>
        <w:t xml:space="preserve"> </w:t>
      </w:r>
      <w:r>
        <w:tab/>
        <w:t>OJ C 111 of 25.3.2019.</w:t>
      </w:r>
    </w:p>
  </w:footnote>
  <w:footnote w:id="30">
    <w:p>
      <w:pPr>
        <w:spacing w:before="0" w:after="0"/>
        <w:rPr>
          <w:sz w:val="20"/>
          <w:szCs w:val="20"/>
        </w:rPr>
      </w:pPr>
      <w:r>
        <w:rPr>
          <w:rStyle w:val="FootnoteReference"/>
          <w:sz w:val="20"/>
          <w:szCs w:val="20"/>
        </w:rPr>
        <w:footnoteRef/>
      </w:r>
      <w:r>
        <w:rPr>
          <w:sz w:val="20"/>
          <w:szCs w:val="20"/>
        </w:rPr>
        <w:t xml:space="preserve"> </w:t>
      </w:r>
      <w:r>
        <w:rPr>
          <w:sz w:val="20"/>
          <w:szCs w:val="20"/>
        </w:rPr>
        <w:tab/>
      </w:r>
      <w:hyperlink r:id="rId2" w:history="1">
        <w:r>
          <w:rPr>
            <w:rStyle w:val="Hyperlink"/>
            <w:sz w:val="20"/>
            <w:szCs w:val="20"/>
          </w:rPr>
          <w:t>http://ec.europa.eu/anti-fraud/policy/hercule_en</w:t>
        </w:r>
      </w:hyperlink>
      <w:r>
        <w:rPr>
          <w:sz w:val="20"/>
          <w:szCs w:val="20"/>
        </w:rPr>
        <w:t xml:space="preserve"> </w:t>
      </w:r>
    </w:p>
  </w:footnote>
  <w:footnote w:id="31">
    <w:p>
      <w:pPr>
        <w:pStyle w:val="FootnoteText"/>
      </w:pPr>
      <w:r>
        <w:rPr>
          <w:rStyle w:val="FootnoteReference"/>
        </w:rPr>
        <w:footnoteRef/>
      </w:r>
      <w:r>
        <w:t xml:space="preserve"> </w:t>
      </w:r>
      <w:r>
        <w:tab/>
        <w:t xml:space="preserve">Final payment as percentage of the awarded grant. A percentage lower than 100% means that the action was either not fully implemented or that the beneficiary managed to achieve cost savings. </w:t>
      </w:r>
    </w:p>
  </w:footnote>
  <w:footnote w:id="32">
    <w:p>
      <w:pPr>
        <w:pStyle w:val="FootnoteText"/>
        <w:ind w:left="142" w:hanging="142"/>
      </w:pPr>
      <w:r>
        <w:rPr>
          <w:rStyle w:val="FootnoteReference"/>
        </w:rPr>
        <w:footnoteRef/>
      </w:r>
      <w:r>
        <w:t xml:space="preserve"> </w:t>
      </w:r>
      <w:r>
        <w:tab/>
        <w:t xml:space="preserve">Final payment as percentage of the awarded grant. A percentage lower than 100% means that the action was either not fully implemented or that the beneficiary managed to achieve considerable cost savings. </w:t>
      </w:r>
    </w:p>
  </w:footnote>
  <w:footnote w:id="33">
    <w:p>
      <w:pPr>
        <w:pStyle w:val="FootnoteText"/>
      </w:pPr>
      <w:r>
        <w:rPr>
          <w:rStyle w:val="FootnoteReference"/>
        </w:rPr>
        <w:footnoteRef/>
      </w:r>
      <w:r>
        <w:t xml:space="preserve"> </w:t>
      </w:r>
      <w:r>
        <w:tab/>
        <w:t xml:space="preserve">Final payment as percentage of the awarded grant. A percentage lower than 100% means that the action was either not fully implemented or that the beneficiary managed to achieve cost savings.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EB3E5EC2"/>
    <w:lvl w:ilvl="0">
      <w:start w:val="1"/>
      <w:numFmt w:val="decimal"/>
      <w:pStyle w:val="ListNumber2"/>
      <w:lvlText w:val="%1."/>
      <w:lvlJc w:val="left"/>
      <w:pPr>
        <w:tabs>
          <w:tab w:val="num" w:pos="643"/>
        </w:tabs>
        <w:ind w:left="643" w:hanging="360"/>
      </w:pPr>
    </w:lvl>
  </w:abstractNum>
  <w:abstractNum w:abstractNumId="1">
    <w:nsid w:val="02D26AC6"/>
    <w:multiLevelType w:val="hybridMultilevel"/>
    <w:tmpl w:val="12524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87653BF"/>
    <w:multiLevelType w:val="hybridMultilevel"/>
    <w:tmpl w:val="E88260E4"/>
    <w:lvl w:ilvl="0" w:tplc="81D076FE">
      <w:start w:val="1"/>
      <w:numFmt w:val="decimal"/>
      <w:pStyle w:val="ListParagraph"/>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0CEA0DC1"/>
    <w:multiLevelType w:val="hybridMultilevel"/>
    <w:tmpl w:val="CC6E4C9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0D262CFA"/>
    <w:multiLevelType w:val="hybridMultilevel"/>
    <w:tmpl w:val="72F0F2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11B16125"/>
    <w:multiLevelType w:val="hybridMultilevel"/>
    <w:tmpl w:val="2BE40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68F20ED"/>
    <w:multiLevelType w:val="hybridMultilevel"/>
    <w:tmpl w:val="D7602B1E"/>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7">
    <w:nsid w:val="169B7712"/>
    <w:multiLevelType w:val="hybridMultilevel"/>
    <w:tmpl w:val="83B64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1BB64B1E"/>
    <w:multiLevelType w:val="hybridMultilevel"/>
    <w:tmpl w:val="DF28B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CBD450A"/>
    <w:multiLevelType w:val="hybridMultilevel"/>
    <w:tmpl w:val="60087A74"/>
    <w:lvl w:ilvl="0" w:tplc="8D8C9FB6">
      <w:start w:val="1"/>
      <w:numFmt w:val="bullet"/>
      <w:lvlText w:val=""/>
      <w:lvlJc w:val="left"/>
      <w:pPr>
        <w:ind w:left="1429" w:hanging="360"/>
      </w:pPr>
      <w:rPr>
        <w:rFonts w:ascii="Symbol" w:hAnsi="Symbol" w:hint="default"/>
      </w:rPr>
    </w:lvl>
    <w:lvl w:ilvl="1" w:tplc="2C04F66C">
      <w:numFmt w:val="bullet"/>
      <w:lvlText w:val="-"/>
      <w:lvlJc w:val="left"/>
      <w:pPr>
        <w:ind w:left="2149" w:hanging="360"/>
      </w:pPr>
      <w:rPr>
        <w:rFonts w:ascii="Verdana" w:eastAsia="Times New Roman" w:hAnsi="Verdana" w:hint="default"/>
      </w:rPr>
    </w:lvl>
    <w:lvl w:ilvl="2" w:tplc="08090005">
      <w:start w:val="1"/>
      <w:numFmt w:val="bullet"/>
      <w:lvlText w:val=""/>
      <w:lvlJc w:val="left"/>
      <w:pPr>
        <w:ind w:left="2869" w:hanging="360"/>
      </w:pPr>
      <w:rPr>
        <w:rFonts w:ascii="Wingdings" w:hAnsi="Wingdings" w:hint="default"/>
      </w:rPr>
    </w:lvl>
    <w:lvl w:ilvl="3" w:tplc="08090001">
      <w:start w:val="1"/>
      <w:numFmt w:val="bullet"/>
      <w:lvlText w:val=""/>
      <w:lvlJc w:val="left"/>
      <w:pPr>
        <w:ind w:left="3589" w:hanging="360"/>
      </w:pPr>
      <w:rPr>
        <w:rFonts w:ascii="Symbol" w:hAnsi="Symbol" w:hint="default"/>
      </w:rPr>
    </w:lvl>
    <w:lvl w:ilvl="4" w:tplc="08090003">
      <w:start w:val="1"/>
      <w:numFmt w:val="bullet"/>
      <w:lvlText w:val="o"/>
      <w:lvlJc w:val="left"/>
      <w:pPr>
        <w:ind w:left="4309" w:hanging="360"/>
      </w:pPr>
      <w:rPr>
        <w:rFonts w:ascii="Courier New" w:hAnsi="Courier New" w:cs="Times New Roman" w:hint="default"/>
      </w:rPr>
    </w:lvl>
    <w:lvl w:ilvl="5" w:tplc="08090005">
      <w:start w:val="1"/>
      <w:numFmt w:val="bullet"/>
      <w:lvlText w:val=""/>
      <w:lvlJc w:val="left"/>
      <w:pPr>
        <w:ind w:left="5029" w:hanging="360"/>
      </w:pPr>
      <w:rPr>
        <w:rFonts w:ascii="Wingdings" w:hAnsi="Wingdings" w:hint="default"/>
      </w:rPr>
    </w:lvl>
    <w:lvl w:ilvl="6" w:tplc="08090001">
      <w:start w:val="1"/>
      <w:numFmt w:val="bullet"/>
      <w:lvlText w:val=""/>
      <w:lvlJc w:val="left"/>
      <w:pPr>
        <w:ind w:left="5749" w:hanging="360"/>
      </w:pPr>
      <w:rPr>
        <w:rFonts w:ascii="Symbol" w:hAnsi="Symbol" w:hint="default"/>
      </w:rPr>
    </w:lvl>
    <w:lvl w:ilvl="7" w:tplc="08090003">
      <w:start w:val="1"/>
      <w:numFmt w:val="bullet"/>
      <w:lvlText w:val="o"/>
      <w:lvlJc w:val="left"/>
      <w:pPr>
        <w:ind w:left="6469" w:hanging="360"/>
      </w:pPr>
      <w:rPr>
        <w:rFonts w:ascii="Courier New" w:hAnsi="Courier New" w:cs="Times New Roman" w:hint="default"/>
      </w:rPr>
    </w:lvl>
    <w:lvl w:ilvl="8" w:tplc="08090005">
      <w:start w:val="1"/>
      <w:numFmt w:val="bullet"/>
      <w:lvlText w:val=""/>
      <w:lvlJc w:val="left"/>
      <w:pPr>
        <w:ind w:left="7189" w:hanging="360"/>
      </w:pPr>
      <w:rPr>
        <w:rFonts w:ascii="Wingdings" w:hAnsi="Wingdings" w:hint="default"/>
      </w:rPr>
    </w:lvl>
  </w:abstractNum>
  <w:abstractNum w:abstractNumId="11">
    <w:nsid w:val="1FFC49DD"/>
    <w:multiLevelType w:val="hybridMultilevel"/>
    <w:tmpl w:val="C5562A5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21254D2A"/>
    <w:multiLevelType w:val="hybridMultilevel"/>
    <w:tmpl w:val="F45AB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13360B7"/>
    <w:multiLevelType w:val="hybridMultilevel"/>
    <w:tmpl w:val="1B90E2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21D05A0C"/>
    <w:multiLevelType w:val="hybridMultilevel"/>
    <w:tmpl w:val="A4B083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25B54341"/>
    <w:multiLevelType w:val="hybridMultilevel"/>
    <w:tmpl w:val="A7E68EC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263330F9"/>
    <w:multiLevelType w:val="hybridMultilevel"/>
    <w:tmpl w:val="D604F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8E80997"/>
    <w:multiLevelType w:val="hybridMultilevel"/>
    <w:tmpl w:val="30C2DB5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2B5D4A22"/>
    <w:multiLevelType w:val="hybridMultilevel"/>
    <w:tmpl w:val="680AB3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4973C93"/>
    <w:multiLevelType w:val="hybridMultilevel"/>
    <w:tmpl w:val="0BDA1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B1E33F2"/>
    <w:multiLevelType w:val="hybridMultilevel"/>
    <w:tmpl w:val="F724BE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3CC22FA1"/>
    <w:multiLevelType w:val="hybridMultilevel"/>
    <w:tmpl w:val="FD6235B0"/>
    <w:lvl w:ilvl="0" w:tplc="4F1A3072">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E772942"/>
    <w:multiLevelType w:val="hybridMultilevel"/>
    <w:tmpl w:val="E6FE41E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3F782138"/>
    <w:multiLevelType w:val="hybridMultilevel"/>
    <w:tmpl w:val="10ACD77A"/>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24">
    <w:nsid w:val="4225408D"/>
    <w:multiLevelType w:val="hybridMultilevel"/>
    <w:tmpl w:val="674C4152"/>
    <w:lvl w:ilvl="0" w:tplc="08090017">
      <w:start w:val="1"/>
      <w:numFmt w:val="lowerLetter"/>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5">
    <w:nsid w:val="4552127F"/>
    <w:multiLevelType w:val="singleLevel"/>
    <w:tmpl w:val="057A5296"/>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6">
    <w:nsid w:val="45E7037A"/>
    <w:multiLevelType w:val="hybridMultilevel"/>
    <w:tmpl w:val="06D227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498B2AEA"/>
    <w:multiLevelType w:val="hybridMultilevel"/>
    <w:tmpl w:val="8EE8D282"/>
    <w:lvl w:ilvl="0" w:tplc="85C2D5C6">
      <w:start w:val="67"/>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A710EDE"/>
    <w:multiLevelType w:val="hybridMultilevel"/>
    <w:tmpl w:val="185E20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4FB63C07"/>
    <w:multiLevelType w:val="hybridMultilevel"/>
    <w:tmpl w:val="0B1EC72A"/>
    <w:lvl w:ilvl="0" w:tplc="4F1A3072">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13529FD"/>
    <w:multiLevelType w:val="hybridMultilevel"/>
    <w:tmpl w:val="15CC89E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52827F9C"/>
    <w:multiLevelType w:val="hybridMultilevel"/>
    <w:tmpl w:val="D59683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nsid w:val="54686107"/>
    <w:multiLevelType w:val="hybridMultilevel"/>
    <w:tmpl w:val="2F1A4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47268A6"/>
    <w:multiLevelType w:val="hybridMultilevel"/>
    <w:tmpl w:val="E72AF2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nsid w:val="57FB0E8F"/>
    <w:multiLevelType w:val="hybridMultilevel"/>
    <w:tmpl w:val="4CEECFE0"/>
    <w:lvl w:ilvl="0" w:tplc="8D8C9FB6">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Times New Roman" w:hint="default"/>
      </w:rPr>
    </w:lvl>
    <w:lvl w:ilvl="2" w:tplc="08090005">
      <w:start w:val="1"/>
      <w:numFmt w:val="bullet"/>
      <w:lvlText w:val=""/>
      <w:lvlJc w:val="left"/>
      <w:pPr>
        <w:ind w:left="2869" w:hanging="360"/>
      </w:pPr>
      <w:rPr>
        <w:rFonts w:ascii="Wingdings" w:hAnsi="Wingdings" w:hint="default"/>
      </w:rPr>
    </w:lvl>
    <w:lvl w:ilvl="3" w:tplc="08090001">
      <w:start w:val="1"/>
      <w:numFmt w:val="bullet"/>
      <w:lvlText w:val=""/>
      <w:lvlJc w:val="left"/>
      <w:pPr>
        <w:ind w:left="3589" w:hanging="360"/>
      </w:pPr>
      <w:rPr>
        <w:rFonts w:ascii="Symbol" w:hAnsi="Symbol" w:hint="default"/>
      </w:rPr>
    </w:lvl>
    <w:lvl w:ilvl="4" w:tplc="08090003">
      <w:start w:val="1"/>
      <w:numFmt w:val="bullet"/>
      <w:lvlText w:val="o"/>
      <w:lvlJc w:val="left"/>
      <w:pPr>
        <w:ind w:left="4309" w:hanging="360"/>
      </w:pPr>
      <w:rPr>
        <w:rFonts w:ascii="Courier New" w:hAnsi="Courier New" w:cs="Times New Roman" w:hint="default"/>
      </w:rPr>
    </w:lvl>
    <w:lvl w:ilvl="5" w:tplc="08090005">
      <w:start w:val="1"/>
      <w:numFmt w:val="bullet"/>
      <w:lvlText w:val=""/>
      <w:lvlJc w:val="left"/>
      <w:pPr>
        <w:ind w:left="5029" w:hanging="360"/>
      </w:pPr>
      <w:rPr>
        <w:rFonts w:ascii="Wingdings" w:hAnsi="Wingdings" w:hint="default"/>
      </w:rPr>
    </w:lvl>
    <w:lvl w:ilvl="6" w:tplc="08090001">
      <w:start w:val="1"/>
      <w:numFmt w:val="bullet"/>
      <w:lvlText w:val=""/>
      <w:lvlJc w:val="left"/>
      <w:pPr>
        <w:ind w:left="5749" w:hanging="360"/>
      </w:pPr>
      <w:rPr>
        <w:rFonts w:ascii="Symbol" w:hAnsi="Symbol" w:hint="default"/>
      </w:rPr>
    </w:lvl>
    <w:lvl w:ilvl="7" w:tplc="08090003">
      <w:start w:val="1"/>
      <w:numFmt w:val="bullet"/>
      <w:lvlText w:val="o"/>
      <w:lvlJc w:val="left"/>
      <w:pPr>
        <w:ind w:left="6469" w:hanging="360"/>
      </w:pPr>
      <w:rPr>
        <w:rFonts w:ascii="Courier New" w:hAnsi="Courier New" w:cs="Times New Roman" w:hint="default"/>
      </w:rPr>
    </w:lvl>
    <w:lvl w:ilvl="8" w:tplc="08090005">
      <w:start w:val="1"/>
      <w:numFmt w:val="bullet"/>
      <w:lvlText w:val=""/>
      <w:lvlJc w:val="left"/>
      <w:pPr>
        <w:ind w:left="7189" w:hanging="360"/>
      </w:pPr>
      <w:rPr>
        <w:rFonts w:ascii="Wingdings" w:hAnsi="Wingdings" w:hint="default"/>
      </w:rPr>
    </w:lvl>
  </w:abstractNum>
  <w:abstractNum w:abstractNumId="35">
    <w:nsid w:val="59821665"/>
    <w:multiLevelType w:val="hybridMultilevel"/>
    <w:tmpl w:val="9262270C"/>
    <w:lvl w:ilvl="0" w:tplc="4F1A3072">
      <w:numFmt w:val="bullet"/>
      <w:lvlText w:val="-"/>
      <w:lvlJc w:val="left"/>
      <w:pPr>
        <w:ind w:left="360" w:hanging="360"/>
      </w:pPr>
      <w:rPr>
        <w:rFonts w:ascii="Times New Roman" w:eastAsia="Calibr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nsid w:val="5CA31A15"/>
    <w:multiLevelType w:val="singleLevel"/>
    <w:tmpl w:val="CB981644"/>
    <w:name w:val="0.4573939"/>
    <w:lvl w:ilvl="0">
      <w:start w:val="1"/>
      <w:numFmt w:val="bullet"/>
      <w:lvlRestart w:val="0"/>
      <w:pStyle w:val="Tiret0"/>
      <w:lvlText w:val="–"/>
      <w:lvlJc w:val="left"/>
      <w:pPr>
        <w:tabs>
          <w:tab w:val="num" w:pos="850"/>
        </w:tabs>
        <w:ind w:left="850" w:hanging="850"/>
      </w:pPr>
    </w:lvl>
  </w:abstractNum>
  <w:abstractNum w:abstractNumId="37">
    <w:nsid w:val="5E704003"/>
    <w:multiLevelType w:val="hybridMultilevel"/>
    <w:tmpl w:val="D8AAB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5EED7FBB"/>
    <w:multiLevelType w:val="hybridMultilevel"/>
    <w:tmpl w:val="7C902172"/>
    <w:lvl w:ilvl="0" w:tplc="80722366">
      <w:start w:val="1"/>
      <w:numFmt w:val="bullet"/>
      <w:lvlText w:val=""/>
      <w:lvlJc w:val="left"/>
      <w:pPr>
        <w:ind w:left="720" w:hanging="720"/>
      </w:pPr>
      <w:rPr>
        <w:rFonts w:ascii="Symbol" w:hAnsi="Symbol" w:hint="default"/>
        <w:b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nsid w:val="648A53AA"/>
    <w:multiLevelType w:val="hybridMultilevel"/>
    <w:tmpl w:val="ACAA927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nsid w:val="65000562"/>
    <w:multiLevelType w:val="hybridMultilevel"/>
    <w:tmpl w:val="40E6113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1">
    <w:nsid w:val="66A16EE6"/>
    <w:multiLevelType w:val="hybridMultilevel"/>
    <w:tmpl w:val="97BED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26437FF"/>
    <w:multiLevelType w:val="hybridMultilevel"/>
    <w:tmpl w:val="F38AB89E"/>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nsid w:val="7D0456BA"/>
    <w:multiLevelType w:val="hybridMultilevel"/>
    <w:tmpl w:val="F878B6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7FBB7023"/>
    <w:multiLevelType w:val="hybridMultilevel"/>
    <w:tmpl w:val="92CAB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8"/>
  </w:num>
  <w:num w:numId="3">
    <w:abstractNumId w:val="2"/>
  </w:num>
  <w:num w:numId="4">
    <w:abstractNumId w:val="0"/>
    <w:lvlOverride w:ilvl="0">
      <w:startOverride w:val="1"/>
    </w:lvlOverride>
  </w:num>
  <w:num w:numId="5">
    <w:abstractNumId w:val="0"/>
    <w:lvlOverride w:ilvl="0">
      <w:startOverride w:val="1"/>
    </w:lvlOverride>
  </w:num>
  <w:num w:numId="6">
    <w:abstractNumId w:val="37"/>
  </w:num>
  <w:num w:numId="7">
    <w:abstractNumId w:val="6"/>
  </w:num>
  <w:num w:numId="8">
    <w:abstractNumId w:val="23"/>
  </w:num>
  <w:num w:numId="9">
    <w:abstractNumId w:val="19"/>
  </w:num>
  <w:num w:numId="10">
    <w:abstractNumId w:val="43"/>
  </w:num>
  <w:num w:numId="11">
    <w:abstractNumId w:val="0"/>
    <w:lvlOverride w:ilvl="0">
      <w:startOverride w:val="1"/>
    </w:lvlOverride>
  </w:num>
  <w:num w:numId="12">
    <w:abstractNumId w:val="25"/>
  </w:num>
  <w:num w:numId="13">
    <w:abstractNumId w:val="5"/>
  </w:num>
  <w:num w:numId="14">
    <w:abstractNumId w:val="36"/>
  </w:num>
  <w:num w:numId="15">
    <w:abstractNumId w:val="26"/>
  </w:num>
  <w:num w:numId="16">
    <w:abstractNumId w:val="7"/>
  </w:num>
  <w:num w:numId="17">
    <w:abstractNumId w:val="41"/>
  </w:num>
  <w:num w:numId="18">
    <w:abstractNumId w:val="12"/>
  </w:num>
  <w:num w:numId="19">
    <w:abstractNumId w:val="16"/>
  </w:num>
  <w:num w:numId="20">
    <w:abstractNumId w:val="20"/>
  </w:num>
  <w:num w:numId="21">
    <w:abstractNumId w:val="10"/>
  </w:num>
  <w:num w:numId="22">
    <w:abstractNumId w:val="44"/>
  </w:num>
  <w:num w:numId="23">
    <w:abstractNumId w:val="32"/>
  </w:num>
  <w:num w:numId="24">
    <w:abstractNumId w:val="34"/>
  </w:num>
  <w:num w:numId="25">
    <w:abstractNumId w:val="33"/>
  </w:num>
  <w:num w:numId="26">
    <w:abstractNumId w:val="9"/>
  </w:num>
  <w:num w:numId="27">
    <w:abstractNumId w:val="13"/>
  </w:num>
  <w:num w:numId="28">
    <w:abstractNumId w:val="8"/>
  </w:num>
  <w:num w:numId="29">
    <w:abstractNumId w:val="28"/>
  </w:num>
  <w:num w:numId="30">
    <w:abstractNumId w:val="40"/>
  </w:num>
  <w:num w:numId="31">
    <w:abstractNumId w:val="42"/>
  </w:num>
  <w:num w:numId="32">
    <w:abstractNumId w:val="11"/>
  </w:num>
  <w:num w:numId="33">
    <w:abstractNumId w:val="15"/>
  </w:num>
  <w:num w:numId="34">
    <w:abstractNumId w:val="17"/>
  </w:num>
  <w:num w:numId="35">
    <w:abstractNumId w:val="14"/>
  </w:num>
  <w:num w:numId="36">
    <w:abstractNumId w:val="3"/>
  </w:num>
  <w:num w:numId="37">
    <w:abstractNumId w:val="39"/>
  </w:num>
  <w:num w:numId="38">
    <w:abstractNumId w:val="0"/>
    <w:lvlOverride w:ilvl="0">
      <w:startOverride w:val="1"/>
    </w:lvlOverride>
  </w:num>
  <w:num w:numId="39">
    <w:abstractNumId w:val="31"/>
  </w:num>
  <w:num w:numId="40">
    <w:abstractNumId w:val="24"/>
  </w:num>
  <w:num w:numId="41">
    <w:abstractNumId w:val="1"/>
  </w:num>
  <w:num w:numId="42">
    <w:abstractNumId w:val="38"/>
  </w:num>
  <w:num w:numId="43">
    <w:abstractNumId w:val="4"/>
  </w:num>
  <w:num w:numId="44">
    <w:abstractNumId w:val="29"/>
  </w:num>
  <w:num w:numId="45">
    <w:abstractNumId w:val="21"/>
  </w:num>
  <w:num w:numId="46">
    <w:abstractNumId w:val="35"/>
  </w:num>
  <w:num w:numId="47">
    <w:abstractNumId w:val="22"/>
  </w:num>
  <w:num w:numId="48">
    <w:abstractNumId w:val="30"/>
  </w:num>
  <w:num w:numId="49">
    <w:abstractNumId w:val="27"/>
  </w:num>
  <w:num w:numId="5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63A8DF92-5736-40AB-A1AA-0A5C17AAE00A"/>
    <w:docVar w:name="LW_COVERPAGE_TYPE" w:val="1"/>
    <w:docVar w:name="LW_CROSSREFERENCE" w:val="{COM(2020) 363 final} - {SWD(2020) 157 final} - {SWD(2020) 158 final} - {SWD(2020) 159 final} - {SWD(2020) 160 final}"/>
    <w:docVar w:name="LW_DocType" w:val="NORMAL"/>
    <w:docVar w:name="LW_EMISSION" w:val="3.9.2020"/>
    <w:docVar w:name="LW_EMISSION_ISODATE" w:val="2020-09-03"/>
    <w:docVar w:name="LW_EMISSION_LOCATION" w:val="BRX"/>
    <w:docVar w:name="LW_EMISSION_PREFIX" w:val="Brussels, "/>
    <w:docVar w:name="LW_EMISSION_SUFFIX" w:val=" "/>
    <w:docVar w:name="LW_ID_DOCTYPE_NONLW" w:val="CP-025"/>
    <w:docVar w:name="LW_LANGUE" w:val="EN"/>
    <w:docVar w:name="LW_LEVEL_OF_SENSITIVITY" w:val="Standard treatment"/>
    <w:docVar w:name="LW_NOM.INST" w:val="EUROPEAN COMMISSION"/>
    <w:docVar w:name="LW_NOM.INST_JOINTDOC" w:val="&lt;EMPTY&gt;"/>
    <w:docVar w:name="LW_OBJETACTEPRINCIPAL.CP" w:val="31&lt;FMT:Superscript&gt;st&lt;/FMT&gt; Annual Report on the protection of the European Union's financial interests - Fight against fraud - 2019"/>
    <w:docVar w:name="LW_PART_NBR" w:val="1"/>
    <w:docVar w:name="LW_PART_NBR_TOTAL" w:val="1"/>
    <w:docVar w:name="LW_REF.INST.NEW" w:val="SWD"/>
    <w:docVar w:name="LW_REF.INST.NEW_ADOPTED" w:val="final"/>
    <w:docVar w:name="LW_REF.INST.NEW_TEXT" w:val="(2020) 15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Annual overview with information on the results of the Hercule III Programme in 2019"/>
    <w:docVar w:name="LW_TYPE.DOC.CP" w:val="COMMISSION STAFF WORKING DOCUMENT"/>
    <w:docVar w:name="LW_TYPEACTEPRINCIPAL.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eastAsia="Times New Roman" w:hAnsi="Times New Roman" w:cs="Times New Roman"/>
      <w:sz w:val="24"/>
      <w:szCs w:val="24"/>
    </w:rPr>
  </w:style>
  <w:style w:type="paragraph" w:styleId="Heading1">
    <w:name w:val="heading 1"/>
    <w:basedOn w:val="Normal"/>
    <w:next w:val="Text1"/>
    <w:link w:val="Heading1Char"/>
    <w:qFormat/>
    <w:pPr>
      <w:keepNext/>
      <w:spacing w:before="360"/>
      <w:outlineLvl w:val="0"/>
    </w:pPr>
    <w:rPr>
      <w:b/>
      <w:bCs/>
      <w:iCs/>
    </w:rPr>
  </w:style>
  <w:style w:type="paragraph" w:styleId="Heading2">
    <w:name w:val="heading 2"/>
    <w:basedOn w:val="Normal"/>
    <w:next w:val="Text1"/>
    <w:link w:val="Heading2Char"/>
    <w:qFormat/>
    <w:pPr>
      <w:keepNext/>
      <w:outlineLvl w:val="1"/>
    </w:pPr>
    <w:rPr>
      <w:b/>
      <w:bCs/>
      <w:iCs/>
      <w:szCs w:val="28"/>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b/>
      <w:bCs/>
      <w:iCs/>
      <w:sz w:val="24"/>
      <w:szCs w:val="24"/>
    </w:rPr>
  </w:style>
  <w:style w:type="character" w:customStyle="1" w:styleId="Heading2Char">
    <w:name w:val="Heading 2 Char"/>
    <w:basedOn w:val="DefaultParagraphFont"/>
    <w:link w:val="Heading2"/>
    <w:rPr>
      <w:rFonts w:ascii="Times New Roman" w:eastAsia="Times New Roman" w:hAnsi="Times New Roman" w:cs="Times New Roman"/>
      <w:b/>
      <w:bCs/>
      <w:iCs/>
      <w:sz w:val="24"/>
      <w:szCs w:val="28"/>
    </w:rPr>
  </w:style>
  <w:style w:type="paragraph" w:styleId="FootnoteText">
    <w:name w:val="footnote text"/>
    <w:basedOn w:val="Normal"/>
    <w:link w:val="FootnoteTextChar"/>
    <w:uiPriority w:val="99"/>
    <w:pPr>
      <w:spacing w:before="0" w:after="0"/>
      <w:ind w:left="720" w:hanging="720"/>
    </w:pPr>
    <w:rPr>
      <w:sz w:val="20"/>
      <w:szCs w:val="20"/>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szCs w:val="20"/>
    </w:rPr>
  </w:style>
  <w:style w:type="character" w:styleId="FootnoteReference">
    <w:name w:val="footnote reference"/>
    <w:uiPriority w:val="99"/>
    <w:rPr>
      <w:shd w:val="clear" w:color="auto" w:fill="auto"/>
      <w:vertAlign w:val="superscript"/>
    </w:rPr>
  </w:style>
  <w:style w:type="paragraph" w:customStyle="1" w:styleId="Text1">
    <w:name w:val="Text 1"/>
    <w:basedOn w:val="Normal"/>
    <w:pPr>
      <w:ind w:left="850"/>
    </w:pPr>
  </w:style>
  <w:style w:type="paragraph" w:styleId="ListNumber2">
    <w:name w:val="List Number 2"/>
    <w:basedOn w:val="Normal"/>
    <w:pPr>
      <w:numPr>
        <w:numId w:val="1"/>
      </w:numPr>
    </w:pPr>
  </w:style>
  <w:style w:type="paragraph" w:styleId="ListParagraph">
    <w:name w:val="List Paragraph"/>
    <w:basedOn w:val="Normal"/>
    <w:uiPriority w:val="34"/>
    <w:qFormat/>
    <w:pPr>
      <w:numPr>
        <w:numId w:val="3"/>
      </w:numPr>
      <w:spacing w:before="0" w:after="0"/>
      <w:jc w:val="left"/>
    </w:pPr>
    <w:rPr>
      <w:rFonts w:eastAsia="Calibri"/>
      <w:noProof/>
    </w:rPr>
  </w:style>
  <w:style w:type="paragraph" w:customStyle="1" w:styleId="NormalLeft">
    <w:name w:val="Normal Left"/>
    <w:basedOn w:val="Normal"/>
    <w:pPr>
      <w:jc w:val="left"/>
    </w:p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sz w:val="24"/>
      <w:szCs w:val="24"/>
    </w:rPr>
  </w:style>
  <w:style w:type="character" w:styleId="Hyperlink">
    <w:name w:val="Hyperlink"/>
    <w:uiPriority w:val="99"/>
    <w:rPr>
      <w:rFonts w:cs="Times New Roman"/>
      <w:color w:val="0000FF"/>
      <w:u w:val="single"/>
      <w:shd w:val="clear" w:color="auto" w:fill="auto"/>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sz w:val="24"/>
      <w:szCs w:val="24"/>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Bullet0">
    <w:name w:val="Bullet 0"/>
    <w:basedOn w:val="Normal"/>
    <w:pPr>
      <w:numPr>
        <w:numId w:val="12"/>
      </w:numPr>
    </w:pPr>
  </w:style>
  <w:style w:type="paragraph" w:customStyle="1" w:styleId="H2">
    <w:name w:val="H2"/>
    <w:basedOn w:val="ManualHeading2"/>
  </w:style>
  <w:style w:type="table" w:styleId="TableGrid">
    <w:name w:val="Table Grid"/>
    <w:basedOn w:val="TableNormal"/>
    <w:uiPriority w:val="5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ret0">
    <w:name w:val="Tiret 0"/>
    <w:basedOn w:val="Normal"/>
    <w:pPr>
      <w:numPr>
        <w:numId w:val="14"/>
      </w:numPr>
    </w:pPr>
  </w:style>
  <w:style w:type="paragraph" w:customStyle="1" w:styleId="Point0number">
    <w:name w:val="Point 0 (number)"/>
    <w:basedOn w:val="Normal"/>
    <w:pPr>
      <w:numPr>
        <w:numId w:val="28"/>
      </w:numPr>
    </w:pPr>
  </w:style>
  <w:style w:type="paragraph" w:customStyle="1" w:styleId="Point1number">
    <w:name w:val="Point 1 (number)"/>
    <w:basedOn w:val="Normal"/>
    <w:pPr>
      <w:numPr>
        <w:ilvl w:val="2"/>
        <w:numId w:val="28"/>
      </w:numPr>
    </w:pPr>
  </w:style>
  <w:style w:type="paragraph" w:customStyle="1" w:styleId="Point2number">
    <w:name w:val="Point 2 (number)"/>
    <w:basedOn w:val="Normal"/>
    <w:pPr>
      <w:numPr>
        <w:ilvl w:val="4"/>
        <w:numId w:val="28"/>
      </w:numPr>
    </w:pPr>
  </w:style>
  <w:style w:type="paragraph" w:customStyle="1" w:styleId="Point3number">
    <w:name w:val="Point 3 (number)"/>
    <w:basedOn w:val="Normal"/>
    <w:pPr>
      <w:numPr>
        <w:ilvl w:val="6"/>
        <w:numId w:val="28"/>
      </w:numPr>
    </w:pPr>
  </w:style>
  <w:style w:type="paragraph" w:customStyle="1" w:styleId="Point0letter">
    <w:name w:val="Point 0 (letter)"/>
    <w:basedOn w:val="Normal"/>
    <w:pPr>
      <w:numPr>
        <w:ilvl w:val="1"/>
        <w:numId w:val="28"/>
      </w:numPr>
    </w:pPr>
  </w:style>
  <w:style w:type="paragraph" w:customStyle="1" w:styleId="Point1letter">
    <w:name w:val="Point 1 (letter)"/>
    <w:basedOn w:val="Normal"/>
    <w:pPr>
      <w:numPr>
        <w:ilvl w:val="3"/>
        <w:numId w:val="28"/>
      </w:numPr>
    </w:pPr>
  </w:style>
  <w:style w:type="paragraph" w:customStyle="1" w:styleId="Point2letter">
    <w:name w:val="Point 2 (letter)"/>
    <w:basedOn w:val="Normal"/>
    <w:pPr>
      <w:numPr>
        <w:ilvl w:val="5"/>
        <w:numId w:val="28"/>
      </w:numPr>
    </w:pPr>
  </w:style>
  <w:style w:type="paragraph" w:customStyle="1" w:styleId="Point3letter">
    <w:name w:val="Point 3 (letter)"/>
    <w:basedOn w:val="Normal"/>
    <w:pPr>
      <w:numPr>
        <w:ilvl w:val="7"/>
        <w:numId w:val="28"/>
      </w:numPr>
    </w:pPr>
  </w:style>
  <w:style w:type="paragraph" w:customStyle="1" w:styleId="Point4letter">
    <w:name w:val="Point 4 (letter)"/>
    <w:basedOn w:val="Normal"/>
    <w:pPr>
      <w:numPr>
        <w:ilvl w:val="8"/>
        <w:numId w:val="28"/>
      </w:numPr>
    </w:pPr>
  </w:style>
  <w:style w:type="paragraph" w:styleId="Header">
    <w:name w:val="header"/>
    <w:basedOn w:val="Normal"/>
    <w:link w:val="HeaderChar"/>
    <w:uiPriority w:val="99"/>
    <w:unhideWhenUsed/>
    <w:pPr>
      <w:tabs>
        <w:tab w:val="center" w:pos="4535"/>
        <w:tab w:val="right" w:pos="9071"/>
      </w:tabs>
      <w:spacing w:before="0"/>
    </w:pPr>
    <w:rPr>
      <w:rFonts w:eastAsiaTheme="minorHAnsi"/>
      <w:szCs w:val="22"/>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Theme="minorHAnsi"/>
      <w:szCs w:val="22"/>
    </w:rPr>
  </w:style>
  <w:style w:type="character" w:customStyle="1" w:styleId="FooterChar">
    <w:name w:val="Footer Char"/>
    <w:basedOn w:val="DefaultParagraphFont"/>
    <w:link w:val="Footer"/>
    <w:uiPriority w:val="99"/>
    <w:rPr>
      <w:rFonts w:ascii="Times New Roman" w:hAnsi="Times New Roman" w:cs="Times New Roman"/>
      <w:sz w:val="24"/>
    </w:rPr>
  </w:style>
  <w:style w:type="character" w:styleId="FollowedHyperlink">
    <w:name w:val="FollowedHyperlink"/>
    <w:basedOn w:val="DefaultParagraphFont"/>
    <w:uiPriority w:val="99"/>
    <w:semiHidden/>
    <w:unhideWhenUsed/>
    <w:rPr>
      <w:color w:val="800080" w:themeColor="followedHyperlink"/>
      <w:u w:val="single"/>
    </w:rPr>
  </w:style>
  <w:style w:type="paragraph" w:styleId="TOCHeading">
    <w:name w:val="TOC Heading"/>
    <w:basedOn w:val="Heading1"/>
    <w:next w:val="Normal"/>
    <w:uiPriority w:val="39"/>
    <w:semiHidden/>
    <w:unhideWhenUsed/>
    <w:qFormat/>
    <w:pPr>
      <w:keepLines/>
      <w:spacing w:before="480" w:after="0" w:line="276" w:lineRule="auto"/>
      <w:jc w:val="left"/>
      <w:outlineLvl w:val="9"/>
    </w:pPr>
    <w:rPr>
      <w:rFonts w:asciiTheme="majorHAnsi" w:eastAsiaTheme="majorEastAsia" w:hAnsiTheme="majorHAnsi" w:cstheme="majorBidi"/>
      <w:iCs w:val="0"/>
      <w:color w:val="365F91" w:themeColor="accent1" w:themeShade="BF"/>
      <w:sz w:val="28"/>
      <w:szCs w:val="28"/>
      <w:lang w:val="en-US" w:eastAsia="ja-JP"/>
    </w:rPr>
  </w:style>
  <w:style w:type="paragraph" w:styleId="TOC1">
    <w:name w:val="toc 1"/>
    <w:basedOn w:val="Normal"/>
    <w:next w:val="Normal"/>
    <w:link w:val="TOC1Char"/>
    <w:autoRedefine/>
    <w:uiPriority w:val="39"/>
    <w:unhideWhenUsed/>
    <w:pPr>
      <w:tabs>
        <w:tab w:val="left" w:pos="480"/>
        <w:tab w:val="right" w:leader="dot" w:pos="10456"/>
      </w:tabs>
      <w:spacing w:after="100"/>
      <w:jc w:val="center"/>
    </w:pPr>
    <w:rPr>
      <w:b/>
      <w:noProof/>
    </w:rPr>
  </w:style>
  <w:style w:type="paragraph" w:styleId="TOC2">
    <w:name w:val="toc 2"/>
    <w:basedOn w:val="Normal"/>
    <w:next w:val="Normal"/>
    <w:autoRedefine/>
    <w:uiPriority w:val="39"/>
    <w:unhideWhenUsed/>
    <w:pPr>
      <w:spacing w:after="100"/>
      <w:ind w:left="240"/>
    </w:pPr>
  </w:style>
  <w:style w:type="paragraph" w:styleId="TOC3">
    <w:name w:val="toc 3"/>
    <w:basedOn w:val="Normal"/>
    <w:next w:val="Normal"/>
    <w:autoRedefine/>
    <w:uiPriority w:val="39"/>
    <w:unhideWhenUsed/>
    <w:pPr>
      <w:spacing w:after="100"/>
      <w:ind w:left="480"/>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OC1Char">
    <w:name w:val="TOC 1 Char"/>
    <w:basedOn w:val="DefaultParagraphFont"/>
    <w:link w:val="TOC1"/>
    <w:uiPriority w:val="39"/>
    <w:rPr>
      <w:rFonts w:ascii="Times New Roman" w:eastAsia="Times New Roman" w:hAnsi="Times New Roman" w:cs="Times New Roman"/>
      <w:b/>
      <w:noProof/>
      <w:sz w:val="24"/>
      <w:szCs w:val="24"/>
    </w:rPr>
  </w:style>
  <w:style w:type="character" w:customStyle="1" w:styleId="FooterCoverPageChar">
    <w:name w:val="Footer Cover Page Char"/>
    <w:basedOn w:val="TOC1Char"/>
    <w:link w:val="FooterCoverPage"/>
    <w:rPr>
      <w:rFonts w:ascii="Times New Roman" w:eastAsia="Times New Roman" w:hAnsi="Times New Roman" w:cs="Times New Roman"/>
      <w:b w:val="0"/>
      <w:noProof/>
      <w:sz w:val="24"/>
      <w:szCs w:val="24"/>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TOC1Char"/>
    <w:link w:val="HeaderCoverPage"/>
    <w:rPr>
      <w:rFonts w:ascii="Times New Roman" w:eastAsia="Times New Roman" w:hAnsi="Times New Roman" w:cs="Times New Roman"/>
      <w:b w:val="0"/>
      <w:noProof/>
      <w:sz w:val="24"/>
      <w:szCs w:val="24"/>
    </w:rPr>
  </w:style>
  <w:style w:type="paragraph" w:styleId="PlainText">
    <w:name w:val="Plain Text"/>
    <w:basedOn w:val="Normal"/>
    <w:link w:val="PlainTextChar"/>
    <w:uiPriority w:val="99"/>
    <w:semiHidden/>
    <w:unhideWhenUsed/>
    <w:pPr>
      <w:spacing w:before="0" w:after="0"/>
      <w:jc w:val="left"/>
    </w:pPr>
    <w:rPr>
      <w:rFonts w:ascii="Calibri" w:eastAsia="Calibri" w:hAnsi="Calibri"/>
      <w:sz w:val="22"/>
      <w:szCs w:val="22"/>
    </w:rPr>
  </w:style>
  <w:style w:type="character" w:customStyle="1" w:styleId="PlainTextChar">
    <w:name w:val="Plain Text Char"/>
    <w:basedOn w:val="DefaultParagraphFont"/>
    <w:link w:val="PlainText"/>
    <w:uiPriority w:val="99"/>
    <w:semiHidden/>
    <w:rPr>
      <w:rFonts w:ascii="Calibri" w:eastAsia="Calibri" w:hAnsi="Calibri" w:cs="Times New Roman"/>
    </w:rPr>
  </w:style>
  <w:style w:type="paragraph" w:customStyle="1" w:styleId="Default">
    <w:name w:val="Default"/>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character" w:customStyle="1" w:styleId="DeltaViewInsertion">
    <w:name w:val="DeltaView Insertion"/>
    <w:uiPriority w:val="99"/>
    <w:rPr>
      <w:b/>
      <w:bCs/>
      <w:i/>
      <w:iCs/>
      <w:color w:val="000000"/>
    </w:rPr>
  </w:style>
  <w:style w:type="paragraph" w:customStyle="1" w:styleId="Declassification">
    <w:name w:val="Declassification"/>
    <w:basedOn w:val="Normal"/>
    <w:next w:val="Normal"/>
    <w:pPr>
      <w:spacing w:before="0" w:after="0"/>
    </w:pPr>
    <w:rPr>
      <w:rFonts w:eastAsiaTheme="minorHAnsi"/>
      <w:szCs w:val="22"/>
    </w:rPr>
  </w:style>
  <w:style w:type="paragraph" w:customStyle="1" w:styleId="HeaderLandscape">
    <w:name w:val="HeaderLandscape"/>
    <w:basedOn w:val="Normal"/>
    <w:pPr>
      <w:tabs>
        <w:tab w:val="center" w:pos="7285"/>
        <w:tab w:val="right" w:pos="14003"/>
      </w:tabs>
      <w:spacing w:before="0"/>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SecurityMarking">
    <w:name w:val="SecurityMarking"/>
    <w:basedOn w:val="Normal"/>
    <w:pPr>
      <w:spacing w:before="0" w:after="0" w:line="276" w:lineRule="auto"/>
      <w:ind w:left="5103"/>
      <w:jc w:val="left"/>
    </w:pPr>
    <w:rPr>
      <w:rFonts w:eastAsiaTheme="minorHAnsi"/>
      <w:sz w:val="28"/>
      <w:szCs w:val="22"/>
    </w:rPr>
  </w:style>
  <w:style w:type="paragraph" w:customStyle="1" w:styleId="DateMarking">
    <w:name w:val="DateMarking"/>
    <w:basedOn w:val="Normal"/>
    <w:pPr>
      <w:spacing w:before="0" w:after="0" w:line="276" w:lineRule="auto"/>
      <w:ind w:left="5103"/>
      <w:jc w:val="left"/>
    </w:pPr>
    <w:rPr>
      <w:rFonts w:eastAsiaTheme="minorHAnsi"/>
      <w:i/>
      <w:sz w:val="28"/>
      <w:szCs w:val="22"/>
    </w:rPr>
  </w:style>
  <w:style w:type="paragraph" w:customStyle="1" w:styleId="ReleasableTo">
    <w:name w:val="ReleasableTo"/>
    <w:basedOn w:val="Normal"/>
    <w:pPr>
      <w:spacing w:before="0" w:after="0" w:line="276" w:lineRule="auto"/>
      <w:ind w:left="5103"/>
      <w:jc w:val="left"/>
    </w:pPr>
    <w:rPr>
      <w:rFonts w:eastAsiaTheme="minorHAnsi"/>
      <w:i/>
      <w:sz w:val="28"/>
      <w:szCs w:val="22"/>
    </w:rPr>
  </w:style>
  <w:style w:type="paragraph" w:customStyle="1" w:styleId="HeaderSensitivityRight">
    <w:name w:val="Header Sensitivity Right"/>
    <w:basedOn w:val="Normal"/>
    <w:pPr>
      <w:spacing w:before="0"/>
      <w:jc w:val="right"/>
    </w:pPr>
    <w:rPr>
      <w:sz w:val="28"/>
    </w:rPr>
  </w:style>
  <w:style w:type="table" w:customStyle="1" w:styleId="TableGrid2">
    <w:name w:val="Table Grid2"/>
    <w:basedOn w:val="TableNormal"/>
    <w:next w:val="TableGrid"/>
    <w:uiPriority w:val="59"/>
    <w:pPr>
      <w:spacing w:after="0" w:line="240" w:lineRule="auto"/>
    </w:pPr>
    <w:rPr>
      <w:lang w:val="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eastAsia="Times New Roman" w:hAnsi="Times New Roman" w:cs="Times New Roman"/>
      <w:sz w:val="24"/>
      <w:szCs w:val="24"/>
    </w:rPr>
  </w:style>
  <w:style w:type="paragraph" w:styleId="Heading1">
    <w:name w:val="heading 1"/>
    <w:basedOn w:val="Normal"/>
    <w:next w:val="Text1"/>
    <w:link w:val="Heading1Char"/>
    <w:qFormat/>
    <w:pPr>
      <w:keepNext/>
      <w:spacing w:before="360"/>
      <w:outlineLvl w:val="0"/>
    </w:pPr>
    <w:rPr>
      <w:b/>
      <w:bCs/>
      <w:iCs/>
    </w:rPr>
  </w:style>
  <w:style w:type="paragraph" w:styleId="Heading2">
    <w:name w:val="heading 2"/>
    <w:basedOn w:val="Normal"/>
    <w:next w:val="Text1"/>
    <w:link w:val="Heading2Char"/>
    <w:qFormat/>
    <w:pPr>
      <w:keepNext/>
      <w:outlineLvl w:val="1"/>
    </w:pPr>
    <w:rPr>
      <w:b/>
      <w:bCs/>
      <w:iCs/>
      <w:szCs w:val="28"/>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b/>
      <w:bCs/>
      <w:iCs/>
      <w:sz w:val="24"/>
      <w:szCs w:val="24"/>
    </w:rPr>
  </w:style>
  <w:style w:type="character" w:customStyle="1" w:styleId="Heading2Char">
    <w:name w:val="Heading 2 Char"/>
    <w:basedOn w:val="DefaultParagraphFont"/>
    <w:link w:val="Heading2"/>
    <w:rPr>
      <w:rFonts w:ascii="Times New Roman" w:eastAsia="Times New Roman" w:hAnsi="Times New Roman" w:cs="Times New Roman"/>
      <w:b/>
      <w:bCs/>
      <w:iCs/>
      <w:sz w:val="24"/>
      <w:szCs w:val="28"/>
    </w:rPr>
  </w:style>
  <w:style w:type="paragraph" w:styleId="FootnoteText">
    <w:name w:val="footnote text"/>
    <w:basedOn w:val="Normal"/>
    <w:link w:val="FootnoteTextChar"/>
    <w:uiPriority w:val="99"/>
    <w:pPr>
      <w:spacing w:before="0" w:after="0"/>
      <w:ind w:left="720" w:hanging="720"/>
    </w:pPr>
    <w:rPr>
      <w:sz w:val="20"/>
      <w:szCs w:val="20"/>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szCs w:val="20"/>
    </w:rPr>
  </w:style>
  <w:style w:type="character" w:styleId="FootnoteReference">
    <w:name w:val="footnote reference"/>
    <w:uiPriority w:val="99"/>
    <w:rPr>
      <w:shd w:val="clear" w:color="auto" w:fill="auto"/>
      <w:vertAlign w:val="superscript"/>
    </w:rPr>
  </w:style>
  <w:style w:type="paragraph" w:customStyle="1" w:styleId="Text1">
    <w:name w:val="Text 1"/>
    <w:basedOn w:val="Normal"/>
    <w:pPr>
      <w:ind w:left="850"/>
    </w:pPr>
  </w:style>
  <w:style w:type="paragraph" w:styleId="ListNumber2">
    <w:name w:val="List Number 2"/>
    <w:basedOn w:val="Normal"/>
    <w:pPr>
      <w:numPr>
        <w:numId w:val="1"/>
      </w:numPr>
    </w:pPr>
  </w:style>
  <w:style w:type="paragraph" w:styleId="ListParagraph">
    <w:name w:val="List Paragraph"/>
    <w:basedOn w:val="Normal"/>
    <w:uiPriority w:val="34"/>
    <w:qFormat/>
    <w:pPr>
      <w:numPr>
        <w:numId w:val="3"/>
      </w:numPr>
      <w:spacing w:before="0" w:after="0"/>
      <w:jc w:val="left"/>
    </w:pPr>
    <w:rPr>
      <w:rFonts w:eastAsia="Calibri"/>
      <w:noProof/>
    </w:rPr>
  </w:style>
  <w:style w:type="paragraph" w:customStyle="1" w:styleId="NormalLeft">
    <w:name w:val="Normal Left"/>
    <w:basedOn w:val="Normal"/>
    <w:pPr>
      <w:jc w:val="left"/>
    </w:p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sz w:val="24"/>
      <w:szCs w:val="24"/>
    </w:rPr>
  </w:style>
  <w:style w:type="character" w:styleId="Hyperlink">
    <w:name w:val="Hyperlink"/>
    <w:uiPriority w:val="99"/>
    <w:rPr>
      <w:rFonts w:cs="Times New Roman"/>
      <w:color w:val="0000FF"/>
      <w:u w:val="single"/>
      <w:shd w:val="clear" w:color="auto" w:fill="auto"/>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sz w:val="24"/>
      <w:szCs w:val="24"/>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Bullet0">
    <w:name w:val="Bullet 0"/>
    <w:basedOn w:val="Normal"/>
    <w:pPr>
      <w:numPr>
        <w:numId w:val="12"/>
      </w:numPr>
    </w:pPr>
  </w:style>
  <w:style w:type="paragraph" w:customStyle="1" w:styleId="H2">
    <w:name w:val="H2"/>
    <w:basedOn w:val="ManualHeading2"/>
  </w:style>
  <w:style w:type="table" w:styleId="TableGrid">
    <w:name w:val="Table Grid"/>
    <w:basedOn w:val="TableNormal"/>
    <w:uiPriority w:val="5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ret0">
    <w:name w:val="Tiret 0"/>
    <w:basedOn w:val="Normal"/>
    <w:pPr>
      <w:numPr>
        <w:numId w:val="14"/>
      </w:numPr>
    </w:pPr>
  </w:style>
  <w:style w:type="paragraph" w:customStyle="1" w:styleId="Point0number">
    <w:name w:val="Point 0 (number)"/>
    <w:basedOn w:val="Normal"/>
    <w:pPr>
      <w:numPr>
        <w:numId w:val="28"/>
      </w:numPr>
    </w:pPr>
  </w:style>
  <w:style w:type="paragraph" w:customStyle="1" w:styleId="Point1number">
    <w:name w:val="Point 1 (number)"/>
    <w:basedOn w:val="Normal"/>
    <w:pPr>
      <w:numPr>
        <w:ilvl w:val="2"/>
        <w:numId w:val="28"/>
      </w:numPr>
    </w:pPr>
  </w:style>
  <w:style w:type="paragraph" w:customStyle="1" w:styleId="Point2number">
    <w:name w:val="Point 2 (number)"/>
    <w:basedOn w:val="Normal"/>
    <w:pPr>
      <w:numPr>
        <w:ilvl w:val="4"/>
        <w:numId w:val="28"/>
      </w:numPr>
    </w:pPr>
  </w:style>
  <w:style w:type="paragraph" w:customStyle="1" w:styleId="Point3number">
    <w:name w:val="Point 3 (number)"/>
    <w:basedOn w:val="Normal"/>
    <w:pPr>
      <w:numPr>
        <w:ilvl w:val="6"/>
        <w:numId w:val="28"/>
      </w:numPr>
    </w:pPr>
  </w:style>
  <w:style w:type="paragraph" w:customStyle="1" w:styleId="Point0letter">
    <w:name w:val="Point 0 (letter)"/>
    <w:basedOn w:val="Normal"/>
    <w:pPr>
      <w:numPr>
        <w:ilvl w:val="1"/>
        <w:numId w:val="28"/>
      </w:numPr>
    </w:pPr>
  </w:style>
  <w:style w:type="paragraph" w:customStyle="1" w:styleId="Point1letter">
    <w:name w:val="Point 1 (letter)"/>
    <w:basedOn w:val="Normal"/>
    <w:pPr>
      <w:numPr>
        <w:ilvl w:val="3"/>
        <w:numId w:val="28"/>
      </w:numPr>
    </w:pPr>
  </w:style>
  <w:style w:type="paragraph" w:customStyle="1" w:styleId="Point2letter">
    <w:name w:val="Point 2 (letter)"/>
    <w:basedOn w:val="Normal"/>
    <w:pPr>
      <w:numPr>
        <w:ilvl w:val="5"/>
        <w:numId w:val="28"/>
      </w:numPr>
    </w:pPr>
  </w:style>
  <w:style w:type="paragraph" w:customStyle="1" w:styleId="Point3letter">
    <w:name w:val="Point 3 (letter)"/>
    <w:basedOn w:val="Normal"/>
    <w:pPr>
      <w:numPr>
        <w:ilvl w:val="7"/>
        <w:numId w:val="28"/>
      </w:numPr>
    </w:pPr>
  </w:style>
  <w:style w:type="paragraph" w:customStyle="1" w:styleId="Point4letter">
    <w:name w:val="Point 4 (letter)"/>
    <w:basedOn w:val="Normal"/>
    <w:pPr>
      <w:numPr>
        <w:ilvl w:val="8"/>
        <w:numId w:val="28"/>
      </w:numPr>
    </w:pPr>
  </w:style>
  <w:style w:type="paragraph" w:styleId="Header">
    <w:name w:val="header"/>
    <w:basedOn w:val="Normal"/>
    <w:link w:val="HeaderChar"/>
    <w:uiPriority w:val="99"/>
    <w:unhideWhenUsed/>
    <w:pPr>
      <w:tabs>
        <w:tab w:val="center" w:pos="4535"/>
        <w:tab w:val="right" w:pos="9071"/>
      </w:tabs>
      <w:spacing w:before="0"/>
    </w:pPr>
    <w:rPr>
      <w:rFonts w:eastAsiaTheme="minorHAnsi"/>
      <w:szCs w:val="22"/>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Theme="minorHAnsi"/>
      <w:szCs w:val="22"/>
    </w:rPr>
  </w:style>
  <w:style w:type="character" w:customStyle="1" w:styleId="FooterChar">
    <w:name w:val="Footer Char"/>
    <w:basedOn w:val="DefaultParagraphFont"/>
    <w:link w:val="Footer"/>
    <w:uiPriority w:val="99"/>
    <w:rPr>
      <w:rFonts w:ascii="Times New Roman" w:hAnsi="Times New Roman" w:cs="Times New Roman"/>
      <w:sz w:val="24"/>
    </w:rPr>
  </w:style>
  <w:style w:type="character" w:styleId="FollowedHyperlink">
    <w:name w:val="FollowedHyperlink"/>
    <w:basedOn w:val="DefaultParagraphFont"/>
    <w:uiPriority w:val="99"/>
    <w:semiHidden/>
    <w:unhideWhenUsed/>
    <w:rPr>
      <w:color w:val="800080" w:themeColor="followedHyperlink"/>
      <w:u w:val="single"/>
    </w:rPr>
  </w:style>
  <w:style w:type="paragraph" w:styleId="TOCHeading">
    <w:name w:val="TOC Heading"/>
    <w:basedOn w:val="Heading1"/>
    <w:next w:val="Normal"/>
    <w:uiPriority w:val="39"/>
    <w:semiHidden/>
    <w:unhideWhenUsed/>
    <w:qFormat/>
    <w:pPr>
      <w:keepLines/>
      <w:spacing w:before="480" w:after="0" w:line="276" w:lineRule="auto"/>
      <w:jc w:val="left"/>
      <w:outlineLvl w:val="9"/>
    </w:pPr>
    <w:rPr>
      <w:rFonts w:asciiTheme="majorHAnsi" w:eastAsiaTheme="majorEastAsia" w:hAnsiTheme="majorHAnsi" w:cstheme="majorBidi"/>
      <w:iCs w:val="0"/>
      <w:color w:val="365F91" w:themeColor="accent1" w:themeShade="BF"/>
      <w:sz w:val="28"/>
      <w:szCs w:val="28"/>
      <w:lang w:val="en-US" w:eastAsia="ja-JP"/>
    </w:rPr>
  </w:style>
  <w:style w:type="paragraph" w:styleId="TOC1">
    <w:name w:val="toc 1"/>
    <w:basedOn w:val="Normal"/>
    <w:next w:val="Normal"/>
    <w:link w:val="TOC1Char"/>
    <w:autoRedefine/>
    <w:uiPriority w:val="39"/>
    <w:unhideWhenUsed/>
    <w:pPr>
      <w:tabs>
        <w:tab w:val="left" w:pos="480"/>
        <w:tab w:val="right" w:leader="dot" w:pos="10456"/>
      </w:tabs>
      <w:spacing w:after="100"/>
      <w:jc w:val="center"/>
    </w:pPr>
    <w:rPr>
      <w:b/>
      <w:noProof/>
    </w:rPr>
  </w:style>
  <w:style w:type="paragraph" w:styleId="TOC2">
    <w:name w:val="toc 2"/>
    <w:basedOn w:val="Normal"/>
    <w:next w:val="Normal"/>
    <w:autoRedefine/>
    <w:uiPriority w:val="39"/>
    <w:unhideWhenUsed/>
    <w:pPr>
      <w:spacing w:after="100"/>
      <w:ind w:left="240"/>
    </w:pPr>
  </w:style>
  <w:style w:type="paragraph" w:styleId="TOC3">
    <w:name w:val="toc 3"/>
    <w:basedOn w:val="Normal"/>
    <w:next w:val="Normal"/>
    <w:autoRedefine/>
    <w:uiPriority w:val="39"/>
    <w:unhideWhenUsed/>
    <w:pPr>
      <w:spacing w:after="100"/>
      <w:ind w:left="480"/>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OC1Char">
    <w:name w:val="TOC 1 Char"/>
    <w:basedOn w:val="DefaultParagraphFont"/>
    <w:link w:val="TOC1"/>
    <w:uiPriority w:val="39"/>
    <w:rPr>
      <w:rFonts w:ascii="Times New Roman" w:eastAsia="Times New Roman" w:hAnsi="Times New Roman" w:cs="Times New Roman"/>
      <w:b/>
      <w:noProof/>
      <w:sz w:val="24"/>
      <w:szCs w:val="24"/>
    </w:rPr>
  </w:style>
  <w:style w:type="character" w:customStyle="1" w:styleId="FooterCoverPageChar">
    <w:name w:val="Footer Cover Page Char"/>
    <w:basedOn w:val="TOC1Char"/>
    <w:link w:val="FooterCoverPage"/>
    <w:rPr>
      <w:rFonts w:ascii="Times New Roman" w:eastAsia="Times New Roman" w:hAnsi="Times New Roman" w:cs="Times New Roman"/>
      <w:b w:val="0"/>
      <w:noProof/>
      <w:sz w:val="24"/>
      <w:szCs w:val="24"/>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TOC1Char"/>
    <w:link w:val="HeaderCoverPage"/>
    <w:rPr>
      <w:rFonts w:ascii="Times New Roman" w:eastAsia="Times New Roman" w:hAnsi="Times New Roman" w:cs="Times New Roman"/>
      <w:b w:val="0"/>
      <w:noProof/>
      <w:sz w:val="24"/>
      <w:szCs w:val="24"/>
    </w:rPr>
  </w:style>
  <w:style w:type="paragraph" w:styleId="PlainText">
    <w:name w:val="Plain Text"/>
    <w:basedOn w:val="Normal"/>
    <w:link w:val="PlainTextChar"/>
    <w:uiPriority w:val="99"/>
    <w:semiHidden/>
    <w:unhideWhenUsed/>
    <w:pPr>
      <w:spacing w:before="0" w:after="0"/>
      <w:jc w:val="left"/>
    </w:pPr>
    <w:rPr>
      <w:rFonts w:ascii="Calibri" w:eastAsia="Calibri" w:hAnsi="Calibri"/>
      <w:sz w:val="22"/>
      <w:szCs w:val="22"/>
    </w:rPr>
  </w:style>
  <w:style w:type="character" w:customStyle="1" w:styleId="PlainTextChar">
    <w:name w:val="Plain Text Char"/>
    <w:basedOn w:val="DefaultParagraphFont"/>
    <w:link w:val="PlainText"/>
    <w:uiPriority w:val="99"/>
    <w:semiHidden/>
    <w:rPr>
      <w:rFonts w:ascii="Calibri" w:eastAsia="Calibri" w:hAnsi="Calibri" w:cs="Times New Roman"/>
    </w:rPr>
  </w:style>
  <w:style w:type="paragraph" w:customStyle="1" w:styleId="Default">
    <w:name w:val="Default"/>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character" w:customStyle="1" w:styleId="DeltaViewInsertion">
    <w:name w:val="DeltaView Insertion"/>
    <w:uiPriority w:val="99"/>
    <w:rPr>
      <w:b/>
      <w:bCs/>
      <w:i/>
      <w:iCs/>
      <w:color w:val="000000"/>
    </w:rPr>
  </w:style>
  <w:style w:type="paragraph" w:customStyle="1" w:styleId="Declassification">
    <w:name w:val="Declassification"/>
    <w:basedOn w:val="Normal"/>
    <w:next w:val="Normal"/>
    <w:pPr>
      <w:spacing w:before="0" w:after="0"/>
    </w:pPr>
    <w:rPr>
      <w:rFonts w:eastAsiaTheme="minorHAnsi"/>
      <w:szCs w:val="22"/>
    </w:rPr>
  </w:style>
  <w:style w:type="paragraph" w:customStyle="1" w:styleId="HeaderLandscape">
    <w:name w:val="HeaderLandscape"/>
    <w:basedOn w:val="Normal"/>
    <w:pPr>
      <w:tabs>
        <w:tab w:val="center" w:pos="7285"/>
        <w:tab w:val="right" w:pos="14003"/>
      </w:tabs>
      <w:spacing w:before="0"/>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SecurityMarking">
    <w:name w:val="SecurityMarking"/>
    <w:basedOn w:val="Normal"/>
    <w:pPr>
      <w:spacing w:before="0" w:after="0" w:line="276" w:lineRule="auto"/>
      <w:ind w:left="5103"/>
      <w:jc w:val="left"/>
    </w:pPr>
    <w:rPr>
      <w:rFonts w:eastAsiaTheme="minorHAnsi"/>
      <w:sz w:val="28"/>
      <w:szCs w:val="22"/>
    </w:rPr>
  </w:style>
  <w:style w:type="paragraph" w:customStyle="1" w:styleId="DateMarking">
    <w:name w:val="DateMarking"/>
    <w:basedOn w:val="Normal"/>
    <w:pPr>
      <w:spacing w:before="0" w:after="0" w:line="276" w:lineRule="auto"/>
      <w:ind w:left="5103"/>
      <w:jc w:val="left"/>
    </w:pPr>
    <w:rPr>
      <w:rFonts w:eastAsiaTheme="minorHAnsi"/>
      <w:i/>
      <w:sz w:val="28"/>
      <w:szCs w:val="22"/>
    </w:rPr>
  </w:style>
  <w:style w:type="paragraph" w:customStyle="1" w:styleId="ReleasableTo">
    <w:name w:val="ReleasableTo"/>
    <w:basedOn w:val="Normal"/>
    <w:pPr>
      <w:spacing w:before="0" w:after="0" w:line="276" w:lineRule="auto"/>
      <w:ind w:left="5103"/>
      <w:jc w:val="left"/>
    </w:pPr>
    <w:rPr>
      <w:rFonts w:eastAsiaTheme="minorHAnsi"/>
      <w:i/>
      <w:sz w:val="28"/>
      <w:szCs w:val="22"/>
    </w:rPr>
  </w:style>
  <w:style w:type="paragraph" w:customStyle="1" w:styleId="HeaderSensitivityRight">
    <w:name w:val="Header Sensitivity Right"/>
    <w:basedOn w:val="Normal"/>
    <w:pPr>
      <w:spacing w:before="0"/>
      <w:jc w:val="right"/>
    </w:pPr>
    <w:rPr>
      <w:sz w:val="28"/>
    </w:rPr>
  </w:style>
  <w:style w:type="table" w:customStyle="1" w:styleId="TableGrid2">
    <w:name w:val="Table Grid2"/>
    <w:basedOn w:val="TableNormal"/>
    <w:next w:val="TableGrid"/>
    <w:uiPriority w:val="59"/>
    <w:pPr>
      <w:spacing w:after="0" w:line="240" w:lineRule="auto"/>
    </w:pPr>
    <w:rPr>
      <w:lang w:val="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42185">
      <w:bodyDiv w:val="1"/>
      <w:marLeft w:val="0"/>
      <w:marRight w:val="0"/>
      <w:marTop w:val="0"/>
      <w:marBottom w:val="0"/>
      <w:divBdr>
        <w:top w:val="none" w:sz="0" w:space="0" w:color="auto"/>
        <w:left w:val="none" w:sz="0" w:space="0" w:color="auto"/>
        <w:bottom w:val="none" w:sz="0" w:space="0" w:color="auto"/>
        <w:right w:val="none" w:sz="0" w:space="0" w:color="auto"/>
      </w:divBdr>
    </w:div>
    <w:div w:id="164902169">
      <w:bodyDiv w:val="1"/>
      <w:marLeft w:val="0"/>
      <w:marRight w:val="0"/>
      <w:marTop w:val="0"/>
      <w:marBottom w:val="0"/>
      <w:divBdr>
        <w:top w:val="none" w:sz="0" w:space="0" w:color="auto"/>
        <w:left w:val="none" w:sz="0" w:space="0" w:color="auto"/>
        <w:bottom w:val="none" w:sz="0" w:space="0" w:color="auto"/>
        <w:right w:val="none" w:sz="0" w:space="0" w:color="auto"/>
      </w:divBdr>
    </w:div>
    <w:div w:id="252712849">
      <w:bodyDiv w:val="1"/>
      <w:marLeft w:val="0"/>
      <w:marRight w:val="0"/>
      <w:marTop w:val="0"/>
      <w:marBottom w:val="0"/>
      <w:divBdr>
        <w:top w:val="none" w:sz="0" w:space="0" w:color="auto"/>
        <w:left w:val="none" w:sz="0" w:space="0" w:color="auto"/>
        <w:bottom w:val="none" w:sz="0" w:space="0" w:color="auto"/>
        <w:right w:val="none" w:sz="0" w:space="0" w:color="auto"/>
      </w:divBdr>
    </w:div>
    <w:div w:id="272253670">
      <w:bodyDiv w:val="1"/>
      <w:marLeft w:val="0"/>
      <w:marRight w:val="0"/>
      <w:marTop w:val="0"/>
      <w:marBottom w:val="0"/>
      <w:divBdr>
        <w:top w:val="none" w:sz="0" w:space="0" w:color="auto"/>
        <w:left w:val="none" w:sz="0" w:space="0" w:color="auto"/>
        <w:bottom w:val="none" w:sz="0" w:space="0" w:color="auto"/>
        <w:right w:val="none" w:sz="0" w:space="0" w:color="auto"/>
      </w:divBdr>
    </w:div>
    <w:div w:id="302127532">
      <w:bodyDiv w:val="1"/>
      <w:marLeft w:val="0"/>
      <w:marRight w:val="0"/>
      <w:marTop w:val="0"/>
      <w:marBottom w:val="0"/>
      <w:divBdr>
        <w:top w:val="none" w:sz="0" w:space="0" w:color="auto"/>
        <w:left w:val="none" w:sz="0" w:space="0" w:color="auto"/>
        <w:bottom w:val="none" w:sz="0" w:space="0" w:color="auto"/>
        <w:right w:val="none" w:sz="0" w:space="0" w:color="auto"/>
      </w:divBdr>
    </w:div>
    <w:div w:id="340814757">
      <w:bodyDiv w:val="1"/>
      <w:marLeft w:val="0"/>
      <w:marRight w:val="0"/>
      <w:marTop w:val="0"/>
      <w:marBottom w:val="0"/>
      <w:divBdr>
        <w:top w:val="none" w:sz="0" w:space="0" w:color="auto"/>
        <w:left w:val="none" w:sz="0" w:space="0" w:color="auto"/>
        <w:bottom w:val="none" w:sz="0" w:space="0" w:color="auto"/>
        <w:right w:val="none" w:sz="0" w:space="0" w:color="auto"/>
      </w:divBdr>
    </w:div>
    <w:div w:id="498927003">
      <w:bodyDiv w:val="1"/>
      <w:marLeft w:val="0"/>
      <w:marRight w:val="0"/>
      <w:marTop w:val="0"/>
      <w:marBottom w:val="0"/>
      <w:divBdr>
        <w:top w:val="none" w:sz="0" w:space="0" w:color="auto"/>
        <w:left w:val="none" w:sz="0" w:space="0" w:color="auto"/>
        <w:bottom w:val="none" w:sz="0" w:space="0" w:color="auto"/>
        <w:right w:val="none" w:sz="0" w:space="0" w:color="auto"/>
      </w:divBdr>
    </w:div>
    <w:div w:id="533930762">
      <w:bodyDiv w:val="1"/>
      <w:marLeft w:val="0"/>
      <w:marRight w:val="0"/>
      <w:marTop w:val="0"/>
      <w:marBottom w:val="0"/>
      <w:divBdr>
        <w:top w:val="none" w:sz="0" w:space="0" w:color="auto"/>
        <w:left w:val="none" w:sz="0" w:space="0" w:color="auto"/>
        <w:bottom w:val="none" w:sz="0" w:space="0" w:color="auto"/>
        <w:right w:val="none" w:sz="0" w:space="0" w:color="auto"/>
      </w:divBdr>
    </w:div>
    <w:div w:id="607397976">
      <w:bodyDiv w:val="1"/>
      <w:marLeft w:val="0"/>
      <w:marRight w:val="0"/>
      <w:marTop w:val="0"/>
      <w:marBottom w:val="0"/>
      <w:divBdr>
        <w:top w:val="none" w:sz="0" w:space="0" w:color="auto"/>
        <w:left w:val="none" w:sz="0" w:space="0" w:color="auto"/>
        <w:bottom w:val="none" w:sz="0" w:space="0" w:color="auto"/>
        <w:right w:val="none" w:sz="0" w:space="0" w:color="auto"/>
      </w:divBdr>
    </w:div>
    <w:div w:id="748114980">
      <w:bodyDiv w:val="1"/>
      <w:marLeft w:val="390"/>
      <w:marRight w:val="390"/>
      <w:marTop w:val="0"/>
      <w:marBottom w:val="0"/>
      <w:divBdr>
        <w:top w:val="none" w:sz="0" w:space="0" w:color="auto"/>
        <w:left w:val="none" w:sz="0" w:space="0" w:color="auto"/>
        <w:bottom w:val="none" w:sz="0" w:space="0" w:color="auto"/>
        <w:right w:val="none" w:sz="0" w:space="0" w:color="auto"/>
      </w:divBdr>
    </w:div>
    <w:div w:id="864053255">
      <w:bodyDiv w:val="1"/>
      <w:marLeft w:val="0"/>
      <w:marRight w:val="0"/>
      <w:marTop w:val="0"/>
      <w:marBottom w:val="0"/>
      <w:divBdr>
        <w:top w:val="none" w:sz="0" w:space="0" w:color="auto"/>
        <w:left w:val="none" w:sz="0" w:space="0" w:color="auto"/>
        <w:bottom w:val="none" w:sz="0" w:space="0" w:color="auto"/>
        <w:right w:val="none" w:sz="0" w:space="0" w:color="auto"/>
      </w:divBdr>
    </w:div>
    <w:div w:id="976689158">
      <w:bodyDiv w:val="1"/>
      <w:marLeft w:val="0"/>
      <w:marRight w:val="0"/>
      <w:marTop w:val="0"/>
      <w:marBottom w:val="0"/>
      <w:divBdr>
        <w:top w:val="none" w:sz="0" w:space="0" w:color="auto"/>
        <w:left w:val="none" w:sz="0" w:space="0" w:color="auto"/>
        <w:bottom w:val="none" w:sz="0" w:space="0" w:color="auto"/>
        <w:right w:val="none" w:sz="0" w:space="0" w:color="auto"/>
      </w:divBdr>
    </w:div>
    <w:div w:id="1010643008">
      <w:bodyDiv w:val="1"/>
      <w:marLeft w:val="0"/>
      <w:marRight w:val="0"/>
      <w:marTop w:val="0"/>
      <w:marBottom w:val="0"/>
      <w:divBdr>
        <w:top w:val="none" w:sz="0" w:space="0" w:color="auto"/>
        <w:left w:val="none" w:sz="0" w:space="0" w:color="auto"/>
        <w:bottom w:val="none" w:sz="0" w:space="0" w:color="auto"/>
        <w:right w:val="none" w:sz="0" w:space="0" w:color="auto"/>
      </w:divBdr>
    </w:div>
    <w:div w:id="1118839765">
      <w:bodyDiv w:val="1"/>
      <w:marLeft w:val="0"/>
      <w:marRight w:val="0"/>
      <w:marTop w:val="0"/>
      <w:marBottom w:val="0"/>
      <w:divBdr>
        <w:top w:val="none" w:sz="0" w:space="0" w:color="auto"/>
        <w:left w:val="none" w:sz="0" w:space="0" w:color="auto"/>
        <w:bottom w:val="none" w:sz="0" w:space="0" w:color="auto"/>
        <w:right w:val="none" w:sz="0" w:space="0" w:color="auto"/>
      </w:divBdr>
    </w:div>
    <w:div w:id="1211763905">
      <w:bodyDiv w:val="1"/>
      <w:marLeft w:val="0"/>
      <w:marRight w:val="0"/>
      <w:marTop w:val="0"/>
      <w:marBottom w:val="0"/>
      <w:divBdr>
        <w:top w:val="none" w:sz="0" w:space="0" w:color="auto"/>
        <w:left w:val="none" w:sz="0" w:space="0" w:color="auto"/>
        <w:bottom w:val="none" w:sz="0" w:space="0" w:color="auto"/>
        <w:right w:val="none" w:sz="0" w:space="0" w:color="auto"/>
      </w:divBdr>
    </w:div>
    <w:div w:id="1251038873">
      <w:bodyDiv w:val="1"/>
      <w:marLeft w:val="0"/>
      <w:marRight w:val="0"/>
      <w:marTop w:val="0"/>
      <w:marBottom w:val="0"/>
      <w:divBdr>
        <w:top w:val="none" w:sz="0" w:space="0" w:color="auto"/>
        <w:left w:val="none" w:sz="0" w:space="0" w:color="auto"/>
        <w:bottom w:val="none" w:sz="0" w:space="0" w:color="auto"/>
        <w:right w:val="none" w:sz="0" w:space="0" w:color="auto"/>
      </w:divBdr>
    </w:div>
    <w:div w:id="1409183137">
      <w:bodyDiv w:val="1"/>
      <w:marLeft w:val="0"/>
      <w:marRight w:val="0"/>
      <w:marTop w:val="0"/>
      <w:marBottom w:val="0"/>
      <w:divBdr>
        <w:top w:val="none" w:sz="0" w:space="0" w:color="auto"/>
        <w:left w:val="none" w:sz="0" w:space="0" w:color="auto"/>
        <w:bottom w:val="none" w:sz="0" w:space="0" w:color="auto"/>
        <w:right w:val="none" w:sz="0" w:space="0" w:color="auto"/>
      </w:divBdr>
    </w:div>
    <w:div w:id="1592197822">
      <w:bodyDiv w:val="1"/>
      <w:marLeft w:val="0"/>
      <w:marRight w:val="0"/>
      <w:marTop w:val="0"/>
      <w:marBottom w:val="0"/>
      <w:divBdr>
        <w:top w:val="none" w:sz="0" w:space="0" w:color="auto"/>
        <w:left w:val="none" w:sz="0" w:space="0" w:color="auto"/>
        <w:bottom w:val="none" w:sz="0" w:space="0" w:color="auto"/>
        <w:right w:val="none" w:sz="0" w:space="0" w:color="auto"/>
      </w:divBdr>
    </w:div>
    <w:div w:id="1600135651">
      <w:bodyDiv w:val="1"/>
      <w:marLeft w:val="0"/>
      <w:marRight w:val="0"/>
      <w:marTop w:val="0"/>
      <w:marBottom w:val="0"/>
      <w:divBdr>
        <w:top w:val="none" w:sz="0" w:space="0" w:color="auto"/>
        <w:left w:val="none" w:sz="0" w:space="0" w:color="auto"/>
        <w:bottom w:val="none" w:sz="0" w:space="0" w:color="auto"/>
        <w:right w:val="none" w:sz="0" w:space="0" w:color="auto"/>
      </w:divBdr>
    </w:div>
    <w:div w:id="1664888562">
      <w:bodyDiv w:val="1"/>
      <w:marLeft w:val="0"/>
      <w:marRight w:val="0"/>
      <w:marTop w:val="0"/>
      <w:marBottom w:val="0"/>
      <w:divBdr>
        <w:top w:val="none" w:sz="0" w:space="0" w:color="auto"/>
        <w:left w:val="none" w:sz="0" w:space="0" w:color="auto"/>
        <w:bottom w:val="none" w:sz="0" w:space="0" w:color="auto"/>
        <w:right w:val="none" w:sz="0" w:space="0" w:color="auto"/>
      </w:divBdr>
    </w:div>
    <w:div w:id="1774323955">
      <w:bodyDiv w:val="1"/>
      <w:marLeft w:val="0"/>
      <w:marRight w:val="0"/>
      <w:marTop w:val="0"/>
      <w:marBottom w:val="0"/>
      <w:divBdr>
        <w:top w:val="none" w:sz="0" w:space="0" w:color="auto"/>
        <w:left w:val="none" w:sz="0" w:space="0" w:color="auto"/>
        <w:bottom w:val="none" w:sz="0" w:space="0" w:color="auto"/>
        <w:right w:val="none" w:sz="0" w:space="0" w:color="auto"/>
      </w:divBdr>
    </w:div>
    <w:div w:id="1780181468">
      <w:bodyDiv w:val="1"/>
      <w:marLeft w:val="0"/>
      <w:marRight w:val="0"/>
      <w:marTop w:val="0"/>
      <w:marBottom w:val="0"/>
      <w:divBdr>
        <w:top w:val="none" w:sz="0" w:space="0" w:color="auto"/>
        <w:left w:val="none" w:sz="0" w:space="0" w:color="auto"/>
        <w:bottom w:val="none" w:sz="0" w:space="0" w:color="auto"/>
        <w:right w:val="none" w:sz="0" w:space="0" w:color="auto"/>
      </w:divBdr>
    </w:div>
    <w:div w:id="1791582325">
      <w:bodyDiv w:val="1"/>
      <w:marLeft w:val="0"/>
      <w:marRight w:val="0"/>
      <w:marTop w:val="0"/>
      <w:marBottom w:val="0"/>
      <w:divBdr>
        <w:top w:val="none" w:sz="0" w:space="0" w:color="auto"/>
        <w:left w:val="none" w:sz="0" w:space="0" w:color="auto"/>
        <w:bottom w:val="none" w:sz="0" w:space="0" w:color="auto"/>
        <w:right w:val="none" w:sz="0" w:space="0" w:color="auto"/>
      </w:divBdr>
    </w:div>
    <w:div w:id="1853908021">
      <w:bodyDiv w:val="1"/>
      <w:marLeft w:val="0"/>
      <w:marRight w:val="0"/>
      <w:marTop w:val="0"/>
      <w:marBottom w:val="0"/>
      <w:divBdr>
        <w:top w:val="none" w:sz="0" w:space="0" w:color="auto"/>
        <w:left w:val="none" w:sz="0" w:space="0" w:color="auto"/>
        <w:bottom w:val="none" w:sz="0" w:space="0" w:color="auto"/>
        <w:right w:val="none" w:sz="0" w:space="0" w:color="auto"/>
      </w:divBdr>
    </w:div>
    <w:div w:id="1963876346">
      <w:bodyDiv w:val="1"/>
      <w:marLeft w:val="0"/>
      <w:marRight w:val="0"/>
      <w:marTop w:val="0"/>
      <w:marBottom w:val="0"/>
      <w:divBdr>
        <w:top w:val="none" w:sz="0" w:space="0" w:color="auto"/>
        <w:left w:val="none" w:sz="0" w:space="0" w:color="auto"/>
        <w:bottom w:val="none" w:sz="0" w:space="0" w:color="auto"/>
        <w:right w:val="none" w:sz="0" w:space="0" w:color="auto"/>
      </w:divBdr>
    </w:div>
    <w:div w:id="2041271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hart" Target="charts/chart3.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hart" Target="charts/chart2.xm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chart" Target="charts/chart5.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chart" Target="charts/chart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5.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ec.europa.eu/anti-fraud/policy/hercule_en" TargetMode="External"/><Relationship Id="rId1" Type="http://schemas.openxmlformats.org/officeDocument/2006/relationships/hyperlink" Target="https://eucrim.mpicc.de/"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US" sz="1200"/>
              <a:t>Budget 2019 (planned)</a:t>
            </a:r>
          </a:p>
        </c:rich>
      </c:tx>
      <c:overlay val="1"/>
    </c:title>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25"/>
          <c:dLbls>
            <c:dLbl>
              <c:idx val="0"/>
              <c:layout>
                <c:manualLayout>
                  <c:x val="-4.5476260712367725E-2"/>
                  <c:y val="7.5311866504491815E-2"/>
                </c:manualLayout>
              </c:layout>
              <c:showLegendKey val="0"/>
              <c:showVal val="1"/>
              <c:showCatName val="0"/>
              <c:showSerName val="0"/>
              <c:showPercent val="1"/>
              <c:showBubbleSize val="0"/>
              <c:separator>
</c:separator>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ECBC-4CA4-827A-2FD05253CCE1}"/>
                </c:ext>
              </c:extLst>
            </c:dLbl>
            <c:dLbl>
              <c:idx val="1"/>
              <c:layout>
                <c:manualLayout>
                  <c:x val="4.3465441819772528E-2"/>
                  <c:y val="-6.6369948284459454E-2"/>
                </c:manualLayout>
              </c:layout>
              <c:showLegendKey val="0"/>
              <c:showVal val="1"/>
              <c:showCatName val="0"/>
              <c:showSerName val="0"/>
              <c:showPercent val="1"/>
              <c:showBubbleSize val="0"/>
              <c:separator>
</c:separator>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ECBC-4CA4-827A-2FD05253CCE1}"/>
                </c:ext>
              </c:extLst>
            </c:dLbl>
            <c:spPr>
              <a:noFill/>
              <a:ln>
                <a:noFill/>
              </a:ln>
              <a:effectLst/>
            </c:spPr>
            <c:txPr>
              <a:bodyPr wrap="square" lIns="38100" tIns="19050" rIns="38100" bIns="19050" anchor="ctr">
                <a:spAutoFit/>
              </a:bodyPr>
              <a:lstStyle/>
              <a:p>
                <a:pPr>
                  <a:defRPr sz="1000"/>
                </a:pPr>
                <a:endParaRPr lang="en-US"/>
              </a:p>
            </c:txPr>
            <c:showLegendKey val="0"/>
            <c:showVal val="1"/>
            <c:showCatName val="0"/>
            <c:showSerName val="0"/>
            <c:showPercent val="1"/>
            <c:showBubbleSize val="0"/>
            <c:showLeaderLines val="0"/>
            <c:extLst xmlns:c16r2="http://schemas.microsoft.com/office/drawing/2015/06/chart">
              <c:ext xmlns:c15="http://schemas.microsoft.com/office/drawing/2012/chart" uri="{CE6537A1-D6FC-4f65-9D91-7224C49458BB}"/>
            </c:extLst>
          </c:dLbls>
          <c:cat>
            <c:strRef>
              <c:f>Data!$A$5:$A$6</c:f>
              <c:strCache>
                <c:ptCount val="2"/>
                <c:pt idx="0">
                  <c:v>Grants</c:v>
                </c:pt>
                <c:pt idx="1">
                  <c:v>Procurement</c:v>
                </c:pt>
              </c:strCache>
            </c:strRef>
          </c:cat>
          <c:val>
            <c:numRef>
              <c:f>Data!$B$5:$B$6</c:f>
              <c:numCache>
                <c:formatCode>#,##0</c:formatCode>
                <c:ptCount val="2"/>
                <c:pt idx="0">
                  <c:v>11466200</c:v>
                </c:pt>
                <c:pt idx="1">
                  <c:v>4425000</c:v>
                </c:pt>
              </c:numCache>
            </c:numRef>
          </c:val>
          <c:extLst xmlns:c16r2="http://schemas.microsoft.com/office/drawing/2015/06/chart">
            <c:ext xmlns:c16="http://schemas.microsoft.com/office/drawing/2014/chart" uri="{C3380CC4-5D6E-409C-BE32-E72D297353CC}">
              <c16:uniqueId val="{00000002-ECBC-4CA4-827A-2FD05253CCE1}"/>
            </c:ext>
          </c:extLst>
        </c:ser>
        <c:dLbls>
          <c:showLegendKey val="0"/>
          <c:showVal val="1"/>
          <c:showCatName val="0"/>
          <c:showSerName val="0"/>
          <c:showPercent val="0"/>
          <c:showBubbleSize val="0"/>
          <c:showLeaderLines val="0"/>
        </c:dLbls>
      </c:pie3DChart>
    </c:plotArea>
    <c:legend>
      <c:legendPos val="r"/>
      <c:overlay val="0"/>
      <c:txPr>
        <a:bodyPr/>
        <a:lstStyle/>
        <a:p>
          <a:pPr>
            <a:defRPr sz="1000" baseline="0"/>
          </a:pPr>
          <a:endParaRPr lang="en-US"/>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US" sz="1200"/>
              <a:t>Commitments 2019 (achieved)</a:t>
            </a:r>
          </a:p>
        </c:rich>
      </c:tx>
      <c:overlay val="1"/>
    </c:title>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25"/>
          <c:dLbls>
            <c:dLbl>
              <c:idx val="0"/>
              <c:layout>
                <c:manualLayout>
                  <c:x val="-8.3499922803767251E-2"/>
                  <c:y val="0.10596144802870462"/>
                </c:manualLayout>
              </c:layout>
              <c:showLegendKey val="0"/>
              <c:showVal val="1"/>
              <c:showCatName val="0"/>
              <c:showSerName val="0"/>
              <c:showPercent val="1"/>
              <c:showBubbleSize val="0"/>
              <c:separator>
</c:separator>
              <c:extLst xmlns:c16r2="http://schemas.microsoft.com/office/drawing/2015/06/chart">
                <c:ext xmlns:c15="http://schemas.microsoft.com/office/drawing/2012/chart" uri="{CE6537A1-D6FC-4f65-9D91-7224C49458BB}">
                  <c15:layout>
                    <c:manualLayout>
                      <c:w val="0.27639215686274504"/>
                      <c:h val="0.21606239089216656"/>
                    </c:manualLayout>
                  </c15:layout>
                </c:ext>
                <c:ext xmlns:c16="http://schemas.microsoft.com/office/drawing/2014/chart" uri="{C3380CC4-5D6E-409C-BE32-E72D297353CC}">
                  <c16:uniqueId val="{00000000-1367-4C03-81D3-CED7D0B31AF5}"/>
                </c:ext>
              </c:extLst>
            </c:dLbl>
            <c:dLbl>
              <c:idx val="1"/>
              <c:layout>
                <c:manualLayout>
                  <c:x val="3.9215686274509803E-2"/>
                  <c:y val="-3.5232301716307847E-2"/>
                </c:manualLayout>
              </c:layout>
              <c:showLegendKey val="0"/>
              <c:showVal val="1"/>
              <c:showCatName val="0"/>
              <c:showSerName val="0"/>
              <c:showPercent val="1"/>
              <c:showBubbleSize val="0"/>
              <c:separator>
</c:separator>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1367-4C03-81D3-CED7D0B31AF5}"/>
                </c:ext>
              </c:extLst>
            </c:dLbl>
            <c:spPr>
              <a:noFill/>
              <a:ln>
                <a:noFill/>
              </a:ln>
              <a:effectLst/>
            </c:spPr>
            <c:txPr>
              <a:bodyPr wrap="square" lIns="38100" tIns="19050" rIns="38100" bIns="19050" anchor="ctr">
                <a:spAutoFit/>
              </a:bodyPr>
              <a:lstStyle/>
              <a:p>
                <a:pPr>
                  <a:defRPr sz="1000"/>
                </a:pPr>
                <a:endParaRPr lang="en-US"/>
              </a:p>
            </c:txPr>
            <c:showLegendKey val="0"/>
            <c:showVal val="1"/>
            <c:showCatName val="0"/>
            <c:showSerName val="0"/>
            <c:showPercent val="1"/>
            <c:showBubbleSize val="0"/>
            <c:separator>
</c:separator>
            <c:showLeaderLines val="0"/>
            <c:extLst xmlns:c16r2="http://schemas.microsoft.com/office/drawing/2015/06/chart">
              <c:ext xmlns:c15="http://schemas.microsoft.com/office/drawing/2012/chart" uri="{CE6537A1-D6FC-4f65-9D91-7224C49458BB}"/>
            </c:extLst>
          </c:dLbls>
          <c:cat>
            <c:strRef>
              <c:f>Data!$A$9:$A$10</c:f>
              <c:strCache>
                <c:ptCount val="2"/>
                <c:pt idx="0">
                  <c:v>Grants</c:v>
                </c:pt>
                <c:pt idx="1">
                  <c:v>Procurement</c:v>
                </c:pt>
              </c:strCache>
            </c:strRef>
          </c:cat>
          <c:val>
            <c:numRef>
              <c:f>Data!$B$9:$B$10</c:f>
              <c:numCache>
                <c:formatCode>#,##0</c:formatCode>
                <c:ptCount val="2"/>
                <c:pt idx="0">
                  <c:v>11938331.709999999</c:v>
                </c:pt>
                <c:pt idx="1">
                  <c:v>3844149.24</c:v>
                </c:pt>
              </c:numCache>
            </c:numRef>
          </c:val>
          <c:extLst xmlns:c16r2="http://schemas.microsoft.com/office/drawing/2015/06/chart">
            <c:ext xmlns:c16="http://schemas.microsoft.com/office/drawing/2014/chart" uri="{C3380CC4-5D6E-409C-BE32-E72D297353CC}">
              <c16:uniqueId val="{00000002-1367-4C03-81D3-CED7D0B31AF5}"/>
            </c:ext>
          </c:extLst>
        </c:ser>
        <c:dLbls>
          <c:showLegendKey val="0"/>
          <c:showVal val="0"/>
          <c:showCatName val="0"/>
          <c:showSerName val="0"/>
          <c:showPercent val="0"/>
          <c:showBubbleSize val="0"/>
          <c:showLeaderLines val="0"/>
        </c:dLbls>
      </c:pie3DChart>
    </c:plotArea>
    <c:legend>
      <c:legendPos val="r"/>
      <c:overlay val="0"/>
      <c:txPr>
        <a:bodyPr/>
        <a:lstStyle/>
        <a:p>
          <a:pPr>
            <a:defRPr sz="1000" baseline="0"/>
          </a:pPr>
          <a:endParaRPr lang="en-US"/>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US" sz="1200"/>
              <a:t>Budget 2019 (planned) </a:t>
            </a:r>
          </a:p>
        </c:rich>
      </c:tx>
      <c:overlay val="1"/>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0.10496280321647693"/>
          <c:y val="0.1277553213860137"/>
          <c:w val="0.78158182456492298"/>
          <c:h val="0.512611860090189"/>
        </c:manualLayout>
      </c:layout>
      <c:pie3DChart>
        <c:varyColors val="1"/>
        <c:ser>
          <c:idx val="0"/>
          <c:order val="0"/>
          <c:explosion val="25"/>
          <c:dLbls>
            <c:dLbl>
              <c:idx val="0"/>
              <c:layout>
                <c:manualLayout>
                  <c:x val="-8.952538575990103E-2"/>
                  <c:y val="0.13220022664080935"/>
                </c:manualLayout>
              </c:layout>
              <c:showLegendKey val="0"/>
              <c:showVal val="1"/>
              <c:showCatName val="0"/>
              <c:showSerName val="0"/>
              <c:showPercent val="1"/>
              <c:showBubbleSize val="0"/>
              <c:separator>
</c:separator>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45C7-4F6E-88BF-19FB1D161D09}"/>
                </c:ext>
              </c:extLst>
            </c:dLbl>
            <c:dLbl>
              <c:idx val="1"/>
              <c:layout>
                <c:manualLayout>
                  <c:x val="0"/>
                  <c:y val="7.6881761256104117E-2"/>
                </c:manualLayout>
              </c:layout>
              <c:showLegendKey val="0"/>
              <c:showVal val="1"/>
              <c:showCatName val="0"/>
              <c:showSerName val="0"/>
              <c:showPercent val="1"/>
              <c:showBubbleSize val="0"/>
              <c:separator>
</c:separator>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45C7-4F6E-88BF-19FB1D161D09}"/>
                </c:ext>
              </c:extLst>
            </c:dLbl>
            <c:dLbl>
              <c:idx val="2"/>
              <c:layout>
                <c:manualLayout>
                  <c:x val="9.6194225721784774E-4"/>
                  <c:y val="-2.5486636738210708E-2"/>
                </c:manualLayout>
              </c:layout>
              <c:showLegendKey val="0"/>
              <c:showVal val="1"/>
              <c:showCatName val="0"/>
              <c:showSerName val="0"/>
              <c:showPercent val="1"/>
              <c:showBubbleSize val="0"/>
              <c:separator>
</c:separator>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2-45C7-4F6E-88BF-19FB1D161D09}"/>
                </c:ext>
              </c:extLst>
            </c:dLbl>
            <c:dLbl>
              <c:idx val="3"/>
              <c:layout>
                <c:manualLayout>
                  <c:x val="5.5609142607174105E-3"/>
                  <c:y val="7.0264688789955145E-3"/>
                </c:manualLayout>
              </c:layout>
              <c:showLegendKey val="0"/>
              <c:showVal val="1"/>
              <c:showCatName val="0"/>
              <c:showSerName val="0"/>
              <c:showPercent val="1"/>
              <c:showBubbleSize val="0"/>
              <c:separator>
</c:separator>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3-45C7-4F6E-88BF-19FB1D161D09}"/>
                </c:ext>
              </c:extLst>
            </c:dLbl>
            <c:spPr>
              <a:noFill/>
              <a:ln>
                <a:noFill/>
              </a:ln>
              <a:effectLst/>
            </c:spPr>
            <c:showLegendKey val="0"/>
            <c:showVal val="1"/>
            <c:showCatName val="0"/>
            <c:showSerName val="0"/>
            <c:showPercent val="1"/>
            <c:showBubbleSize val="0"/>
            <c:separator>
</c:separator>
            <c:showLeaderLines val="0"/>
            <c:extLst xmlns:c16r2="http://schemas.microsoft.com/office/drawing/2015/06/chart">
              <c:ext xmlns:c15="http://schemas.microsoft.com/office/drawing/2012/chart" uri="{CE6537A1-D6FC-4f65-9D91-7224C49458BB}"/>
            </c:extLst>
          </c:dLbls>
          <c:cat>
            <c:strRef>
              <c:f>Data!$A$29:$A$33</c:f>
              <c:strCache>
                <c:ptCount val="4"/>
                <c:pt idx="0">
                  <c:v>Technical assistance</c:v>
                </c:pt>
                <c:pt idx="1">
                  <c:v>IT Support</c:v>
                </c:pt>
                <c:pt idx="2">
                  <c:v>Anti-fraud Training</c:v>
                </c:pt>
                <c:pt idx="3">
                  <c:v>Legal Training</c:v>
                </c:pt>
              </c:strCache>
            </c:strRef>
          </c:cat>
          <c:val>
            <c:numRef>
              <c:f>Data!$B$29:$B$33</c:f>
              <c:numCache>
                <c:formatCode>#,##0</c:formatCode>
                <c:ptCount val="4"/>
                <c:pt idx="0">
                  <c:v>9866200</c:v>
                </c:pt>
                <c:pt idx="1">
                  <c:v>1875000</c:v>
                </c:pt>
                <c:pt idx="2">
                  <c:v>3650000</c:v>
                </c:pt>
                <c:pt idx="3">
                  <c:v>500000</c:v>
                </c:pt>
              </c:numCache>
            </c:numRef>
          </c:val>
          <c:extLst xmlns:c16r2="http://schemas.microsoft.com/office/drawing/2015/06/chart">
            <c:ext xmlns:c16="http://schemas.microsoft.com/office/drawing/2014/chart" uri="{C3380CC4-5D6E-409C-BE32-E72D297353CC}">
              <c16:uniqueId val="{00000004-45C7-4F6E-88BF-19FB1D161D09}"/>
            </c:ext>
          </c:extLst>
        </c:ser>
        <c:dLbls>
          <c:showLegendKey val="0"/>
          <c:showVal val="0"/>
          <c:showCatName val="0"/>
          <c:showSerName val="0"/>
          <c:showPercent val="0"/>
          <c:showBubbleSize val="0"/>
          <c:showLeaderLines val="0"/>
        </c:dLbls>
      </c:pie3DChart>
    </c:plotArea>
    <c:legend>
      <c:legendPos val="b"/>
      <c:layout>
        <c:manualLayout>
          <c:xMode val="edge"/>
          <c:yMode val="edge"/>
          <c:x val="0.10752843394575677"/>
          <c:y val="0.70622996575012154"/>
          <c:w val="0.61916972878390197"/>
          <c:h val="0.25064582982730493"/>
        </c:manualLayout>
      </c:layout>
      <c:overlay val="0"/>
      <c:txPr>
        <a:bodyPr/>
        <a:lstStyle/>
        <a:p>
          <a:pPr>
            <a:defRPr sz="1000"/>
          </a:pPr>
          <a:endParaRPr lang="en-US"/>
        </a:p>
      </c:txPr>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US" sz="1200"/>
              <a:t>Commitments 2019 (achieved)</a:t>
            </a:r>
          </a:p>
        </c:rich>
      </c:tx>
      <c:overlay val="1"/>
    </c:title>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25"/>
          <c:dLbls>
            <c:dLbl>
              <c:idx val="0"/>
              <c:layout>
                <c:manualLayout>
                  <c:x val="-1.9533183352081152E-2"/>
                  <c:y val="8.8630880891628183E-2"/>
                </c:manualLayout>
              </c:layout>
              <c:showLegendKey val="0"/>
              <c:showVal val="1"/>
              <c:showCatName val="0"/>
              <c:showSerName val="0"/>
              <c:showPercent val="1"/>
              <c:showBubbleSize val="0"/>
              <c:separator>
</c:separator>
              <c:extLst xmlns:c16r2="http://schemas.microsoft.com/office/drawing/2015/06/chart">
                <c:ext xmlns:c15="http://schemas.microsoft.com/office/drawing/2012/chart" uri="{CE6537A1-D6FC-4f65-9D91-7224C49458BB}">
                  <c15:layout>
                    <c:manualLayout>
                      <c:w val="0.21619047619047616"/>
                      <c:h val="0.14901274918216567"/>
                    </c:manualLayout>
                  </c15:layout>
                </c:ext>
                <c:ext xmlns:c16="http://schemas.microsoft.com/office/drawing/2014/chart" uri="{C3380CC4-5D6E-409C-BE32-E72D297353CC}">
                  <c16:uniqueId val="{00000000-D0DF-432A-88C2-4526FCCD1F8B}"/>
                </c:ext>
              </c:extLst>
            </c:dLbl>
            <c:dLbl>
              <c:idx val="1"/>
              <c:layout>
                <c:manualLayout>
                  <c:x val="2.3837332833395824E-2"/>
                  <c:y val="9.3733515584390512E-2"/>
                </c:manualLayout>
              </c:layout>
              <c:showLegendKey val="0"/>
              <c:showVal val="1"/>
              <c:showCatName val="0"/>
              <c:showSerName val="0"/>
              <c:showPercent val="1"/>
              <c:showBubbleSize val="0"/>
              <c:separator>
</c:separator>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D0DF-432A-88C2-4526FCCD1F8B}"/>
                </c:ext>
              </c:extLst>
            </c:dLbl>
            <c:dLbl>
              <c:idx val="2"/>
              <c:layout>
                <c:manualLayout>
                  <c:x val="3.8526902887139107E-2"/>
                  <c:y val="-4.1513080983222671E-2"/>
                </c:manualLayout>
              </c:layout>
              <c:showLegendKey val="0"/>
              <c:showVal val="1"/>
              <c:showCatName val="0"/>
              <c:showSerName val="0"/>
              <c:showPercent val="1"/>
              <c:showBubbleSize val="0"/>
              <c:separator>
</c:separator>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2-D0DF-432A-88C2-4526FCCD1F8B}"/>
                </c:ext>
              </c:extLst>
            </c:dLbl>
            <c:dLbl>
              <c:idx val="4"/>
              <c:layout>
                <c:manualLayout>
                  <c:x val="9.3639435695538065E-2"/>
                  <c:y val="2.1823403819509354E-2"/>
                </c:manualLayout>
              </c:layout>
              <c:showLegendKey val="0"/>
              <c:showVal val="1"/>
              <c:showCatName val="0"/>
              <c:showSerName val="0"/>
              <c:showPercent val="1"/>
              <c:showBubbleSize val="0"/>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D0DF-432A-88C2-4526FCCD1F8B}"/>
                </c:ext>
              </c:extLst>
            </c:dLbl>
            <c:spPr>
              <a:noFill/>
              <a:ln>
                <a:noFill/>
              </a:ln>
              <a:effectLst/>
            </c:spPr>
            <c:showLegendKey val="0"/>
            <c:showVal val="1"/>
            <c:showCatName val="0"/>
            <c:showSerName val="0"/>
            <c:showPercent val="1"/>
            <c:showBubbleSize val="0"/>
            <c:separator>
</c:separator>
            <c:showLeaderLines val="0"/>
            <c:extLst xmlns:c16r2="http://schemas.microsoft.com/office/drawing/2015/06/chart">
              <c:ext xmlns:c15="http://schemas.microsoft.com/office/drawing/2012/chart" uri="{CE6537A1-D6FC-4f65-9D91-7224C49458BB}">
                <c15:layout/>
              </c:ext>
            </c:extLst>
          </c:dLbls>
          <c:cat>
            <c:strRef>
              <c:f>Data!$A$36:$A$39</c:f>
              <c:strCache>
                <c:ptCount val="4"/>
                <c:pt idx="0">
                  <c:v>Technical assistance</c:v>
                </c:pt>
                <c:pt idx="1">
                  <c:v>IT Support</c:v>
                </c:pt>
                <c:pt idx="2">
                  <c:v>Anti-fraud Training</c:v>
                </c:pt>
                <c:pt idx="3">
                  <c:v>Legal Training</c:v>
                </c:pt>
              </c:strCache>
            </c:strRef>
          </c:cat>
          <c:val>
            <c:numRef>
              <c:f>Data!$B$36:$B$39</c:f>
              <c:numCache>
                <c:formatCode>#,##0</c:formatCode>
                <c:ptCount val="4"/>
                <c:pt idx="0">
                  <c:v>10901200</c:v>
                </c:pt>
                <c:pt idx="1">
                  <c:v>1161415.83</c:v>
                </c:pt>
                <c:pt idx="2">
                  <c:v>3287789.58</c:v>
                </c:pt>
                <c:pt idx="3">
                  <c:v>432075.54</c:v>
                </c:pt>
              </c:numCache>
            </c:numRef>
          </c:val>
          <c:extLst xmlns:c16r2="http://schemas.microsoft.com/office/drawing/2015/06/chart">
            <c:ext xmlns:c16="http://schemas.microsoft.com/office/drawing/2014/chart" uri="{C3380CC4-5D6E-409C-BE32-E72D297353CC}">
              <c16:uniqueId val="{00000004-D0DF-432A-88C2-4526FCCD1F8B}"/>
            </c:ext>
          </c:extLst>
        </c:ser>
        <c:dLbls>
          <c:showLegendKey val="0"/>
          <c:showVal val="0"/>
          <c:showCatName val="0"/>
          <c:showSerName val="0"/>
          <c:showPercent val="0"/>
          <c:showBubbleSize val="0"/>
          <c:showLeaderLines val="0"/>
        </c:dLbls>
      </c:pie3DChart>
    </c:plotArea>
    <c:legend>
      <c:legendPos val="b"/>
      <c:layout>
        <c:manualLayout>
          <c:xMode val="edge"/>
          <c:yMode val="edge"/>
          <c:x val="0.11308398950131232"/>
          <c:y val="0.70275948862116799"/>
          <c:w val="0.60901940536121513"/>
          <c:h val="0.25846111393858839"/>
        </c:manualLayout>
      </c:layout>
      <c:overlay val="0"/>
      <c:txPr>
        <a:bodyPr/>
        <a:lstStyle/>
        <a:p>
          <a:pPr>
            <a:defRPr sz="1000"/>
          </a:pPr>
          <a:endParaRPr lang="en-US"/>
        </a:p>
      </c:txPr>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0.13695170368979587"/>
          <c:y val="5.3012410485726316E-2"/>
          <c:w val="0.64391267783032335"/>
          <c:h val="0.88097391529762481"/>
        </c:manualLayout>
      </c:layout>
      <c:bar3DChart>
        <c:barDir val="col"/>
        <c:grouping val="stacked"/>
        <c:varyColors val="0"/>
        <c:ser>
          <c:idx val="0"/>
          <c:order val="0"/>
          <c:tx>
            <c:strRef>
              <c:f>'Graph GAs by MS'!$O$30</c:f>
              <c:strCache>
                <c:ptCount val="1"/>
                <c:pt idx="0">
                  <c:v>TECHNICAL ASSISTANCE</c:v>
                </c:pt>
              </c:strCache>
            </c:strRef>
          </c:tx>
          <c:invertIfNegative val="0"/>
          <c:cat>
            <c:strRef>
              <c:f>'Graph GAs by MS'!$N$31:$N$44</c:f>
              <c:strCache>
                <c:ptCount val="14"/>
                <c:pt idx="0">
                  <c:v>LV</c:v>
                </c:pt>
                <c:pt idx="1">
                  <c:v>SK</c:v>
                </c:pt>
                <c:pt idx="2">
                  <c:v>IE</c:v>
                </c:pt>
                <c:pt idx="3">
                  <c:v>PL</c:v>
                </c:pt>
                <c:pt idx="4">
                  <c:v>IT</c:v>
                </c:pt>
                <c:pt idx="5">
                  <c:v>BE</c:v>
                </c:pt>
                <c:pt idx="6">
                  <c:v>HR</c:v>
                </c:pt>
                <c:pt idx="7">
                  <c:v>RO</c:v>
                </c:pt>
                <c:pt idx="8">
                  <c:v>CZ</c:v>
                </c:pt>
                <c:pt idx="9">
                  <c:v>DE</c:v>
                </c:pt>
                <c:pt idx="10">
                  <c:v>LT</c:v>
                </c:pt>
                <c:pt idx="11">
                  <c:v>UK</c:v>
                </c:pt>
                <c:pt idx="12">
                  <c:v>ES</c:v>
                </c:pt>
                <c:pt idx="13">
                  <c:v>HU</c:v>
                </c:pt>
              </c:strCache>
            </c:strRef>
          </c:cat>
          <c:val>
            <c:numRef>
              <c:f>'Graph GAs by MS'!$O$31:$O$44</c:f>
              <c:numCache>
                <c:formatCode>#,##0.00</c:formatCode>
                <c:ptCount val="14"/>
                <c:pt idx="0">
                  <c:v>2200861.15</c:v>
                </c:pt>
                <c:pt idx="1">
                  <c:v>1800000</c:v>
                </c:pt>
                <c:pt idx="2">
                  <c:v>1734720</c:v>
                </c:pt>
                <c:pt idx="3">
                  <c:v>1395595.02</c:v>
                </c:pt>
                <c:pt idx="4">
                  <c:v>1137055</c:v>
                </c:pt>
                <c:pt idx="5">
                  <c:v>930441</c:v>
                </c:pt>
                <c:pt idx="6">
                  <c:v>873600</c:v>
                </c:pt>
                <c:pt idx="7">
                  <c:v>474109</c:v>
                </c:pt>
                <c:pt idx="8">
                  <c:v>252000</c:v>
                </c:pt>
                <c:pt idx="10">
                  <c:v>102818</c:v>
                </c:pt>
              </c:numCache>
            </c:numRef>
          </c:val>
          <c:extLst xmlns:c16r2="http://schemas.microsoft.com/office/drawing/2015/06/chart">
            <c:ext xmlns:c16="http://schemas.microsoft.com/office/drawing/2014/chart" uri="{C3380CC4-5D6E-409C-BE32-E72D297353CC}">
              <c16:uniqueId val="{00000000-CBB5-4968-AD84-30930696B161}"/>
            </c:ext>
          </c:extLst>
        </c:ser>
        <c:ser>
          <c:idx val="1"/>
          <c:order val="1"/>
          <c:tx>
            <c:strRef>
              <c:f>'Graph GAs by MS'!$P$30</c:f>
              <c:strCache>
                <c:ptCount val="1"/>
                <c:pt idx="0">
                  <c:v>ANTIFRAUD TRAINING</c:v>
                </c:pt>
              </c:strCache>
            </c:strRef>
          </c:tx>
          <c:invertIfNegative val="0"/>
          <c:cat>
            <c:strRef>
              <c:f>'Graph GAs by MS'!$N$31:$N$44</c:f>
              <c:strCache>
                <c:ptCount val="14"/>
                <c:pt idx="0">
                  <c:v>LV</c:v>
                </c:pt>
                <c:pt idx="1">
                  <c:v>SK</c:v>
                </c:pt>
                <c:pt idx="2">
                  <c:v>IE</c:v>
                </c:pt>
                <c:pt idx="3">
                  <c:v>PL</c:v>
                </c:pt>
                <c:pt idx="4">
                  <c:v>IT</c:v>
                </c:pt>
                <c:pt idx="5">
                  <c:v>BE</c:v>
                </c:pt>
                <c:pt idx="6">
                  <c:v>HR</c:v>
                </c:pt>
                <c:pt idx="7">
                  <c:v>RO</c:v>
                </c:pt>
                <c:pt idx="8">
                  <c:v>CZ</c:v>
                </c:pt>
                <c:pt idx="9">
                  <c:v>DE</c:v>
                </c:pt>
                <c:pt idx="10">
                  <c:v>LT</c:v>
                </c:pt>
                <c:pt idx="11">
                  <c:v>UK</c:v>
                </c:pt>
                <c:pt idx="12">
                  <c:v>ES</c:v>
                </c:pt>
                <c:pt idx="13">
                  <c:v>HU</c:v>
                </c:pt>
              </c:strCache>
            </c:strRef>
          </c:cat>
          <c:val>
            <c:numRef>
              <c:f>'Graph GAs by MS'!$P$31:$P$44</c:f>
              <c:numCache>
                <c:formatCode>#,##0.00</c:formatCode>
                <c:ptCount val="14"/>
                <c:pt idx="1">
                  <c:v>75899</c:v>
                </c:pt>
                <c:pt idx="3">
                  <c:v>54017.88</c:v>
                </c:pt>
                <c:pt idx="4">
                  <c:v>222004.99</c:v>
                </c:pt>
                <c:pt idx="7">
                  <c:v>118392.77</c:v>
                </c:pt>
                <c:pt idx="10">
                  <c:v>77433.75</c:v>
                </c:pt>
                <c:pt idx="13">
                  <c:v>57306.85</c:v>
                </c:pt>
              </c:numCache>
            </c:numRef>
          </c:val>
          <c:extLst xmlns:c16r2="http://schemas.microsoft.com/office/drawing/2015/06/chart">
            <c:ext xmlns:c16="http://schemas.microsoft.com/office/drawing/2014/chart" uri="{C3380CC4-5D6E-409C-BE32-E72D297353CC}">
              <c16:uniqueId val="{00000001-CBB5-4968-AD84-30930696B161}"/>
            </c:ext>
          </c:extLst>
        </c:ser>
        <c:ser>
          <c:idx val="2"/>
          <c:order val="2"/>
          <c:tx>
            <c:strRef>
              <c:f>'Graph GAs by MS'!$Q$30</c:f>
              <c:strCache>
                <c:ptCount val="1"/>
                <c:pt idx="0">
                  <c:v>LEGAL TRAINING</c:v>
                </c:pt>
              </c:strCache>
            </c:strRef>
          </c:tx>
          <c:invertIfNegative val="0"/>
          <c:cat>
            <c:strRef>
              <c:f>'Graph GAs by MS'!$N$31:$N$44</c:f>
              <c:strCache>
                <c:ptCount val="14"/>
                <c:pt idx="0">
                  <c:v>LV</c:v>
                </c:pt>
                <c:pt idx="1">
                  <c:v>SK</c:v>
                </c:pt>
                <c:pt idx="2">
                  <c:v>IE</c:v>
                </c:pt>
                <c:pt idx="3">
                  <c:v>PL</c:v>
                </c:pt>
                <c:pt idx="4">
                  <c:v>IT</c:v>
                </c:pt>
                <c:pt idx="5">
                  <c:v>BE</c:v>
                </c:pt>
                <c:pt idx="6">
                  <c:v>HR</c:v>
                </c:pt>
                <c:pt idx="7">
                  <c:v>RO</c:v>
                </c:pt>
                <c:pt idx="8">
                  <c:v>CZ</c:v>
                </c:pt>
                <c:pt idx="9">
                  <c:v>DE</c:v>
                </c:pt>
                <c:pt idx="10">
                  <c:v>LT</c:v>
                </c:pt>
                <c:pt idx="11">
                  <c:v>UK</c:v>
                </c:pt>
                <c:pt idx="12">
                  <c:v>ES</c:v>
                </c:pt>
                <c:pt idx="13">
                  <c:v>HU</c:v>
                </c:pt>
              </c:strCache>
            </c:strRef>
          </c:cat>
          <c:val>
            <c:numRef>
              <c:f>'Graph GAs by MS'!$Q$31:$Q$44</c:f>
              <c:numCache>
                <c:formatCode>General</c:formatCode>
                <c:ptCount val="14"/>
                <c:pt idx="4" formatCode="#,##0.00">
                  <c:v>72491</c:v>
                </c:pt>
                <c:pt idx="9" formatCode="#,##0.00">
                  <c:v>197053.52</c:v>
                </c:pt>
                <c:pt idx="11" formatCode="#,##0.00">
                  <c:v>83498.02</c:v>
                </c:pt>
                <c:pt idx="12" formatCode="#,##0.00">
                  <c:v>79033</c:v>
                </c:pt>
              </c:numCache>
            </c:numRef>
          </c:val>
          <c:extLst xmlns:c16r2="http://schemas.microsoft.com/office/drawing/2015/06/chart">
            <c:ext xmlns:c16="http://schemas.microsoft.com/office/drawing/2014/chart" uri="{C3380CC4-5D6E-409C-BE32-E72D297353CC}">
              <c16:uniqueId val="{00000002-CBB5-4968-AD84-30930696B161}"/>
            </c:ext>
          </c:extLst>
        </c:ser>
        <c:dLbls>
          <c:showLegendKey val="0"/>
          <c:showVal val="0"/>
          <c:showCatName val="0"/>
          <c:showSerName val="0"/>
          <c:showPercent val="0"/>
          <c:showBubbleSize val="0"/>
        </c:dLbls>
        <c:gapWidth val="150"/>
        <c:shape val="box"/>
        <c:axId val="109512960"/>
        <c:axId val="109514752"/>
        <c:axId val="0"/>
      </c:bar3DChart>
      <c:catAx>
        <c:axId val="109512960"/>
        <c:scaling>
          <c:orientation val="minMax"/>
        </c:scaling>
        <c:delete val="0"/>
        <c:axPos val="b"/>
        <c:numFmt formatCode="General" sourceLinked="0"/>
        <c:majorTickMark val="out"/>
        <c:minorTickMark val="none"/>
        <c:tickLblPos val="nextTo"/>
        <c:crossAx val="109514752"/>
        <c:crosses val="autoZero"/>
        <c:auto val="1"/>
        <c:lblAlgn val="ctr"/>
        <c:lblOffset val="100"/>
        <c:noMultiLvlLbl val="0"/>
      </c:catAx>
      <c:valAx>
        <c:axId val="109514752"/>
        <c:scaling>
          <c:orientation val="minMax"/>
        </c:scaling>
        <c:delete val="0"/>
        <c:axPos val="l"/>
        <c:majorGridlines/>
        <c:numFmt formatCode="#,##0" sourceLinked="0"/>
        <c:majorTickMark val="out"/>
        <c:minorTickMark val="none"/>
        <c:tickLblPos val="nextTo"/>
        <c:crossAx val="109512960"/>
        <c:crosses val="autoZero"/>
        <c:crossBetween val="between"/>
      </c:valAx>
    </c:plotArea>
    <c:legend>
      <c:legendPos val="r"/>
      <c:layout>
        <c:manualLayout>
          <c:xMode val="edge"/>
          <c:yMode val="edge"/>
          <c:x val="0.78086438152011928"/>
          <c:y val="0.4107016622922135"/>
          <c:w val="0.21913561847988078"/>
          <c:h val="0.17859667541557306"/>
        </c:manualLayout>
      </c:layout>
      <c:overlay val="0"/>
    </c:legend>
    <c:plotVisOnly val="1"/>
    <c:dispBlanksAs val="gap"/>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0.15506</cdr:x>
      <cdr:y>0.02002</cdr:y>
    </cdr:from>
    <cdr:to>
      <cdr:x>0.18003</cdr:x>
      <cdr:y>0.07482</cdr:y>
    </cdr:to>
    <cdr:sp macro="" textlink="">
      <cdr:nvSpPr>
        <cdr:cNvPr id="2" name="TextBox 1"/>
        <cdr:cNvSpPr txBox="1"/>
      </cdr:nvSpPr>
      <cdr:spPr>
        <a:xfrm xmlns:a="http://schemas.openxmlformats.org/drawingml/2006/main">
          <a:off x="1123951" y="90489"/>
          <a:ext cx="180975" cy="2476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GB" sz="1100"/>
        </a:p>
      </cdr:txBody>
    </cdr:sp>
  </cdr:relSizeAnchor>
  <cdr:relSizeAnchor xmlns:cdr="http://schemas.openxmlformats.org/drawingml/2006/chartDrawing">
    <cdr:from>
      <cdr:x>0.15296</cdr:x>
      <cdr:y>0.08412</cdr:y>
    </cdr:from>
    <cdr:to>
      <cdr:x>0.1753</cdr:x>
      <cdr:y>0.15978</cdr:y>
    </cdr:to>
    <cdr:sp macro="" textlink="">
      <cdr:nvSpPr>
        <cdr:cNvPr id="3" name="TextBox 2"/>
        <cdr:cNvSpPr txBox="1"/>
      </cdr:nvSpPr>
      <cdr:spPr>
        <a:xfrm xmlns:a="http://schemas.openxmlformats.org/drawingml/2006/main">
          <a:off x="977615" y="324493"/>
          <a:ext cx="142782" cy="29186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GB" sz="1100"/>
            <a:t>2</a:t>
          </a:r>
        </a:p>
      </cdr:txBody>
    </cdr:sp>
  </cdr:relSizeAnchor>
  <cdr:relSizeAnchor xmlns:cdr="http://schemas.openxmlformats.org/drawingml/2006/chartDrawing">
    <cdr:from>
      <cdr:x>0.19491</cdr:x>
      <cdr:y>0.17749</cdr:y>
    </cdr:from>
    <cdr:to>
      <cdr:x>0.22119</cdr:x>
      <cdr:y>0.24071</cdr:y>
    </cdr:to>
    <cdr:sp macro="" textlink="">
      <cdr:nvSpPr>
        <cdr:cNvPr id="4" name="TextBox 3"/>
        <cdr:cNvSpPr txBox="1"/>
      </cdr:nvSpPr>
      <cdr:spPr>
        <a:xfrm xmlns:a="http://schemas.openxmlformats.org/drawingml/2006/main">
          <a:off x="1245713" y="684683"/>
          <a:ext cx="167963" cy="24387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GB" sz="1100"/>
            <a:t>2</a:t>
          </a:r>
        </a:p>
      </cdr:txBody>
    </cdr:sp>
  </cdr:relSizeAnchor>
  <cdr:relSizeAnchor xmlns:cdr="http://schemas.openxmlformats.org/drawingml/2006/chartDrawing">
    <cdr:from>
      <cdr:x>0.23723</cdr:x>
      <cdr:y>0.22795</cdr:y>
    </cdr:from>
    <cdr:to>
      <cdr:x>0.27008</cdr:x>
      <cdr:y>0.31281</cdr:y>
    </cdr:to>
    <cdr:sp macro="" textlink="">
      <cdr:nvSpPr>
        <cdr:cNvPr id="5" name="TextBox 4"/>
        <cdr:cNvSpPr txBox="1"/>
      </cdr:nvSpPr>
      <cdr:spPr>
        <a:xfrm xmlns:a="http://schemas.openxmlformats.org/drawingml/2006/main">
          <a:off x="1516180" y="879339"/>
          <a:ext cx="209954" cy="32735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GB" sz="1100"/>
            <a:t>1</a:t>
          </a:r>
        </a:p>
      </cdr:txBody>
    </cdr:sp>
  </cdr:relSizeAnchor>
  <cdr:relSizeAnchor xmlns:cdr="http://schemas.openxmlformats.org/drawingml/2006/chartDrawing">
    <cdr:from>
      <cdr:x>0.28549</cdr:x>
      <cdr:y>0.32696</cdr:y>
    </cdr:from>
    <cdr:to>
      <cdr:x>0.31046</cdr:x>
      <cdr:y>0.39019</cdr:y>
    </cdr:to>
    <cdr:sp macro="" textlink="">
      <cdr:nvSpPr>
        <cdr:cNvPr id="6" name="TextBox 5"/>
        <cdr:cNvSpPr txBox="1"/>
      </cdr:nvSpPr>
      <cdr:spPr>
        <a:xfrm xmlns:a="http://schemas.openxmlformats.org/drawingml/2006/main">
          <a:off x="1824619" y="1261289"/>
          <a:ext cx="159590" cy="24391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GB" sz="1100"/>
            <a:t>3</a:t>
          </a:r>
        </a:p>
      </cdr:txBody>
    </cdr:sp>
  </cdr:relSizeAnchor>
  <cdr:relSizeAnchor xmlns:cdr="http://schemas.openxmlformats.org/drawingml/2006/chartDrawing">
    <cdr:from>
      <cdr:x>0.32875</cdr:x>
      <cdr:y>0.33661</cdr:y>
    </cdr:from>
    <cdr:to>
      <cdr:x>0.35503</cdr:x>
      <cdr:y>0.39562</cdr:y>
    </cdr:to>
    <cdr:sp macro="" textlink="">
      <cdr:nvSpPr>
        <cdr:cNvPr id="7" name="TextBox 6"/>
        <cdr:cNvSpPr txBox="1"/>
      </cdr:nvSpPr>
      <cdr:spPr>
        <a:xfrm xmlns:a="http://schemas.openxmlformats.org/drawingml/2006/main">
          <a:off x="2101154" y="1298505"/>
          <a:ext cx="167962" cy="22763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GB" sz="1100"/>
            <a:t>6</a:t>
          </a:r>
        </a:p>
      </cdr:txBody>
    </cdr:sp>
  </cdr:relSizeAnchor>
  <cdr:relSizeAnchor xmlns:cdr="http://schemas.openxmlformats.org/drawingml/2006/chartDrawing">
    <cdr:from>
      <cdr:x>0.37387</cdr:x>
      <cdr:y>0.51281</cdr:y>
    </cdr:from>
    <cdr:to>
      <cdr:x>0.39884</cdr:x>
      <cdr:y>0.58025</cdr:y>
    </cdr:to>
    <cdr:sp macro="" textlink="">
      <cdr:nvSpPr>
        <cdr:cNvPr id="8" name="TextBox 7"/>
        <cdr:cNvSpPr txBox="1"/>
      </cdr:nvSpPr>
      <cdr:spPr>
        <a:xfrm xmlns:a="http://schemas.openxmlformats.org/drawingml/2006/main">
          <a:off x="2389518" y="1978219"/>
          <a:ext cx="159590" cy="26015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GB" sz="1100"/>
            <a:t>1</a:t>
          </a:r>
        </a:p>
      </cdr:txBody>
    </cdr:sp>
  </cdr:relSizeAnchor>
  <cdr:relSizeAnchor xmlns:cdr="http://schemas.openxmlformats.org/drawingml/2006/chartDrawing">
    <cdr:from>
      <cdr:x>0.41634</cdr:x>
      <cdr:y>0.53</cdr:y>
    </cdr:from>
    <cdr:to>
      <cdr:x>0.43868</cdr:x>
      <cdr:y>0.59744</cdr:y>
    </cdr:to>
    <cdr:sp macro="" textlink="">
      <cdr:nvSpPr>
        <cdr:cNvPr id="9" name="TextBox 8"/>
        <cdr:cNvSpPr txBox="1"/>
      </cdr:nvSpPr>
      <cdr:spPr>
        <a:xfrm xmlns:a="http://schemas.openxmlformats.org/drawingml/2006/main">
          <a:off x="2660945" y="2044541"/>
          <a:ext cx="142781" cy="26015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GB" sz="1100"/>
            <a:t>1</a:t>
          </a:r>
        </a:p>
      </cdr:txBody>
    </cdr:sp>
  </cdr:relSizeAnchor>
  <cdr:relSizeAnchor xmlns:cdr="http://schemas.openxmlformats.org/drawingml/2006/chartDrawing">
    <cdr:from>
      <cdr:x>0.45939</cdr:x>
      <cdr:y>0.6243</cdr:y>
    </cdr:from>
    <cdr:to>
      <cdr:x>0.48435</cdr:x>
      <cdr:y>0.67278</cdr:y>
    </cdr:to>
    <cdr:sp macro="" textlink="">
      <cdr:nvSpPr>
        <cdr:cNvPr id="10" name="TextBox 9"/>
        <cdr:cNvSpPr txBox="1"/>
      </cdr:nvSpPr>
      <cdr:spPr>
        <a:xfrm xmlns:a="http://schemas.openxmlformats.org/drawingml/2006/main">
          <a:off x="2936082" y="2408309"/>
          <a:ext cx="159526" cy="18701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GB" sz="1100"/>
            <a:t>3</a:t>
          </a:r>
        </a:p>
      </cdr:txBody>
    </cdr:sp>
  </cdr:relSizeAnchor>
  <cdr:relSizeAnchor xmlns:cdr="http://schemas.openxmlformats.org/drawingml/2006/chartDrawing">
    <cdr:from>
      <cdr:x>0.50587</cdr:x>
      <cdr:y>0.74448</cdr:y>
    </cdr:from>
    <cdr:to>
      <cdr:x>0.53215</cdr:x>
      <cdr:y>0.80349</cdr:y>
    </cdr:to>
    <cdr:sp macro="" textlink="">
      <cdr:nvSpPr>
        <cdr:cNvPr id="11" name="TextBox 10"/>
        <cdr:cNvSpPr txBox="1"/>
      </cdr:nvSpPr>
      <cdr:spPr>
        <a:xfrm xmlns:a="http://schemas.openxmlformats.org/drawingml/2006/main">
          <a:off x="3233128" y="2871931"/>
          <a:ext cx="167963" cy="22763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GB" sz="1100"/>
            <a:t>1</a:t>
          </a:r>
        </a:p>
      </cdr:txBody>
    </cdr:sp>
  </cdr:relSizeAnchor>
  <cdr:relSizeAnchor xmlns:cdr="http://schemas.openxmlformats.org/drawingml/2006/chartDrawing">
    <cdr:from>
      <cdr:x>0.5487</cdr:x>
      <cdr:y>0.75556</cdr:y>
    </cdr:from>
    <cdr:to>
      <cdr:x>0.57377</cdr:x>
      <cdr:y>0.81162</cdr:y>
    </cdr:to>
    <cdr:sp macro="" textlink="">
      <cdr:nvSpPr>
        <cdr:cNvPr id="12" name="TextBox 11"/>
        <cdr:cNvSpPr txBox="1"/>
      </cdr:nvSpPr>
      <cdr:spPr>
        <a:xfrm xmlns:a="http://schemas.openxmlformats.org/drawingml/2006/main">
          <a:off x="3506924" y="2914650"/>
          <a:ext cx="160201" cy="21627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GB" sz="1100"/>
            <a:t>2</a:t>
          </a:r>
        </a:p>
      </cdr:txBody>
    </cdr:sp>
  </cdr:relSizeAnchor>
  <cdr:relSizeAnchor xmlns:cdr="http://schemas.openxmlformats.org/drawingml/2006/chartDrawing">
    <cdr:from>
      <cdr:x>0.59574</cdr:x>
      <cdr:y>0.7615</cdr:y>
    </cdr:from>
    <cdr:to>
      <cdr:x>0.61676</cdr:x>
      <cdr:y>0.83105</cdr:y>
    </cdr:to>
    <cdr:sp macro="" textlink="">
      <cdr:nvSpPr>
        <cdr:cNvPr id="13" name="TextBox 12"/>
        <cdr:cNvSpPr txBox="1"/>
      </cdr:nvSpPr>
      <cdr:spPr>
        <a:xfrm xmlns:a="http://schemas.openxmlformats.org/drawingml/2006/main">
          <a:off x="3807552" y="2937588"/>
          <a:ext cx="134345" cy="26829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GB" sz="1100"/>
            <a:t>3</a:t>
          </a:r>
        </a:p>
      </cdr:txBody>
    </cdr:sp>
  </cdr:relSizeAnchor>
  <cdr:relSizeAnchor xmlns:cdr="http://schemas.openxmlformats.org/drawingml/2006/chartDrawing">
    <cdr:from>
      <cdr:x>0.63822</cdr:x>
      <cdr:y>0.79144</cdr:y>
    </cdr:from>
    <cdr:to>
      <cdr:x>0.66581</cdr:x>
      <cdr:y>0.84623</cdr:y>
    </cdr:to>
    <cdr:sp macro="" textlink="">
      <cdr:nvSpPr>
        <cdr:cNvPr id="14" name="TextBox 13"/>
        <cdr:cNvSpPr txBox="1"/>
      </cdr:nvSpPr>
      <cdr:spPr>
        <a:xfrm xmlns:a="http://schemas.openxmlformats.org/drawingml/2006/main">
          <a:off x="4079043" y="3053092"/>
          <a:ext cx="176336" cy="21135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GB" sz="1100"/>
            <a:t>1</a:t>
          </a:r>
        </a:p>
      </cdr:txBody>
    </cdr:sp>
  </cdr:relSizeAnchor>
  <cdr:relSizeAnchor xmlns:cdr="http://schemas.openxmlformats.org/drawingml/2006/chartDrawing">
    <cdr:from>
      <cdr:x>0.72695</cdr:x>
      <cdr:y>0.81405</cdr:y>
    </cdr:from>
    <cdr:to>
      <cdr:x>0.75192</cdr:x>
      <cdr:y>0.86674</cdr:y>
    </cdr:to>
    <cdr:sp macro="" textlink="">
      <cdr:nvSpPr>
        <cdr:cNvPr id="15" name="TextBox 14"/>
        <cdr:cNvSpPr txBox="1"/>
      </cdr:nvSpPr>
      <cdr:spPr>
        <a:xfrm xmlns:a="http://schemas.openxmlformats.org/drawingml/2006/main">
          <a:off x="4646119" y="3140303"/>
          <a:ext cx="159590" cy="20325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GB" sz="1100"/>
            <a:t>1</a:t>
          </a:r>
        </a:p>
      </cdr:txBody>
    </cdr:sp>
  </cdr:relSizeAnchor>
  <cdr:relSizeAnchor xmlns:cdr="http://schemas.openxmlformats.org/drawingml/2006/chartDrawing">
    <cdr:from>
      <cdr:x>0.67606</cdr:x>
      <cdr:y>0.80535</cdr:y>
    </cdr:from>
    <cdr:to>
      <cdr:x>0.71154</cdr:x>
      <cdr:y>0.86186</cdr:y>
    </cdr:to>
    <cdr:sp macro="" textlink="">
      <cdr:nvSpPr>
        <cdr:cNvPr id="16" name="TextBox 15"/>
        <cdr:cNvSpPr txBox="1"/>
      </cdr:nvSpPr>
      <cdr:spPr>
        <a:xfrm xmlns:a="http://schemas.openxmlformats.org/drawingml/2006/main">
          <a:off x="4320871" y="3106745"/>
          <a:ext cx="226763" cy="21799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GB" sz="1100"/>
            <a:t>1</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221899-B4D3-40BD-8443-206D39406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13720</Words>
  <Characters>76561</Characters>
  <Application>Microsoft Office Word</Application>
  <DocSecurity>0</DocSecurity>
  <Lines>1914</Lines>
  <Paragraphs>1142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89139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15</cp:revision>
  <cp:lastPrinted>2018-05-24T10:55:00Z</cp:lastPrinted>
  <dcterms:created xsi:type="dcterms:W3CDTF">2020-07-16T08:35:00Z</dcterms:created>
  <dcterms:modified xsi:type="dcterms:W3CDTF">2020-08-28T09:06:00Z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7.0, Build 20190717</vt:lpwstr>
  </property>
  <property fmtid="{D5CDD505-2E9C-101B-9397-08002B2CF9AE}" pid="7" name="CPTemplateID">
    <vt:lpwstr>CP-025</vt:lpwstr>
  </property>
  <property fmtid="{D5CDD505-2E9C-101B-9397-08002B2CF9AE}" pid="8" name="_DocHome">
    <vt:i4>329213223</vt:i4>
  </property>
</Properties>
</file>