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3333F7B2-DD9A-4E8F-8E58-000D8641CAF3" style="width:450.75pt;height:470.2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footnotePr>
            <w:numStart w:val="168"/>
          </w:footnotePr>
          <w:pgSz w:w="11906" w:h="16838"/>
          <w:pgMar w:top="1134" w:right="1417" w:bottom="1134" w:left="1417" w:header="709" w:footer="709" w:gutter="0"/>
          <w:pgNumType w:start="160"/>
          <w:cols w:space="720"/>
          <w:docGrid w:linePitch="360"/>
        </w:sectPr>
      </w:pPr>
    </w:p>
    <w:bookmarkStart w:id="1" w:name="_GoBack" w:displacedByCustomXml="next"/>
    <w:bookmarkEnd w:id="1" w:displacedByCustomXml="next"/>
    <w:sdt>
      <w:sdtPr>
        <w:rPr>
          <w:rFonts w:asciiTheme="minorHAnsi" w:eastAsiaTheme="minorHAnsi" w:hAnsiTheme="minorHAnsi" w:cstheme="minorBidi"/>
          <w:noProof/>
          <w:color w:val="auto"/>
          <w:sz w:val="22"/>
          <w:szCs w:val="22"/>
          <w:lang w:val="en-GB"/>
        </w:rPr>
        <w:id w:val="-1678881011"/>
        <w:docPartObj>
          <w:docPartGallery w:val="Table of Contents"/>
          <w:docPartUnique/>
        </w:docPartObj>
      </w:sdtPr>
      <w:sdtEndPr>
        <w:rPr>
          <w:b/>
          <w:bCs/>
        </w:rPr>
      </w:sdtEndPr>
      <w:sdtContent>
        <w:p>
          <w:pPr>
            <w:pStyle w:val="TOCHeading"/>
            <w:rPr>
              <w:rFonts w:ascii="Cambria" w:hAnsi="Cambria"/>
              <w:b/>
              <w:noProof/>
              <w:lang w:val="en-GB"/>
            </w:rPr>
          </w:pPr>
          <w:r>
            <w:rPr>
              <w:rFonts w:ascii="Cambria" w:hAnsi="Cambria"/>
              <w:b/>
              <w:noProof/>
              <w:lang w:val="en-GB"/>
            </w:rPr>
            <w:t>Contents</w:t>
          </w:r>
        </w:p>
        <w:p>
          <w:pPr>
            <w:pStyle w:val="TOC1"/>
            <w:tabs>
              <w:tab w:val="left" w:pos="440"/>
              <w:tab w:val="right" w:leader="dot" w:pos="9016"/>
            </w:tabs>
            <w:rPr>
              <w:rFonts w:eastAsiaTheme="minorEastAsia"/>
              <w:noProof/>
              <w:lang w:eastAsia="en-GB"/>
            </w:rPr>
          </w:pPr>
          <w:r>
            <w:rPr>
              <w:noProof/>
            </w:rPr>
            <w:fldChar w:fldCharType="begin"/>
          </w:r>
          <w:r>
            <w:rPr>
              <w:noProof/>
            </w:rPr>
            <w:instrText xml:space="preserve"> TOC \o "1-3" \h \z \u </w:instrText>
          </w:r>
          <w:r>
            <w:rPr>
              <w:noProof/>
            </w:rPr>
            <w:fldChar w:fldCharType="separate"/>
          </w:r>
          <w:hyperlink w:anchor="_Toc45617988" w:history="1">
            <w:r>
              <w:rPr>
                <w:rStyle w:val="Hyperlink"/>
                <w:noProof/>
              </w:rPr>
              <w:t>5.</w:t>
            </w:r>
            <w:r>
              <w:rPr>
                <w:rFonts w:eastAsiaTheme="minorEastAsia"/>
                <w:noProof/>
                <w:lang w:eastAsia="en-GB"/>
              </w:rPr>
              <w:tab/>
            </w:r>
            <w:r>
              <w:rPr>
                <w:rStyle w:val="Hyperlink"/>
                <w:noProof/>
              </w:rPr>
              <w:t>PRE-ACCESSION POLICY</w:t>
            </w:r>
            <w:r>
              <w:rPr>
                <w:noProof/>
                <w:webHidden/>
              </w:rPr>
              <w:tab/>
            </w:r>
            <w:r>
              <w:rPr>
                <w:noProof/>
                <w:webHidden/>
              </w:rPr>
              <w:fldChar w:fldCharType="begin"/>
            </w:r>
            <w:r>
              <w:rPr>
                <w:noProof/>
                <w:webHidden/>
              </w:rPr>
              <w:instrText xml:space="preserve"> PAGEREF _Toc45617988 \h </w:instrText>
            </w:r>
            <w:r>
              <w:rPr>
                <w:noProof/>
                <w:webHidden/>
              </w:rPr>
            </w:r>
            <w:r>
              <w:rPr>
                <w:noProof/>
                <w:webHidden/>
              </w:rPr>
              <w:fldChar w:fldCharType="separate"/>
            </w:r>
            <w:r>
              <w:rPr>
                <w:noProof/>
                <w:webHidden/>
              </w:rPr>
              <w:t>162</w:t>
            </w:r>
            <w:r>
              <w:rPr>
                <w:noProof/>
                <w:webHidden/>
              </w:rPr>
              <w:fldChar w:fldCharType="end"/>
            </w:r>
          </w:hyperlink>
        </w:p>
        <w:p>
          <w:pPr>
            <w:pStyle w:val="TOC1"/>
            <w:tabs>
              <w:tab w:val="right" w:leader="dot" w:pos="9016"/>
            </w:tabs>
            <w:rPr>
              <w:rFonts w:eastAsiaTheme="minorEastAsia"/>
              <w:noProof/>
              <w:lang w:eastAsia="en-GB"/>
            </w:rPr>
          </w:pPr>
          <w:hyperlink w:anchor="_Toc45617989" w:history="1">
            <w:r>
              <w:rPr>
                <w:rStyle w:val="Hyperlink"/>
                <w:noProof/>
              </w:rPr>
              <w:t>Executive Summary</w:t>
            </w:r>
            <w:r>
              <w:rPr>
                <w:noProof/>
                <w:webHidden/>
              </w:rPr>
              <w:tab/>
            </w:r>
            <w:r>
              <w:rPr>
                <w:noProof/>
                <w:webHidden/>
              </w:rPr>
              <w:fldChar w:fldCharType="begin"/>
            </w:r>
            <w:r>
              <w:rPr>
                <w:noProof/>
                <w:webHidden/>
              </w:rPr>
              <w:instrText xml:space="preserve"> PAGEREF _Toc45617989 \h </w:instrText>
            </w:r>
            <w:r>
              <w:rPr>
                <w:noProof/>
                <w:webHidden/>
              </w:rPr>
            </w:r>
            <w:r>
              <w:rPr>
                <w:noProof/>
                <w:webHidden/>
              </w:rPr>
              <w:fldChar w:fldCharType="separate"/>
            </w:r>
            <w:r>
              <w:rPr>
                <w:noProof/>
                <w:webHidden/>
              </w:rPr>
              <w:t>162</w:t>
            </w:r>
            <w:r>
              <w:rPr>
                <w:noProof/>
                <w:webHidden/>
              </w:rPr>
              <w:fldChar w:fldCharType="end"/>
            </w:r>
          </w:hyperlink>
        </w:p>
        <w:p>
          <w:pPr>
            <w:pStyle w:val="TOC2"/>
            <w:tabs>
              <w:tab w:val="left" w:pos="1100"/>
              <w:tab w:val="right" w:leader="dot" w:pos="9016"/>
            </w:tabs>
            <w:rPr>
              <w:rFonts w:eastAsiaTheme="minorEastAsia"/>
              <w:noProof/>
              <w:lang w:eastAsia="en-GB"/>
            </w:rPr>
          </w:pPr>
          <w:hyperlink w:anchor="_Toc45617990" w:history="1">
            <w:r>
              <w:rPr>
                <w:rStyle w:val="Hyperlink"/>
                <w:noProof/>
              </w:rPr>
              <w:t>5.1.</w:t>
            </w:r>
            <w:r>
              <w:rPr>
                <w:rFonts w:eastAsiaTheme="minorEastAsia"/>
                <w:noProof/>
                <w:lang w:eastAsia="en-GB"/>
              </w:rPr>
              <w:tab/>
            </w:r>
            <w:r>
              <w:rPr>
                <w:rStyle w:val="Hyperlink"/>
                <w:noProof/>
              </w:rPr>
              <w:t>Introduction</w:t>
            </w:r>
            <w:r>
              <w:rPr>
                <w:noProof/>
                <w:webHidden/>
              </w:rPr>
              <w:tab/>
            </w:r>
            <w:r>
              <w:rPr>
                <w:noProof/>
                <w:webHidden/>
              </w:rPr>
              <w:fldChar w:fldCharType="begin"/>
            </w:r>
            <w:r>
              <w:rPr>
                <w:noProof/>
                <w:webHidden/>
              </w:rPr>
              <w:instrText xml:space="preserve"> PAGEREF _Toc45617990 \h </w:instrText>
            </w:r>
            <w:r>
              <w:rPr>
                <w:noProof/>
                <w:webHidden/>
              </w:rPr>
            </w:r>
            <w:r>
              <w:rPr>
                <w:noProof/>
                <w:webHidden/>
              </w:rPr>
              <w:fldChar w:fldCharType="separate"/>
            </w:r>
            <w:r>
              <w:rPr>
                <w:noProof/>
                <w:webHidden/>
              </w:rPr>
              <w:t>162</w:t>
            </w:r>
            <w:r>
              <w:rPr>
                <w:noProof/>
                <w:webHidden/>
              </w:rPr>
              <w:fldChar w:fldCharType="end"/>
            </w:r>
          </w:hyperlink>
        </w:p>
        <w:p>
          <w:pPr>
            <w:pStyle w:val="TOC2"/>
            <w:tabs>
              <w:tab w:val="left" w:pos="1100"/>
              <w:tab w:val="right" w:leader="dot" w:pos="9016"/>
            </w:tabs>
            <w:rPr>
              <w:rFonts w:eastAsiaTheme="minorEastAsia"/>
              <w:noProof/>
              <w:lang w:eastAsia="en-GB"/>
            </w:rPr>
          </w:pPr>
          <w:hyperlink w:anchor="_Toc45617991" w:history="1">
            <w:r>
              <w:rPr>
                <w:rStyle w:val="Hyperlink"/>
                <w:noProof/>
              </w:rPr>
              <w:t>5.2.</w:t>
            </w:r>
            <w:r>
              <w:rPr>
                <w:rFonts w:eastAsiaTheme="minorEastAsia"/>
                <w:noProof/>
                <w:lang w:eastAsia="en-GB"/>
              </w:rPr>
              <w:tab/>
            </w:r>
            <w:r>
              <w:rPr>
                <w:rStyle w:val="Hyperlink"/>
                <w:noProof/>
              </w:rPr>
              <w:t>Instruments for Pre-accession Assistance</w:t>
            </w:r>
            <w:r>
              <w:rPr>
                <w:noProof/>
                <w:webHidden/>
              </w:rPr>
              <w:tab/>
            </w:r>
            <w:r>
              <w:rPr>
                <w:noProof/>
                <w:webHidden/>
              </w:rPr>
              <w:fldChar w:fldCharType="begin"/>
            </w:r>
            <w:r>
              <w:rPr>
                <w:noProof/>
                <w:webHidden/>
              </w:rPr>
              <w:instrText xml:space="preserve"> PAGEREF _Toc45617991 \h </w:instrText>
            </w:r>
            <w:r>
              <w:rPr>
                <w:noProof/>
                <w:webHidden/>
              </w:rPr>
            </w:r>
            <w:r>
              <w:rPr>
                <w:noProof/>
                <w:webHidden/>
              </w:rPr>
              <w:fldChar w:fldCharType="separate"/>
            </w:r>
            <w:r>
              <w:rPr>
                <w:noProof/>
                <w:webHidden/>
              </w:rPr>
              <w:t>163</w:t>
            </w:r>
            <w:r>
              <w:rPr>
                <w:noProof/>
                <w:webHidden/>
              </w:rPr>
              <w:fldChar w:fldCharType="end"/>
            </w:r>
          </w:hyperlink>
        </w:p>
        <w:p>
          <w:pPr>
            <w:pStyle w:val="TOC3"/>
            <w:tabs>
              <w:tab w:val="left" w:pos="1320"/>
              <w:tab w:val="right" w:leader="dot" w:pos="9016"/>
            </w:tabs>
            <w:rPr>
              <w:rFonts w:eastAsiaTheme="minorEastAsia"/>
              <w:noProof/>
              <w:lang w:eastAsia="en-GB"/>
            </w:rPr>
          </w:pPr>
          <w:hyperlink w:anchor="_Toc45617992" w:history="1">
            <w:r>
              <w:rPr>
                <w:rStyle w:val="Hyperlink"/>
                <w:noProof/>
              </w:rPr>
              <w:t>5.2.1.</w:t>
            </w:r>
            <w:r>
              <w:rPr>
                <w:rFonts w:eastAsiaTheme="minorEastAsia"/>
                <w:noProof/>
                <w:lang w:eastAsia="en-GB"/>
              </w:rPr>
              <w:tab/>
            </w:r>
            <w:r>
              <w:rPr>
                <w:rStyle w:val="Hyperlink"/>
                <w:noProof/>
              </w:rPr>
              <w:t>Before 2007: Pre-accession assistance</w:t>
            </w:r>
            <w:r>
              <w:rPr>
                <w:noProof/>
                <w:webHidden/>
              </w:rPr>
              <w:tab/>
            </w:r>
            <w:r>
              <w:rPr>
                <w:noProof/>
                <w:webHidden/>
              </w:rPr>
              <w:fldChar w:fldCharType="begin"/>
            </w:r>
            <w:r>
              <w:rPr>
                <w:noProof/>
                <w:webHidden/>
              </w:rPr>
              <w:instrText xml:space="preserve"> PAGEREF _Toc45617992 \h </w:instrText>
            </w:r>
            <w:r>
              <w:rPr>
                <w:noProof/>
                <w:webHidden/>
              </w:rPr>
            </w:r>
            <w:r>
              <w:rPr>
                <w:noProof/>
                <w:webHidden/>
              </w:rPr>
              <w:fldChar w:fldCharType="separate"/>
            </w:r>
            <w:r>
              <w:rPr>
                <w:noProof/>
                <w:webHidden/>
              </w:rPr>
              <w:t>163</w:t>
            </w:r>
            <w:r>
              <w:rPr>
                <w:noProof/>
                <w:webHidden/>
              </w:rPr>
              <w:fldChar w:fldCharType="end"/>
            </w:r>
          </w:hyperlink>
        </w:p>
        <w:p>
          <w:pPr>
            <w:pStyle w:val="TOC3"/>
            <w:tabs>
              <w:tab w:val="left" w:pos="1320"/>
              <w:tab w:val="right" w:leader="dot" w:pos="9016"/>
            </w:tabs>
            <w:rPr>
              <w:rFonts w:eastAsiaTheme="minorEastAsia"/>
              <w:noProof/>
              <w:lang w:eastAsia="en-GB"/>
            </w:rPr>
          </w:pPr>
          <w:hyperlink w:anchor="_Toc45617993" w:history="1">
            <w:r>
              <w:rPr>
                <w:rStyle w:val="Hyperlink"/>
                <w:noProof/>
              </w:rPr>
              <w:t>5.2.2.</w:t>
            </w:r>
            <w:r>
              <w:rPr>
                <w:rFonts w:eastAsiaTheme="minorEastAsia"/>
                <w:noProof/>
                <w:lang w:eastAsia="en-GB"/>
              </w:rPr>
              <w:tab/>
            </w:r>
            <w:r>
              <w:rPr>
                <w:rStyle w:val="Hyperlink"/>
                <w:noProof/>
              </w:rPr>
              <w:t>2007-2013: The Instrument for Pre-accession Assistance (IPA I)</w:t>
            </w:r>
            <w:r>
              <w:rPr>
                <w:noProof/>
                <w:webHidden/>
              </w:rPr>
              <w:tab/>
            </w:r>
            <w:r>
              <w:rPr>
                <w:noProof/>
                <w:webHidden/>
              </w:rPr>
              <w:fldChar w:fldCharType="begin"/>
            </w:r>
            <w:r>
              <w:rPr>
                <w:noProof/>
                <w:webHidden/>
              </w:rPr>
              <w:instrText xml:space="preserve"> PAGEREF _Toc45617993 \h </w:instrText>
            </w:r>
            <w:r>
              <w:rPr>
                <w:noProof/>
                <w:webHidden/>
              </w:rPr>
            </w:r>
            <w:r>
              <w:rPr>
                <w:noProof/>
                <w:webHidden/>
              </w:rPr>
              <w:fldChar w:fldCharType="separate"/>
            </w:r>
            <w:r>
              <w:rPr>
                <w:noProof/>
                <w:webHidden/>
              </w:rPr>
              <w:t>163</w:t>
            </w:r>
            <w:r>
              <w:rPr>
                <w:noProof/>
                <w:webHidden/>
              </w:rPr>
              <w:fldChar w:fldCharType="end"/>
            </w:r>
          </w:hyperlink>
        </w:p>
        <w:p>
          <w:pPr>
            <w:pStyle w:val="TOC3"/>
            <w:tabs>
              <w:tab w:val="left" w:pos="1320"/>
              <w:tab w:val="right" w:leader="dot" w:pos="9016"/>
            </w:tabs>
            <w:rPr>
              <w:rFonts w:eastAsiaTheme="minorEastAsia"/>
              <w:noProof/>
              <w:lang w:eastAsia="en-GB"/>
            </w:rPr>
          </w:pPr>
          <w:hyperlink w:anchor="_Toc45617994" w:history="1">
            <w:r>
              <w:rPr>
                <w:rStyle w:val="Hyperlink"/>
                <w:noProof/>
              </w:rPr>
              <w:t>5.2.3.</w:t>
            </w:r>
            <w:r>
              <w:rPr>
                <w:rFonts w:eastAsiaTheme="minorEastAsia"/>
                <w:noProof/>
                <w:lang w:eastAsia="en-GB"/>
              </w:rPr>
              <w:tab/>
            </w:r>
            <w:r>
              <w:rPr>
                <w:rStyle w:val="Hyperlink"/>
                <w:noProof/>
              </w:rPr>
              <w:t>2014 – 2020: The Instrument for Pre-accession (IPA II)</w:t>
            </w:r>
            <w:r>
              <w:rPr>
                <w:noProof/>
                <w:webHidden/>
              </w:rPr>
              <w:tab/>
            </w:r>
            <w:r>
              <w:rPr>
                <w:noProof/>
                <w:webHidden/>
              </w:rPr>
              <w:fldChar w:fldCharType="begin"/>
            </w:r>
            <w:r>
              <w:rPr>
                <w:noProof/>
                <w:webHidden/>
              </w:rPr>
              <w:instrText xml:space="preserve"> PAGEREF _Toc45617994 \h </w:instrText>
            </w:r>
            <w:r>
              <w:rPr>
                <w:noProof/>
                <w:webHidden/>
              </w:rPr>
            </w:r>
            <w:r>
              <w:rPr>
                <w:noProof/>
                <w:webHidden/>
              </w:rPr>
              <w:fldChar w:fldCharType="separate"/>
            </w:r>
            <w:r>
              <w:rPr>
                <w:noProof/>
                <w:webHidden/>
              </w:rPr>
              <w:t>164</w:t>
            </w:r>
            <w:r>
              <w:rPr>
                <w:noProof/>
                <w:webHidden/>
              </w:rPr>
              <w:fldChar w:fldCharType="end"/>
            </w:r>
          </w:hyperlink>
        </w:p>
        <w:p>
          <w:pPr>
            <w:pStyle w:val="TOC2"/>
            <w:tabs>
              <w:tab w:val="left" w:pos="1100"/>
              <w:tab w:val="right" w:leader="dot" w:pos="9016"/>
            </w:tabs>
            <w:rPr>
              <w:rFonts w:eastAsiaTheme="minorEastAsia"/>
              <w:noProof/>
              <w:lang w:eastAsia="en-GB"/>
            </w:rPr>
          </w:pPr>
          <w:hyperlink w:anchor="_Toc45617995" w:history="1">
            <w:r>
              <w:rPr>
                <w:rStyle w:val="Hyperlink"/>
                <w:noProof/>
              </w:rPr>
              <w:t>5.3.</w:t>
            </w:r>
            <w:r>
              <w:rPr>
                <w:rFonts w:eastAsiaTheme="minorEastAsia"/>
                <w:noProof/>
                <w:lang w:eastAsia="en-GB"/>
              </w:rPr>
              <w:tab/>
            </w:r>
            <w:r>
              <w:rPr>
                <w:rStyle w:val="Hyperlink"/>
                <w:noProof/>
              </w:rPr>
              <w:t>General analysis</w:t>
            </w:r>
            <w:r>
              <w:rPr>
                <w:noProof/>
                <w:webHidden/>
              </w:rPr>
              <w:tab/>
            </w:r>
            <w:r>
              <w:rPr>
                <w:noProof/>
                <w:webHidden/>
              </w:rPr>
              <w:fldChar w:fldCharType="begin"/>
            </w:r>
            <w:r>
              <w:rPr>
                <w:noProof/>
                <w:webHidden/>
              </w:rPr>
              <w:instrText xml:space="preserve"> PAGEREF _Toc45617995 \h </w:instrText>
            </w:r>
            <w:r>
              <w:rPr>
                <w:noProof/>
                <w:webHidden/>
              </w:rPr>
            </w:r>
            <w:r>
              <w:rPr>
                <w:noProof/>
                <w:webHidden/>
              </w:rPr>
              <w:fldChar w:fldCharType="separate"/>
            </w:r>
            <w:r>
              <w:rPr>
                <w:noProof/>
                <w:webHidden/>
              </w:rPr>
              <w:t>165</w:t>
            </w:r>
            <w:r>
              <w:rPr>
                <w:noProof/>
                <w:webHidden/>
              </w:rPr>
              <w:fldChar w:fldCharType="end"/>
            </w:r>
          </w:hyperlink>
        </w:p>
        <w:p>
          <w:pPr>
            <w:pStyle w:val="TOC3"/>
            <w:tabs>
              <w:tab w:val="left" w:pos="1320"/>
              <w:tab w:val="right" w:leader="dot" w:pos="9016"/>
            </w:tabs>
            <w:rPr>
              <w:rFonts w:eastAsiaTheme="minorEastAsia"/>
              <w:noProof/>
              <w:lang w:eastAsia="en-GB"/>
            </w:rPr>
          </w:pPr>
          <w:hyperlink w:anchor="_Toc45617996" w:history="1">
            <w:r>
              <w:rPr>
                <w:rStyle w:val="Hyperlink"/>
                <w:noProof/>
              </w:rPr>
              <w:t>5.3.1.</w:t>
            </w:r>
            <w:r>
              <w:rPr>
                <w:rFonts w:eastAsiaTheme="minorEastAsia"/>
                <w:noProof/>
                <w:lang w:eastAsia="en-GB"/>
              </w:rPr>
              <w:tab/>
            </w:r>
            <w:r>
              <w:rPr>
                <w:rStyle w:val="Hyperlink"/>
                <w:noProof/>
              </w:rPr>
              <w:t>Occurrence of Fraud</w:t>
            </w:r>
            <w:r>
              <w:rPr>
                <w:noProof/>
                <w:webHidden/>
              </w:rPr>
              <w:tab/>
            </w:r>
            <w:r>
              <w:rPr>
                <w:noProof/>
                <w:webHidden/>
              </w:rPr>
              <w:fldChar w:fldCharType="begin"/>
            </w:r>
            <w:r>
              <w:rPr>
                <w:noProof/>
                <w:webHidden/>
              </w:rPr>
              <w:instrText xml:space="preserve"> PAGEREF _Toc45617996 \h </w:instrText>
            </w:r>
            <w:r>
              <w:rPr>
                <w:noProof/>
                <w:webHidden/>
              </w:rPr>
            </w:r>
            <w:r>
              <w:rPr>
                <w:noProof/>
                <w:webHidden/>
              </w:rPr>
              <w:fldChar w:fldCharType="separate"/>
            </w:r>
            <w:r>
              <w:rPr>
                <w:noProof/>
                <w:webHidden/>
              </w:rPr>
              <w:t>165</w:t>
            </w:r>
            <w:r>
              <w:rPr>
                <w:noProof/>
                <w:webHidden/>
              </w:rPr>
              <w:fldChar w:fldCharType="end"/>
            </w:r>
          </w:hyperlink>
        </w:p>
        <w:p>
          <w:pPr>
            <w:pStyle w:val="TOC3"/>
            <w:tabs>
              <w:tab w:val="left" w:pos="1320"/>
              <w:tab w:val="right" w:leader="dot" w:pos="9016"/>
            </w:tabs>
            <w:rPr>
              <w:rFonts w:eastAsiaTheme="minorEastAsia"/>
              <w:noProof/>
              <w:lang w:eastAsia="en-GB"/>
            </w:rPr>
          </w:pPr>
          <w:hyperlink w:anchor="_Toc45617997" w:history="1">
            <w:r>
              <w:rPr>
                <w:rStyle w:val="Hyperlink"/>
                <w:noProof/>
              </w:rPr>
              <w:t>5.3.2.</w:t>
            </w:r>
            <w:r>
              <w:rPr>
                <w:rFonts w:eastAsiaTheme="minorEastAsia"/>
                <w:noProof/>
                <w:lang w:eastAsia="en-GB"/>
              </w:rPr>
              <w:tab/>
            </w:r>
            <w:r>
              <w:rPr>
                <w:rStyle w:val="Hyperlink"/>
                <w:noProof/>
              </w:rPr>
              <w:t>Analysis by Instrument</w:t>
            </w:r>
            <w:r>
              <w:rPr>
                <w:noProof/>
                <w:webHidden/>
              </w:rPr>
              <w:tab/>
            </w:r>
            <w:r>
              <w:rPr>
                <w:noProof/>
                <w:webHidden/>
              </w:rPr>
              <w:fldChar w:fldCharType="begin"/>
            </w:r>
            <w:r>
              <w:rPr>
                <w:noProof/>
                <w:webHidden/>
              </w:rPr>
              <w:instrText xml:space="preserve"> PAGEREF _Toc45617997 \h </w:instrText>
            </w:r>
            <w:r>
              <w:rPr>
                <w:noProof/>
                <w:webHidden/>
              </w:rPr>
            </w:r>
            <w:r>
              <w:rPr>
                <w:noProof/>
                <w:webHidden/>
              </w:rPr>
              <w:fldChar w:fldCharType="separate"/>
            </w:r>
            <w:r>
              <w:rPr>
                <w:noProof/>
                <w:webHidden/>
              </w:rPr>
              <w:t>166</w:t>
            </w:r>
            <w:r>
              <w:rPr>
                <w:noProof/>
                <w:webHidden/>
              </w:rPr>
              <w:fldChar w:fldCharType="end"/>
            </w:r>
          </w:hyperlink>
        </w:p>
        <w:p>
          <w:pPr>
            <w:pStyle w:val="TOC3"/>
            <w:tabs>
              <w:tab w:val="left" w:pos="1320"/>
              <w:tab w:val="right" w:leader="dot" w:pos="9016"/>
            </w:tabs>
            <w:rPr>
              <w:rFonts w:eastAsiaTheme="minorEastAsia"/>
              <w:noProof/>
              <w:lang w:eastAsia="en-GB"/>
            </w:rPr>
          </w:pPr>
          <w:hyperlink w:anchor="_Toc45617998" w:history="1">
            <w:r>
              <w:rPr>
                <w:rStyle w:val="Hyperlink"/>
                <w:noProof/>
              </w:rPr>
              <w:t>5.3.3.</w:t>
            </w:r>
            <w:r>
              <w:rPr>
                <w:rFonts w:eastAsiaTheme="minorEastAsia"/>
                <w:noProof/>
                <w:lang w:eastAsia="en-GB"/>
              </w:rPr>
              <w:tab/>
            </w:r>
            <w:r>
              <w:rPr>
                <w:rStyle w:val="Hyperlink"/>
                <w:noProof/>
              </w:rPr>
              <w:t>Analysis by Component</w:t>
            </w:r>
            <w:r>
              <w:rPr>
                <w:noProof/>
                <w:webHidden/>
              </w:rPr>
              <w:tab/>
            </w:r>
            <w:r>
              <w:rPr>
                <w:noProof/>
                <w:webHidden/>
              </w:rPr>
              <w:fldChar w:fldCharType="begin"/>
            </w:r>
            <w:r>
              <w:rPr>
                <w:noProof/>
                <w:webHidden/>
              </w:rPr>
              <w:instrText xml:space="preserve"> PAGEREF _Toc45617998 \h </w:instrText>
            </w:r>
            <w:r>
              <w:rPr>
                <w:noProof/>
                <w:webHidden/>
              </w:rPr>
            </w:r>
            <w:r>
              <w:rPr>
                <w:noProof/>
                <w:webHidden/>
              </w:rPr>
              <w:fldChar w:fldCharType="separate"/>
            </w:r>
            <w:r>
              <w:rPr>
                <w:noProof/>
                <w:webHidden/>
              </w:rPr>
              <w:t>169</w:t>
            </w:r>
            <w:r>
              <w:rPr>
                <w:noProof/>
                <w:webHidden/>
              </w:rPr>
              <w:fldChar w:fldCharType="end"/>
            </w:r>
          </w:hyperlink>
        </w:p>
        <w:p>
          <w:pPr>
            <w:pStyle w:val="TOC3"/>
            <w:tabs>
              <w:tab w:val="left" w:pos="1320"/>
              <w:tab w:val="right" w:leader="dot" w:pos="9016"/>
            </w:tabs>
            <w:rPr>
              <w:rFonts w:eastAsiaTheme="minorEastAsia"/>
              <w:noProof/>
              <w:lang w:eastAsia="en-GB"/>
            </w:rPr>
          </w:pPr>
          <w:hyperlink w:anchor="_Toc45617999" w:history="1">
            <w:r>
              <w:rPr>
                <w:rStyle w:val="Hyperlink"/>
                <w:noProof/>
              </w:rPr>
              <w:t>5.3.4.</w:t>
            </w:r>
            <w:r>
              <w:rPr>
                <w:rFonts w:eastAsiaTheme="minorEastAsia"/>
                <w:noProof/>
                <w:lang w:eastAsia="en-GB"/>
              </w:rPr>
              <w:tab/>
            </w:r>
            <w:r>
              <w:rPr>
                <w:rStyle w:val="Hyperlink"/>
                <w:noProof/>
              </w:rPr>
              <w:t>Analysis by Country</w:t>
            </w:r>
            <w:r>
              <w:rPr>
                <w:noProof/>
                <w:webHidden/>
              </w:rPr>
              <w:tab/>
            </w:r>
            <w:r>
              <w:rPr>
                <w:noProof/>
                <w:webHidden/>
              </w:rPr>
              <w:fldChar w:fldCharType="begin"/>
            </w:r>
            <w:r>
              <w:rPr>
                <w:noProof/>
                <w:webHidden/>
              </w:rPr>
              <w:instrText xml:space="preserve"> PAGEREF _Toc45617999 \h </w:instrText>
            </w:r>
            <w:r>
              <w:rPr>
                <w:noProof/>
                <w:webHidden/>
              </w:rPr>
            </w:r>
            <w:r>
              <w:rPr>
                <w:noProof/>
                <w:webHidden/>
              </w:rPr>
              <w:fldChar w:fldCharType="separate"/>
            </w:r>
            <w:r>
              <w:rPr>
                <w:noProof/>
                <w:webHidden/>
              </w:rPr>
              <w:t>172</w:t>
            </w:r>
            <w:r>
              <w:rPr>
                <w:noProof/>
                <w:webHidden/>
              </w:rPr>
              <w:fldChar w:fldCharType="end"/>
            </w:r>
          </w:hyperlink>
        </w:p>
        <w:p>
          <w:pPr>
            <w:pStyle w:val="TOC3"/>
            <w:tabs>
              <w:tab w:val="left" w:pos="1320"/>
              <w:tab w:val="right" w:leader="dot" w:pos="9016"/>
            </w:tabs>
            <w:rPr>
              <w:rFonts w:eastAsiaTheme="minorEastAsia"/>
              <w:noProof/>
              <w:lang w:eastAsia="en-GB"/>
            </w:rPr>
          </w:pPr>
          <w:hyperlink w:anchor="_Toc45618000" w:history="1">
            <w:r>
              <w:rPr>
                <w:rStyle w:val="Hyperlink"/>
                <w:noProof/>
              </w:rPr>
              <w:t>5.3.5.</w:t>
            </w:r>
            <w:r>
              <w:rPr>
                <w:rFonts w:eastAsiaTheme="minorEastAsia"/>
                <w:noProof/>
                <w:lang w:eastAsia="en-GB"/>
              </w:rPr>
              <w:tab/>
            </w:r>
            <w:r>
              <w:rPr>
                <w:rStyle w:val="Hyperlink"/>
                <w:noProof/>
              </w:rPr>
              <w:t>Profiles of Persons Involved</w:t>
            </w:r>
            <w:r>
              <w:rPr>
                <w:noProof/>
                <w:webHidden/>
              </w:rPr>
              <w:tab/>
            </w:r>
            <w:r>
              <w:rPr>
                <w:noProof/>
                <w:webHidden/>
              </w:rPr>
              <w:fldChar w:fldCharType="begin"/>
            </w:r>
            <w:r>
              <w:rPr>
                <w:noProof/>
                <w:webHidden/>
              </w:rPr>
              <w:instrText xml:space="preserve"> PAGEREF _Toc45618000 \h </w:instrText>
            </w:r>
            <w:r>
              <w:rPr>
                <w:noProof/>
                <w:webHidden/>
              </w:rPr>
            </w:r>
            <w:r>
              <w:rPr>
                <w:noProof/>
                <w:webHidden/>
              </w:rPr>
              <w:fldChar w:fldCharType="separate"/>
            </w:r>
            <w:r>
              <w:rPr>
                <w:noProof/>
                <w:webHidden/>
              </w:rPr>
              <w:t>180</w:t>
            </w:r>
            <w:r>
              <w:rPr>
                <w:noProof/>
                <w:webHidden/>
              </w:rPr>
              <w:fldChar w:fldCharType="end"/>
            </w:r>
          </w:hyperlink>
        </w:p>
        <w:p>
          <w:pPr>
            <w:pStyle w:val="TOC1"/>
            <w:tabs>
              <w:tab w:val="left" w:pos="440"/>
              <w:tab w:val="right" w:leader="dot" w:pos="9016"/>
            </w:tabs>
            <w:rPr>
              <w:rFonts w:eastAsiaTheme="minorEastAsia"/>
              <w:noProof/>
              <w:lang w:eastAsia="en-GB"/>
            </w:rPr>
          </w:pPr>
          <w:hyperlink w:anchor="_Toc45618001" w:history="1">
            <w:r>
              <w:rPr>
                <w:rStyle w:val="Hyperlink"/>
                <w:noProof/>
              </w:rPr>
              <w:t>6.</w:t>
            </w:r>
            <w:r>
              <w:rPr>
                <w:rFonts w:eastAsiaTheme="minorEastAsia"/>
                <w:noProof/>
                <w:lang w:eastAsia="en-GB"/>
              </w:rPr>
              <w:tab/>
            </w:r>
            <w:r>
              <w:rPr>
                <w:rStyle w:val="Hyperlink"/>
                <w:noProof/>
              </w:rPr>
              <w:t>Direct Management</w:t>
            </w:r>
            <w:r>
              <w:rPr>
                <w:noProof/>
                <w:webHidden/>
              </w:rPr>
              <w:tab/>
            </w:r>
            <w:r>
              <w:rPr>
                <w:noProof/>
                <w:webHidden/>
              </w:rPr>
              <w:fldChar w:fldCharType="begin"/>
            </w:r>
            <w:r>
              <w:rPr>
                <w:noProof/>
                <w:webHidden/>
              </w:rPr>
              <w:instrText xml:space="preserve"> PAGEREF _Toc45618001 \h </w:instrText>
            </w:r>
            <w:r>
              <w:rPr>
                <w:noProof/>
                <w:webHidden/>
              </w:rPr>
            </w:r>
            <w:r>
              <w:rPr>
                <w:noProof/>
                <w:webHidden/>
              </w:rPr>
              <w:fldChar w:fldCharType="separate"/>
            </w:r>
            <w:r>
              <w:rPr>
                <w:noProof/>
                <w:webHidden/>
              </w:rPr>
              <w:t>183</w:t>
            </w:r>
            <w:r>
              <w:rPr>
                <w:noProof/>
                <w:webHidden/>
              </w:rPr>
              <w:fldChar w:fldCharType="end"/>
            </w:r>
          </w:hyperlink>
        </w:p>
        <w:p>
          <w:pPr>
            <w:pStyle w:val="TOC2"/>
            <w:tabs>
              <w:tab w:val="left" w:pos="1100"/>
              <w:tab w:val="right" w:leader="dot" w:pos="9016"/>
            </w:tabs>
            <w:rPr>
              <w:rFonts w:eastAsiaTheme="minorEastAsia"/>
              <w:noProof/>
              <w:lang w:eastAsia="en-GB"/>
            </w:rPr>
          </w:pPr>
          <w:hyperlink w:anchor="_Toc45618002" w:history="1">
            <w:r>
              <w:rPr>
                <w:rStyle w:val="Hyperlink"/>
                <w:noProof/>
              </w:rPr>
              <w:t>6.1.</w:t>
            </w:r>
            <w:r>
              <w:rPr>
                <w:rFonts w:eastAsiaTheme="minorEastAsia"/>
                <w:noProof/>
                <w:lang w:eastAsia="en-GB"/>
              </w:rPr>
              <w:tab/>
            </w:r>
            <w:r>
              <w:rPr>
                <w:rStyle w:val="Hyperlink"/>
                <w:noProof/>
              </w:rPr>
              <w:t>Introduction</w:t>
            </w:r>
            <w:r>
              <w:rPr>
                <w:noProof/>
                <w:webHidden/>
              </w:rPr>
              <w:tab/>
            </w:r>
            <w:r>
              <w:rPr>
                <w:noProof/>
                <w:webHidden/>
              </w:rPr>
              <w:fldChar w:fldCharType="begin"/>
            </w:r>
            <w:r>
              <w:rPr>
                <w:noProof/>
                <w:webHidden/>
              </w:rPr>
              <w:instrText xml:space="preserve"> PAGEREF _Toc45618002 \h </w:instrText>
            </w:r>
            <w:r>
              <w:rPr>
                <w:noProof/>
                <w:webHidden/>
              </w:rPr>
            </w:r>
            <w:r>
              <w:rPr>
                <w:noProof/>
                <w:webHidden/>
              </w:rPr>
              <w:fldChar w:fldCharType="separate"/>
            </w:r>
            <w:r>
              <w:rPr>
                <w:noProof/>
                <w:webHidden/>
              </w:rPr>
              <w:t>183</w:t>
            </w:r>
            <w:r>
              <w:rPr>
                <w:noProof/>
                <w:webHidden/>
              </w:rPr>
              <w:fldChar w:fldCharType="end"/>
            </w:r>
          </w:hyperlink>
        </w:p>
        <w:p>
          <w:pPr>
            <w:pStyle w:val="TOC3"/>
            <w:tabs>
              <w:tab w:val="left" w:pos="1320"/>
              <w:tab w:val="right" w:leader="dot" w:pos="9016"/>
            </w:tabs>
            <w:rPr>
              <w:rFonts w:eastAsiaTheme="minorEastAsia"/>
              <w:noProof/>
              <w:lang w:eastAsia="en-GB"/>
            </w:rPr>
          </w:pPr>
          <w:hyperlink w:anchor="_Toc45618003" w:history="1">
            <w:r>
              <w:rPr>
                <w:rStyle w:val="Hyperlink"/>
                <w:noProof/>
              </w:rPr>
              <w:t>6.1.1.</w:t>
            </w:r>
            <w:r>
              <w:rPr>
                <w:rFonts w:eastAsiaTheme="minorEastAsia"/>
                <w:noProof/>
                <w:lang w:eastAsia="en-GB"/>
              </w:rPr>
              <w:tab/>
            </w:r>
            <w:r>
              <w:rPr>
                <w:rStyle w:val="Hyperlink"/>
                <w:noProof/>
              </w:rPr>
              <w:t>General analysis</w:t>
            </w:r>
            <w:r>
              <w:rPr>
                <w:noProof/>
                <w:webHidden/>
              </w:rPr>
              <w:tab/>
            </w:r>
            <w:r>
              <w:rPr>
                <w:noProof/>
                <w:webHidden/>
              </w:rPr>
              <w:fldChar w:fldCharType="begin"/>
            </w:r>
            <w:r>
              <w:rPr>
                <w:noProof/>
                <w:webHidden/>
              </w:rPr>
              <w:instrText xml:space="preserve"> PAGEREF _Toc45618003 \h </w:instrText>
            </w:r>
            <w:r>
              <w:rPr>
                <w:noProof/>
                <w:webHidden/>
              </w:rPr>
            </w:r>
            <w:r>
              <w:rPr>
                <w:noProof/>
                <w:webHidden/>
              </w:rPr>
              <w:fldChar w:fldCharType="separate"/>
            </w:r>
            <w:r>
              <w:rPr>
                <w:noProof/>
                <w:webHidden/>
              </w:rPr>
              <w:t>183</w:t>
            </w:r>
            <w:r>
              <w:rPr>
                <w:noProof/>
                <w:webHidden/>
              </w:rPr>
              <w:fldChar w:fldCharType="end"/>
            </w:r>
          </w:hyperlink>
        </w:p>
        <w:p>
          <w:pPr>
            <w:pStyle w:val="TOC3"/>
            <w:tabs>
              <w:tab w:val="left" w:pos="1320"/>
              <w:tab w:val="right" w:leader="dot" w:pos="9016"/>
            </w:tabs>
            <w:rPr>
              <w:rFonts w:eastAsiaTheme="minorEastAsia"/>
              <w:noProof/>
              <w:lang w:eastAsia="en-GB"/>
            </w:rPr>
          </w:pPr>
          <w:hyperlink w:anchor="_Toc45618004" w:history="1">
            <w:r>
              <w:rPr>
                <w:rStyle w:val="Hyperlink"/>
                <w:noProof/>
              </w:rPr>
              <w:t>6.1.2.</w:t>
            </w:r>
            <w:r>
              <w:rPr>
                <w:rFonts w:eastAsiaTheme="minorEastAsia"/>
                <w:noProof/>
                <w:lang w:eastAsia="en-GB"/>
              </w:rPr>
              <w:tab/>
            </w:r>
            <w:r>
              <w:rPr>
                <w:rStyle w:val="Hyperlink"/>
                <w:noProof/>
              </w:rPr>
              <w:t>Five year analysis 2015-2019</w:t>
            </w:r>
            <w:r>
              <w:rPr>
                <w:noProof/>
                <w:webHidden/>
              </w:rPr>
              <w:tab/>
            </w:r>
            <w:r>
              <w:rPr>
                <w:noProof/>
                <w:webHidden/>
              </w:rPr>
              <w:fldChar w:fldCharType="begin"/>
            </w:r>
            <w:r>
              <w:rPr>
                <w:noProof/>
                <w:webHidden/>
              </w:rPr>
              <w:instrText xml:space="preserve"> PAGEREF _Toc45618004 \h </w:instrText>
            </w:r>
            <w:r>
              <w:rPr>
                <w:noProof/>
                <w:webHidden/>
              </w:rPr>
            </w:r>
            <w:r>
              <w:rPr>
                <w:noProof/>
                <w:webHidden/>
              </w:rPr>
              <w:fldChar w:fldCharType="separate"/>
            </w:r>
            <w:r>
              <w:rPr>
                <w:noProof/>
                <w:webHidden/>
              </w:rPr>
              <w:t>184</w:t>
            </w:r>
            <w:r>
              <w:rPr>
                <w:noProof/>
                <w:webHidden/>
              </w:rPr>
              <w:fldChar w:fldCharType="end"/>
            </w:r>
          </w:hyperlink>
        </w:p>
        <w:p>
          <w:pPr>
            <w:pStyle w:val="TOC2"/>
            <w:tabs>
              <w:tab w:val="left" w:pos="1100"/>
              <w:tab w:val="right" w:leader="dot" w:pos="9016"/>
            </w:tabs>
            <w:rPr>
              <w:rFonts w:eastAsiaTheme="minorEastAsia"/>
              <w:noProof/>
              <w:lang w:eastAsia="en-GB"/>
            </w:rPr>
          </w:pPr>
          <w:hyperlink w:anchor="_Toc45618005" w:history="1">
            <w:r>
              <w:rPr>
                <w:rStyle w:val="Hyperlink"/>
                <w:noProof/>
              </w:rPr>
              <w:t>6.2.</w:t>
            </w:r>
            <w:r>
              <w:rPr>
                <w:rFonts w:eastAsiaTheme="minorEastAsia"/>
                <w:noProof/>
                <w:lang w:eastAsia="en-GB"/>
              </w:rPr>
              <w:tab/>
            </w:r>
            <w:r>
              <w:rPr>
                <w:rStyle w:val="Hyperlink"/>
                <w:noProof/>
              </w:rPr>
              <w:t>Specific analysis</w:t>
            </w:r>
            <w:r>
              <w:rPr>
                <w:noProof/>
                <w:webHidden/>
              </w:rPr>
              <w:tab/>
            </w:r>
            <w:r>
              <w:rPr>
                <w:noProof/>
                <w:webHidden/>
              </w:rPr>
              <w:fldChar w:fldCharType="begin"/>
            </w:r>
            <w:r>
              <w:rPr>
                <w:noProof/>
                <w:webHidden/>
              </w:rPr>
              <w:instrText xml:space="preserve"> PAGEREF _Toc45618005 \h </w:instrText>
            </w:r>
            <w:r>
              <w:rPr>
                <w:noProof/>
                <w:webHidden/>
              </w:rPr>
            </w:r>
            <w:r>
              <w:rPr>
                <w:noProof/>
                <w:webHidden/>
              </w:rPr>
              <w:fldChar w:fldCharType="separate"/>
            </w:r>
            <w:r>
              <w:rPr>
                <w:noProof/>
                <w:webHidden/>
              </w:rPr>
              <w:t>185</w:t>
            </w:r>
            <w:r>
              <w:rPr>
                <w:noProof/>
                <w:webHidden/>
              </w:rPr>
              <w:fldChar w:fldCharType="end"/>
            </w:r>
          </w:hyperlink>
        </w:p>
        <w:p>
          <w:pPr>
            <w:pStyle w:val="TOC3"/>
            <w:tabs>
              <w:tab w:val="left" w:pos="1320"/>
              <w:tab w:val="right" w:leader="dot" w:pos="9016"/>
            </w:tabs>
            <w:rPr>
              <w:rFonts w:eastAsiaTheme="minorEastAsia"/>
              <w:noProof/>
              <w:lang w:eastAsia="en-GB"/>
            </w:rPr>
          </w:pPr>
          <w:hyperlink w:anchor="_Toc45618006" w:history="1">
            <w:r>
              <w:rPr>
                <w:rStyle w:val="Hyperlink"/>
                <w:noProof/>
              </w:rPr>
              <w:t>6.2.1.</w:t>
            </w:r>
            <w:r>
              <w:rPr>
                <w:rFonts w:eastAsiaTheme="minorEastAsia"/>
                <w:noProof/>
                <w:lang w:eastAsia="en-GB"/>
              </w:rPr>
              <w:tab/>
            </w:r>
            <w:r>
              <w:rPr>
                <w:rStyle w:val="Hyperlink"/>
                <w:noProof/>
              </w:rPr>
              <w:t>Recoveries according policy areas</w:t>
            </w:r>
            <w:r>
              <w:rPr>
                <w:noProof/>
                <w:webHidden/>
              </w:rPr>
              <w:tab/>
            </w:r>
            <w:r>
              <w:rPr>
                <w:noProof/>
                <w:webHidden/>
              </w:rPr>
              <w:fldChar w:fldCharType="begin"/>
            </w:r>
            <w:r>
              <w:rPr>
                <w:noProof/>
                <w:webHidden/>
              </w:rPr>
              <w:instrText xml:space="preserve"> PAGEREF _Toc45618006 \h </w:instrText>
            </w:r>
            <w:r>
              <w:rPr>
                <w:noProof/>
                <w:webHidden/>
              </w:rPr>
            </w:r>
            <w:r>
              <w:rPr>
                <w:noProof/>
                <w:webHidden/>
              </w:rPr>
              <w:fldChar w:fldCharType="separate"/>
            </w:r>
            <w:r>
              <w:rPr>
                <w:noProof/>
                <w:webHidden/>
              </w:rPr>
              <w:t>185</w:t>
            </w:r>
            <w:r>
              <w:rPr>
                <w:noProof/>
                <w:webHidden/>
              </w:rPr>
              <w:fldChar w:fldCharType="end"/>
            </w:r>
          </w:hyperlink>
        </w:p>
        <w:p>
          <w:pPr>
            <w:pStyle w:val="TOC3"/>
            <w:tabs>
              <w:tab w:val="left" w:pos="1320"/>
              <w:tab w:val="right" w:leader="dot" w:pos="9016"/>
            </w:tabs>
            <w:rPr>
              <w:rFonts w:eastAsiaTheme="minorEastAsia"/>
              <w:noProof/>
              <w:lang w:eastAsia="en-GB"/>
            </w:rPr>
          </w:pPr>
          <w:hyperlink w:anchor="_Toc45618007" w:history="1">
            <w:r>
              <w:rPr>
                <w:rStyle w:val="Hyperlink"/>
                <w:noProof/>
              </w:rPr>
              <w:t>6.2.2.</w:t>
            </w:r>
            <w:r>
              <w:rPr>
                <w:rFonts w:eastAsiaTheme="minorEastAsia"/>
                <w:noProof/>
                <w:lang w:eastAsia="en-GB"/>
              </w:rPr>
              <w:tab/>
            </w:r>
            <w:r>
              <w:rPr>
                <w:rStyle w:val="Hyperlink"/>
                <w:noProof/>
              </w:rPr>
              <w:t>Recoveries according to legal entity residence</w:t>
            </w:r>
            <w:r>
              <w:rPr>
                <w:noProof/>
                <w:webHidden/>
              </w:rPr>
              <w:tab/>
            </w:r>
            <w:r>
              <w:rPr>
                <w:noProof/>
                <w:webHidden/>
              </w:rPr>
              <w:fldChar w:fldCharType="begin"/>
            </w:r>
            <w:r>
              <w:rPr>
                <w:noProof/>
                <w:webHidden/>
              </w:rPr>
              <w:instrText xml:space="preserve"> PAGEREF _Toc45618007 \h </w:instrText>
            </w:r>
            <w:r>
              <w:rPr>
                <w:noProof/>
                <w:webHidden/>
              </w:rPr>
            </w:r>
            <w:r>
              <w:rPr>
                <w:noProof/>
                <w:webHidden/>
              </w:rPr>
              <w:fldChar w:fldCharType="separate"/>
            </w:r>
            <w:r>
              <w:rPr>
                <w:noProof/>
                <w:webHidden/>
              </w:rPr>
              <w:t>186</w:t>
            </w:r>
            <w:r>
              <w:rPr>
                <w:noProof/>
                <w:webHidden/>
              </w:rPr>
              <w:fldChar w:fldCharType="end"/>
            </w:r>
          </w:hyperlink>
        </w:p>
        <w:p>
          <w:pPr>
            <w:pStyle w:val="TOC3"/>
            <w:tabs>
              <w:tab w:val="left" w:pos="1320"/>
              <w:tab w:val="right" w:leader="dot" w:pos="9016"/>
            </w:tabs>
            <w:rPr>
              <w:rFonts w:eastAsiaTheme="minorEastAsia"/>
              <w:noProof/>
              <w:lang w:eastAsia="en-GB"/>
            </w:rPr>
          </w:pPr>
          <w:hyperlink w:anchor="_Toc45618008" w:history="1">
            <w:r>
              <w:rPr>
                <w:rStyle w:val="Hyperlink"/>
                <w:noProof/>
              </w:rPr>
              <w:t>6.2.3.</w:t>
            </w:r>
            <w:r>
              <w:rPr>
                <w:rFonts w:eastAsiaTheme="minorEastAsia"/>
                <w:noProof/>
                <w:lang w:eastAsia="en-GB"/>
              </w:rPr>
              <w:tab/>
            </w:r>
            <w:r>
              <w:rPr>
                <w:rStyle w:val="Hyperlink"/>
                <w:noProof/>
              </w:rPr>
              <w:t>Method of detection</w:t>
            </w:r>
            <w:r>
              <w:rPr>
                <w:noProof/>
                <w:webHidden/>
              </w:rPr>
              <w:tab/>
            </w:r>
            <w:r>
              <w:rPr>
                <w:noProof/>
                <w:webHidden/>
              </w:rPr>
              <w:fldChar w:fldCharType="begin"/>
            </w:r>
            <w:r>
              <w:rPr>
                <w:noProof/>
                <w:webHidden/>
              </w:rPr>
              <w:instrText xml:space="preserve"> PAGEREF _Toc45618008 \h </w:instrText>
            </w:r>
            <w:r>
              <w:rPr>
                <w:noProof/>
                <w:webHidden/>
              </w:rPr>
            </w:r>
            <w:r>
              <w:rPr>
                <w:noProof/>
                <w:webHidden/>
              </w:rPr>
              <w:fldChar w:fldCharType="separate"/>
            </w:r>
            <w:r>
              <w:rPr>
                <w:noProof/>
                <w:webHidden/>
              </w:rPr>
              <w:t>187</w:t>
            </w:r>
            <w:r>
              <w:rPr>
                <w:noProof/>
                <w:webHidden/>
              </w:rPr>
              <w:fldChar w:fldCharType="end"/>
            </w:r>
          </w:hyperlink>
        </w:p>
        <w:p>
          <w:pPr>
            <w:pStyle w:val="TOC3"/>
            <w:tabs>
              <w:tab w:val="left" w:pos="1320"/>
              <w:tab w:val="right" w:leader="dot" w:pos="9016"/>
            </w:tabs>
            <w:rPr>
              <w:rFonts w:eastAsiaTheme="minorEastAsia"/>
              <w:noProof/>
              <w:lang w:eastAsia="en-GB"/>
            </w:rPr>
          </w:pPr>
          <w:hyperlink w:anchor="_Toc45618009" w:history="1">
            <w:r>
              <w:rPr>
                <w:rStyle w:val="Hyperlink"/>
                <w:noProof/>
              </w:rPr>
              <w:t>6.2.4.</w:t>
            </w:r>
            <w:r>
              <w:rPr>
                <w:rFonts w:eastAsiaTheme="minorEastAsia"/>
                <w:noProof/>
                <w:lang w:eastAsia="en-GB"/>
              </w:rPr>
              <w:tab/>
            </w:r>
            <w:r>
              <w:rPr>
                <w:rStyle w:val="Hyperlink"/>
                <w:noProof/>
              </w:rPr>
              <w:t>Types of irregularity</w:t>
            </w:r>
            <w:r>
              <w:rPr>
                <w:noProof/>
                <w:webHidden/>
              </w:rPr>
              <w:tab/>
            </w:r>
            <w:r>
              <w:rPr>
                <w:noProof/>
                <w:webHidden/>
              </w:rPr>
              <w:fldChar w:fldCharType="begin"/>
            </w:r>
            <w:r>
              <w:rPr>
                <w:noProof/>
                <w:webHidden/>
              </w:rPr>
              <w:instrText xml:space="preserve"> PAGEREF _Toc45618009 \h </w:instrText>
            </w:r>
            <w:r>
              <w:rPr>
                <w:noProof/>
                <w:webHidden/>
              </w:rPr>
            </w:r>
            <w:r>
              <w:rPr>
                <w:noProof/>
                <w:webHidden/>
              </w:rPr>
              <w:fldChar w:fldCharType="separate"/>
            </w:r>
            <w:r>
              <w:rPr>
                <w:noProof/>
                <w:webHidden/>
              </w:rPr>
              <w:t>188</w:t>
            </w:r>
            <w:r>
              <w:rPr>
                <w:noProof/>
                <w:webHidden/>
              </w:rPr>
              <w:fldChar w:fldCharType="end"/>
            </w:r>
          </w:hyperlink>
        </w:p>
        <w:p>
          <w:pPr>
            <w:pStyle w:val="TOC3"/>
            <w:tabs>
              <w:tab w:val="left" w:pos="1320"/>
              <w:tab w:val="right" w:leader="dot" w:pos="9016"/>
            </w:tabs>
            <w:rPr>
              <w:rFonts w:eastAsiaTheme="minorEastAsia"/>
              <w:noProof/>
              <w:lang w:eastAsia="en-GB"/>
            </w:rPr>
          </w:pPr>
          <w:hyperlink w:anchor="_Toc45618010" w:history="1">
            <w:r>
              <w:rPr>
                <w:rStyle w:val="Hyperlink"/>
                <w:noProof/>
              </w:rPr>
              <w:t>6.2.5.</w:t>
            </w:r>
            <w:r>
              <w:rPr>
                <w:rFonts w:eastAsiaTheme="minorEastAsia"/>
                <w:noProof/>
                <w:lang w:eastAsia="en-GB"/>
              </w:rPr>
              <w:tab/>
            </w:r>
            <w:r>
              <w:rPr>
                <w:rStyle w:val="Hyperlink"/>
                <w:noProof/>
              </w:rPr>
              <w:t>Recovery</w:t>
            </w:r>
            <w:r>
              <w:rPr>
                <w:noProof/>
                <w:webHidden/>
              </w:rPr>
              <w:tab/>
            </w:r>
            <w:r>
              <w:rPr>
                <w:noProof/>
                <w:webHidden/>
              </w:rPr>
              <w:fldChar w:fldCharType="begin"/>
            </w:r>
            <w:r>
              <w:rPr>
                <w:noProof/>
                <w:webHidden/>
              </w:rPr>
              <w:instrText xml:space="preserve"> PAGEREF _Toc45618010 \h </w:instrText>
            </w:r>
            <w:r>
              <w:rPr>
                <w:noProof/>
                <w:webHidden/>
              </w:rPr>
            </w:r>
            <w:r>
              <w:rPr>
                <w:noProof/>
                <w:webHidden/>
              </w:rPr>
              <w:fldChar w:fldCharType="separate"/>
            </w:r>
            <w:r>
              <w:rPr>
                <w:noProof/>
                <w:webHidden/>
              </w:rPr>
              <w:t>188</w:t>
            </w:r>
            <w:r>
              <w:rPr>
                <w:noProof/>
                <w:webHidden/>
              </w:rPr>
              <w:fldChar w:fldCharType="end"/>
            </w:r>
          </w:hyperlink>
        </w:p>
        <w:p>
          <w:pPr>
            <w:pStyle w:val="TOC1"/>
            <w:tabs>
              <w:tab w:val="right" w:leader="dot" w:pos="9016"/>
            </w:tabs>
            <w:rPr>
              <w:rFonts w:eastAsiaTheme="minorEastAsia"/>
              <w:noProof/>
              <w:lang w:eastAsia="en-GB"/>
            </w:rPr>
          </w:pPr>
          <w:hyperlink w:anchor="_Toc45618011" w:history="1">
            <w:r>
              <w:rPr>
                <w:rStyle w:val="Hyperlink"/>
                <w:noProof/>
              </w:rPr>
              <w:t>TABLE of ABBREVIATIONS</w:t>
            </w:r>
            <w:r>
              <w:rPr>
                <w:noProof/>
                <w:webHidden/>
              </w:rPr>
              <w:tab/>
            </w:r>
            <w:r>
              <w:rPr>
                <w:noProof/>
                <w:webHidden/>
              </w:rPr>
              <w:fldChar w:fldCharType="begin"/>
            </w:r>
            <w:r>
              <w:rPr>
                <w:noProof/>
                <w:webHidden/>
              </w:rPr>
              <w:instrText xml:space="preserve"> PAGEREF _Toc45618011 \h </w:instrText>
            </w:r>
            <w:r>
              <w:rPr>
                <w:noProof/>
                <w:webHidden/>
              </w:rPr>
            </w:r>
            <w:r>
              <w:rPr>
                <w:noProof/>
                <w:webHidden/>
              </w:rPr>
              <w:fldChar w:fldCharType="separate"/>
            </w:r>
            <w:r>
              <w:rPr>
                <w:noProof/>
                <w:webHidden/>
              </w:rPr>
              <w:t>190</w:t>
            </w:r>
            <w:r>
              <w:rPr>
                <w:noProof/>
                <w:webHidden/>
              </w:rPr>
              <w:fldChar w:fldCharType="end"/>
            </w:r>
          </w:hyperlink>
        </w:p>
        <w:p>
          <w:pPr>
            <w:pStyle w:val="TOC1"/>
            <w:tabs>
              <w:tab w:val="right" w:leader="dot" w:pos="9016"/>
            </w:tabs>
            <w:rPr>
              <w:rFonts w:eastAsiaTheme="minorEastAsia"/>
              <w:noProof/>
              <w:lang w:eastAsia="en-GB"/>
            </w:rPr>
          </w:pPr>
          <w:hyperlink w:anchor="_Toc45618012" w:history="1">
            <w:r>
              <w:rPr>
                <w:rStyle w:val="Hyperlink"/>
                <w:noProof/>
              </w:rPr>
              <w:t>COUNTRY FACTSHEETS</w:t>
            </w:r>
            <w:r>
              <w:rPr>
                <w:noProof/>
                <w:webHidden/>
              </w:rPr>
              <w:tab/>
            </w:r>
            <w:r>
              <w:rPr>
                <w:noProof/>
                <w:webHidden/>
              </w:rPr>
              <w:fldChar w:fldCharType="begin"/>
            </w:r>
            <w:r>
              <w:rPr>
                <w:noProof/>
                <w:webHidden/>
              </w:rPr>
              <w:instrText xml:space="preserve"> PAGEREF _Toc45618012 \h </w:instrText>
            </w:r>
            <w:r>
              <w:rPr>
                <w:noProof/>
                <w:webHidden/>
              </w:rPr>
            </w:r>
            <w:r>
              <w:rPr>
                <w:noProof/>
                <w:webHidden/>
              </w:rPr>
              <w:fldChar w:fldCharType="separate"/>
            </w:r>
            <w:r>
              <w:rPr>
                <w:noProof/>
                <w:webHidden/>
              </w:rPr>
              <w:t>193</w:t>
            </w:r>
            <w:r>
              <w:rPr>
                <w:noProof/>
                <w:webHidden/>
              </w:rPr>
              <w:fldChar w:fldCharType="end"/>
            </w:r>
          </w:hyperlink>
        </w:p>
        <w:p>
          <w:pPr>
            <w:pStyle w:val="TOC2"/>
            <w:tabs>
              <w:tab w:val="right" w:leader="dot" w:pos="9016"/>
            </w:tabs>
            <w:rPr>
              <w:rFonts w:eastAsiaTheme="minorEastAsia"/>
              <w:noProof/>
              <w:lang w:eastAsia="en-GB"/>
            </w:rPr>
          </w:pPr>
          <w:hyperlink w:anchor="_Toc45618013" w:history="1">
            <w:r>
              <w:rPr>
                <w:rStyle w:val="Hyperlink"/>
                <w:noProof/>
              </w:rPr>
              <w:t>Belgium - Belgique/België</w:t>
            </w:r>
            <w:r>
              <w:rPr>
                <w:noProof/>
                <w:webHidden/>
              </w:rPr>
              <w:tab/>
            </w:r>
            <w:r>
              <w:rPr>
                <w:noProof/>
                <w:webHidden/>
              </w:rPr>
              <w:fldChar w:fldCharType="begin"/>
            </w:r>
            <w:r>
              <w:rPr>
                <w:noProof/>
                <w:webHidden/>
              </w:rPr>
              <w:instrText xml:space="preserve"> PAGEREF _Toc45618013 \h </w:instrText>
            </w:r>
            <w:r>
              <w:rPr>
                <w:noProof/>
                <w:webHidden/>
              </w:rPr>
            </w:r>
            <w:r>
              <w:rPr>
                <w:noProof/>
                <w:webHidden/>
              </w:rPr>
              <w:fldChar w:fldCharType="separate"/>
            </w:r>
            <w:r>
              <w:rPr>
                <w:noProof/>
                <w:webHidden/>
              </w:rPr>
              <w:t>193</w:t>
            </w:r>
            <w:r>
              <w:rPr>
                <w:noProof/>
                <w:webHidden/>
              </w:rPr>
              <w:fldChar w:fldCharType="end"/>
            </w:r>
          </w:hyperlink>
        </w:p>
        <w:p>
          <w:pPr>
            <w:pStyle w:val="TOC2"/>
            <w:tabs>
              <w:tab w:val="right" w:leader="dot" w:pos="9016"/>
            </w:tabs>
            <w:rPr>
              <w:rFonts w:eastAsiaTheme="minorEastAsia"/>
              <w:noProof/>
              <w:lang w:eastAsia="en-GB"/>
            </w:rPr>
          </w:pPr>
          <w:hyperlink w:anchor="_Toc45618014" w:history="1">
            <w:r>
              <w:rPr>
                <w:rStyle w:val="Hyperlink"/>
                <w:noProof/>
              </w:rPr>
              <w:t>Bulgaria - България</w:t>
            </w:r>
            <w:r>
              <w:rPr>
                <w:noProof/>
                <w:webHidden/>
              </w:rPr>
              <w:tab/>
            </w:r>
            <w:r>
              <w:rPr>
                <w:noProof/>
                <w:webHidden/>
              </w:rPr>
              <w:fldChar w:fldCharType="begin"/>
            </w:r>
            <w:r>
              <w:rPr>
                <w:noProof/>
                <w:webHidden/>
              </w:rPr>
              <w:instrText xml:space="preserve"> PAGEREF _Toc45618014 \h </w:instrText>
            </w:r>
            <w:r>
              <w:rPr>
                <w:noProof/>
                <w:webHidden/>
              </w:rPr>
            </w:r>
            <w:r>
              <w:rPr>
                <w:noProof/>
                <w:webHidden/>
              </w:rPr>
              <w:fldChar w:fldCharType="separate"/>
            </w:r>
            <w:r>
              <w:rPr>
                <w:noProof/>
                <w:webHidden/>
              </w:rPr>
              <w:t>194</w:t>
            </w:r>
            <w:r>
              <w:rPr>
                <w:noProof/>
                <w:webHidden/>
              </w:rPr>
              <w:fldChar w:fldCharType="end"/>
            </w:r>
          </w:hyperlink>
        </w:p>
        <w:p>
          <w:pPr>
            <w:pStyle w:val="TOC2"/>
            <w:tabs>
              <w:tab w:val="right" w:leader="dot" w:pos="9016"/>
            </w:tabs>
            <w:rPr>
              <w:rFonts w:eastAsiaTheme="minorEastAsia"/>
              <w:noProof/>
              <w:lang w:eastAsia="en-GB"/>
            </w:rPr>
          </w:pPr>
          <w:hyperlink w:anchor="_Toc45618015" w:history="1">
            <w:r>
              <w:rPr>
                <w:rStyle w:val="Hyperlink"/>
                <w:noProof/>
              </w:rPr>
              <w:t>Czech Republic - Česká republika</w:t>
            </w:r>
            <w:r>
              <w:rPr>
                <w:noProof/>
                <w:webHidden/>
              </w:rPr>
              <w:tab/>
            </w:r>
            <w:r>
              <w:rPr>
                <w:noProof/>
                <w:webHidden/>
              </w:rPr>
              <w:fldChar w:fldCharType="begin"/>
            </w:r>
            <w:r>
              <w:rPr>
                <w:noProof/>
                <w:webHidden/>
              </w:rPr>
              <w:instrText xml:space="preserve"> PAGEREF _Toc45618015 \h </w:instrText>
            </w:r>
            <w:r>
              <w:rPr>
                <w:noProof/>
                <w:webHidden/>
              </w:rPr>
            </w:r>
            <w:r>
              <w:rPr>
                <w:noProof/>
                <w:webHidden/>
              </w:rPr>
              <w:fldChar w:fldCharType="separate"/>
            </w:r>
            <w:r>
              <w:rPr>
                <w:noProof/>
                <w:webHidden/>
              </w:rPr>
              <w:t>195</w:t>
            </w:r>
            <w:r>
              <w:rPr>
                <w:noProof/>
                <w:webHidden/>
              </w:rPr>
              <w:fldChar w:fldCharType="end"/>
            </w:r>
          </w:hyperlink>
        </w:p>
        <w:p>
          <w:pPr>
            <w:pStyle w:val="TOC2"/>
            <w:tabs>
              <w:tab w:val="right" w:leader="dot" w:pos="9016"/>
            </w:tabs>
            <w:rPr>
              <w:rFonts w:eastAsiaTheme="minorEastAsia"/>
              <w:noProof/>
              <w:lang w:eastAsia="en-GB"/>
            </w:rPr>
          </w:pPr>
          <w:hyperlink w:anchor="_Toc45618016" w:history="1">
            <w:r>
              <w:rPr>
                <w:rStyle w:val="Hyperlink"/>
                <w:noProof/>
              </w:rPr>
              <w:t>Denmark - Danmark</w:t>
            </w:r>
            <w:r>
              <w:rPr>
                <w:noProof/>
                <w:webHidden/>
              </w:rPr>
              <w:tab/>
            </w:r>
            <w:r>
              <w:rPr>
                <w:noProof/>
                <w:webHidden/>
              </w:rPr>
              <w:fldChar w:fldCharType="begin"/>
            </w:r>
            <w:r>
              <w:rPr>
                <w:noProof/>
                <w:webHidden/>
              </w:rPr>
              <w:instrText xml:space="preserve"> PAGEREF _Toc45618016 \h </w:instrText>
            </w:r>
            <w:r>
              <w:rPr>
                <w:noProof/>
                <w:webHidden/>
              </w:rPr>
            </w:r>
            <w:r>
              <w:rPr>
                <w:noProof/>
                <w:webHidden/>
              </w:rPr>
              <w:fldChar w:fldCharType="separate"/>
            </w:r>
            <w:r>
              <w:rPr>
                <w:noProof/>
                <w:webHidden/>
              </w:rPr>
              <w:t>196</w:t>
            </w:r>
            <w:r>
              <w:rPr>
                <w:noProof/>
                <w:webHidden/>
              </w:rPr>
              <w:fldChar w:fldCharType="end"/>
            </w:r>
          </w:hyperlink>
        </w:p>
        <w:p>
          <w:pPr>
            <w:pStyle w:val="TOC2"/>
            <w:tabs>
              <w:tab w:val="right" w:leader="dot" w:pos="9016"/>
            </w:tabs>
            <w:rPr>
              <w:rFonts w:eastAsiaTheme="minorEastAsia"/>
              <w:noProof/>
              <w:lang w:eastAsia="en-GB"/>
            </w:rPr>
          </w:pPr>
          <w:hyperlink w:anchor="_Toc45618017" w:history="1">
            <w:r>
              <w:rPr>
                <w:rStyle w:val="Hyperlink"/>
                <w:noProof/>
              </w:rPr>
              <w:t>Germany - Deutschland</w:t>
            </w:r>
            <w:r>
              <w:rPr>
                <w:noProof/>
                <w:webHidden/>
              </w:rPr>
              <w:tab/>
            </w:r>
            <w:r>
              <w:rPr>
                <w:noProof/>
                <w:webHidden/>
              </w:rPr>
              <w:fldChar w:fldCharType="begin"/>
            </w:r>
            <w:r>
              <w:rPr>
                <w:noProof/>
                <w:webHidden/>
              </w:rPr>
              <w:instrText xml:space="preserve"> PAGEREF _Toc45618017 \h </w:instrText>
            </w:r>
            <w:r>
              <w:rPr>
                <w:noProof/>
                <w:webHidden/>
              </w:rPr>
            </w:r>
            <w:r>
              <w:rPr>
                <w:noProof/>
                <w:webHidden/>
              </w:rPr>
              <w:fldChar w:fldCharType="separate"/>
            </w:r>
            <w:r>
              <w:rPr>
                <w:noProof/>
                <w:webHidden/>
              </w:rPr>
              <w:t>197</w:t>
            </w:r>
            <w:r>
              <w:rPr>
                <w:noProof/>
                <w:webHidden/>
              </w:rPr>
              <w:fldChar w:fldCharType="end"/>
            </w:r>
          </w:hyperlink>
        </w:p>
        <w:p>
          <w:pPr>
            <w:pStyle w:val="TOC2"/>
            <w:tabs>
              <w:tab w:val="right" w:leader="dot" w:pos="9016"/>
            </w:tabs>
            <w:rPr>
              <w:rFonts w:eastAsiaTheme="minorEastAsia"/>
              <w:noProof/>
              <w:lang w:eastAsia="en-GB"/>
            </w:rPr>
          </w:pPr>
          <w:hyperlink w:anchor="_Toc45618018" w:history="1">
            <w:r>
              <w:rPr>
                <w:rStyle w:val="Hyperlink"/>
                <w:noProof/>
              </w:rPr>
              <w:t>Estonia - Eesti</w:t>
            </w:r>
            <w:r>
              <w:rPr>
                <w:noProof/>
                <w:webHidden/>
              </w:rPr>
              <w:tab/>
            </w:r>
            <w:r>
              <w:rPr>
                <w:noProof/>
                <w:webHidden/>
              </w:rPr>
              <w:fldChar w:fldCharType="begin"/>
            </w:r>
            <w:r>
              <w:rPr>
                <w:noProof/>
                <w:webHidden/>
              </w:rPr>
              <w:instrText xml:space="preserve"> PAGEREF _Toc45618018 \h </w:instrText>
            </w:r>
            <w:r>
              <w:rPr>
                <w:noProof/>
                <w:webHidden/>
              </w:rPr>
            </w:r>
            <w:r>
              <w:rPr>
                <w:noProof/>
                <w:webHidden/>
              </w:rPr>
              <w:fldChar w:fldCharType="separate"/>
            </w:r>
            <w:r>
              <w:rPr>
                <w:noProof/>
                <w:webHidden/>
              </w:rPr>
              <w:t>198</w:t>
            </w:r>
            <w:r>
              <w:rPr>
                <w:noProof/>
                <w:webHidden/>
              </w:rPr>
              <w:fldChar w:fldCharType="end"/>
            </w:r>
          </w:hyperlink>
        </w:p>
        <w:p>
          <w:pPr>
            <w:pStyle w:val="TOC2"/>
            <w:tabs>
              <w:tab w:val="right" w:leader="dot" w:pos="9016"/>
            </w:tabs>
            <w:rPr>
              <w:rFonts w:eastAsiaTheme="minorEastAsia"/>
              <w:noProof/>
              <w:lang w:eastAsia="en-GB"/>
            </w:rPr>
          </w:pPr>
          <w:hyperlink w:anchor="_Toc45618019" w:history="1">
            <w:r>
              <w:rPr>
                <w:rStyle w:val="Hyperlink"/>
                <w:noProof/>
              </w:rPr>
              <w:t>Ireland - Éire</w:t>
            </w:r>
            <w:r>
              <w:rPr>
                <w:noProof/>
                <w:webHidden/>
              </w:rPr>
              <w:tab/>
            </w:r>
            <w:r>
              <w:rPr>
                <w:noProof/>
                <w:webHidden/>
              </w:rPr>
              <w:fldChar w:fldCharType="begin"/>
            </w:r>
            <w:r>
              <w:rPr>
                <w:noProof/>
                <w:webHidden/>
              </w:rPr>
              <w:instrText xml:space="preserve"> PAGEREF _Toc45618019 \h </w:instrText>
            </w:r>
            <w:r>
              <w:rPr>
                <w:noProof/>
                <w:webHidden/>
              </w:rPr>
            </w:r>
            <w:r>
              <w:rPr>
                <w:noProof/>
                <w:webHidden/>
              </w:rPr>
              <w:fldChar w:fldCharType="separate"/>
            </w:r>
            <w:r>
              <w:rPr>
                <w:noProof/>
                <w:webHidden/>
              </w:rPr>
              <w:t>199</w:t>
            </w:r>
            <w:r>
              <w:rPr>
                <w:noProof/>
                <w:webHidden/>
              </w:rPr>
              <w:fldChar w:fldCharType="end"/>
            </w:r>
          </w:hyperlink>
        </w:p>
        <w:p>
          <w:pPr>
            <w:pStyle w:val="TOC2"/>
            <w:tabs>
              <w:tab w:val="right" w:leader="dot" w:pos="9016"/>
            </w:tabs>
            <w:rPr>
              <w:rFonts w:eastAsiaTheme="minorEastAsia"/>
              <w:noProof/>
              <w:lang w:eastAsia="en-GB"/>
            </w:rPr>
          </w:pPr>
          <w:hyperlink w:anchor="_Toc45618020" w:history="1">
            <w:r>
              <w:rPr>
                <w:rStyle w:val="Hyperlink"/>
                <w:noProof/>
              </w:rPr>
              <w:t>Greece - Ελλάδα</w:t>
            </w:r>
            <w:r>
              <w:rPr>
                <w:noProof/>
                <w:webHidden/>
              </w:rPr>
              <w:tab/>
            </w:r>
            <w:r>
              <w:rPr>
                <w:noProof/>
                <w:webHidden/>
              </w:rPr>
              <w:fldChar w:fldCharType="begin"/>
            </w:r>
            <w:r>
              <w:rPr>
                <w:noProof/>
                <w:webHidden/>
              </w:rPr>
              <w:instrText xml:space="preserve"> PAGEREF _Toc45618020 \h </w:instrText>
            </w:r>
            <w:r>
              <w:rPr>
                <w:noProof/>
                <w:webHidden/>
              </w:rPr>
            </w:r>
            <w:r>
              <w:rPr>
                <w:noProof/>
                <w:webHidden/>
              </w:rPr>
              <w:fldChar w:fldCharType="separate"/>
            </w:r>
            <w:r>
              <w:rPr>
                <w:noProof/>
                <w:webHidden/>
              </w:rPr>
              <w:t>200</w:t>
            </w:r>
            <w:r>
              <w:rPr>
                <w:noProof/>
                <w:webHidden/>
              </w:rPr>
              <w:fldChar w:fldCharType="end"/>
            </w:r>
          </w:hyperlink>
        </w:p>
        <w:p>
          <w:pPr>
            <w:pStyle w:val="TOC2"/>
            <w:tabs>
              <w:tab w:val="right" w:leader="dot" w:pos="9016"/>
            </w:tabs>
            <w:rPr>
              <w:rFonts w:eastAsiaTheme="minorEastAsia"/>
              <w:noProof/>
              <w:lang w:eastAsia="en-GB"/>
            </w:rPr>
          </w:pPr>
          <w:hyperlink w:anchor="_Toc45618021" w:history="1">
            <w:r>
              <w:rPr>
                <w:rStyle w:val="Hyperlink"/>
                <w:noProof/>
              </w:rPr>
              <w:t>Spain - España</w:t>
            </w:r>
            <w:r>
              <w:rPr>
                <w:noProof/>
                <w:webHidden/>
              </w:rPr>
              <w:tab/>
            </w:r>
            <w:r>
              <w:rPr>
                <w:noProof/>
                <w:webHidden/>
              </w:rPr>
              <w:fldChar w:fldCharType="begin"/>
            </w:r>
            <w:r>
              <w:rPr>
                <w:noProof/>
                <w:webHidden/>
              </w:rPr>
              <w:instrText xml:space="preserve"> PAGEREF _Toc45618021 \h </w:instrText>
            </w:r>
            <w:r>
              <w:rPr>
                <w:noProof/>
                <w:webHidden/>
              </w:rPr>
            </w:r>
            <w:r>
              <w:rPr>
                <w:noProof/>
                <w:webHidden/>
              </w:rPr>
              <w:fldChar w:fldCharType="separate"/>
            </w:r>
            <w:r>
              <w:rPr>
                <w:noProof/>
                <w:webHidden/>
              </w:rPr>
              <w:t>201</w:t>
            </w:r>
            <w:r>
              <w:rPr>
                <w:noProof/>
                <w:webHidden/>
              </w:rPr>
              <w:fldChar w:fldCharType="end"/>
            </w:r>
          </w:hyperlink>
        </w:p>
        <w:p>
          <w:pPr>
            <w:pStyle w:val="TOC2"/>
            <w:tabs>
              <w:tab w:val="right" w:leader="dot" w:pos="9016"/>
            </w:tabs>
            <w:rPr>
              <w:rFonts w:eastAsiaTheme="minorEastAsia"/>
              <w:noProof/>
              <w:lang w:eastAsia="en-GB"/>
            </w:rPr>
          </w:pPr>
          <w:hyperlink w:anchor="_Toc45618022" w:history="1">
            <w:r>
              <w:rPr>
                <w:rStyle w:val="Hyperlink"/>
                <w:noProof/>
              </w:rPr>
              <w:t>France</w:t>
            </w:r>
            <w:r>
              <w:rPr>
                <w:noProof/>
                <w:webHidden/>
              </w:rPr>
              <w:tab/>
            </w:r>
            <w:r>
              <w:rPr>
                <w:noProof/>
                <w:webHidden/>
              </w:rPr>
              <w:fldChar w:fldCharType="begin"/>
            </w:r>
            <w:r>
              <w:rPr>
                <w:noProof/>
                <w:webHidden/>
              </w:rPr>
              <w:instrText xml:space="preserve"> PAGEREF _Toc45618022 \h </w:instrText>
            </w:r>
            <w:r>
              <w:rPr>
                <w:noProof/>
                <w:webHidden/>
              </w:rPr>
            </w:r>
            <w:r>
              <w:rPr>
                <w:noProof/>
                <w:webHidden/>
              </w:rPr>
              <w:fldChar w:fldCharType="separate"/>
            </w:r>
            <w:r>
              <w:rPr>
                <w:noProof/>
                <w:webHidden/>
              </w:rPr>
              <w:t>202</w:t>
            </w:r>
            <w:r>
              <w:rPr>
                <w:noProof/>
                <w:webHidden/>
              </w:rPr>
              <w:fldChar w:fldCharType="end"/>
            </w:r>
          </w:hyperlink>
        </w:p>
        <w:p>
          <w:pPr>
            <w:pStyle w:val="TOC2"/>
            <w:tabs>
              <w:tab w:val="right" w:leader="dot" w:pos="9016"/>
            </w:tabs>
            <w:rPr>
              <w:rFonts w:eastAsiaTheme="minorEastAsia"/>
              <w:noProof/>
              <w:lang w:eastAsia="en-GB"/>
            </w:rPr>
          </w:pPr>
          <w:hyperlink w:anchor="_Toc45618023" w:history="1">
            <w:r>
              <w:rPr>
                <w:rStyle w:val="Hyperlink"/>
                <w:noProof/>
              </w:rPr>
              <w:t>Croatia - Hrvatska</w:t>
            </w:r>
            <w:r>
              <w:rPr>
                <w:noProof/>
                <w:webHidden/>
              </w:rPr>
              <w:tab/>
            </w:r>
            <w:r>
              <w:rPr>
                <w:noProof/>
                <w:webHidden/>
              </w:rPr>
              <w:fldChar w:fldCharType="begin"/>
            </w:r>
            <w:r>
              <w:rPr>
                <w:noProof/>
                <w:webHidden/>
              </w:rPr>
              <w:instrText xml:space="preserve"> PAGEREF _Toc45618023 \h </w:instrText>
            </w:r>
            <w:r>
              <w:rPr>
                <w:noProof/>
                <w:webHidden/>
              </w:rPr>
            </w:r>
            <w:r>
              <w:rPr>
                <w:noProof/>
                <w:webHidden/>
              </w:rPr>
              <w:fldChar w:fldCharType="separate"/>
            </w:r>
            <w:r>
              <w:rPr>
                <w:noProof/>
                <w:webHidden/>
              </w:rPr>
              <w:t>203</w:t>
            </w:r>
            <w:r>
              <w:rPr>
                <w:noProof/>
                <w:webHidden/>
              </w:rPr>
              <w:fldChar w:fldCharType="end"/>
            </w:r>
          </w:hyperlink>
        </w:p>
        <w:p>
          <w:pPr>
            <w:pStyle w:val="TOC2"/>
            <w:tabs>
              <w:tab w:val="right" w:leader="dot" w:pos="9016"/>
            </w:tabs>
            <w:rPr>
              <w:rFonts w:eastAsiaTheme="minorEastAsia"/>
              <w:noProof/>
              <w:lang w:eastAsia="en-GB"/>
            </w:rPr>
          </w:pPr>
          <w:hyperlink w:anchor="_Toc45618024" w:history="1">
            <w:r>
              <w:rPr>
                <w:rStyle w:val="Hyperlink"/>
                <w:noProof/>
              </w:rPr>
              <w:t>Italy - Italia</w:t>
            </w:r>
            <w:r>
              <w:rPr>
                <w:noProof/>
                <w:webHidden/>
              </w:rPr>
              <w:tab/>
            </w:r>
            <w:r>
              <w:rPr>
                <w:noProof/>
                <w:webHidden/>
              </w:rPr>
              <w:fldChar w:fldCharType="begin"/>
            </w:r>
            <w:r>
              <w:rPr>
                <w:noProof/>
                <w:webHidden/>
              </w:rPr>
              <w:instrText xml:space="preserve"> PAGEREF _Toc45618024 \h </w:instrText>
            </w:r>
            <w:r>
              <w:rPr>
                <w:noProof/>
                <w:webHidden/>
              </w:rPr>
            </w:r>
            <w:r>
              <w:rPr>
                <w:noProof/>
                <w:webHidden/>
              </w:rPr>
              <w:fldChar w:fldCharType="separate"/>
            </w:r>
            <w:r>
              <w:rPr>
                <w:noProof/>
                <w:webHidden/>
              </w:rPr>
              <w:t>204</w:t>
            </w:r>
            <w:r>
              <w:rPr>
                <w:noProof/>
                <w:webHidden/>
              </w:rPr>
              <w:fldChar w:fldCharType="end"/>
            </w:r>
          </w:hyperlink>
        </w:p>
        <w:p>
          <w:pPr>
            <w:pStyle w:val="TOC2"/>
            <w:tabs>
              <w:tab w:val="right" w:leader="dot" w:pos="9016"/>
            </w:tabs>
            <w:rPr>
              <w:rFonts w:eastAsiaTheme="minorEastAsia"/>
              <w:noProof/>
              <w:lang w:eastAsia="en-GB"/>
            </w:rPr>
          </w:pPr>
          <w:hyperlink w:anchor="_Toc45618025" w:history="1">
            <w:r>
              <w:rPr>
                <w:rStyle w:val="Hyperlink"/>
                <w:noProof/>
              </w:rPr>
              <w:t>Cyprus - Κύπρος</w:t>
            </w:r>
            <w:r>
              <w:rPr>
                <w:noProof/>
                <w:webHidden/>
              </w:rPr>
              <w:tab/>
            </w:r>
            <w:r>
              <w:rPr>
                <w:noProof/>
                <w:webHidden/>
              </w:rPr>
              <w:fldChar w:fldCharType="begin"/>
            </w:r>
            <w:r>
              <w:rPr>
                <w:noProof/>
                <w:webHidden/>
              </w:rPr>
              <w:instrText xml:space="preserve"> PAGEREF _Toc45618025 \h </w:instrText>
            </w:r>
            <w:r>
              <w:rPr>
                <w:noProof/>
                <w:webHidden/>
              </w:rPr>
            </w:r>
            <w:r>
              <w:rPr>
                <w:noProof/>
                <w:webHidden/>
              </w:rPr>
              <w:fldChar w:fldCharType="separate"/>
            </w:r>
            <w:r>
              <w:rPr>
                <w:noProof/>
                <w:webHidden/>
              </w:rPr>
              <w:t>205</w:t>
            </w:r>
            <w:r>
              <w:rPr>
                <w:noProof/>
                <w:webHidden/>
              </w:rPr>
              <w:fldChar w:fldCharType="end"/>
            </w:r>
          </w:hyperlink>
        </w:p>
        <w:p>
          <w:pPr>
            <w:pStyle w:val="TOC2"/>
            <w:tabs>
              <w:tab w:val="right" w:leader="dot" w:pos="9016"/>
            </w:tabs>
            <w:rPr>
              <w:rFonts w:eastAsiaTheme="minorEastAsia"/>
              <w:noProof/>
              <w:lang w:eastAsia="en-GB"/>
            </w:rPr>
          </w:pPr>
          <w:hyperlink w:anchor="_Toc45618026" w:history="1">
            <w:r>
              <w:rPr>
                <w:rStyle w:val="Hyperlink"/>
                <w:noProof/>
              </w:rPr>
              <w:t>Latvia - Latvija</w:t>
            </w:r>
            <w:r>
              <w:rPr>
                <w:noProof/>
                <w:webHidden/>
              </w:rPr>
              <w:tab/>
            </w:r>
            <w:r>
              <w:rPr>
                <w:noProof/>
                <w:webHidden/>
              </w:rPr>
              <w:fldChar w:fldCharType="begin"/>
            </w:r>
            <w:r>
              <w:rPr>
                <w:noProof/>
                <w:webHidden/>
              </w:rPr>
              <w:instrText xml:space="preserve"> PAGEREF _Toc45618026 \h </w:instrText>
            </w:r>
            <w:r>
              <w:rPr>
                <w:noProof/>
                <w:webHidden/>
              </w:rPr>
            </w:r>
            <w:r>
              <w:rPr>
                <w:noProof/>
                <w:webHidden/>
              </w:rPr>
              <w:fldChar w:fldCharType="separate"/>
            </w:r>
            <w:r>
              <w:rPr>
                <w:noProof/>
                <w:webHidden/>
              </w:rPr>
              <w:t>206</w:t>
            </w:r>
            <w:r>
              <w:rPr>
                <w:noProof/>
                <w:webHidden/>
              </w:rPr>
              <w:fldChar w:fldCharType="end"/>
            </w:r>
          </w:hyperlink>
        </w:p>
        <w:p>
          <w:pPr>
            <w:pStyle w:val="TOC2"/>
            <w:tabs>
              <w:tab w:val="right" w:leader="dot" w:pos="9016"/>
            </w:tabs>
            <w:rPr>
              <w:rFonts w:eastAsiaTheme="minorEastAsia"/>
              <w:noProof/>
              <w:lang w:eastAsia="en-GB"/>
            </w:rPr>
          </w:pPr>
          <w:hyperlink w:anchor="_Toc45618027" w:history="1">
            <w:r>
              <w:rPr>
                <w:rStyle w:val="Hyperlink"/>
                <w:noProof/>
              </w:rPr>
              <w:t>Lithuania - Lietuva</w:t>
            </w:r>
            <w:r>
              <w:rPr>
                <w:noProof/>
                <w:webHidden/>
              </w:rPr>
              <w:tab/>
            </w:r>
            <w:r>
              <w:rPr>
                <w:noProof/>
                <w:webHidden/>
              </w:rPr>
              <w:fldChar w:fldCharType="begin"/>
            </w:r>
            <w:r>
              <w:rPr>
                <w:noProof/>
                <w:webHidden/>
              </w:rPr>
              <w:instrText xml:space="preserve"> PAGEREF _Toc45618027 \h </w:instrText>
            </w:r>
            <w:r>
              <w:rPr>
                <w:noProof/>
                <w:webHidden/>
              </w:rPr>
            </w:r>
            <w:r>
              <w:rPr>
                <w:noProof/>
                <w:webHidden/>
              </w:rPr>
              <w:fldChar w:fldCharType="separate"/>
            </w:r>
            <w:r>
              <w:rPr>
                <w:noProof/>
                <w:webHidden/>
              </w:rPr>
              <w:t>207</w:t>
            </w:r>
            <w:r>
              <w:rPr>
                <w:noProof/>
                <w:webHidden/>
              </w:rPr>
              <w:fldChar w:fldCharType="end"/>
            </w:r>
          </w:hyperlink>
        </w:p>
        <w:p>
          <w:pPr>
            <w:pStyle w:val="TOC2"/>
            <w:tabs>
              <w:tab w:val="right" w:leader="dot" w:pos="9016"/>
            </w:tabs>
            <w:rPr>
              <w:rFonts w:eastAsiaTheme="minorEastAsia"/>
              <w:noProof/>
              <w:lang w:eastAsia="en-GB"/>
            </w:rPr>
          </w:pPr>
          <w:hyperlink w:anchor="_Toc45618028" w:history="1">
            <w:r>
              <w:rPr>
                <w:rStyle w:val="Hyperlink"/>
                <w:noProof/>
              </w:rPr>
              <w:t>Luxembourg</w:t>
            </w:r>
            <w:r>
              <w:rPr>
                <w:noProof/>
                <w:webHidden/>
              </w:rPr>
              <w:tab/>
            </w:r>
            <w:r>
              <w:rPr>
                <w:noProof/>
                <w:webHidden/>
              </w:rPr>
              <w:fldChar w:fldCharType="begin"/>
            </w:r>
            <w:r>
              <w:rPr>
                <w:noProof/>
                <w:webHidden/>
              </w:rPr>
              <w:instrText xml:space="preserve"> PAGEREF _Toc45618028 \h </w:instrText>
            </w:r>
            <w:r>
              <w:rPr>
                <w:noProof/>
                <w:webHidden/>
              </w:rPr>
            </w:r>
            <w:r>
              <w:rPr>
                <w:noProof/>
                <w:webHidden/>
              </w:rPr>
              <w:fldChar w:fldCharType="separate"/>
            </w:r>
            <w:r>
              <w:rPr>
                <w:noProof/>
                <w:webHidden/>
              </w:rPr>
              <w:t>208</w:t>
            </w:r>
            <w:r>
              <w:rPr>
                <w:noProof/>
                <w:webHidden/>
              </w:rPr>
              <w:fldChar w:fldCharType="end"/>
            </w:r>
          </w:hyperlink>
        </w:p>
        <w:p>
          <w:pPr>
            <w:pStyle w:val="TOC2"/>
            <w:tabs>
              <w:tab w:val="right" w:leader="dot" w:pos="9016"/>
            </w:tabs>
            <w:rPr>
              <w:rFonts w:eastAsiaTheme="minorEastAsia"/>
              <w:noProof/>
              <w:lang w:eastAsia="en-GB"/>
            </w:rPr>
          </w:pPr>
          <w:hyperlink w:anchor="_Toc45618029" w:history="1">
            <w:r>
              <w:rPr>
                <w:rStyle w:val="Hyperlink"/>
                <w:noProof/>
              </w:rPr>
              <w:t>Hungary - Magyarország</w:t>
            </w:r>
            <w:r>
              <w:rPr>
                <w:noProof/>
                <w:webHidden/>
              </w:rPr>
              <w:tab/>
            </w:r>
            <w:r>
              <w:rPr>
                <w:noProof/>
                <w:webHidden/>
              </w:rPr>
              <w:fldChar w:fldCharType="begin"/>
            </w:r>
            <w:r>
              <w:rPr>
                <w:noProof/>
                <w:webHidden/>
              </w:rPr>
              <w:instrText xml:space="preserve"> PAGEREF _Toc45618029 \h </w:instrText>
            </w:r>
            <w:r>
              <w:rPr>
                <w:noProof/>
                <w:webHidden/>
              </w:rPr>
            </w:r>
            <w:r>
              <w:rPr>
                <w:noProof/>
                <w:webHidden/>
              </w:rPr>
              <w:fldChar w:fldCharType="separate"/>
            </w:r>
            <w:r>
              <w:rPr>
                <w:noProof/>
                <w:webHidden/>
              </w:rPr>
              <w:t>209</w:t>
            </w:r>
            <w:r>
              <w:rPr>
                <w:noProof/>
                <w:webHidden/>
              </w:rPr>
              <w:fldChar w:fldCharType="end"/>
            </w:r>
          </w:hyperlink>
        </w:p>
        <w:p>
          <w:pPr>
            <w:pStyle w:val="TOC2"/>
            <w:tabs>
              <w:tab w:val="right" w:leader="dot" w:pos="9016"/>
            </w:tabs>
            <w:rPr>
              <w:rFonts w:eastAsiaTheme="minorEastAsia"/>
              <w:noProof/>
              <w:lang w:eastAsia="en-GB"/>
            </w:rPr>
          </w:pPr>
          <w:hyperlink w:anchor="_Toc45618030" w:history="1">
            <w:r>
              <w:rPr>
                <w:rStyle w:val="Hyperlink"/>
                <w:noProof/>
              </w:rPr>
              <w:t>Malta</w:t>
            </w:r>
            <w:r>
              <w:rPr>
                <w:noProof/>
                <w:webHidden/>
              </w:rPr>
              <w:tab/>
            </w:r>
            <w:r>
              <w:rPr>
                <w:noProof/>
                <w:webHidden/>
              </w:rPr>
              <w:fldChar w:fldCharType="begin"/>
            </w:r>
            <w:r>
              <w:rPr>
                <w:noProof/>
                <w:webHidden/>
              </w:rPr>
              <w:instrText xml:space="preserve"> PAGEREF _Toc45618030 \h </w:instrText>
            </w:r>
            <w:r>
              <w:rPr>
                <w:noProof/>
                <w:webHidden/>
              </w:rPr>
            </w:r>
            <w:r>
              <w:rPr>
                <w:noProof/>
                <w:webHidden/>
              </w:rPr>
              <w:fldChar w:fldCharType="separate"/>
            </w:r>
            <w:r>
              <w:rPr>
                <w:noProof/>
                <w:webHidden/>
              </w:rPr>
              <w:t>210</w:t>
            </w:r>
            <w:r>
              <w:rPr>
                <w:noProof/>
                <w:webHidden/>
              </w:rPr>
              <w:fldChar w:fldCharType="end"/>
            </w:r>
          </w:hyperlink>
        </w:p>
        <w:p>
          <w:pPr>
            <w:pStyle w:val="TOC2"/>
            <w:tabs>
              <w:tab w:val="right" w:leader="dot" w:pos="9016"/>
            </w:tabs>
            <w:rPr>
              <w:rFonts w:eastAsiaTheme="minorEastAsia"/>
              <w:noProof/>
              <w:lang w:eastAsia="en-GB"/>
            </w:rPr>
          </w:pPr>
          <w:hyperlink w:anchor="_Toc45618031" w:history="1">
            <w:r>
              <w:rPr>
                <w:rStyle w:val="Hyperlink"/>
                <w:noProof/>
              </w:rPr>
              <w:t>Netherlands - Nederland</w:t>
            </w:r>
            <w:r>
              <w:rPr>
                <w:noProof/>
                <w:webHidden/>
              </w:rPr>
              <w:tab/>
            </w:r>
            <w:r>
              <w:rPr>
                <w:noProof/>
                <w:webHidden/>
              </w:rPr>
              <w:fldChar w:fldCharType="begin"/>
            </w:r>
            <w:r>
              <w:rPr>
                <w:noProof/>
                <w:webHidden/>
              </w:rPr>
              <w:instrText xml:space="preserve"> PAGEREF _Toc45618031 \h </w:instrText>
            </w:r>
            <w:r>
              <w:rPr>
                <w:noProof/>
                <w:webHidden/>
              </w:rPr>
            </w:r>
            <w:r>
              <w:rPr>
                <w:noProof/>
                <w:webHidden/>
              </w:rPr>
              <w:fldChar w:fldCharType="separate"/>
            </w:r>
            <w:r>
              <w:rPr>
                <w:noProof/>
                <w:webHidden/>
              </w:rPr>
              <w:t>211</w:t>
            </w:r>
            <w:r>
              <w:rPr>
                <w:noProof/>
                <w:webHidden/>
              </w:rPr>
              <w:fldChar w:fldCharType="end"/>
            </w:r>
          </w:hyperlink>
        </w:p>
        <w:p>
          <w:pPr>
            <w:pStyle w:val="TOC2"/>
            <w:tabs>
              <w:tab w:val="right" w:leader="dot" w:pos="9016"/>
            </w:tabs>
            <w:rPr>
              <w:rFonts w:eastAsiaTheme="minorEastAsia"/>
              <w:noProof/>
              <w:lang w:eastAsia="en-GB"/>
            </w:rPr>
          </w:pPr>
          <w:hyperlink w:anchor="_Toc45618032" w:history="1">
            <w:r>
              <w:rPr>
                <w:rStyle w:val="Hyperlink"/>
                <w:noProof/>
              </w:rPr>
              <w:t>Austria - Österreich</w:t>
            </w:r>
            <w:r>
              <w:rPr>
                <w:noProof/>
                <w:webHidden/>
              </w:rPr>
              <w:tab/>
            </w:r>
            <w:r>
              <w:rPr>
                <w:noProof/>
                <w:webHidden/>
              </w:rPr>
              <w:fldChar w:fldCharType="begin"/>
            </w:r>
            <w:r>
              <w:rPr>
                <w:noProof/>
                <w:webHidden/>
              </w:rPr>
              <w:instrText xml:space="preserve"> PAGEREF _Toc45618032 \h </w:instrText>
            </w:r>
            <w:r>
              <w:rPr>
                <w:noProof/>
                <w:webHidden/>
              </w:rPr>
            </w:r>
            <w:r>
              <w:rPr>
                <w:noProof/>
                <w:webHidden/>
              </w:rPr>
              <w:fldChar w:fldCharType="separate"/>
            </w:r>
            <w:r>
              <w:rPr>
                <w:noProof/>
                <w:webHidden/>
              </w:rPr>
              <w:t>212</w:t>
            </w:r>
            <w:r>
              <w:rPr>
                <w:noProof/>
                <w:webHidden/>
              </w:rPr>
              <w:fldChar w:fldCharType="end"/>
            </w:r>
          </w:hyperlink>
        </w:p>
        <w:p>
          <w:pPr>
            <w:pStyle w:val="TOC2"/>
            <w:tabs>
              <w:tab w:val="right" w:leader="dot" w:pos="9016"/>
            </w:tabs>
            <w:rPr>
              <w:rFonts w:eastAsiaTheme="minorEastAsia"/>
              <w:noProof/>
              <w:lang w:eastAsia="en-GB"/>
            </w:rPr>
          </w:pPr>
          <w:hyperlink w:anchor="_Toc45618033" w:history="1">
            <w:r>
              <w:rPr>
                <w:rStyle w:val="Hyperlink"/>
                <w:noProof/>
              </w:rPr>
              <w:t>Poland - Polska</w:t>
            </w:r>
            <w:r>
              <w:rPr>
                <w:noProof/>
                <w:webHidden/>
              </w:rPr>
              <w:tab/>
            </w:r>
            <w:r>
              <w:rPr>
                <w:noProof/>
                <w:webHidden/>
              </w:rPr>
              <w:fldChar w:fldCharType="begin"/>
            </w:r>
            <w:r>
              <w:rPr>
                <w:noProof/>
                <w:webHidden/>
              </w:rPr>
              <w:instrText xml:space="preserve"> PAGEREF _Toc45618033 \h </w:instrText>
            </w:r>
            <w:r>
              <w:rPr>
                <w:noProof/>
                <w:webHidden/>
              </w:rPr>
            </w:r>
            <w:r>
              <w:rPr>
                <w:noProof/>
                <w:webHidden/>
              </w:rPr>
              <w:fldChar w:fldCharType="separate"/>
            </w:r>
            <w:r>
              <w:rPr>
                <w:noProof/>
                <w:webHidden/>
              </w:rPr>
              <w:t>213</w:t>
            </w:r>
            <w:r>
              <w:rPr>
                <w:noProof/>
                <w:webHidden/>
              </w:rPr>
              <w:fldChar w:fldCharType="end"/>
            </w:r>
          </w:hyperlink>
        </w:p>
        <w:p>
          <w:pPr>
            <w:pStyle w:val="TOC2"/>
            <w:tabs>
              <w:tab w:val="right" w:leader="dot" w:pos="9016"/>
            </w:tabs>
            <w:rPr>
              <w:rFonts w:eastAsiaTheme="minorEastAsia"/>
              <w:noProof/>
              <w:lang w:eastAsia="en-GB"/>
            </w:rPr>
          </w:pPr>
          <w:hyperlink w:anchor="_Toc45618034" w:history="1">
            <w:r>
              <w:rPr>
                <w:rStyle w:val="Hyperlink"/>
                <w:noProof/>
              </w:rPr>
              <w:t>Portugal</w:t>
            </w:r>
            <w:r>
              <w:rPr>
                <w:noProof/>
                <w:webHidden/>
              </w:rPr>
              <w:tab/>
            </w:r>
            <w:r>
              <w:rPr>
                <w:noProof/>
                <w:webHidden/>
              </w:rPr>
              <w:fldChar w:fldCharType="begin"/>
            </w:r>
            <w:r>
              <w:rPr>
                <w:noProof/>
                <w:webHidden/>
              </w:rPr>
              <w:instrText xml:space="preserve"> PAGEREF _Toc45618034 \h </w:instrText>
            </w:r>
            <w:r>
              <w:rPr>
                <w:noProof/>
                <w:webHidden/>
              </w:rPr>
            </w:r>
            <w:r>
              <w:rPr>
                <w:noProof/>
                <w:webHidden/>
              </w:rPr>
              <w:fldChar w:fldCharType="separate"/>
            </w:r>
            <w:r>
              <w:rPr>
                <w:noProof/>
                <w:webHidden/>
              </w:rPr>
              <w:t>214</w:t>
            </w:r>
            <w:r>
              <w:rPr>
                <w:noProof/>
                <w:webHidden/>
              </w:rPr>
              <w:fldChar w:fldCharType="end"/>
            </w:r>
          </w:hyperlink>
        </w:p>
        <w:p>
          <w:pPr>
            <w:pStyle w:val="TOC2"/>
            <w:tabs>
              <w:tab w:val="right" w:leader="dot" w:pos="9016"/>
            </w:tabs>
            <w:rPr>
              <w:rFonts w:eastAsiaTheme="minorEastAsia"/>
              <w:noProof/>
              <w:lang w:eastAsia="en-GB"/>
            </w:rPr>
          </w:pPr>
          <w:hyperlink w:anchor="_Toc45618035" w:history="1">
            <w:r>
              <w:rPr>
                <w:rStyle w:val="Hyperlink"/>
                <w:noProof/>
              </w:rPr>
              <w:t>Romania - România</w:t>
            </w:r>
            <w:r>
              <w:rPr>
                <w:noProof/>
                <w:webHidden/>
              </w:rPr>
              <w:tab/>
            </w:r>
            <w:r>
              <w:rPr>
                <w:noProof/>
                <w:webHidden/>
              </w:rPr>
              <w:fldChar w:fldCharType="begin"/>
            </w:r>
            <w:r>
              <w:rPr>
                <w:noProof/>
                <w:webHidden/>
              </w:rPr>
              <w:instrText xml:space="preserve"> PAGEREF _Toc45618035 \h </w:instrText>
            </w:r>
            <w:r>
              <w:rPr>
                <w:noProof/>
                <w:webHidden/>
              </w:rPr>
            </w:r>
            <w:r>
              <w:rPr>
                <w:noProof/>
                <w:webHidden/>
              </w:rPr>
              <w:fldChar w:fldCharType="separate"/>
            </w:r>
            <w:r>
              <w:rPr>
                <w:noProof/>
                <w:webHidden/>
              </w:rPr>
              <w:t>215</w:t>
            </w:r>
            <w:r>
              <w:rPr>
                <w:noProof/>
                <w:webHidden/>
              </w:rPr>
              <w:fldChar w:fldCharType="end"/>
            </w:r>
          </w:hyperlink>
        </w:p>
        <w:p>
          <w:pPr>
            <w:pStyle w:val="TOC2"/>
            <w:tabs>
              <w:tab w:val="right" w:leader="dot" w:pos="9016"/>
            </w:tabs>
            <w:rPr>
              <w:rFonts w:eastAsiaTheme="minorEastAsia"/>
              <w:noProof/>
              <w:lang w:eastAsia="en-GB"/>
            </w:rPr>
          </w:pPr>
          <w:hyperlink w:anchor="_Toc45618036" w:history="1">
            <w:r>
              <w:rPr>
                <w:rStyle w:val="Hyperlink"/>
                <w:noProof/>
              </w:rPr>
              <w:t>Slovenia - Slovenija</w:t>
            </w:r>
            <w:r>
              <w:rPr>
                <w:noProof/>
                <w:webHidden/>
              </w:rPr>
              <w:tab/>
            </w:r>
            <w:r>
              <w:rPr>
                <w:noProof/>
                <w:webHidden/>
              </w:rPr>
              <w:fldChar w:fldCharType="begin"/>
            </w:r>
            <w:r>
              <w:rPr>
                <w:noProof/>
                <w:webHidden/>
              </w:rPr>
              <w:instrText xml:space="preserve"> PAGEREF _Toc45618036 \h </w:instrText>
            </w:r>
            <w:r>
              <w:rPr>
                <w:noProof/>
                <w:webHidden/>
              </w:rPr>
            </w:r>
            <w:r>
              <w:rPr>
                <w:noProof/>
                <w:webHidden/>
              </w:rPr>
              <w:fldChar w:fldCharType="separate"/>
            </w:r>
            <w:r>
              <w:rPr>
                <w:noProof/>
                <w:webHidden/>
              </w:rPr>
              <w:t>216</w:t>
            </w:r>
            <w:r>
              <w:rPr>
                <w:noProof/>
                <w:webHidden/>
              </w:rPr>
              <w:fldChar w:fldCharType="end"/>
            </w:r>
          </w:hyperlink>
        </w:p>
        <w:p>
          <w:pPr>
            <w:pStyle w:val="TOC2"/>
            <w:tabs>
              <w:tab w:val="right" w:leader="dot" w:pos="9016"/>
            </w:tabs>
            <w:rPr>
              <w:rFonts w:eastAsiaTheme="minorEastAsia"/>
              <w:noProof/>
              <w:lang w:eastAsia="en-GB"/>
            </w:rPr>
          </w:pPr>
          <w:hyperlink w:anchor="_Toc45618037" w:history="1">
            <w:r>
              <w:rPr>
                <w:rStyle w:val="Hyperlink"/>
                <w:noProof/>
              </w:rPr>
              <w:t>Slovakia - Slovensko</w:t>
            </w:r>
            <w:r>
              <w:rPr>
                <w:noProof/>
                <w:webHidden/>
              </w:rPr>
              <w:tab/>
            </w:r>
            <w:r>
              <w:rPr>
                <w:noProof/>
                <w:webHidden/>
              </w:rPr>
              <w:fldChar w:fldCharType="begin"/>
            </w:r>
            <w:r>
              <w:rPr>
                <w:noProof/>
                <w:webHidden/>
              </w:rPr>
              <w:instrText xml:space="preserve"> PAGEREF _Toc45618037 \h </w:instrText>
            </w:r>
            <w:r>
              <w:rPr>
                <w:noProof/>
                <w:webHidden/>
              </w:rPr>
            </w:r>
            <w:r>
              <w:rPr>
                <w:noProof/>
                <w:webHidden/>
              </w:rPr>
              <w:fldChar w:fldCharType="separate"/>
            </w:r>
            <w:r>
              <w:rPr>
                <w:noProof/>
                <w:webHidden/>
              </w:rPr>
              <w:t>217</w:t>
            </w:r>
            <w:r>
              <w:rPr>
                <w:noProof/>
                <w:webHidden/>
              </w:rPr>
              <w:fldChar w:fldCharType="end"/>
            </w:r>
          </w:hyperlink>
        </w:p>
        <w:p>
          <w:pPr>
            <w:pStyle w:val="TOC2"/>
            <w:tabs>
              <w:tab w:val="right" w:leader="dot" w:pos="9016"/>
            </w:tabs>
            <w:rPr>
              <w:rFonts w:eastAsiaTheme="minorEastAsia"/>
              <w:noProof/>
              <w:lang w:eastAsia="en-GB"/>
            </w:rPr>
          </w:pPr>
          <w:hyperlink w:anchor="_Toc45618038" w:history="1">
            <w:r>
              <w:rPr>
                <w:rStyle w:val="Hyperlink"/>
                <w:noProof/>
              </w:rPr>
              <w:t>Finland – Suomi-Finland</w:t>
            </w:r>
            <w:r>
              <w:rPr>
                <w:noProof/>
                <w:webHidden/>
              </w:rPr>
              <w:tab/>
            </w:r>
            <w:r>
              <w:rPr>
                <w:noProof/>
                <w:webHidden/>
              </w:rPr>
              <w:fldChar w:fldCharType="begin"/>
            </w:r>
            <w:r>
              <w:rPr>
                <w:noProof/>
                <w:webHidden/>
              </w:rPr>
              <w:instrText xml:space="preserve"> PAGEREF _Toc45618038 \h </w:instrText>
            </w:r>
            <w:r>
              <w:rPr>
                <w:noProof/>
                <w:webHidden/>
              </w:rPr>
            </w:r>
            <w:r>
              <w:rPr>
                <w:noProof/>
                <w:webHidden/>
              </w:rPr>
              <w:fldChar w:fldCharType="separate"/>
            </w:r>
            <w:r>
              <w:rPr>
                <w:noProof/>
                <w:webHidden/>
              </w:rPr>
              <w:t>218</w:t>
            </w:r>
            <w:r>
              <w:rPr>
                <w:noProof/>
                <w:webHidden/>
              </w:rPr>
              <w:fldChar w:fldCharType="end"/>
            </w:r>
          </w:hyperlink>
        </w:p>
        <w:p>
          <w:pPr>
            <w:pStyle w:val="TOC2"/>
            <w:tabs>
              <w:tab w:val="right" w:leader="dot" w:pos="9016"/>
            </w:tabs>
            <w:rPr>
              <w:rFonts w:eastAsiaTheme="minorEastAsia"/>
              <w:noProof/>
              <w:lang w:eastAsia="en-GB"/>
            </w:rPr>
          </w:pPr>
          <w:hyperlink w:anchor="_Toc45618039" w:history="1">
            <w:r>
              <w:rPr>
                <w:rStyle w:val="Hyperlink"/>
                <w:noProof/>
              </w:rPr>
              <w:t>Sweden - Sverige</w:t>
            </w:r>
            <w:r>
              <w:rPr>
                <w:noProof/>
                <w:webHidden/>
              </w:rPr>
              <w:tab/>
            </w:r>
            <w:r>
              <w:rPr>
                <w:noProof/>
                <w:webHidden/>
              </w:rPr>
              <w:fldChar w:fldCharType="begin"/>
            </w:r>
            <w:r>
              <w:rPr>
                <w:noProof/>
                <w:webHidden/>
              </w:rPr>
              <w:instrText xml:space="preserve"> PAGEREF _Toc45618039 \h </w:instrText>
            </w:r>
            <w:r>
              <w:rPr>
                <w:noProof/>
                <w:webHidden/>
              </w:rPr>
            </w:r>
            <w:r>
              <w:rPr>
                <w:noProof/>
                <w:webHidden/>
              </w:rPr>
              <w:fldChar w:fldCharType="separate"/>
            </w:r>
            <w:r>
              <w:rPr>
                <w:noProof/>
                <w:webHidden/>
              </w:rPr>
              <w:t>219</w:t>
            </w:r>
            <w:r>
              <w:rPr>
                <w:noProof/>
                <w:webHidden/>
              </w:rPr>
              <w:fldChar w:fldCharType="end"/>
            </w:r>
          </w:hyperlink>
        </w:p>
        <w:p>
          <w:pPr>
            <w:pStyle w:val="TOC2"/>
            <w:tabs>
              <w:tab w:val="right" w:leader="dot" w:pos="9016"/>
            </w:tabs>
            <w:rPr>
              <w:rFonts w:eastAsiaTheme="minorEastAsia"/>
              <w:noProof/>
              <w:lang w:eastAsia="en-GB"/>
            </w:rPr>
          </w:pPr>
          <w:hyperlink w:anchor="_Toc45618040" w:history="1">
            <w:r>
              <w:rPr>
                <w:rStyle w:val="Hyperlink"/>
                <w:noProof/>
              </w:rPr>
              <w:t>United Kingdom</w:t>
            </w:r>
            <w:r>
              <w:rPr>
                <w:noProof/>
                <w:webHidden/>
              </w:rPr>
              <w:tab/>
            </w:r>
            <w:r>
              <w:rPr>
                <w:noProof/>
                <w:webHidden/>
              </w:rPr>
              <w:fldChar w:fldCharType="begin"/>
            </w:r>
            <w:r>
              <w:rPr>
                <w:noProof/>
                <w:webHidden/>
              </w:rPr>
              <w:instrText xml:space="preserve"> PAGEREF _Toc45618040 \h </w:instrText>
            </w:r>
            <w:r>
              <w:rPr>
                <w:noProof/>
                <w:webHidden/>
              </w:rPr>
            </w:r>
            <w:r>
              <w:rPr>
                <w:noProof/>
                <w:webHidden/>
              </w:rPr>
              <w:fldChar w:fldCharType="separate"/>
            </w:r>
            <w:r>
              <w:rPr>
                <w:noProof/>
                <w:webHidden/>
              </w:rPr>
              <w:t>220</w:t>
            </w:r>
            <w:r>
              <w:rPr>
                <w:noProof/>
                <w:webHidden/>
              </w:rPr>
              <w:fldChar w:fldCharType="end"/>
            </w:r>
          </w:hyperlink>
        </w:p>
        <w:p>
          <w:pPr>
            <w:pStyle w:val="TOC3"/>
            <w:tabs>
              <w:tab w:val="right" w:leader="dot" w:pos="9016"/>
            </w:tabs>
            <w:rPr>
              <w:rFonts w:eastAsiaTheme="minorEastAsia"/>
              <w:noProof/>
              <w:lang w:eastAsia="en-GB"/>
            </w:rPr>
          </w:pPr>
          <w:hyperlink w:anchor="_Toc45618041" w:history="1">
            <w:r>
              <w:rPr>
                <w:rStyle w:val="Hyperlink"/>
                <w:rFonts w:ascii="Times New Roman" w:eastAsia="Times New Roman" w:hAnsi="Times New Roman" w:cs="Times New Roman"/>
                <w:i/>
                <w:noProof/>
                <w:lang w:eastAsia="zh-CN"/>
              </w:rPr>
              <w:t>ANNEXES</w:t>
            </w:r>
            <w:r>
              <w:rPr>
                <w:noProof/>
                <w:webHidden/>
              </w:rPr>
              <w:tab/>
            </w:r>
            <w:r>
              <w:rPr>
                <w:noProof/>
                <w:webHidden/>
              </w:rPr>
              <w:fldChar w:fldCharType="begin"/>
            </w:r>
            <w:r>
              <w:rPr>
                <w:noProof/>
                <w:webHidden/>
              </w:rPr>
              <w:instrText xml:space="preserve"> PAGEREF _Toc45618041 \h </w:instrText>
            </w:r>
            <w:r>
              <w:rPr>
                <w:noProof/>
                <w:webHidden/>
              </w:rPr>
            </w:r>
            <w:r>
              <w:rPr>
                <w:noProof/>
                <w:webHidden/>
              </w:rPr>
              <w:fldChar w:fldCharType="separate"/>
            </w:r>
            <w:r>
              <w:rPr>
                <w:noProof/>
                <w:webHidden/>
              </w:rPr>
              <w:t>221</w:t>
            </w:r>
            <w:r>
              <w:rPr>
                <w:noProof/>
                <w:webHidden/>
              </w:rPr>
              <w:fldChar w:fldCharType="end"/>
            </w:r>
          </w:hyperlink>
        </w:p>
        <w:p>
          <w:pPr>
            <w:rPr>
              <w:noProof/>
            </w:rPr>
          </w:pPr>
          <w:r>
            <w:rPr>
              <w:b/>
              <w:bCs/>
              <w:noProof/>
            </w:rPr>
            <w:fldChar w:fldCharType="end"/>
          </w:r>
        </w:p>
      </w:sdtContent>
    </w:sdt>
    <w:p>
      <w:pPr>
        <w:outlineLvl w:val="0"/>
        <w:rPr>
          <w:rFonts w:ascii="Times New Roman" w:hAnsi="Times New Roman" w:cs="Times New Roman"/>
          <w:noProof/>
          <w:sz w:val="24"/>
          <w:szCs w:val="24"/>
        </w:rPr>
      </w:pPr>
      <w:r>
        <w:rPr>
          <w:rFonts w:ascii="Times New Roman" w:hAnsi="Times New Roman" w:cs="Times New Roman"/>
          <w:noProof/>
          <w:sz w:val="24"/>
          <w:szCs w:val="24"/>
        </w:rPr>
        <w:br w:type="page"/>
      </w:r>
    </w:p>
    <w:p>
      <w:pPr>
        <w:pStyle w:val="ManualHeading1"/>
        <w:numPr>
          <w:ilvl w:val="0"/>
          <w:numId w:val="1"/>
        </w:numPr>
        <w:ind w:left="850" w:hanging="850"/>
        <w:rPr>
          <w:noProof/>
        </w:rPr>
      </w:pPr>
      <w:bookmarkStart w:id="2" w:name="_Toc45617988"/>
      <w:r>
        <w:rPr>
          <w:noProof/>
        </w:rPr>
        <w:t>PRE-ACCESSION POLICY</w:t>
      </w:r>
      <w:bookmarkEnd w:id="2"/>
    </w:p>
    <w:p>
      <w:pPr>
        <w:pStyle w:val="ManualHeading1"/>
        <w:tabs>
          <w:tab w:val="clear" w:pos="850"/>
        </w:tabs>
        <w:rPr>
          <w:noProof/>
        </w:rPr>
      </w:pPr>
      <w:bookmarkStart w:id="3" w:name="_Toc45617989"/>
      <w:r>
        <w:rPr>
          <w:noProof/>
        </w:rPr>
        <w:t>Executive Summary</w:t>
      </w:r>
      <w:bookmarkEnd w:id="3"/>
    </w:p>
    <w:p>
      <w:pPr>
        <w:pStyle w:val="Text1"/>
        <w:ind w:left="0"/>
        <w:rPr>
          <w:rFonts w:eastAsia="Calibri"/>
          <w:noProof/>
          <w:szCs w:val="24"/>
        </w:rPr>
      </w:pPr>
      <w:r>
        <w:rPr>
          <w:rFonts w:eastAsia="Calibri"/>
          <w:noProof/>
          <w:szCs w:val="24"/>
        </w:rPr>
        <w:t>From 2015 to 2019, 721 irregularities (worth nearly EUR 64 million) were reported via the Irregularity Management System (IMS) relating to pre-accession funds - 31 related to the 2000-2006 Pre-accession assistance, 594 to Instrument for Pre-Accession (IPA) I and the remaining 96 to IPA II. Of these, 204 (worth about EUR 13 million) were reported in 2019. The number of irregularities reported annually has been increasing since 2016, while the Fraud Frequency Level (FFL) jumped to its highest level in five years in 2019 after steadily declining since at least 2015. No new irregularities related to PAA 2000-2006 were reported in 2019, the culmination of a steady downward trend in the number of irregularities reported regarding this programming period; the number of PAA irregularities peaked in 2008. The number of IPA I irregularities reported in 2019 was similar to 2018, following a spike in 2017. The IPA I financial amounts involved in 2019 were lower than 2018 (the highest amount reported thus far). The number of irregularities reported for IPA II, for which irregularities were first reported in 2017, quadrupled from 2018 to 2019 while their total value doubled. At the component level, general trends could not be discerned with regard to reporting over the past five years.</w:t>
      </w:r>
    </w:p>
    <w:p>
      <w:pPr>
        <w:pStyle w:val="Text1"/>
        <w:ind w:left="0"/>
        <w:rPr>
          <w:rFonts w:eastAsia="Calibri"/>
          <w:noProof/>
          <w:szCs w:val="24"/>
        </w:rPr>
      </w:pPr>
      <w:r>
        <w:rPr>
          <w:rFonts w:eastAsia="Calibri"/>
          <w:noProof/>
          <w:szCs w:val="24"/>
        </w:rPr>
        <w:t>In 2019, only three countries reported fraudulent irregularities: North Macedonia, Serbia and Turkey. Of these, Turkey reported the highest FFL and Serbia the highest fraud amount level (FAL). Significantly, of the 51 fraudulent irregularities, 47 were reported by Turkey. Albania, Bulgaria, Croatia and Montenegro all reported non-fraudulent pre-accession irregularities in 2019. Three</w:t>
      </w:r>
      <w:r>
        <w:rPr>
          <w:rFonts w:eastAsia="Calibri"/>
          <w:noProof/>
          <w:szCs w:val="24"/>
        </w:rPr>
        <w:noBreakHyphen/>
        <w:t xml:space="preserve">fourths of the 2019 irregularities were categorised as “other” indicating either that the IMS categories provided are insufficient, that Reporting Authorities require additional training on the use of this feature, or that Reporting Authorities do not value this aspect of IMS’ data collection and are therefore not categorising their irregularities. The other large categories are Documentary proof, (Non-) action and Request. Nearly half of the fraudulent irregularities reported listed legal entities as the “person involved”, a third listed natural persons – multiple persons involved were reported in less than 20% of the fraudulent irregularities reported. Most of the legal entities involved appear to be private companies, followed by sub-national governmental bodies. </w:t>
      </w:r>
    </w:p>
    <w:p>
      <w:pPr>
        <w:pStyle w:val="Text1"/>
        <w:ind w:left="0"/>
        <w:rPr>
          <w:rFonts w:eastAsia="Calibri"/>
          <w:noProof/>
          <w:szCs w:val="24"/>
        </w:rPr>
      </w:pPr>
      <w:r>
        <w:rPr>
          <w:rFonts w:eastAsia="Calibri"/>
          <w:noProof/>
          <w:szCs w:val="24"/>
        </w:rPr>
        <w:t>Since 2015, IPARD has generally provided the highest number of irregularities by amount and number (both for IPA I and IPA II at the component level while Turkey has reported the highest number of irregularities by amount and number at the country level (nearly EUR 50 million and 414 irregularities, respectively).</w:t>
      </w:r>
    </w:p>
    <w:p>
      <w:pPr>
        <w:pStyle w:val="ManualHeading2"/>
        <w:numPr>
          <w:ilvl w:val="1"/>
          <w:numId w:val="1"/>
        </w:numPr>
        <w:rPr>
          <w:noProof/>
        </w:rPr>
      </w:pPr>
      <w:bookmarkStart w:id="4" w:name="_Toc45617990"/>
      <w:r>
        <w:rPr>
          <w:noProof/>
        </w:rPr>
        <w:t>Introduction</w:t>
      </w:r>
      <w:bookmarkEnd w:id="4"/>
    </w:p>
    <w:p>
      <w:pPr>
        <w:pStyle w:val="Text1"/>
        <w:ind w:left="0"/>
        <w:rPr>
          <w:rFonts w:eastAsia="Calibri"/>
          <w:noProof/>
          <w:szCs w:val="24"/>
        </w:rPr>
      </w:pPr>
      <w:r>
        <w:rPr>
          <w:rFonts w:eastAsia="Calibri"/>
          <w:noProof/>
          <w:szCs w:val="24"/>
        </w:rPr>
        <w:t>The European Union provides pre-accession assistance to candidate countries and potential candidates for Union membership in order to support them in meeting the accession criteria and bring their institutions and standards in line with the acquis.</w:t>
      </w:r>
      <w:r>
        <w:rPr>
          <w:rStyle w:val="FootnoteReference"/>
          <w:rFonts w:eastAsia="Calibri"/>
          <w:noProof/>
          <w:szCs w:val="24"/>
        </w:rPr>
        <w:footnoteReference w:id="1"/>
      </w:r>
      <w:r>
        <w:rPr>
          <w:rFonts w:eastAsia="Calibri"/>
          <w:noProof/>
          <w:szCs w:val="24"/>
        </w:rPr>
        <w:t xml:space="preserve"> The current candidate countries are Albania, Montenegro, North Macedonia, Serbia and Turkey; potential candidates are Bosnia and Herzegovina and Kosovo</w:t>
      </w:r>
      <w:r>
        <w:rPr>
          <w:rStyle w:val="FootnoteReference"/>
          <w:rFonts w:eastAsia="Calibri"/>
          <w:noProof/>
          <w:szCs w:val="24"/>
        </w:rPr>
        <w:footnoteReference w:id="2"/>
      </w:r>
      <w:r>
        <w:rPr>
          <w:rFonts w:eastAsia="Calibri"/>
          <w:noProof/>
          <w:szCs w:val="24"/>
        </w:rPr>
        <w:t>.</w:t>
      </w:r>
    </w:p>
    <w:p>
      <w:pPr>
        <w:pStyle w:val="ManualHeading2"/>
        <w:numPr>
          <w:ilvl w:val="1"/>
          <w:numId w:val="1"/>
        </w:numPr>
        <w:ind w:left="850" w:hanging="850"/>
        <w:rPr>
          <w:noProof/>
        </w:rPr>
      </w:pPr>
      <w:bookmarkStart w:id="5" w:name="_Toc45617991"/>
      <w:r>
        <w:rPr>
          <w:noProof/>
        </w:rPr>
        <w:t>Instruments for Pre-accession Assistance</w:t>
      </w:r>
      <w:bookmarkEnd w:id="5"/>
      <w:r>
        <w:rPr>
          <w:noProof/>
        </w:rPr>
        <w:t xml:space="preserve"> </w:t>
      </w:r>
    </w:p>
    <w:p>
      <w:pPr>
        <w:pStyle w:val="ManualHeading3"/>
        <w:numPr>
          <w:ilvl w:val="2"/>
          <w:numId w:val="1"/>
        </w:numPr>
        <w:ind w:left="850" w:hanging="850"/>
        <w:rPr>
          <w:noProof/>
        </w:rPr>
      </w:pPr>
      <w:bookmarkStart w:id="6" w:name="_Toc453345612"/>
      <w:bookmarkStart w:id="7" w:name="_Toc485146215"/>
      <w:bookmarkStart w:id="8" w:name="_Toc485146522"/>
      <w:bookmarkStart w:id="9" w:name="_Toc486928868"/>
      <w:bookmarkStart w:id="10" w:name="_Toc37774483"/>
      <w:bookmarkStart w:id="11" w:name="_Toc45617992"/>
      <w:bookmarkStart w:id="12" w:name="_Toc424911593"/>
      <w:r>
        <w:rPr>
          <w:noProof/>
        </w:rPr>
        <w:t>Before 2007: Pre-accession assistance</w:t>
      </w:r>
      <w:bookmarkEnd w:id="6"/>
      <w:bookmarkEnd w:id="7"/>
      <w:bookmarkEnd w:id="8"/>
      <w:bookmarkEnd w:id="9"/>
      <w:bookmarkEnd w:id="10"/>
      <w:bookmarkEnd w:id="11"/>
      <w:r>
        <w:rPr>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Before 2007, the Union provided pre-accession assistance to candidate countries through a number of separate instruments. The </w:t>
      </w:r>
      <w:r>
        <w:rPr>
          <w:rFonts w:ascii="Times New Roman" w:hAnsi="Times New Roman" w:cs="Times New Roman"/>
          <w:i/>
          <w:noProof/>
          <w:sz w:val="24"/>
          <w:szCs w:val="24"/>
        </w:rPr>
        <w:t>Phare programme</w:t>
      </w:r>
      <w:r>
        <w:rPr>
          <w:rFonts w:ascii="Times New Roman" w:hAnsi="Times New Roman" w:cs="Times New Roman"/>
          <w:noProof/>
          <w:sz w:val="24"/>
          <w:szCs w:val="24"/>
        </w:rPr>
        <w:t xml:space="preserve"> provided support for institution building measures and associated investment, as well as funding measures to promote economic and social cohesion and cross–border cooperation. The </w:t>
      </w:r>
      <w:r>
        <w:rPr>
          <w:rFonts w:ascii="Times New Roman" w:hAnsi="Times New Roman" w:cs="Times New Roman"/>
          <w:i/>
          <w:noProof/>
          <w:sz w:val="24"/>
          <w:szCs w:val="24"/>
        </w:rPr>
        <w:t xml:space="preserve">ISPA programme </w:t>
      </w:r>
      <w:r>
        <w:rPr>
          <w:rFonts w:ascii="Times New Roman" w:hAnsi="Times New Roman" w:cs="Times New Roman"/>
          <w:noProof/>
          <w:sz w:val="24"/>
          <w:szCs w:val="24"/>
        </w:rPr>
        <w:t xml:space="preserve">dealt with large-scale environmental and transport infrastructure projects. The </w:t>
      </w:r>
      <w:r>
        <w:rPr>
          <w:rFonts w:ascii="Times New Roman" w:hAnsi="Times New Roman" w:cs="Times New Roman"/>
          <w:i/>
          <w:noProof/>
          <w:sz w:val="24"/>
          <w:szCs w:val="24"/>
        </w:rPr>
        <w:t>SAPARD programme</w:t>
      </w:r>
      <w:r>
        <w:rPr>
          <w:rFonts w:ascii="Times New Roman" w:hAnsi="Times New Roman" w:cs="Times New Roman"/>
          <w:noProof/>
          <w:sz w:val="24"/>
          <w:szCs w:val="24"/>
        </w:rPr>
        <w:t xml:space="preserve"> supported agricultural and rural development. For the programme years 2002</w:t>
      </w:r>
      <w:r>
        <w:rPr>
          <w:rFonts w:ascii="Times New Roman" w:hAnsi="Times New Roman" w:cs="Times New Roman"/>
          <w:noProof/>
          <w:sz w:val="24"/>
          <w:szCs w:val="24"/>
        </w:rPr>
        <w:noBreakHyphen/>
        <w:t xml:space="preserve">2006, Turkey was provided assistance under the specific pre-accession oriented framework of the </w:t>
      </w:r>
      <w:r>
        <w:rPr>
          <w:rFonts w:ascii="Times New Roman" w:hAnsi="Times New Roman" w:cs="Times New Roman"/>
          <w:i/>
          <w:noProof/>
          <w:sz w:val="24"/>
          <w:szCs w:val="24"/>
        </w:rPr>
        <w:t>Pre</w:t>
      </w:r>
      <w:r>
        <w:rPr>
          <w:rFonts w:ascii="Times New Roman" w:hAnsi="Times New Roman" w:cs="Times New Roman"/>
          <w:i/>
          <w:noProof/>
          <w:sz w:val="24"/>
          <w:szCs w:val="24"/>
        </w:rPr>
        <w:noBreakHyphen/>
        <w:t>Accession Financial Assistance for Turkey</w:t>
      </w:r>
      <w:r>
        <w:rPr>
          <w:rFonts w:ascii="Times New Roman" w:hAnsi="Times New Roman" w:cs="Times New Roman"/>
          <w:noProof/>
          <w:sz w:val="24"/>
          <w:szCs w:val="24"/>
        </w:rPr>
        <w:t xml:space="preserve">. The </w:t>
      </w:r>
      <w:r>
        <w:rPr>
          <w:rFonts w:ascii="Times New Roman" w:hAnsi="Times New Roman" w:cs="Times New Roman"/>
          <w:i/>
          <w:noProof/>
          <w:sz w:val="24"/>
          <w:szCs w:val="24"/>
        </w:rPr>
        <w:t>CARDS programme</w:t>
      </w:r>
      <w:r>
        <w:rPr>
          <w:rFonts w:ascii="Times New Roman" w:hAnsi="Times New Roman" w:cs="Times New Roman"/>
          <w:noProof/>
          <w:sz w:val="24"/>
          <w:szCs w:val="24"/>
        </w:rPr>
        <w:t xml:space="preserve"> was the main financial instrument of the Union’s Stabilisation and Association Process, which sought to promote stability in the Western Balkans and facilitate the region’s closer association with the Union. The countries that joined the European Union in 2004</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received a </w:t>
      </w:r>
      <w:r>
        <w:rPr>
          <w:rFonts w:ascii="Times New Roman" w:hAnsi="Times New Roman" w:cs="Times New Roman"/>
          <w:i/>
          <w:noProof/>
          <w:sz w:val="24"/>
          <w:szCs w:val="24"/>
        </w:rPr>
        <w:t>Transition Facility</w:t>
      </w:r>
      <w:r>
        <w:rPr>
          <w:rFonts w:ascii="Times New Roman" w:hAnsi="Times New Roman" w:cs="Times New Roman"/>
          <w:noProof/>
          <w:sz w:val="24"/>
          <w:szCs w:val="24"/>
        </w:rPr>
        <w:t xml:space="preserve"> in 2004-06, as did Bulgaria and Romania in 2007-10. All pre-2007 programmes and projects have now been completed.</w:t>
      </w:r>
      <w:r>
        <w:rPr>
          <w:rStyle w:val="FootnoteReference"/>
          <w:rFonts w:ascii="Times New Roman" w:eastAsia="Calibri" w:hAnsi="Times New Roman" w:cs="Times New Roman"/>
          <w:noProof/>
          <w:szCs w:val="24"/>
        </w:rPr>
        <w:footnoteReference w:id="4"/>
      </w:r>
      <w:bookmarkEnd w:id="12"/>
    </w:p>
    <w:p>
      <w:pPr>
        <w:pStyle w:val="ManualHeading3"/>
        <w:numPr>
          <w:ilvl w:val="2"/>
          <w:numId w:val="1"/>
        </w:numPr>
        <w:ind w:left="850" w:hanging="850"/>
        <w:rPr>
          <w:noProof/>
        </w:rPr>
      </w:pPr>
      <w:bookmarkStart w:id="13" w:name="_Toc453345613"/>
      <w:bookmarkStart w:id="14" w:name="_Toc485146216"/>
      <w:bookmarkStart w:id="15" w:name="_Toc485146523"/>
      <w:bookmarkStart w:id="16" w:name="_Toc486928869"/>
      <w:bookmarkStart w:id="17" w:name="_Toc37774484"/>
      <w:bookmarkStart w:id="18" w:name="_Toc45617993"/>
      <w:r>
        <w:rPr>
          <w:noProof/>
        </w:rPr>
        <w:t xml:space="preserve">2007-2013: The Instrument for Pre-accession Assistance </w:t>
      </w:r>
      <w:bookmarkEnd w:id="13"/>
      <w:bookmarkEnd w:id="14"/>
      <w:bookmarkEnd w:id="15"/>
      <w:bookmarkEnd w:id="16"/>
      <w:bookmarkEnd w:id="17"/>
      <w:r>
        <w:rPr>
          <w:noProof/>
        </w:rPr>
        <w:t>(IPA I)</w:t>
      </w:r>
      <w:bookmarkEnd w:id="18"/>
    </w:p>
    <w:p>
      <w:pPr>
        <w:jc w:val="both"/>
        <w:rPr>
          <w:rFonts w:ascii="Times New Roman" w:hAnsi="Times New Roman" w:cs="Times New Roman"/>
          <w:noProof/>
          <w:sz w:val="24"/>
          <w:szCs w:val="24"/>
        </w:rPr>
      </w:pPr>
      <w:r>
        <w:rPr>
          <w:rFonts w:ascii="Times New Roman" w:hAnsi="Times New Roman" w:cs="Times New Roman"/>
          <w:noProof/>
          <w:sz w:val="24"/>
          <w:szCs w:val="24"/>
        </w:rPr>
        <w:t>For the period 2007-2013, the Union supported reforms in the “enlargement countries” (i.e., the candidate countries Albania, Montenegro, North Macedonia, Serbia, and Turkey and potential candidates Bosnia and Herzegovina and Kosovo) with financial and technical help via the Instrument for Pre-accession Assistance (IPA I).</w:t>
      </w:r>
      <w:r>
        <w:rPr>
          <w:rStyle w:val="FootnoteReference"/>
          <w:rFonts w:ascii="Times New Roman" w:eastAsia="Calibri" w:hAnsi="Times New Roman" w:cs="Times New Roman"/>
          <w:noProof/>
          <w:sz w:val="24"/>
          <w:szCs w:val="24"/>
        </w:rPr>
        <w:footnoteReference w:id="5"/>
      </w:r>
      <w:r>
        <w:rPr>
          <w:rFonts w:ascii="Times New Roman" w:hAnsi="Times New Roman" w:cs="Times New Roman"/>
          <w:noProof/>
          <w:sz w:val="24"/>
          <w:szCs w:val="24"/>
        </w:rPr>
        <w:t xml:space="preserve"> IPA I funds built up the capacities of these countries throughout the accession process, resulting in progressive, positive developments in the region. IPA I had a budget of some EUR 11.5 billion and consisted of five components (see below). The IPA I Regulation expired on 31 December 2013; implementation of the instrument is still underway.</w:t>
      </w:r>
      <w:r>
        <w:rPr>
          <w:rStyle w:val="FootnoteReference"/>
          <w:rFonts w:ascii="Times New Roman" w:eastAsia="Calibri" w:hAnsi="Times New Roman" w:cs="Times New Roman"/>
          <w:noProof/>
          <w:sz w:val="24"/>
          <w:szCs w:val="24"/>
        </w:rPr>
        <w:footnoteReference w:id="6"/>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Coordinated by the Directorate-General for Neighbourhood &amp; Enlargement Negotiations (DG NEAR), the five components of IPA I are: (i) transition assistance and institution building (TAIB)</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(ii) cross-border cooperation (CBC)</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(iii) regional development (transport, environment and economic development)</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(iv) human resource development (strengthening human capital and combatting exclusion)</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and (v) rural development</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European Union candidate countries were eligible for all five components; potential candidates were eligible only for the first two.</w:t>
      </w:r>
      <w:r>
        <w:rPr>
          <w:rStyle w:val="FootnoteReference"/>
          <w:rFonts w:ascii="Times New Roman" w:hAnsi="Times New Roman" w:cs="Times New Roman"/>
          <w:noProof/>
          <w:sz w:val="24"/>
          <w:szCs w:val="24"/>
        </w:rPr>
        <w:footnoteReference w:id="12"/>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policy and programming of IPA I consisted of </w:t>
      </w:r>
      <w:hyperlink r:id="rId16" w:history="1">
        <w:r>
          <w:rPr>
            <w:rFonts w:ascii="Times New Roman" w:hAnsi="Times New Roman" w:cs="Times New Roman"/>
            <w:noProof/>
            <w:sz w:val="24"/>
            <w:szCs w:val="24"/>
          </w:rPr>
          <w:t>Multi-Annual Indicative Financial Framework</w:t>
        </w:r>
      </w:hyperlink>
      <w:r>
        <w:rPr>
          <w:rFonts w:ascii="Times New Roman" w:hAnsi="Times New Roman" w:cs="Times New Roman"/>
          <w:noProof/>
          <w:sz w:val="24"/>
          <w:szCs w:val="24"/>
        </w:rPr>
        <w:t xml:space="preserve"> on a three-year basis, established by country, component and a theme, and </w:t>
      </w:r>
      <w:hyperlink r:id="rId17" w:history="1">
        <w:r>
          <w:rPr>
            <w:rFonts w:ascii="Times New Roman" w:hAnsi="Times New Roman" w:cs="Times New Roman"/>
            <w:noProof/>
            <w:sz w:val="24"/>
            <w:szCs w:val="24"/>
          </w:rPr>
          <w:t>Multi</w:t>
        </w:r>
        <w:r>
          <w:rPr>
            <w:rFonts w:ascii="Times New Roman" w:hAnsi="Times New Roman" w:cs="Times New Roman"/>
            <w:noProof/>
            <w:sz w:val="24"/>
            <w:szCs w:val="24"/>
          </w:rPr>
          <w:noBreakHyphen/>
          <w:t>Annual Indicative Planning Documents</w:t>
        </w:r>
      </w:hyperlink>
      <w:r>
        <w:rPr>
          <w:rFonts w:ascii="Times New Roman" w:hAnsi="Times New Roman" w:cs="Times New Roman"/>
          <w:noProof/>
          <w:sz w:val="24"/>
          <w:szCs w:val="24"/>
        </w:rPr>
        <w:t xml:space="preserve"> per country or per groups of countries (regional and horizontal programmes). The candidate countries also had to submit Strategic Coherence Frameworks and multi-annual operational programmes for the third and fourth component. Their principal aim was to prepare beneficiary countries for the future use of cohesion policy instruments by imitating closely its strategic documents, National Strategic Reference Framework and Operational Programmes, and management modes.</w:t>
      </w:r>
    </w:p>
    <w:p>
      <w:pPr>
        <w:pStyle w:val="ManualHeading3"/>
        <w:numPr>
          <w:ilvl w:val="2"/>
          <w:numId w:val="1"/>
        </w:numPr>
        <w:ind w:left="850" w:hanging="850"/>
        <w:rPr>
          <w:noProof/>
        </w:rPr>
      </w:pPr>
      <w:bookmarkStart w:id="19" w:name="_Toc453345614"/>
      <w:bookmarkStart w:id="20" w:name="_Toc485146217"/>
      <w:bookmarkStart w:id="21" w:name="_Toc485146524"/>
      <w:bookmarkStart w:id="22" w:name="_Toc486928870"/>
      <w:bookmarkStart w:id="23" w:name="_Toc37774485"/>
      <w:bookmarkStart w:id="24" w:name="_Toc45617994"/>
      <w:r>
        <w:rPr>
          <w:noProof/>
        </w:rPr>
        <w:t>2014 – 2020: The Instrument for Pre-accession (IPA II</w:t>
      </w:r>
      <w:bookmarkEnd w:id="19"/>
      <w:bookmarkEnd w:id="20"/>
      <w:bookmarkEnd w:id="21"/>
      <w:bookmarkEnd w:id="22"/>
      <w:bookmarkEnd w:id="23"/>
      <w:r>
        <w:rPr>
          <w:noProof/>
        </w:rPr>
        <w:t>)</w:t>
      </w:r>
      <w:bookmarkEnd w:id="24"/>
      <w:r>
        <w:rPr>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For the period 2014-2020, IPA II built on the results achieved under IPA I and set a new framework for providing pre-accession assistance.</w:t>
      </w:r>
      <w:r>
        <w:rPr>
          <w:rStyle w:val="FootnoteReference"/>
          <w:rFonts w:ascii="Times New Roman" w:eastAsia="Calibri" w:hAnsi="Times New Roman" w:cs="Times New Roman"/>
          <w:noProof/>
          <w:sz w:val="24"/>
          <w:szCs w:val="24"/>
        </w:rPr>
        <w:footnoteReference w:id="13"/>
      </w:r>
      <w:r>
        <w:rPr>
          <w:rFonts w:ascii="Times New Roman" w:hAnsi="Times New Roman" w:cs="Times New Roman"/>
          <w:noProof/>
          <w:sz w:val="24"/>
          <w:szCs w:val="24"/>
        </w:rPr>
        <w:t xml:space="preserve"> The primary innovation of IPA II is its strategic focus on specific objectives, including political, economic and social development, strengthening beneficiaries’ ability to fulfil Union membership obligations and regional integration.</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xml:space="preserve"> The multiannual financial framework for 2014-2020 allocated EUR 11.7 billion for the instrument.</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Financial assistance under IPA II pursues four specific objectives: (i) support for political reforms; (ii) support for economic, social and territorial development; (iii) strengthening the ability of the beneficiaries to fulfil (future) obligations stemming from Union membership by supporting progressive alignment with the Union acquis; and (iv) strengthening regional integration and territorial cooperation. The IPA II Regulation limits financial assistance to five policy areas: (i) reforms in preparation for Union membership and related institution-and capacity-building; (ii) socio-economic and regional development; (iii) employment, social policies, education, promotion of gender equality, and human resources development; (iv) agriculture and rural development; and (v) regional and territorial cooperation.</w:t>
      </w:r>
      <w:r>
        <w:rPr>
          <w:rStyle w:val="FootnoteReference"/>
          <w:rFonts w:ascii="Times New Roman" w:hAnsi="Times New Roman" w:cs="Times New Roman"/>
          <w:noProof/>
          <w:sz w:val="24"/>
          <w:szCs w:val="24"/>
        </w:rPr>
        <w:footnoteReference w:id="16"/>
      </w:r>
    </w:p>
    <w:p>
      <w:pPr>
        <w:jc w:val="both"/>
        <w:rPr>
          <w:rFonts w:ascii="Times New Roman" w:hAnsi="Times New Roman" w:cs="Times New Roman"/>
          <w:noProof/>
          <w:sz w:val="24"/>
          <w:szCs w:val="24"/>
        </w:rPr>
      </w:pPr>
      <w:r>
        <w:rPr>
          <w:rFonts w:ascii="Times New Roman" w:hAnsi="Times New Roman" w:cs="Times New Roman"/>
          <w:noProof/>
          <w:sz w:val="24"/>
          <w:szCs w:val="24"/>
        </w:rPr>
        <w:t>To provide an individual implementation framework for each beneficiary, Country Strategy Papers were drafted identifying sectors where improvements were necessary to advance membership goals. The priorities outlined in these papers were translated into detailed actions, included in annual or multi-annual Action Programmes that take the form of Financing Decisions adopted by the European Commission.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bulk of IPA II assistance is channelled through the </w:t>
      </w:r>
      <w:r>
        <w:rPr>
          <w:rFonts w:ascii="Times New Roman" w:hAnsi="Times New Roman" w:cs="Times New Roman"/>
          <w:i/>
          <w:noProof/>
          <w:sz w:val="24"/>
          <w:szCs w:val="24"/>
        </w:rPr>
        <w:t>Country Action Programmes</w:t>
      </w:r>
      <w:r>
        <w:rPr>
          <w:rFonts w:ascii="Times New Roman" w:hAnsi="Times New Roman" w:cs="Times New Roman"/>
          <w:noProof/>
          <w:sz w:val="24"/>
          <w:szCs w:val="24"/>
        </w:rPr>
        <w:t xml:space="preserve">, the main vehicles for addressing country-specific needs in priority sectors as identified in the indicative Strategy Papers. Additionally, IPA II funded </w:t>
      </w:r>
      <w:r>
        <w:rPr>
          <w:rFonts w:ascii="Times New Roman" w:hAnsi="Times New Roman" w:cs="Times New Roman"/>
          <w:i/>
          <w:noProof/>
          <w:sz w:val="24"/>
          <w:szCs w:val="24"/>
        </w:rPr>
        <w:t>Multi-Country Action Programmes</w:t>
      </w:r>
      <w:r>
        <w:rPr>
          <w:rFonts w:ascii="Times New Roman" w:hAnsi="Times New Roman" w:cs="Times New Roman"/>
          <w:noProof/>
          <w:sz w:val="24"/>
          <w:szCs w:val="24"/>
        </w:rPr>
        <w:t xml:space="preserve"> to enhance regional cooperation, particularly in the Western Balkans. Financial assistance was also provided via </w:t>
      </w:r>
      <w:r>
        <w:rPr>
          <w:rFonts w:ascii="Times New Roman" w:hAnsi="Times New Roman" w:cs="Times New Roman"/>
          <w:i/>
          <w:noProof/>
          <w:sz w:val="24"/>
          <w:szCs w:val="24"/>
        </w:rPr>
        <w:t>Cross-Border Cooperation Programmes</w:t>
      </w:r>
      <w:r>
        <w:rPr>
          <w:rFonts w:ascii="Times New Roman" w:hAnsi="Times New Roman" w:cs="Times New Roman"/>
          <w:noProof/>
          <w:sz w:val="24"/>
          <w:szCs w:val="24"/>
        </w:rPr>
        <w:t xml:space="preserve"> to encourage territorial cooperation between IPA II beneficiaries and </w:t>
      </w:r>
      <w:r>
        <w:rPr>
          <w:rFonts w:ascii="Times New Roman" w:hAnsi="Times New Roman" w:cs="Times New Roman"/>
          <w:i/>
          <w:noProof/>
          <w:sz w:val="24"/>
          <w:szCs w:val="24"/>
        </w:rPr>
        <w:t>Rural Development Programmes</w:t>
      </w:r>
      <w:r>
        <w:rPr>
          <w:rFonts w:ascii="Times New Roman" w:hAnsi="Times New Roman" w:cs="Times New Roman"/>
          <w:noProof/>
          <w:sz w:val="24"/>
          <w:szCs w:val="24"/>
        </w:rPr>
        <w:t xml:space="preserve"> to encourage the development of rural areas.</w:t>
      </w:r>
    </w:p>
    <w:p>
      <w:pPr>
        <w:jc w:val="both"/>
        <w:rPr>
          <w:rFonts w:ascii="Times New Roman" w:hAnsi="Times New Roman" w:cs="Times New Roman"/>
          <w:noProof/>
          <w:sz w:val="24"/>
          <w:szCs w:val="24"/>
        </w:rPr>
      </w:pPr>
      <w:r>
        <w:rPr>
          <w:rFonts w:ascii="Times New Roman" w:hAnsi="Times New Roman" w:cs="Times New Roman"/>
          <w:noProof/>
          <w:sz w:val="24"/>
          <w:szCs w:val="24"/>
        </w:rPr>
        <w:t>In accordance with the financial regulation, IPA II funded activities are managed either directly (meaning that the Commission implements them directly until the relevant national authorities are accredited to manage the funds) or indirectly (meaning that the Commission delegates the management of certain actions to external entities, while still retaining overall final responsibility for the general budget execution. Cross–border cooperation programmes with Member States are administered via shared managed, meaning that implementation tasks are delegated to the Member States.</w:t>
      </w:r>
    </w:p>
    <w:p>
      <w:pPr>
        <w:pStyle w:val="ManualHeading2"/>
        <w:numPr>
          <w:ilvl w:val="1"/>
          <w:numId w:val="1"/>
        </w:numPr>
        <w:ind w:left="850" w:hanging="850"/>
        <w:rPr>
          <w:noProof/>
        </w:rPr>
      </w:pPr>
      <w:bookmarkStart w:id="25" w:name="_Toc424911594"/>
      <w:bookmarkStart w:id="26" w:name="_Toc453345615"/>
      <w:bookmarkStart w:id="27" w:name="_Toc485146218"/>
      <w:bookmarkStart w:id="28" w:name="_Toc485146525"/>
      <w:bookmarkStart w:id="29" w:name="_Toc486928871"/>
      <w:bookmarkStart w:id="30" w:name="_Toc37774486"/>
      <w:bookmarkStart w:id="31" w:name="_Toc45617995"/>
      <w:r>
        <w:rPr>
          <w:noProof/>
        </w:rPr>
        <w:t>General analysis</w:t>
      </w:r>
      <w:bookmarkEnd w:id="25"/>
      <w:bookmarkEnd w:id="26"/>
      <w:bookmarkEnd w:id="27"/>
      <w:bookmarkEnd w:id="28"/>
      <w:bookmarkEnd w:id="29"/>
      <w:bookmarkEnd w:id="30"/>
      <w:bookmarkEnd w:id="31"/>
    </w:p>
    <w:p>
      <w:pPr>
        <w:jc w:val="both"/>
        <w:rPr>
          <w:rFonts w:ascii="Times New Roman" w:hAnsi="Times New Roman" w:cs="Times New Roman"/>
          <w:noProof/>
          <w:sz w:val="24"/>
        </w:rPr>
      </w:pPr>
      <w:r>
        <w:rPr>
          <w:rFonts w:ascii="Times New Roman" w:hAnsi="Times New Roman" w:cs="Times New Roman"/>
          <w:noProof/>
          <w:sz w:val="24"/>
        </w:rPr>
        <w:t>This analysis will focus on the 721 irregularities reported via IMS during the period 2015</w:t>
      </w:r>
      <w:r>
        <w:rPr>
          <w:rFonts w:ascii="Times New Roman" w:hAnsi="Times New Roman" w:cs="Times New Roman"/>
          <w:noProof/>
          <w:sz w:val="24"/>
        </w:rPr>
        <w:noBreakHyphen/>
        <w:t>2019 relating to pre-accession funds. Of these, 31 arise out of funds distributed under the 2000-2006 Pre-Accession Assistance</w:t>
      </w:r>
      <w:r>
        <w:rPr>
          <w:rStyle w:val="FootnoteReference"/>
          <w:rFonts w:ascii="Times New Roman" w:hAnsi="Times New Roman" w:cs="Times New Roman"/>
          <w:noProof/>
          <w:sz w:val="24"/>
        </w:rPr>
        <w:footnoteReference w:id="17"/>
      </w:r>
      <w:r>
        <w:rPr>
          <w:rFonts w:ascii="Times New Roman" w:hAnsi="Times New Roman" w:cs="Times New Roman"/>
          <w:noProof/>
          <w:sz w:val="24"/>
        </w:rPr>
        <w:t>, 594 arise out of funds distributed under IPA I</w:t>
      </w:r>
      <w:r>
        <w:rPr>
          <w:rStyle w:val="FootnoteReference"/>
          <w:rFonts w:ascii="Times New Roman" w:hAnsi="Times New Roman" w:cs="Times New Roman"/>
          <w:noProof/>
          <w:sz w:val="24"/>
        </w:rPr>
        <w:footnoteReference w:id="18"/>
      </w:r>
      <w:r>
        <w:rPr>
          <w:rFonts w:ascii="Times New Roman" w:hAnsi="Times New Roman" w:cs="Times New Roman"/>
          <w:noProof/>
          <w:sz w:val="24"/>
        </w:rPr>
        <w:t xml:space="preserve"> and the remaining 96 out of IPA II</w:t>
      </w:r>
      <w:r>
        <w:rPr>
          <w:rStyle w:val="FootnoteReference"/>
          <w:rFonts w:ascii="Times New Roman" w:hAnsi="Times New Roman" w:cs="Times New Roman"/>
          <w:noProof/>
          <w:sz w:val="24"/>
        </w:rPr>
        <w:footnoteReference w:id="19"/>
      </w:r>
      <w:r>
        <w:rPr>
          <w:rFonts w:ascii="Times New Roman" w:hAnsi="Times New Roman" w:cs="Times New Roman"/>
          <w:noProof/>
          <w:sz w:val="24"/>
        </w:rPr>
        <w:t xml:space="preserve">. A number of charts in this section </w:t>
      </w:r>
      <w:r>
        <w:rPr>
          <w:rStyle w:val="FootnoteReference"/>
          <w:rFonts w:ascii="Times New Roman" w:hAnsi="Times New Roman" w:cs="Times New Roman"/>
          <w:noProof/>
          <w:sz w:val="24"/>
        </w:rPr>
        <w:footnoteReference w:id="20"/>
      </w:r>
      <w:r>
        <w:rPr>
          <w:rFonts w:ascii="Times New Roman" w:hAnsi="Times New Roman" w:cs="Times New Roman"/>
          <w:noProof/>
          <w:sz w:val="24"/>
        </w:rPr>
        <w:t>illustrate data going back beyond the past five years, as indicated in the respective charts’ X-axes.</w:t>
      </w:r>
    </w:p>
    <w:p>
      <w:pPr>
        <w:pStyle w:val="ManualHeading3"/>
        <w:numPr>
          <w:ilvl w:val="2"/>
          <w:numId w:val="1"/>
        </w:numPr>
        <w:ind w:left="850" w:hanging="850"/>
        <w:rPr>
          <w:noProof/>
        </w:rPr>
      </w:pPr>
      <w:bookmarkStart w:id="32" w:name="_Toc45617996"/>
      <w:r>
        <w:rPr>
          <w:noProof/>
        </w:rPr>
        <w:t>Occurrence of Fraud</w:t>
      </w:r>
      <w:bookmarkEnd w:id="32"/>
    </w:p>
    <w:p>
      <w:pPr>
        <w:jc w:val="both"/>
        <w:rPr>
          <w:noProof/>
        </w:rPr>
      </w:pPr>
      <w:r>
        <w:rPr>
          <w:rFonts w:ascii="Times New Roman" w:hAnsi="Times New Roman" w:cs="Times New Roman"/>
          <w:b/>
          <w:noProof/>
          <w:sz w:val="24"/>
        </w:rPr>
        <w:t>The number of irregularities reported annually has been increasing since 2016; the fraud frequency level increased dramatically between 2018 and 2019.</w:t>
      </w:r>
      <w:r>
        <w:rPr>
          <w:rFonts w:ascii="Times New Roman" w:hAnsi="Times New Roman" w:cs="Times New Roman"/>
          <w:noProof/>
          <w:sz w:val="24"/>
        </w:rPr>
        <w:t xml:space="preserve"> Of the 721 irregularities reported between 2015 and 2019, 135 were reported as fraudulent. Table PA1 and Chart PA1 show the absolute number of fraudulent (orange) and non</w:t>
      </w:r>
      <w:r>
        <w:rPr>
          <w:rFonts w:ascii="Times New Roman" w:hAnsi="Times New Roman" w:cs="Times New Roman"/>
          <w:noProof/>
          <w:sz w:val="24"/>
        </w:rPr>
        <w:noBreakHyphen/>
        <w:t>fraudulent (blue) irregularities reported in each of the past five years, along with the Fraud Frequency Level (“FFL” - grey line). While the number of irregularities reported has been rising steadily since 2016, there is a sharp uptick in the FFL reported during 2019. The data indicate a general downward trend from 2015 to 2018 and then a significant jump in 2019 to 25%.</w:t>
      </w:r>
      <w:r>
        <w:rPr>
          <w:noProof/>
        </w:rPr>
        <w:t xml:space="preserve"> </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1</w:t>
      </w:r>
      <w:r>
        <w:rPr>
          <w:noProof/>
        </w:rPr>
        <w:fldChar w:fldCharType="end"/>
      </w:r>
      <w:r>
        <w:rPr>
          <w:noProof/>
        </w:rPr>
        <w:t>: Number of irregularities reported and FFL, 2015-2019</w:t>
      </w:r>
    </w:p>
    <w:tbl>
      <w:tblPr>
        <w:tblStyle w:val="ListTable4Accent2"/>
        <w:tblW w:w="0" w:type="auto"/>
        <w:tblInd w:w="250" w:type="dxa"/>
        <w:tblLook w:val="04A0" w:firstRow="1" w:lastRow="0" w:firstColumn="1" w:lastColumn="0" w:noHBand="0" w:noVBand="1"/>
      </w:tblPr>
      <w:tblGrid>
        <w:gridCol w:w="675"/>
        <w:gridCol w:w="1654"/>
        <w:gridCol w:w="1654"/>
        <w:gridCol w:w="1654"/>
      </w:tblGrid>
      <w:tr>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5" w:type="dxa"/>
            <w:vAlign w:val="center"/>
          </w:tcPr>
          <w:p>
            <w:pPr>
              <w:keepNext/>
              <w:keepLines/>
              <w:rPr>
                <w:rFonts w:ascii="Times New Roman" w:hAnsi="Times New Roman" w:cs="Times New Roman"/>
                <w:noProof/>
                <w:sz w:val="20"/>
                <w:szCs w:val="20"/>
              </w:rPr>
            </w:pPr>
            <w:r>
              <w:rPr>
                <w:rFonts w:ascii="Times New Roman" w:hAnsi="Times New Roman" w:cs="Times New Roman"/>
                <w:noProof/>
                <w:sz w:val="20"/>
                <w:szCs w:val="20"/>
              </w:rPr>
              <w:t>Year</w:t>
            </w:r>
          </w:p>
        </w:tc>
        <w:tc>
          <w:tcPr>
            <w:tcW w:w="1654" w:type="dxa"/>
            <w:vAlign w:val="center"/>
          </w:tcPr>
          <w:p>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sz w:val="20"/>
                <w:szCs w:val="20"/>
              </w:rPr>
            </w:pPr>
            <w:r>
              <w:rPr>
                <w:rFonts w:ascii="Times New Roman" w:hAnsi="Times New Roman" w:cs="Times New Roman"/>
                <w:noProof/>
                <w:sz w:val="20"/>
                <w:szCs w:val="20"/>
              </w:rPr>
              <w:t>Irregularities reported as fraudulent</w:t>
            </w:r>
          </w:p>
        </w:tc>
        <w:tc>
          <w:tcPr>
            <w:tcW w:w="1654" w:type="dxa"/>
            <w:vAlign w:val="center"/>
          </w:tcPr>
          <w:p>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Irregularities</w:t>
            </w:r>
          </w:p>
          <w:p>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not reported as fraudulent</w:t>
            </w:r>
          </w:p>
        </w:tc>
        <w:tc>
          <w:tcPr>
            <w:tcW w:w="1654" w:type="dxa"/>
            <w:vAlign w:val="center"/>
          </w:tcPr>
          <w:p>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sz w:val="20"/>
                <w:szCs w:val="20"/>
              </w:rPr>
            </w:pPr>
            <w:r>
              <w:rPr>
                <w:rFonts w:ascii="Times New Roman" w:hAnsi="Times New Roman" w:cs="Times New Roman"/>
                <w:noProof/>
                <w:sz w:val="20"/>
                <w:szCs w:val="20"/>
              </w:rPr>
              <w:t>Fraud Frequency Level (FFL)</w:t>
            </w:r>
            <w:r>
              <w:rPr>
                <w:rFonts w:ascii="Times New Roman" w:hAnsi="Times New Roman" w:cs="Times New Roman"/>
                <w:noProof/>
                <w:sz w:val="20"/>
                <w:szCs w:val="20"/>
                <w:vertAlign w:val="superscript"/>
              </w:rPr>
              <w:t>i</w:t>
            </w:r>
            <w:r>
              <w:rPr>
                <w:rStyle w:val="CommentReference"/>
                <w:b w:val="0"/>
                <w:bCs w:val="0"/>
                <w:noProof/>
                <w:color w:val="auto"/>
              </w:rPr>
              <w:t xml:space="preserve"> </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5" w:type="dxa"/>
            <w:vAlign w:val="center"/>
          </w:tcPr>
          <w:p>
            <w:pPr>
              <w:keepNext/>
              <w:keepLines/>
              <w:rPr>
                <w:rFonts w:ascii="Times New Roman" w:hAnsi="Times New Roman" w:cs="Times New Roman"/>
                <w:noProof/>
                <w:sz w:val="20"/>
                <w:szCs w:val="20"/>
              </w:rPr>
            </w:pPr>
            <w:r>
              <w:rPr>
                <w:rFonts w:ascii="Times New Roman" w:hAnsi="Times New Roman" w:cs="Times New Roman"/>
                <w:noProof/>
                <w:sz w:val="20"/>
                <w:szCs w:val="20"/>
              </w:rPr>
              <w:t>2015</w:t>
            </w:r>
          </w:p>
        </w:tc>
        <w:tc>
          <w:tcPr>
            <w:tcW w:w="1654" w:type="dxa"/>
            <w:vAlign w:val="bottom"/>
          </w:tcPr>
          <w:p>
            <w:pPr>
              <w:keepNext/>
              <w:keepLine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eastAsia="Times New Roman" w:hAnsi="Times New Roman" w:cs="Times New Roman"/>
                <w:noProof/>
                <w:color w:val="000000"/>
                <w:sz w:val="20"/>
                <w:lang w:eastAsia="en-GB"/>
              </w:rPr>
              <w:t>26</w:t>
            </w:r>
          </w:p>
        </w:tc>
        <w:tc>
          <w:tcPr>
            <w:tcW w:w="1654" w:type="dxa"/>
          </w:tcPr>
          <w:p>
            <w:pPr>
              <w:keepNext/>
              <w:keepLine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rPr>
              <w:t>102</w:t>
            </w:r>
          </w:p>
        </w:tc>
        <w:tc>
          <w:tcPr>
            <w:tcW w:w="1654" w:type="dxa"/>
            <w:vAlign w:val="bottom"/>
          </w:tcPr>
          <w:p>
            <w:pPr>
              <w:keepNext/>
              <w:keepLine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20%</w:t>
            </w:r>
          </w:p>
        </w:tc>
      </w:tr>
      <w:tr>
        <w:trPr>
          <w:cantSplit/>
        </w:trPr>
        <w:tc>
          <w:tcPr>
            <w:cnfStyle w:val="001000000000" w:firstRow="0" w:lastRow="0" w:firstColumn="1" w:lastColumn="0" w:oddVBand="0" w:evenVBand="0" w:oddHBand="0" w:evenHBand="0" w:firstRowFirstColumn="0" w:firstRowLastColumn="0" w:lastRowFirstColumn="0" w:lastRowLastColumn="0"/>
            <w:tcW w:w="675" w:type="dxa"/>
            <w:vAlign w:val="center"/>
          </w:tcPr>
          <w:p>
            <w:pPr>
              <w:keepNext/>
              <w:keepLines/>
              <w:rPr>
                <w:rFonts w:ascii="Times New Roman" w:hAnsi="Times New Roman" w:cs="Times New Roman"/>
                <w:noProof/>
                <w:sz w:val="20"/>
                <w:szCs w:val="20"/>
              </w:rPr>
            </w:pPr>
            <w:r>
              <w:rPr>
                <w:rFonts w:ascii="Times New Roman" w:hAnsi="Times New Roman" w:cs="Times New Roman"/>
                <w:noProof/>
                <w:sz w:val="20"/>
                <w:szCs w:val="20"/>
              </w:rPr>
              <w:t>2016</w:t>
            </w:r>
          </w:p>
        </w:tc>
        <w:tc>
          <w:tcPr>
            <w:tcW w:w="1654" w:type="dxa"/>
            <w:vAlign w:val="bottom"/>
          </w:tcPr>
          <w:p>
            <w:pPr>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eastAsia="Times New Roman" w:hAnsi="Times New Roman" w:cs="Times New Roman"/>
                <w:noProof/>
                <w:color w:val="000000"/>
                <w:sz w:val="20"/>
                <w:lang w:eastAsia="en-GB"/>
              </w:rPr>
              <w:t>20</w:t>
            </w:r>
          </w:p>
        </w:tc>
        <w:tc>
          <w:tcPr>
            <w:tcW w:w="1654" w:type="dxa"/>
          </w:tcPr>
          <w:p>
            <w:pPr>
              <w:keepNext/>
              <w:keepLine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rPr>
              <w:t>97</w:t>
            </w:r>
          </w:p>
        </w:tc>
        <w:tc>
          <w:tcPr>
            <w:tcW w:w="1654" w:type="dxa"/>
            <w:vAlign w:val="bottom"/>
          </w:tcPr>
          <w:p>
            <w:pPr>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17%</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5" w:type="dxa"/>
            <w:vAlign w:val="center"/>
          </w:tcPr>
          <w:p>
            <w:pPr>
              <w:keepNext/>
              <w:keepLines/>
              <w:rPr>
                <w:rFonts w:ascii="Times New Roman" w:hAnsi="Times New Roman" w:cs="Times New Roman"/>
                <w:noProof/>
                <w:sz w:val="20"/>
                <w:szCs w:val="20"/>
              </w:rPr>
            </w:pPr>
            <w:r>
              <w:rPr>
                <w:rFonts w:ascii="Times New Roman" w:hAnsi="Times New Roman" w:cs="Times New Roman"/>
                <w:noProof/>
                <w:sz w:val="20"/>
                <w:szCs w:val="20"/>
              </w:rPr>
              <w:t>2017</w:t>
            </w:r>
          </w:p>
        </w:tc>
        <w:tc>
          <w:tcPr>
            <w:tcW w:w="1654" w:type="dxa"/>
            <w:vAlign w:val="bottom"/>
          </w:tcPr>
          <w:p>
            <w:pPr>
              <w:keepNext/>
              <w:keepLine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eastAsia="Times New Roman" w:hAnsi="Times New Roman" w:cs="Times New Roman"/>
                <w:noProof/>
                <w:color w:val="000000"/>
                <w:sz w:val="20"/>
                <w:lang w:eastAsia="en-GB"/>
              </w:rPr>
              <w:t>18</w:t>
            </w:r>
          </w:p>
        </w:tc>
        <w:tc>
          <w:tcPr>
            <w:tcW w:w="1654" w:type="dxa"/>
          </w:tcPr>
          <w:p>
            <w:pPr>
              <w:keepNext/>
              <w:keepLine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rPr>
              <w:t>106</w:t>
            </w:r>
          </w:p>
        </w:tc>
        <w:tc>
          <w:tcPr>
            <w:tcW w:w="1654" w:type="dxa"/>
            <w:vAlign w:val="bottom"/>
          </w:tcPr>
          <w:p>
            <w:pPr>
              <w:keepNext/>
              <w:keepLine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15%</w:t>
            </w:r>
          </w:p>
        </w:tc>
      </w:tr>
      <w:tr>
        <w:trPr>
          <w:cantSplit/>
        </w:trPr>
        <w:tc>
          <w:tcPr>
            <w:cnfStyle w:val="001000000000" w:firstRow="0" w:lastRow="0" w:firstColumn="1" w:lastColumn="0" w:oddVBand="0" w:evenVBand="0" w:oddHBand="0" w:evenHBand="0" w:firstRowFirstColumn="0" w:firstRowLastColumn="0" w:lastRowFirstColumn="0" w:lastRowLastColumn="0"/>
            <w:tcW w:w="675" w:type="dxa"/>
            <w:vAlign w:val="center"/>
          </w:tcPr>
          <w:p>
            <w:pPr>
              <w:keepNext/>
              <w:keepLines/>
              <w:rPr>
                <w:rFonts w:ascii="Times New Roman" w:hAnsi="Times New Roman" w:cs="Times New Roman"/>
                <w:noProof/>
                <w:sz w:val="20"/>
                <w:szCs w:val="20"/>
              </w:rPr>
            </w:pPr>
            <w:r>
              <w:rPr>
                <w:rFonts w:ascii="Times New Roman" w:hAnsi="Times New Roman" w:cs="Times New Roman"/>
                <w:noProof/>
                <w:sz w:val="20"/>
                <w:szCs w:val="20"/>
              </w:rPr>
              <w:t>2018</w:t>
            </w:r>
          </w:p>
        </w:tc>
        <w:tc>
          <w:tcPr>
            <w:tcW w:w="1654" w:type="dxa"/>
            <w:vAlign w:val="bottom"/>
          </w:tcPr>
          <w:p>
            <w:pPr>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eastAsia="Times New Roman" w:hAnsi="Times New Roman" w:cs="Times New Roman"/>
                <w:noProof/>
                <w:color w:val="000000"/>
                <w:sz w:val="20"/>
                <w:lang w:eastAsia="en-GB"/>
              </w:rPr>
              <w:t>20</w:t>
            </w:r>
          </w:p>
        </w:tc>
        <w:tc>
          <w:tcPr>
            <w:tcW w:w="1654" w:type="dxa"/>
          </w:tcPr>
          <w:p>
            <w:pPr>
              <w:keepNext/>
              <w:keepLine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rPr>
              <w:t>128</w:t>
            </w:r>
          </w:p>
        </w:tc>
        <w:tc>
          <w:tcPr>
            <w:tcW w:w="1654" w:type="dxa"/>
            <w:vAlign w:val="bottom"/>
          </w:tcPr>
          <w:p>
            <w:pPr>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14%</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5" w:type="dxa"/>
            <w:vAlign w:val="center"/>
          </w:tcPr>
          <w:p>
            <w:pPr>
              <w:keepNext/>
              <w:keepLines/>
              <w:rPr>
                <w:rFonts w:ascii="Times New Roman" w:hAnsi="Times New Roman" w:cs="Times New Roman"/>
                <w:noProof/>
                <w:sz w:val="20"/>
                <w:szCs w:val="20"/>
              </w:rPr>
            </w:pPr>
            <w:r>
              <w:rPr>
                <w:rFonts w:ascii="Times New Roman" w:hAnsi="Times New Roman" w:cs="Times New Roman"/>
                <w:noProof/>
                <w:sz w:val="20"/>
                <w:szCs w:val="20"/>
              </w:rPr>
              <w:t>2019</w:t>
            </w:r>
          </w:p>
        </w:tc>
        <w:tc>
          <w:tcPr>
            <w:tcW w:w="1654" w:type="dxa"/>
            <w:vAlign w:val="bottom"/>
          </w:tcPr>
          <w:p>
            <w:pPr>
              <w:keepNext/>
              <w:keepLine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eastAsia="Times New Roman" w:hAnsi="Times New Roman" w:cs="Times New Roman"/>
                <w:noProof/>
                <w:color w:val="000000"/>
                <w:sz w:val="20"/>
                <w:lang w:eastAsia="en-GB"/>
              </w:rPr>
              <w:t>51</w:t>
            </w:r>
          </w:p>
        </w:tc>
        <w:tc>
          <w:tcPr>
            <w:tcW w:w="1654" w:type="dxa"/>
          </w:tcPr>
          <w:p>
            <w:pPr>
              <w:keepNext/>
              <w:keepLine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rPr>
              <w:t>153</w:t>
            </w:r>
          </w:p>
        </w:tc>
        <w:tc>
          <w:tcPr>
            <w:tcW w:w="1654" w:type="dxa"/>
            <w:vAlign w:val="bottom"/>
          </w:tcPr>
          <w:p>
            <w:pPr>
              <w:keepNext/>
              <w:keepLine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25%</w:t>
            </w:r>
          </w:p>
        </w:tc>
      </w:tr>
      <w:tr>
        <w:trPr>
          <w:cantSplit/>
        </w:trPr>
        <w:tc>
          <w:tcPr>
            <w:cnfStyle w:val="001000000000" w:firstRow="0" w:lastRow="0" w:firstColumn="1" w:lastColumn="0" w:oddVBand="0" w:evenVBand="0" w:oddHBand="0" w:evenHBand="0" w:firstRowFirstColumn="0" w:firstRowLastColumn="0" w:lastRowFirstColumn="0" w:lastRowLastColumn="0"/>
            <w:tcW w:w="675" w:type="dxa"/>
            <w:vAlign w:val="center"/>
          </w:tcPr>
          <w:p>
            <w:pPr>
              <w:keepNext/>
              <w:keepLines/>
              <w:rPr>
                <w:rFonts w:ascii="Times New Roman" w:hAnsi="Times New Roman" w:cs="Times New Roman"/>
                <w:noProof/>
                <w:sz w:val="20"/>
                <w:szCs w:val="20"/>
              </w:rPr>
            </w:pPr>
            <w:r>
              <w:rPr>
                <w:rFonts w:ascii="Times New Roman" w:hAnsi="Times New Roman" w:cs="Times New Roman"/>
                <w:noProof/>
                <w:sz w:val="20"/>
                <w:szCs w:val="20"/>
              </w:rPr>
              <w:t>Total</w:t>
            </w:r>
          </w:p>
        </w:tc>
        <w:tc>
          <w:tcPr>
            <w:tcW w:w="1654" w:type="dxa"/>
            <w:vAlign w:val="bottom"/>
          </w:tcPr>
          <w:p>
            <w:pPr>
              <w:keepNext/>
              <w:keepLine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135</w:t>
            </w:r>
          </w:p>
        </w:tc>
        <w:tc>
          <w:tcPr>
            <w:tcW w:w="1654" w:type="dxa"/>
          </w:tcPr>
          <w:p>
            <w:pPr>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586</w:t>
            </w:r>
          </w:p>
        </w:tc>
        <w:tc>
          <w:tcPr>
            <w:tcW w:w="1654" w:type="dxa"/>
            <w:vAlign w:val="bottom"/>
          </w:tcPr>
          <w:p>
            <w:pPr>
              <w:keepNext/>
              <w:keepLine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19%</w:t>
            </w:r>
          </w:p>
        </w:tc>
      </w:tr>
    </w:tbl>
    <w:p>
      <w:pPr>
        <w:pStyle w:val="Caption"/>
        <w:ind w:left="720"/>
        <w:rPr>
          <w:rStyle w:val="Hyperlink"/>
          <w:rFonts w:ascii="Times New Roman" w:hAnsi="Times New Roman" w:cs="Times New Roman"/>
          <w:noProof/>
          <w:sz w:val="16"/>
        </w:rPr>
      </w:pPr>
      <w:r>
        <w:rPr>
          <w:rFonts w:ascii="Times New Roman" w:hAnsi="Times New Roman" w:cs="Times New Roman"/>
          <w:noProof/>
          <w:sz w:val="24"/>
          <w:vertAlign w:val="superscript"/>
        </w:rPr>
        <w:t>i</w:t>
      </w:r>
      <w:r>
        <w:rPr>
          <w:rFonts w:ascii="Times New Roman" w:hAnsi="Times New Roman" w:cs="Times New Roman"/>
          <w:i w:val="0"/>
          <w:noProof/>
          <w:sz w:val="24"/>
        </w:rPr>
        <w:t xml:space="preserve"> </w:t>
      </w:r>
      <w:r>
        <w:rPr>
          <w:rFonts w:ascii="Times New Roman" w:hAnsi="Times New Roman" w:cs="Times New Roman"/>
          <w:noProof/>
          <w:sz w:val="16"/>
        </w:rPr>
        <w:t xml:space="preserve">For details on the calculation of the FFL, see SWD(2016)237 final. </w:t>
      </w:r>
      <w:hyperlink r:id="rId18" w:history="1">
        <w:r>
          <w:rPr>
            <w:rStyle w:val="Hyperlink"/>
            <w:rFonts w:ascii="Times New Roman" w:hAnsi="Times New Roman" w:cs="Times New Roman"/>
            <w:noProof/>
            <w:sz w:val="16"/>
          </w:rPr>
          <w:t>http://ec.europa.eu/anti- fraud/sites/antifraud/files/methodology_statistical_evaluation_2015_en.pdf</w:t>
        </w:r>
      </w:hyperlink>
    </w:p>
    <w:p>
      <w:pPr>
        <w:rPr>
          <w:noProof/>
        </w:rPr>
      </w:pPr>
    </w:p>
    <w:p>
      <w:pPr>
        <w:pStyle w:val="Caption"/>
        <w:keepNext/>
        <w:rPr>
          <w:noProof/>
        </w:rPr>
      </w:pPr>
      <w:r>
        <w:rPr>
          <w:noProof/>
        </w:rPr>
        <w:t xml:space="preserve">Chart PA </w:t>
      </w:r>
      <w:r>
        <w:rPr>
          <w:noProof/>
        </w:rPr>
        <w:fldChar w:fldCharType="begin"/>
      </w:r>
      <w:r>
        <w:rPr>
          <w:noProof/>
        </w:rPr>
        <w:instrText xml:space="preserve"> SEQ Chart_PA \* ARABIC </w:instrText>
      </w:r>
      <w:r>
        <w:rPr>
          <w:noProof/>
        </w:rPr>
        <w:fldChar w:fldCharType="separate"/>
      </w:r>
      <w:r>
        <w:rPr>
          <w:noProof/>
        </w:rPr>
        <w:t>1</w:t>
      </w:r>
      <w:r>
        <w:rPr>
          <w:noProof/>
        </w:rPr>
        <w:fldChar w:fldCharType="end"/>
      </w:r>
    </w:p>
    <w:p>
      <w:pPr>
        <w:keepNext/>
        <w:rPr>
          <w:noProof/>
        </w:rPr>
      </w:pPr>
      <w:r>
        <w:rPr>
          <w:noProof/>
          <w:lang w:eastAsia="en-GB"/>
        </w:rPr>
        <w:drawing>
          <wp:inline distT="0" distB="0" distL="0" distR="0">
            <wp:extent cx="5693663" cy="3416198"/>
            <wp:effectExtent l="0" t="0" r="2540" b="133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ManualHeading3"/>
        <w:numPr>
          <w:ilvl w:val="2"/>
          <w:numId w:val="1"/>
        </w:numPr>
        <w:ind w:left="850" w:hanging="850"/>
        <w:rPr>
          <w:noProof/>
        </w:rPr>
      </w:pPr>
      <w:bookmarkStart w:id="33" w:name="_Toc45617997"/>
      <w:bookmarkStart w:id="34" w:name="_Toc453345616"/>
      <w:bookmarkStart w:id="35" w:name="_Toc485146219"/>
      <w:bookmarkStart w:id="36" w:name="_Toc485146526"/>
      <w:bookmarkStart w:id="37" w:name="_Toc486928872"/>
      <w:bookmarkStart w:id="38" w:name="_Toc37774487"/>
      <w:r>
        <w:rPr>
          <w:noProof/>
        </w:rPr>
        <w:t>Analysis by Instrument</w:t>
      </w:r>
      <w:bookmarkEnd w:id="33"/>
    </w:p>
    <w:p>
      <w:pPr>
        <w:pStyle w:val="ManualHeading4"/>
        <w:rPr>
          <w:noProof/>
        </w:rPr>
      </w:pPr>
      <w:r>
        <w:rPr>
          <w:noProof/>
        </w:rPr>
        <w:t>5.3.2.1 Pre-accession assistance 2000-2006 (PAA)</w:t>
      </w:r>
      <w:bookmarkEnd w:id="34"/>
      <w:bookmarkEnd w:id="35"/>
      <w:bookmarkEnd w:id="36"/>
      <w:bookmarkEnd w:id="37"/>
      <w:bookmarkEnd w:id="38"/>
    </w:p>
    <w:p>
      <w:pPr>
        <w:jc w:val="both"/>
        <w:rPr>
          <w:rFonts w:ascii="Times New Roman" w:hAnsi="Times New Roman" w:cs="Times New Roman"/>
          <w:noProof/>
          <w:sz w:val="24"/>
          <w:szCs w:val="24"/>
        </w:rPr>
      </w:pPr>
      <w:r>
        <w:rPr>
          <w:rFonts w:ascii="Times New Roman" w:hAnsi="Times New Roman" w:cs="Times New Roman"/>
          <w:b/>
          <w:noProof/>
          <w:sz w:val="24"/>
          <w:szCs w:val="24"/>
        </w:rPr>
        <w:t>No irregularities related to PAA 2000-2006 were reported in 2019.</w:t>
      </w:r>
      <w:r>
        <w:rPr>
          <w:rFonts w:ascii="Times New Roman" w:hAnsi="Times New Roman" w:cs="Times New Roman"/>
          <w:noProof/>
          <w:sz w:val="24"/>
          <w:szCs w:val="24"/>
        </w:rPr>
        <w:t xml:space="preserve"> Table PA2 shows the number of irregularities and associated financial amounts that have been reported during the past five years with reference to PAA 2000-2006. The figures are split between irregularities reported as fraudulent and those not reported as such. Chart PA2 broadens the perspective by including all PAA 2000-2006 irregularities reported until 2019. As was already reported in previous PIF reports, the number of irregularities reported with regard to these funds has declined steadily for the last several years and hit zero in 2019. </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2</w:t>
      </w:r>
      <w:r>
        <w:rPr>
          <w:noProof/>
        </w:rPr>
        <w:fldChar w:fldCharType="end"/>
      </w:r>
      <w:r>
        <w:rPr>
          <w:noProof/>
        </w:rPr>
        <w:t>: PAA, 2015-2019: Number of irregularities reported and financial amounts involved</w:t>
      </w:r>
    </w:p>
    <w:tbl>
      <w:tblPr>
        <w:tblW w:w="9072" w:type="dxa"/>
        <w:tblInd w:w="108" w:type="dxa"/>
        <w:tblLayout w:type="fixed"/>
        <w:tblLook w:val="04A0" w:firstRow="1" w:lastRow="0" w:firstColumn="1" w:lastColumn="0" w:noHBand="0" w:noVBand="1"/>
      </w:tblPr>
      <w:tblGrid>
        <w:gridCol w:w="703"/>
        <w:gridCol w:w="1394"/>
        <w:gridCol w:w="1395"/>
        <w:gridCol w:w="1395"/>
        <w:gridCol w:w="1395"/>
        <w:gridCol w:w="1395"/>
        <w:gridCol w:w="1395"/>
      </w:tblGrid>
      <w:tr>
        <w:trPr>
          <w:cantSplit/>
          <w:trHeight w:val="311"/>
        </w:trPr>
        <w:tc>
          <w:tcPr>
            <w:tcW w:w="703" w:type="dxa"/>
            <w:vMerge w:val="restart"/>
            <w:tcBorders>
              <w:top w:val="single" w:sz="4" w:space="0" w:color="F4B084"/>
              <w:left w:val="single" w:sz="4" w:space="0" w:color="F4B084"/>
              <w:right w:val="nil"/>
            </w:tcBorders>
            <w:shd w:val="clear" w:color="ED7D31" w:fill="ED7D31"/>
            <w:noWrap/>
            <w:vAlign w:val="center"/>
            <w:hideMark/>
          </w:tcPr>
          <w:p>
            <w:pPr>
              <w:keepNext/>
              <w:spacing w:after="0" w:line="240" w:lineRule="auto"/>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Year</w:t>
            </w:r>
          </w:p>
        </w:tc>
        <w:tc>
          <w:tcPr>
            <w:tcW w:w="2789" w:type="dxa"/>
            <w:gridSpan w:val="2"/>
            <w:tcBorders>
              <w:top w:val="single" w:sz="4" w:space="0" w:color="F4B084"/>
              <w:left w:val="nil"/>
              <w:bottom w:val="single" w:sz="4" w:space="0" w:color="F4B084"/>
              <w:right w:val="nil"/>
            </w:tcBorders>
            <w:shd w:val="clear" w:color="ED7D31" w:fill="ED7D31"/>
            <w:noWrap/>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themeColor="background1"/>
                <w:sz w:val="20"/>
                <w:szCs w:val="20"/>
                <w:lang w:eastAsia="en-GB"/>
              </w:rPr>
              <w:t>Fraudulent Irregularities</w:t>
            </w:r>
          </w:p>
        </w:tc>
        <w:tc>
          <w:tcPr>
            <w:tcW w:w="2790" w:type="dxa"/>
            <w:gridSpan w:val="2"/>
            <w:tcBorders>
              <w:top w:val="single" w:sz="4" w:space="0" w:color="F4B084"/>
              <w:left w:val="nil"/>
              <w:bottom w:val="single" w:sz="4" w:space="0" w:color="F4B084"/>
            </w:tcBorders>
            <w:shd w:val="clear" w:color="ED7D31" w:fill="ED7D31"/>
            <w:noWrap/>
            <w:vAlign w:val="center"/>
            <w:hideMark/>
          </w:tcPr>
          <w:p>
            <w:pPr>
              <w:keepNext/>
              <w:spacing w:after="0" w:line="240" w:lineRule="auto"/>
              <w:ind w:left="-62"/>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themeColor="background1"/>
                <w:sz w:val="20"/>
                <w:szCs w:val="20"/>
                <w:lang w:eastAsia="en-GB"/>
              </w:rPr>
              <w:t>Non-Fraudulent Irregularities</w:t>
            </w:r>
          </w:p>
        </w:tc>
        <w:tc>
          <w:tcPr>
            <w:tcW w:w="2790" w:type="dxa"/>
            <w:gridSpan w:val="2"/>
            <w:tcBorders>
              <w:top w:val="single" w:sz="4" w:space="0" w:color="F4B084"/>
              <w:bottom w:val="single" w:sz="4" w:space="0" w:color="F4B084"/>
              <w:right w:val="single" w:sz="4" w:space="0" w:color="F4B084"/>
            </w:tcBorders>
            <w:shd w:val="clear" w:color="ED7D31" w:fill="ED7D31"/>
          </w:tcPr>
          <w:p>
            <w:pPr>
              <w:keepNext/>
              <w:spacing w:after="0" w:line="240" w:lineRule="auto"/>
              <w:jc w:val="center"/>
              <w:rPr>
                <w:rFonts w:ascii="Times New Roman" w:eastAsia="Times New Roman" w:hAnsi="Times New Roman" w:cs="Times New Roman"/>
                <w:b/>
                <w:bCs/>
                <w:noProof/>
                <w:color w:val="FFFFFF" w:themeColor="background1"/>
                <w:sz w:val="20"/>
                <w:szCs w:val="20"/>
                <w:lang w:eastAsia="en-GB"/>
              </w:rPr>
            </w:pPr>
            <w:r>
              <w:rPr>
                <w:rFonts w:ascii="Times New Roman" w:eastAsia="Times New Roman" w:hAnsi="Times New Roman" w:cs="Times New Roman"/>
                <w:b/>
                <w:bCs/>
                <w:noProof/>
                <w:color w:val="FFFFFF" w:themeColor="background1"/>
                <w:sz w:val="20"/>
                <w:szCs w:val="20"/>
                <w:lang w:eastAsia="en-GB"/>
              </w:rPr>
              <w:t>Total</w:t>
            </w:r>
          </w:p>
        </w:tc>
      </w:tr>
      <w:tr>
        <w:trPr>
          <w:cantSplit/>
          <w:trHeight w:val="311"/>
        </w:trPr>
        <w:tc>
          <w:tcPr>
            <w:tcW w:w="703" w:type="dxa"/>
            <w:vMerge/>
            <w:tcBorders>
              <w:left w:val="single" w:sz="4" w:space="0" w:color="F4B084"/>
              <w:bottom w:val="single" w:sz="4" w:space="0" w:color="F4B084"/>
              <w:right w:val="nil"/>
            </w:tcBorders>
            <w:shd w:val="clear" w:color="ED7D31" w:fill="ED7D31"/>
            <w:noWrap/>
            <w:vAlign w:val="center"/>
          </w:tcPr>
          <w:p>
            <w:pPr>
              <w:keepNext/>
              <w:spacing w:after="0" w:line="240" w:lineRule="auto"/>
              <w:rPr>
                <w:rFonts w:ascii="Times New Roman" w:eastAsia="Times New Roman" w:hAnsi="Times New Roman" w:cs="Times New Roman"/>
                <w:b/>
                <w:bCs/>
                <w:noProof/>
                <w:color w:val="FFFFFF"/>
                <w:sz w:val="20"/>
                <w:szCs w:val="20"/>
                <w:lang w:eastAsia="en-GB"/>
              </w:rPr>
            </w:pPr>
          </w:p>
        </w:tc>
        <w:tc>
          <w:tcPr>
            <w:tcW w:w="1394" w:type="dxa"/>
            <w:tcBorders>
              <w:top w:val="single" w:sz="4" w:space="0" w:color="F4B084"/>
              <w:left w:val="nil"/>
              <w:bottom w:val="single" w:sz="4" w:space="0" w:color="F4B084"/>
              <w:right w:val="nil"/>
            </w:tcBorders>
            <w:shd w:val="clear" w:color="ED7D31" w:fill="ED7D31"/>
            <w:noWrap/>
            <w:vAlign w:val="center"/>
          </w:tcPr>
          <w:p>
            <w:pPr>
              <w:keepNext/>
              <w:spacing w:after="0" w:line="240" w:lineRule="auto"/>
              <w:jc w:val="center"/>
              <w:rPr>
                <w:rFonts w:ascii="Times New Roman" w:eastAsia="Times New Roman" w:hAnsi="Times New Roman" w:cs="Times New Roman"/>
                <w:b/>
                <w:bCs/>
                <w:noProof/>
                <w:color w:val="FFFFFF" w:themeColor="background1"/>
                <w:sz w:val="20"/>
                <w:szCs w:val="20"/>
                <w:lang w:eastAsia="en-GB"/>
              </w:rPr>
            </w:pPr>
            <w:r>
              <w:rPr>
                <w:rFonts w:ascii="Times New Roman" w:eastAsia="Times New Roman" w:hAnsi="Times New Roman" w:cs="Times New Roman"/>
                <w:noProof/>
                <w:color w:val="000000"/>
                <w:sz w:val="20"/>
                <w:szCs w:val="20"/>
                <w:lang w:eastAsia="en-GB"/>
              </w:rPr>
              <w:t>#</w:t>
            </w:r>
          </w:p>
        </w:tc>
        <w:tc>
          <w:tcPr>
            <w:tcW w:w="1395" w:type="dxa"/>
            <w:tcBorders>
              <w:top w:val="single" w:sz="4" w:space="0" w:color="F4B084"/>
              <w:left w:val="nil"/>
              <w:bottom w:val="single" w:sz="4" w:space="0" w:color="F4B084"/>
              <w:right w:val="nil"/>
            </w:tcBorders>
            <w:shd w:val="clear" w:color="ED7D31" w:fill="ED7D31"/>
            <w:noWrap/>
            <w:vAlign w:val="center"/>
          </w:tcPr>
          <w:p>
            <w:pPr>
              <w:keepNext/>
              <w:spacing w:after="0" w:line="240" w:lineRule="auto"/>
              <w:jc w:val="right"/>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noProof/>
                <w:color w:val="000000"/>
                <w:sz w:val="20"/>
                <w:szCs w:val="20"/>
                <w:lang w:eastAsia="en-GB"/>
              </w:rPr>
              <w:t xml:space="preserve"> EUR </w:t>
            </w:r>
          </w:p>
        </w:tc>
        <w:tc>
          <w:tcPr>
            <w:tcW w:w="1395" w:type="dxa"/>
            <w:tcBorders>
              <w:top w:val="single" w:sz="4" w:space="0" w:color="F4B084"/>
              <w:left w:val="nil"/>
              <w:bottom w:val="single" w:sz="4" w:space="0" w:color="F4B084"/>
              <w:right w:val="nil"/>
            </w:tcBorders>
            <w:shd w:val="clear" w:color="ED7D31" w:fill="ED7D31"/>
            <w:noWrap/>
            <w:vAlign w:val="center"/>
          </w:tcPr>
          <w:p>
            <w:pPr>
              <w:keepNext/>
              <w:spacing w:after="0" w:line="240" w:lineRule="auto"/>
              <w:jc w:val="center"/>
              <w:rPr>
                <w:rFonts w:ascii="Times New Roman" w:eastAsia="Times New Roman" w:hAnsi="Times New Roman" w:cs="Times New Roman"/>
                <w:b/>
                <w:bCs/>
                <w:noProof/>
                <w:color w:val="FFFFFF" w:themeColor="background1"/>
                <w:sz w:val="20"/>
                <w:szCs w:val="20"/>
                <w:lang w:eastAsia="en-GB"/>
              </w:rPr>
            </w:pPr>
            <w:r>
              <w:rPr>
                <w:rFonts w:ascii="Times New Roman" w:eastAsia="Times New Roman" w:hAnsi="Times New Roman" w:cs="Times New Roman"/>
                <w:noProof/>
                <w:color w:val="000000"/>
                <w:sz w:val="20"/>
                <w:szCs w:val="20"/>
                <w:lang w:eastAsia="en-GB"/>
              </w:rPr>
              <w:t>#</w:t>
            </w:r>
          </w:p>
        </w:tc>
        <w:tc>
          <w:tcPr>
            <w:tcW w:w="1395" w:type="dxa"/>
            <w:tcBorders>
              <w:top w:val="single" w:sz="4" w:space="0" w:color="F4B084"/>
              <w:left w:val="nil"/>
              <w:bottom w:val="single" w:sz="4" w:space="0" w:color="F4B084"/>
            </w:tcBorders>
            <w:shd w:val="clear" w:color="ED7D31" w:fill="ED7D31"/>
            <w:noWrap/>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 EUR </w:t>
            </w:r>
          </w:p>
        </w:tc>
        <w:tc>
          <w:tcPr>
            <w:tcW w:w="1395" w:type="dxa"/>
            <w:tcBorders>
              <w:top w:val="single" w:sz="4" w:space="0" w:color="F4B084"/>
              <w:bottom w:val="single" w:sz="4" w:space="0" w:color="F4B084"/>
            </w:tcBorders>
            <w:shd w:val="clear" w:color="ED7D31" w:fill="ED7D31"/>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1395" w:type="dxa"/>
            <w:tcBorders>
              <w:top w:val="single" w:sz="4" w:space="0" w:color="F4B084"/>
              <w:bottom w:val="single" w:sz="4" w:space="0" w:color="F4B084"/>
              <w:right w:val="single" w:sz="4" w:space="0" w:color="F4B084"/>
            </w:tcBorders>
            <w:shd w:val="clear" w:color="ED7D31" w:fill="ED7D31"/>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 EUR </w:t>
            </w:r>
          </w:p>
        </w:tc>
      </w:tr>
      <w:tr>
        <w:trPr>
          <w:cantSplit/>
          <w:trHeight w:val="311"/>
        </w:trPr>
        <w:tc>
          <w:tcPr>
            <w:tcW w:w="703" w:type="dxa"/>
            <w:tcBorders>
              <w:top w:val="single" w:sz="4" w:space="0" w:color="F4B084"/>
              <w:left w:val="single" w:sz="4" w:space="0" w:color="F4B084"/>
              <w:bottom w:val="single" w:sz="4" w:space="0" w:color="F4B084"/>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2015</w:t>
            </w:r>
          </w:p>
        </w:tc>
        <w:tc>
          <w:tcPr>
            <w:tcW w:w="1394" w:type="dxa"/>
            <w:tcBorders>
              <w:top w:val="single" w:sz="4" w:space="0" w:color="F4B084"/>
              <w:left w:val="nil"/>
              <w:bottom w:val="single" w:sz="4" w:space="0" w:color="F4B084"/>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w:t>
            </w:r>
          </w:p>
        </w:tc>
        <w:tc>
          <w:tcPr>
            <w:tcW w:w="1395" w:type="dxa"/>
            <w:tcBorders>
              <w:top w:val="single" w:sz="4" w:space="0" w:color="F4B084"/>
              <w:left w:val="nil"/>
              <w:bottom w:val="single" w:sz="4" w:space="0" w:color="F4B084"/>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4,522,286</w:t>
            </w:r>
          </w:p>
        </w:tc>
        <w:tc>
          <w:tcPr>
            <w:tcW w:w="1395" w:type="dxa"/>
            <w:tcBorders>
              <w:top w:val="single" w:sz="4" w:space="0" w:color="F4B084"/>
              <w:left w:val="nil"/>
              <w:bottom w:val="single" w:sz="4" w:space="0" w:color="F4B084"/>
              <w:right w:val="nil"/>
            </w:tcBorders>
            <w:shd w:val="clear" w:color="auto" w:fill="auto"/>
            <w:noWrap/>
            <w:vAlign w:val="center"/>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w:t>
            </w:r>
          </w:p>
        </w:tc>
        <w:tc>
          <w:tcPr>
            <w:tcW w:w="1395" w:type="dxa"/>
            <w:tcBorders>
              <w:top w:val="single" w:sz="4" w:space="0" w:color="F4B084"/>
              <w:left w:val="nil"/>
              <w:bottom w:val="single" w:sz="4" w:space="0" w:color="F4B084"/>
            </w:tcBorders>
            <w:shd w:val="clear" w:color="auto" w:fill="auto"/>
            <w:noWrap/>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1,200,645</w:t>
            </w:r>
          </w:p>
        </w:tc>
        <w:tc>
          <w:tcPr>
            <w:tcW w:w="1395" w:type="dxa"/>
            <w:tcBorders>
              <w:top w:val="single" w:sz="4" w:space="0" w:color="F4B084"/>
              <w:bottom w:val="single" w:sz="4" w:space="0" w:color="F4B084"/>
            </w:tcBorders>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15</w:t>
            </w:r>
          </w:p>
        </w:tc>
        <w:tc>
          <w:tcPr>
            <w:tcW w:w="1395" w:type="dxa"/>
            <w:tcBorders>
              <w:top w:val="single" w:sz="4" w:space="0" w:color="F4B084"/>
              <w:bottom w:val="single" w:sz="4" w:space="0" w:color="F4B084"/>
              <w:right w:val="single" w:sz="4" w:space="0" w:color="F4B084"/>
            </w:tcBorders>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5,722,931 </w:t>
            </w:r>
          </w:p>
        </w:tc>
      </w:tr>
      <w:tr>
        <w:trPr>
          <w:cantSplit/>
          <w:trHeight w:val="311"/>
        </w:trPr>
        <w:tc>
          <w:tcPr>
            <w:tcW w:w="703" w:type="dxa"/>
            <w:tcBorders>
              <w:top w:val="single" w:sz="4" w:space="0" w:color="F4B084"/>
              <w:left w:val="single" w:sz="4" w:space="0" w:color="F4B084"/>
              <w:bottom w:val="single" w:sz="4" w:space="0" w:color="F4B084"/>
              <w:right w:val="nil"/>
            </w:tcBorders>
            <w:shd w:val="clear" w:color="FCE4D6" w:fill="FCE4D6"/>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2016</w:t>
            </w:r>
          </w:p>
        </w:tc>
        <w:tc>
          <w:tcPr>
            <w:tcW w:w="1394" w:type="dxa"/>
            <w:tcBorders>
              <w:top w:val="single" w:sz="4" w:space="0" w:color="F4B084"/>
              <w:left w:val="nil"/>
              <w:bottom w:val="single" w:sz="4" w:space="0" w:color="F4B084"/>
              <w:right w:val="nil"/>
            </w:tcBorders>
            <w:shd w:val="clear" w:color="FCE4D6" w:fill="FCE4D6"/>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1395" w:type="dxa"/>
            <w:tcBorders>
              <w:top w:val="single" w:sz="4" w:space="0" w:color="F4B084"/>
              <w:left w:val="nil"/>
              <w:bottom w:val="single" w:sz="4" w:space="0" w:color="F4B084"/>
              <w:right w:val="nil"/>
            </w:tcBorders>
            <w:shd w:val="clear" w:color="FCE4D6" w:fill="FCE4D6"/>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262,634</w:t>
            </w:r>
          </w:p>
        </w:tc>
        <w:tc>
          <w:tcPr>
            <w:tcW w:w="1395" w:type="dxa"/>
            <w:tcBorders>
              <w:top w:val="single" w:sz="4" w:space="0" w:color="F4B084"/>
              <w:left w:val="nil"/>
              <w:bottom w:val="single" w:sz="4" w:space="0" w:color="F4B084"/>
              <w:right w:val="nil"/>
            </w:tcBorders>
            <w:shd w:val="clear" w:color="FCE4D6" w:fill="FCE4D6"/>
            <w:noWrap/>
            <w:vAlign w:val="center"/>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w:t>
            </w:r>
          </w:p>
        </w:tc>
        <w:tc>
          <w:tcPr>
            <w:tcW w:w="1395" w:type="dxa"/>
            <w:tcBorders>
              <w:top w:val="single" w:sz="4" w:space="0" w:color="F4B084"/>
              <w:left w:val="nil"/>
              <w:bottom w:val="single" w:sz="4" w:space="0" w:color="F4B084"/>
            </w:tcBorders>
            <w:shd w:val="clear" w:color="FCE4D6" w:fill="FCE4D6"/>
            <w:noWrap/>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286,894 </w:t>
            </w:r>
          </w:p>
        </w:tc>
        <w:tc>
          <w:tcPr>
            <w:tcW w:w="1395" w:type="dxa"/>
            <w:tcBorders>
              <w:top w:val="single" w:sz="4" w:space="0" w:color="F4B084"/>
              <w:bottom w:val="single" w:sz="4" w:space="0" w:color="F4B084"/>
            </w:tcBorders>
            <w:shd w:val="clear" w:color="FCE4D6" w:fill="FCE4D6"/>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w:t>
            </w:r>
          </w:p>
        </w:tc>
        <w:tc>
          <w:tcPr>
            <w:tcW w:w="1395" w:type="dxa"/>
            <w:tcBorders>
              <w:top w:val="single" w:sz="4" w:space="0" w:color="F4B084"/>
              <w:bottom w:val="single" w:sz="4" w:space="0" w:color="F4B084"/>
              <w:right w:val="single" w:sz="4" w:space="0" w:color="F4B084"/>
            </w:tcBorders>
            <w:shd w:val="clear" w:color="FCE4D6" w:fill="FCE4D6"/>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549,528 </w:t>
            </w:r>
          </w:p>
        </w:tc>
      </w:tr>
      <w:tr>
        <w:trPr>
          <w:cantSplit/>
          <w:trHeight w:val="311"/>
        </w:trPr>
        <w:tc>
          <w:tcPr>
            <w:tcW w:w="703" w:type="dxa"/>
            <w:tcBorders>
              <w:top w:val="single" w:sz="4" w:space="0" w:color="F4B084"/>
              <w:left w:val="single" w:sz="4" w:space="0" w:color="F4B084"/>
              <w:bottom w:val="single" w:sz="4" w:space="0" w:color="F4B084"/>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2017</w:t>
            </w:r>
          </w:p>
        </w:tc>
        <w:tc>
          <w:tcPr>
            <w:tcW w:w="1394" w:type="dxa"/>
            <w:tcBorders>
              <w:top w:val="single" w:sz="4" w:space="0" w:color="F4B084"/>
              <w:left w:val="nil"/>
              <w:bottom w:val="single" w:sz="4" w:space="0" w:color="F4B084"/>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1395" w:type="dxa"/>
            <w:tcBorders>
              <w:top w:val="single" w:sz="4" w:space="0" w:color="F4B084"/>
              <w:left w:val="nil"/>
              <w:bottom w:val="single" w:sz="4" w:space="0" w:color="F4B084"/>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395" w:type="dxa"/>
            <w:tcBorders>
              <w:top w:val="single" w:sz="4" w:space="0" w:color="F4B084"/>
              <w:left w:val="nil"/>
              <w:bottom w:val="single" w:sz="4" w:space="0" w:color="F4B084"/>
              <w:right w:val="nil"/>
            </w:tcBorders>
            <w:shd w:val="clear" w:color="auto" w:fill="auto"/>
            <w:noWrap/>
            <w:vAlign w:val="center"/>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w:t>
            </w:r>
          </w:p>
        </w:tc>
        <w:tc>
          <w:tcPr>
            <w:tcW w:w="1395" w:type="dxa"/>
            <w:tcBorders>
              <w:top w:val="single" w:sz="4" w:space="0" w:color="F4B084"/>
              <w:left w:val="nil"/>
              <w:bottom w:val="single" w:sz="4" w:space="0" w:color="F4B084"/>
            </w:tcBorders>
            <w:shd w:val="clear" w:color="auto" w:fill="auto"/>
            <w:noWrap/>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121,749 </w:t>
            </w:r>
          </w:p>
        </w:tc>
        <w:tc>
          <w:tcPr>
            <w:tcW w:w="1395" w:type="dxa"/>
            <w:tcBorders>
              <w:top w:val="single" w:sz="4" w:space="0" w:color="F4B084"/>
              <w:bottom w:val="single" w:sz="4" w:space="0" w:color="F4B084"/>
            </w:tcBorders>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w:t>
            </w:r>
          </w:p>
        </w:tc>
        <w:tc>
          <w:tcPr>
            <w:tcW w:w="1395" w:type="dxa"/>
            <w:tcBorders>
              <w:top w:val="single" w:sz="4" w:space="0" w:color="F4B084"/>
              <w:bottom w:val="single" w:sz="4" w:space="0" w:color="F4B084"/>
              <w:right w:val="single" w:sz="4" w:space="0" w:color="F4B084"/>
            </w:tcBorders>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121,749</w:t>
            </w:r>
          </w:p>
        </w:tc>
      </w:tr>
      <w:tr>
        <w:trPr>
          <w:cantSplit/>
          <w:trHeight w:val="311"/>
        </w:trPr>
        <w:tc>
          <w:tcPr>
            <w:tcW w:w="703" w:type="dxa"/>
            <w:tcBorders>
              <w:top w:val="single" w:sz="4" w:space="0" w:color="F4B084"/>
              <w:left w:val="single" w:sz="4" w:space="0" w:color="F4B084"/>
              <w:bottom w:val="single" w:sz="4" w:space="0" w:color="F4B084"/>
              <w:right w:val="nil"/>
            </w:tcBorders>
            <w:shd w:val="clear" w:color="FCE4D6" w:fill="FCE4D6"/>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2018</w:t>
            </w:r>
          </w:p>
        </w:tc>
        <w:tc>
          <w:tcPr>
            <w:tcW w:w="1394" w:type="dxa"/>
            <w:tcBorders>
              <w:top w:val="single" w:sz="4" w:space="0" w:color="F4B084"/>
              <w:left w:val="nil"/>
              <w:bottom w:val="single" w:sz="4" w:space="0" w:color="F4B084"/>
              <w:right w:val="nil"/>
            </w:tcBorders>
            <w:shd w:val="clear" w:color="FCE4D6" w:fill="FCE4D6"/>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w:t>
            </w:r>
          </w:p>
        </w:tc>
        <w:tc>
          <w:tcPr>
            <w:tcW w:w="1395" w:type="dxa"/>
            <w:tcBorders>
              <w:top w:val="single" w:sz="4" w:space="0" w:color="F4B084"/>
              <w:left w:val="nil"/>
              <w:bottom w:val="single" w:sz="4" w:space="0" w:color="F4B084"/>
              <w:right w:val="nil"/>
            </w:tcBorders>
            <w:shd w:val="clear" w:color="FCE4D6" w:fill="FCE4D6"/>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578,332</w:t>
            </w:r>
          </w:p>
        </w:tc>
        <w:tc>
          <w:tcPr>
            <w:tcW w:w="1395" w:type="dxa"/>
            <w:tcBorders>
              <w:top w:val="single" w:sz="4" w:space="0" w:color="F4B084"/>
              <w:left w:val="nil"/>
              <w:bottom w:val="single" w:sz="4" w:space="0" w:color="F4B084"/>
              <w:right w:val="nil"/>
            </w:tcBorders>
            <w:shd w:val="clear" w:color="FCE4D6" w:fill="FCE4D6"/>
            <w:noWrap/>
            <w:vAlign w:val="center"/>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395" w:type="dxa"/>
            <w:tcBorders>
              <w:top w:val="single" w:sz="4" w:space="0" w:color="F4B084"/>
              <w:left w:val="nil"/>
              <w:bottom w:val="single" w:sz="4" w:space="0" w:color="F4B084"/>
            </w:tcBorders>
            <w:shd w:val="clear" w:color="FCE4D6" w:fill="FCE4D6"/>
            <w:noWrap/>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395" w:type="dxa"/>
            <w:tcBorders>
              <w:top w:val="single" w:sz="4" w:space="0" w:color="F4B084"/>
              <w:bottom w:val="single" w:sz="4" w:space="0" w:color="F4B084"/>
            </w:tcBorders>
            <w:shd w:val="clear" w:color="FCE4D6" w:fill="FCE4D6"/>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w:t>
            </w:r>
          </w:p>
        </w:tc>
        <w:tc>
          <w:tcPr>
            <w:tcW w:w="1395" w:type="dxa"/>
            <w:tcBorders>
              <w:top w:val="single" w:sz="4" w:space="0" w:color="F4B084"/>
              <w:bottom w:val="single" w:sz="4" w:space="0" w:color="F4B084"/>
              <w:right w:val="single" w:sz="4" w:space="0" w:color="F4B084"/>
            </w:tcBorders>
            <w:shd w:val="clear" w:color="FCE4D6" w:fill="FCE4D6"/>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578,332 </w:t>
            </w:r>
          </w:p>
        </w:tc>
      </w:tr>
      <w:tr>
        <w:trPr>
          <w:cantSplit/>
          <w:trHeight w:val="311"/>
        </w:trPr>
        <w:tc>
          <w:tcPr>
            <w:tcW w:w="703" w:type="dxa"/>
            <w:tcBorders>
              <w:top w:val="single" w:sz="4" w:space="0" w:color="F4B084"/>
              <w:left w:val="single" w:sz="4" w:space="0" w:color="F4B084"/>
              <w:bottom w:val="single" w:sz="4" w:space="0" w:color="F4B084"/>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2019</w:t>
            </w:r>
          </w:p>
        </w:tc>
        <w:tc>
          <w:tcPr>
            <w:tcW w:w="1394" w:type="dxa"/>
            <w:tcBorders>
              <w:top w:val="single" w:sz="4" w:space="0" w:color="F4B084"/>
              <w:left w:val="nil"/>
              <w:bottom w:val="single" w:sz="4" w:space="0" w:color="F4B084"/>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395" w:type="dxa"/>
            <w:tcBorders>
              <w:top w:val="single" w:sz="4" w:space="0" w:color="F4B084"/>
              <w:left w:val="nil"/>
              <w:bottom w:val="single" w:sz="4" w:space="0" w:color="F4B084"/>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395" w:type="dxa"/>
            <w:tcBorders>
              <w:top w:val="single" w:sz="4" w:space="0" w:color="F4B084"/>
              <w:left w:val="nil"/>
              <w:bottom w:val="single" w:sz="4" w:space="0" w:color="F4B084"/>
              <w:right w:val="nil"/>
            </w:tcBorders>
            <w:shd w:val="clear" w:color="auto" w:fill="auto"/>
            <w:noWrap/>
            <w:vAlign w:val="center"/>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395" w:type="dxa"/>
            <w:tcBorders>
              <w:top w:val="single" w:sz="4" w:space="0" w:color="F4B084"/>
              <w:left w:val="nil"/>
              <w:bottom w:val="single" w:sz="4" w:space="0" w:color="F4B084"/>
            </w:tcBorders>
            <w:shd w:val="clear" w:color="auto" w:fill="auto"/>
            <w:noWrap/>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395" w:type="dxa"/>
            <w:tcBorders>
              <w:top w:val="single" w:sz="4" w:space="0" w:color="F4B084"/>
              <w:bottom w:val="single" w:sz="4" w:space="0" w:color="F4B084"/>
            </w:tcBorders>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395" w:type="dxa"/>
            <w:tcBorders>
              <w:top w:val="single" w:sz="4" w:space="0" w:color="F4B084"/>
              <w:bottom w:val="single" w:sz="4" w:space="0" w:color="F4B084"/>
              <w:right w:val="single" w:sz="4" w:space="0" w:color="F4B084"/>
            </w:tcBorders>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antSplit/>
          <w:trHeight w:val="311"/>
        </w:trPr>
        <w:tc>
          <w:tcPr>
            <w:tcW w:w="703" w:type="dxa"/>
            <w:tcBorders>
              <w:top w:val="single" w:sz="4" w:space="0" w:color="F4B084"/>
              <w:left w:val="single" w:sz="4" w:space="0" w:color="F4B084"/>
              <w:bottom w:val="single" w:sz="4" w:space="0" w:color="F4B084"/>
              <w:right w:val="nil"/>
            </w:tcBorders>
            <w:shd w:val="clear" w:color="FCE4D6" w:fill="FCE4D6"/>
            <w:noWrap/>
            <w:vAlign w:val="center"/>
            <w:hideMark/>
          </w:tcPr>
          <w:p>
            <w:pPr>
              <w:keepNext/>
              <w:spacing w:after="0" w:line="240" w:lineRule="auto"/>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Total</w:t>
            </w:r>
          </w:p>
        </w:tc>
        <w:tc>
          <w:tcPr>
            <w:tcW w:w="1394" w:type="dxa"/>
            <w:tcBorders>
              <w:top w:val="single" w:sz="4" w:space="0" w:color="F4B084"/>
              <w:left w:val="nil"/>
              <w:bottom w:val="single" w:sz="4" w:space="0" w:color="F4B084"/>
              <w:right w:val="nil"/>
            </w:tcBorders>
            <w:shd w:val="clear" w:color="FCE4D6" w:fill="FCE4D6"/>
            <w:noWrap/>
            <w:vAlign w:val="center"/>
            <w:hideMark/>
          </w:tcPr>
          <w:p>
            <w:pPr>
              <w:keepNext/>
              <w:spacing w:after="0" w:line="240" w:lineRule="auto"/>
              <w:jc w:val="center"/>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14</w:t>
            </w:r>
          </w:p>
        </w:tc>
        <w:tc>
          <w:tcPr>
            <w:tcW w:w="1395" w:type="dxa"/>
            <w:tcBorders>
              <w:top w:val="single" w:sz="4" w:space="0" w:color="F4B084"/>
              <w:left w:val="nil"/>
              <w:bottom w:val="single" w:sz="4" w:space="0" w:color="F4B084"/>
              <w:right w:val="nil"/>
            </w:tcBorders>
            <w:shd w:val="clear" w:color="FCE4D6" w:fill="FCE4D6"/>
            <w:noWrap/>
            <w:vAlign w:val="center"/>
            <w:hideMark/>
          </w:tcPr>
          <w:p>
            <w:pPr>
              <w:keepNext/>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5,363,251</w:t>
            </w:r>
          </w:p>
        </w:tc>
        <w:tc>
          <w:tcPr>
            <w:tcW w:w="1395" w:type="dxa"/>
            <w:tcBorders>
              <w:top w:val="single" w:sz="4" w:space="0" w:color="F4B084"/>
              <w:left w:val="nil"/>
              <w:bottom w:val="single" w:sz="4" w:space="0" w:color="F4B084"/>
              <w:right w:val="nil"/>
            </w:tcBorders>
            <w:shd w:val="clear" w:color="FCE4D6" w:fill="FCE4D6"/>
            <w:noWrap/>
            <w:vAlign w:val="center"/>
          </w:tcPr>
          <w:p>
            <w:pPr>
              <w:keepNext/>
              <w:spacing w:after="0" w:line="240" w:lineRule="auto"/>
              <w:jc w:val="center"/>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17</w:t>
            </w:r>
          </w:p>
        </w:tc>
        <w:tc>
          <w:tcPr>
            <w:tcW w:w="1395" w:type="dxa"/>
            <w:tcBorders>
              <w:top w:val="single" w:sz="4" w:space="0" w:color="F4B084"/>
              <w:left w:val="nil"/>
              <w:bottom w:val="single" w:sz="4" w:space="0" w:color="F4B084"/>
            </w:tcBorders>
            <w:shd w:val="clear" w:color="FCE4D6" w:fill="FCE4D6"/>
            <w:noWrap/>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1,609,288 </w:t>
            </w:r>
          </w:p>
        </w:tc>
        <w:tc>
          <w:tcPr>
            <w:tcW w:w="1395" w:type="dxa"/>
            <w:tcBorders>
              <w:top w:val="single" w:sz="4" w:space="0" w:color="F4B084"/>
              <w:bottom w:val="single" w:sz="4" w:space="0" w:color="F4B084"/>
            </w:tcBorders>
            <w:shd w:val="clear" w:color="FCE4D6" w:fill="FCE4D6"/>
            <w:vAlign w:val="center"/>
          </w:tcPr>
          <w:p>
            <w:pPr>
              <w:keepNext/>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31</w:t>
            </w:r>
          </w:p>
        </w:tc>
        <w:tc>
          <w:tcPr>
            <w:tcW w:w="1395" w:type="dxa"/>
            <w:tcBorders>
              <w:top w:val="single" w:sz="4" w:space="0" w:color="F4B084"/>
              <w:bottom w:val="single" w:sz="4" w:space="0" w:color="F4B084"/>
              <w:right w:val="single" w:sz="4" w:space="0" w:color="F4B084"/>
            </w:tcBorders>
            <w:shd w:val="clear" w:color="FCE4D6" w:fill="FCE4D6"/>
            <w:vAlign w:val="center"/>
          </w:tcPr>
          <w:p>
            <w:pPr>
              <w:keepNext/>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6,972,539</w:t>
            </w:r>
          </w:p>
        </w:tc>
      </w:tr>
    </w:tbl>
    <w:p>
      <w:pPr>
        <w:pStyle w:val="Caption"/>
        <w:keepNext/>
        <w:rPr>
          <w:noProof/>
        </w:rPr>
      </w:pPr>
      <w:r>
        <w:rPr>
          <w:noProof/>
        </w:rPr>
        <w:t xml:space="preserve">Chart PA </w:t>
      </w:r>
      <w:r>
        <w:rPr>
          <w:noProof/>
        </w:rPr>
        <w:fldChar w:fldCharType="begin"/>
      </w:r>
      <w:r>
        <w:rPr>
          <w:noProof/>
        </w:rPr>
        <w:instrText xml:space="preserve"> SEQ Chart_PA \* ARABIC </w:instrText>
      </w:r>
      <w:r>
        <w:rPr>
          <w:noProof/>
        </w:rPr>
        <w:fldChar w:fldCharType="separate"/>
      </w:r>
      <w:r>
        <w:rPr>
          <w:noProof/>
        </w:rPr>
        <w:t>2</w:t>
      </w:r>
      <w:r>
        <w:rPr>
          <w:noProof/>
        </w:rPr>
        <w:fldChar w:fldCharType="end"/>
      </w:r>
      <w:r>
        <w:rPr>
          <w:noProof/>
          <w:lang w:eastAsia="en-GB"/>
        </w:rPr>
        <w:t xml:space="preserve"> </w:t>
      </w:r>
      <w:r>
        <w:rPr>
          <w:noProof/>
          <w:lang w:eastAsia="en-GB"/>
        </w:rPr>
        <w:drawing>
          <wp:inline distT="0" distB="0" distL="0" distR="0">
            <wp:extent cx="5731510" cy="3376930"/>
            <wp:effectExtent l="0" t="0" r="254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ManualHeading4"/>
        <w:numPr>
          <w:ilvl w:val="3"/>
          <w:numId w:val="1"/>
        </w:numPr>
        <w:ind w:left="850" w:hanging="850"/>
        <w:rPr>
          <w:noProof/>
        </w:rPr>
      </w:pPr>
      <w:r>
        <w:rPr>
          <w:noProof/>
        </w:rPr>
        <w:t>Instruments for Pre-Accession I</w:t>
      </w:r>
    </w:p>
    <w:p>
      <w:pPr>
        <w:jc w:val="both"/>
        <w:rPr>
          <w:rFonts w:ascii="Times New Roman" w:hAnsi="Times New Roman" w:cs="Times New Roman"/>
          <w:noProof/>
          <w:sz w:val="24"/>
          <w:szCs w:val="20"/>
        </w:rPr>
      </w:pPr>
      <w:r>
        <w:rPr>
          <w:rFonts w:ascii="Times New Roman" w:hAnsi="Times New Roman" w:cs="Times New Roman"/>
          <w:b/>
          <w:noProof/>
          <w:sz w:val="24"/>
          <w:szCs w:val="24"/>
        </w:rPr>
        <w:t>The number of irregularities related to IPA I reported in 2019 remained steady year</w:t>
      </w:r>
      <w:r>
        <w:rPr>
          <w:rFonts w:ascii="Times New Roman" w:hAnsi="Times New Roman" w:cs="Times New Roman"/>
          <w:b/>
          <w:noProof/>
          <w:sz w:val="24"/>
          <w:szCs w:val="24"/>
        </w:rPr>
        <w:noBreakHyphen/>
        <w:t>on-year.</w:t>
      </w:r>
      <w:r>
        <w:rPr>
          <w:rFonts w:ascii="Times New Roman" w:hAnsi="Times New Roman" w:cs="Times New Roman"/>
          <w:noProof/>
          <w:sz w:val="24"/>
          <w:szCs w:val="24"/>
        </w:rPr>
        <w:t xml:space="preserve"> Table PA3 shows the number of irregularities and associated financial amounts that have been reported during the past five years with reference to IPA I. The figures are split between irregularities reported as fraudulent and those not reported as such. Chart PA3 broadens the perspective by including all irregularities referring to IPA I reported until 2019. </w:t>
      </w:r>
      <w:r>
        <w:rPr>
          <w:rFonts w:ascii="Times New Roman" w:hAnsi="Times New Roman" w:cs="Times New Roman"/>
          <w:noProof/>
          <w:sz w:val="24"/>
          <w:szCs w:val="20"/>
        </w:rPr>
        <w:t>In 2019, the total number of IPA I irregularities reported was similar to 2018, interrupting an upward trend that began in 2015. There was a notable increase in the total number of fraudulent irregularities reported in 2019 compared with the previous four years – 39, compared with, on average, 16 per year (see Table PA3 and Chart PA3). This upswing can be attributed primarily to the number of irregularities reported by Turkey with reference to IPARD.</w:t>
      </w:r>
    </w:p>
    <w:p>
      <w:pPr>
        <w:jc w:val="both"/>
        <w:rPr>
          <w:rFonts w:ascii="Times New Roman" w:hAnsi="Times New Roman" w:cs="Times New Roman"/>
          <w:noProof/>
          <w:sz w:val="24"/>
          <w:szCs w:val="20"/>
        </w:rPr>
      </w:pPr>
      <w:r>
        <w:rPr>
          <w:rFonts w:ascii="Times New Roman" w:hAnsi="Times New Roman" w:cs="Times New Roman"/>
          <w:b/>
          <w:noProof/>
          <w:sz w:val="24"/>
          <w:szCs w:val="20"/>
        </w:rPr>
        <w:t>The associated financial amounts in 2019 were similar to the previous year – lower than the peak recorded in 2017 but significantly higher than those of 2015-2016.</w:t>
      </w:r>
      <w:r>
        <w:rPr>
          <w:rFonts w:ascii="Times New Roman" w:hAnsi="Times New Roman" w:cs="Times New Roman"/>
          <w:noProof/>
          <w:sz w:val="24"/>
          <w:szCs w:val="20"/>
        </w:rPr>
        <w:t xml:space="preserve"> With regard to the 2017 peak in non-fraudulent financial amounts, of the EUR 14.6 million in non-fraudulent irregularities reported in 2017 under IPA I, the ten biggest cases concerned EUR 6.7 million (46%). Furthermore, five of the ten biggest non-fraudulent cases reported during the period 2015-2019 were reported in 2017, contributing to making this year exceptional in terms of financial amounts. The large jump in fraudulent irregularities between 2018 and 2019 can be attributed mainly to the reporting of Turkey, which reported 36 of the 39 fraudulent irregularities reported in 2019. In 2018, Turkey reported nine of the 12 reported fraudulent irregularities under IPA I. </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3</w:t>
      </w:r>
      <w:r>
        <w:rPr>
          <w:noProof/>
        </w:rPr>
        <w:fldChar w:fldCharType="end"/>
      </w:r>
      <w:r>
        <w:rPr>
          <w:noProof/>
        </w:rPr>
        <w:t>: IPA I 2015-2019: Number of irregularities reported and financial amounts involved</w:t>
      </w:r>
    </w:p>
    <w:tbl>
      <w:tblPr>
        <w:tblW w:w="9094" w:type="dxa"/>
        <w:tblInd w:w="108" w:type="dxa"/>
        <w:tblLook w:val="04A0" w:firstRow="1" w:lastRow="0" w:firstColumn="1" w:lastColumn="0" w:noHBand="0" w:noVBand="1"/>
      </w:tblPr>
      <w:tblGrid>
        <w:gridCol w:w="962"/>
        <w:gridCol w:w="2064"/>
        <w:gridCol w:w="1441"/>
        <w:gridCol w:w="731"/>
        <w:gridCol w:w="1583"/>
        <w:gridCol w:w="731"/>
        <w:gridCol w:w="1582"/>
      </w:tblGrid>
      <w:tr>
        <w:trPr>
          <w:cantSplit/>
          <w:trHeight w:val="278"/>
        </w:trPr>
        <w:tc>
          <w:tcPr>
            <w:tcW w:w="962" w:type="dxa"/>
            <w:vMerge w:val="restart"/>
            <w:tcBorders>
              <w:top w:val="single" w:sz="4" w:space="0" w:color="F4B084"/>
              <w:left w:val="single" w:sz="4" w:space="0" w:color="F4B084"/>
              <w:right w:val="nil"/>
            </w:tcBorders>
            <w:shd w:val="clear" w:color="ED7D31" w:fill="ED7D31"/>
            <w:noWrap/>
            <w:vAlign w:val="center"/>
            <w:hideMark/>
          </w:tcPr>
          <w:p>
            <w:pPr>
              <w:keepNext/>
              <w:keepLines/>
              <w:spacing w:after="0" w:line="240" w:lineRule="auto"/>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Year</w:t>
            </w:r>
          </w:p>
        </w:tc>
        <w:tc>
          <w:tcPr>
            <w:tcW w:w="3505" w:type="dxa"/>
            <w:gridSpan w:val="2"/>
            <w:tcBorders>
              <w:top w:val="single" w:sz="4" w:space="0" w:color="F4B084"/>
              <w:left w:val="nil"/>
              <w:bottom w:val="single" w:sz="4" w:space="0" w:color="F4B084"/>
              <w:right w:val="nil"/>
            </w:tcBorders>
            <w:shd w:val="clear" w:color="ED7D31" w:fill="ED7D31"/>
            <w:noWrap/>
            <w:vAlign w:val="center"/>
            <w:hideMark/>
          </w:tcPr>
          <w:p>
            <w:pPr>
              <w:keepNext/>
              <w:keepLines/>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themeColor="background1"/>
                <w:sz w:val="20"/>
                <w:szCs w:val="20"/>
                <w:lang w:eastAsia="en-GB"/>
              </w:rPr>
              <w:t>Fraudulent Irregularities</w:t>
            </w:r>
          </w:p>
        </w:tc>
        <w:tc>
          <w:tcPr>
            <w:tcW w:w="2314" w:type="dxa"/>
            <w:gridSpan w:val="2"/>
            <w:tcBorders>
              <w:top w:val="single" w:sz="4" w:space="0" w:color="F4B084"/>
              <w:left w:val="nil"/>
              <w:bottom w:val="single" w:sz="4" w:space="0" w:color="F4B084"/>
            </w:tcBorders>
            <w:shd w:val="clear" w:color="ED7D31" w:fill="ED7D31"/>
            <w:noWrap/>
            <w:vAlign w:val="center"/>
            <w:hideMark/>
          </w:tcPr>
          <w:p>
            <w:pPr>
              <w:keepNext/>
              <w:keepLines/>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themeColor="background1"/>
                <w:sz w:val="20"/>
                <w:szCs w:val="20"/>
                <w:lang w:eastAsia="en-GB"/>
              </w:rPr>
              <w:t>Non-Fraudulent Irregularities</w:t>
            </w:r>
          </w:p>
        </w:tc>
        <w:tc>
          <w:tcPr>
            <w:tcW w:w="2313" w:type="dxa"/>
            <w:gridSpan w:val="2"/>
            <w:tcBorders>
              <w:top w:val="single" w:sz="4" w:space="0" w:color="F4B084"/>
              <w:bottom w:val="single" w:sz="4" w:space="0" w:color="F4B084"/>
              <w:right w:val="single" w:sz="4" w:space="0" w:color="F4B084"/>
            </w:tcBorders>
            <w:shd w:val="clear" w:color="ED7D31" w:fill="ED7D31"/>
          </w:tcPr>
          <w:p>
            <w:pPr>
              <w:keepNext/>
              <w:keepLines/>
              <w:spacing w:after="0" w:line="240" w:lineRule="auto"/>
              <w:jc w:val="center"/>
              <w:rPr>
                <w:rFonts w:ascii="Times New Roman" w:eastAsia="Times New Roman" w:hAnsi="Times New Roman" w:cs="Times New Roman"/>
                <w:b/>
                <w:bCs/>
                <w:noProof/>
                <w:color w:val="FFFFFF" w:themeColor="background1"/>
                <w:sz w:val="20"/>
                <w:szCs w:val="20"/>
                <w:lang w:eastAsia="en-GB"/>
              </w:rPr>
            </w:pPr>
            <w:r>
              <w:rPr>
                <w:rFonts w:ascii="Times New Roman" w:eastAsia="Times New Roman" w:hAnsi="Times New Roman" w:cs="Times New Roman"/>
                <w:b/>
                <w:bCs/>
                <w:noProof/>
                <w:color w:val="FFFFFF" w:themeColor="background1"/>
                <w:sz w:val="20"/>
                <w:szCs w:val="20"/>
                <w:lang w:eastAsia="en-GB"/>
              </w:rPr>
              <w:t>Total</w:t>
            </w:r>
          </w:p>
        </w:tc>
      </w:tr>
      <w:tr>
        <w:trPr>
          <w:cantSplit/>
          <w:trHeight w:val="278"/>
        </w:trPr>
        <w:tc>
          <w:tcPr>
            <w:tcW w:w="962" w:type="dxa"/>
            <w:vMerge/>
            <w:tcBorders>
              <w:left w:val="single" w:sz="4" w:space="0" w:color="F4B084"/>
              <w:bottom w:val="single" w:sz="4" w:space="0" w:color="F4B084"/>
            </w:tcBorders>
            <w:shd w:val="clear" w:color="ED7D31" w:fill="ED7D31"/>
            <w:noWrap/>
            <w:vAlign w:val="center"/>
          </w:tcPr>
          <w:p>
            <w:pPr>
              <w:keepNext/>
              <w:keepLines/>
              <w:spacing w:after="0" w:line="240" w:lineRule="auto"/>
              <w:rPr>
                <w:rFonts w:ascii="Times New Roman" w:eastAsia="Times New Roman" w:hAnsi="Times New Roman" w:cs="Times New Roman"/>
                <w:b/>
                <w:bCs/>
                <w:noProof/>
                <w:color w:val="FFFFFF"/>
                <w:sz w:val="20"/>
                <w:szCs w:val="20"/>
                <w:lang w:eastAsia="en-GB"/>
              </w:rPr>
            </w:pPr>
          </w:p>
        </w:tc>
        <w:tc>
          <w:tcPr>
            <w:tcW w:w="2064" w:type="dxa"/>
            <w:tcBorders>
              <w:top w:val="single" w:sz="4" w:space="0" w:color="F4B084"/>
              <w:bottom w:val="single" w:sz="4" w:space="0" w:color="F4B084"/>
              <w:right w:val="nil"/>
            </w:tcBorders>
            <w:shd w:val="clear" w:color="ED7D31" w:fill="ED7D31"/>
            <w:noWrap/>
            <w:vAlign w:val="center"/>
          </w:tcPr>
          <w:p>
            <w:pPr>
              <w:keepNext/>
              <w:keepLines/>
              <w:spacing w:after="0" w:line="240" w:lineRule="auto"/>
              <w:jc w:val="center"/>
              <w:rPr>
                <w:rFonts w:ascii="Times New Roman" w:eastAsia="Times New Roman" w:hAnsi="Times New Roman" w:cs="Times New Roman"/>
                <w:b/>
                <w:bCs/>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1441" w:type="dxa"/>
            <w:tcBorders>
              <w:top w:val="single" w:sz="4" w:space="0" w:color="F4B084"/>
              <w:left w:val="nil"/>
              <w:bottom w:val="single" w:sz="4" w:space="0" w:color="F4B084"/>
              <w:right w:val="nil"/>
            </w:tcBorders>
            <w:shd w:val="clear" w:color="ED7D31" w:fill="ED7D31"/>
            <w:noWrap/>
            <w:vAlign w:val="center"/>
          </w:tcPr>
          <w:p>
            <w:pPr>
              <w:keepNext/>
              <w:keepLines/>
              <w:spacing w:after="0" w:line="240" w:lineRule="auto"/>
              <w:jc w:val="right"/>
              <w:rPr>
                <w:rFonts w:ascii="Times New Roman" w:eastAsia="Times New Roman" w:hAnsi="Times New Roman" w:cs="Times New Roman"/>
                <w:b/>
                <w:bCs/>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 xml:space="preserve"> EUR </w:t>
            </w:r>
          </w:p>
        </w:tc>
        <w:tc>
          <w:tcPr>
            <w:tcW w:w="731" w:type="dxa"/>
            <w:tcBorders>
              <w:top w:val="single" w:sz="4" w:space="0" w:color="F4B084"/>
              <w:left w:val="nil"/>
              <w:bottom w:val="single" w:sz="4" w:space="0" w:color="F4B084"/>
              <w:right w:val="nil"/>
            </w:tcBorders>
            <w:shd w:val="clear" w:color="ED7D31" w:fill="ED7D31"/>
            <w:noWrap/>
            <w:vAlign w:val="center"/>
          </w:tcPr>
          <w:p>
            <w:pPr>
              <w:keepNext/>
              <w:keepLines/>
              <w:spacing w:after="0" w:line="240" w:lineRule="auto"/>
              <w:jc w:val="center"/>
              <w:rPr>
                <w:rFonts w:ascii="Times New Roman" w:eastAsia="Times New Roman" w:hAnsi="Times New Roman" w:cs="Times New Roman"/>
                <w:b/>
                <w:bCs/>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1583" w:type="dxa"/>
            <w:tcBorders>
              <w:top w:val="single" w:sz="4" w:space="0" w:color="F4B084"/>
              <w:left w:val="nil"/>
              <w:bottom w:val="single" w:sz="4" w:space="0" w:color="F4B084"/>
            </w:tcBorders>
            <w:shd w:val="clear" w:color="ED7D31" w:fill="ED7D31"/>
            <w:noWrap/>
            <w:vAlign w:val="center"/>
          </w:tcPr>
          <w:p>
            <w:pPr>
              <w:keepNext/>
              <w:keepLines/>
              <w:spacing w:after="0" w:line="240" w:lineRule="auto"/>
              <w:jc w:val="right"/>
              <w:rPr>
                <w:rFonts w:ascii="Times New Roman" w:eastAsia="Times New Roman" w:hAnsi="Times New Roman" w:cs="Times New Roman"/>
                <w:b/>
                <w:bCs/>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 xml:space="preserve"> EUR </w:t>
            </w:r>
          </w:p>
        </w:tc>
        <w:tc>
          <w:tcPr>
            <w:tcW w:w="731" w:type="dxa"/>
            <w:tcBorders>
              <w:top w:val="single" w:sz="4" w:space="0" w:color="F4B084"/>
              <w:bottom w:val="single" w:sz="4" w:space="0" w:color="F4B084"/>
            </w:tcBorders>
            <w:shd w:val="clear" w:color="ED7D31" w:fill="ED7D31"/>
            <w:vAlign w:val="center"/>
          </w:tcPr>
          <w:p>
            <w:pPr>
              <w:keepNext/>
              <w:keepLines/>
              <w:spacing w:after="0" w:line="240" w:lineRule="auto"/>
              <w:jc w:val="right"/>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1582" w:type="dxa"/>
            <w:tcBorders>
              <w:top w:val="single" w:sz="4" w:space="0" w:color="F4B084"/>
              <w:bottom w:val="single" w:sz="4" w:space="0" w:color="F4B084"/>
              <w:right w:val="single" w:sz="4" w:space="0" w:color="F4B084"/>
            </w:tcBorders>
            <w:shd w:val="clear" w:color="ED7D31" w:fill="ED7D31"/>
            <w:vAlign w:val="center"/>
          </w:tcPr>
          <w:p>
            <w:pPr>
              <w:keepNext/>
              <w:keepLines/>
              <w:spacing w:after="0" w:line="240" w:lineRule="auto"/>
              <w:jc w:val="right"/>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 xml:space="preserve"> EUR </w:t>
            </w:r>
          </w:p>
        </w:tc>
      </w:tr>
      <w:tr>
        <w:trPr>
          <w:cantSplit/>
          <w:trHeight w:val="278"/>
        </w:trPr>
        <w:tc>
          <w:tcPr>
            <w:tcW w:w="962" w:type="dxa"/>
            <w:tcBorders>
              <w:top w:val="single" w:sz="4" w:space="0" w:color="F4B084"/>
              <w:left w:val="single" w:sz="4" w:space="0" w:color="F4B084"/>
              <w:bottom w:val="single" w:sz="4" w:space="0" w:color="F4B084"/>
              <w:right w:val="nil"/>
            </w:tcBorders>
            <w:shd w:val="clear" w:color="auto" w:fill="auto"/>
            <w:noWrap/>
            <w:vAlign w:val="center"/>
            <w:hideMark/>
          </w:tcPr>
          <w:p>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2015</w:t>
            </w:r>
          </w:p>
        </w:tc>
        <w:tc>
          <w:tcPr>
            <w:tcW w:w="2064" w:type="dxa"/>
            <w:tcBorders>
              <w:top w:val="single" w:sz="4" w:space="0" w:color="F4B084"/>
              <w:left w:val="nil"/>
              <w:bottom w:val="single" w:sz="4" w:space="0" w:color="F4B084"/>
              <w:right w:val="nil"/>
            </w:tcBorders>
            <w:shd w:val="clear" w:color="auto" w:fill="auto"/>
            <w:noWrap/>
            <w:vAlign w:val="bottom"/>
            <w:hideMark/>
          </w:tcPr>
          <w:p>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18</w:t>
            </w:r>
          </w:p>
        </w:tc>
        <w:tc>
          <w:tcPr>
            <w:tcW w:w="1441" w:type="dxa"/>
            <w:tcBorders>
              <w:top w:val="single" w:sz="4" w:space="0" w:color="F4B084"/>
              <w:left w:val="nil"/>
              <w:bottom w:val="single" w:sz="4" w:space="0" w:color="F4B084"/>
              <w:right w:val="nil"/>
            </w:tcBorders>
            <w:shd w:val="clear" w:color="auto" w:fill="auto"/>
            <w:noWrap/>
            <w:vAlign w:val="bottom"/>
            <w:hideMark/>
          </w:tcPr>
          <w:p>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1,762,705</w:t>
            </w:r>
          </w:p>
        </w:tc>
        <w:tc>
          <w:tcPr>
            <w:tcW w:w="731" w:type="dxa"/>
            <w:tcBorders>
              <w:top w:val="single" w:sz="4" w:space="0" w:color="F4B084"/>
              <w:left w:val="nil"/>
              <w:bottom w:val="single" w:sz="4" w:space="0" w:color="F4B084"/>
              <w:right w:val="nil"/>
            </w:tcBorders>
            <w:shd w:val="clear" w:color="auto" w:fill="auto"/>
            <w:noWrap/>
            <w:vAlign w:val="bottom"/>
          </w:tcPr>
          <w:p>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95</w:t>
            </w:r>
          </w:p>
        </w:tc>
        <w:tc>
          <w:tcPr>
            <w:tcW w:w="1583" w:type="dxa"/>
            <w:tcBorders>
              <w:top w:val="single" w:sz="4" w:space="0" w:color="F4B084"/>
              <w:left w:val="nil"/>
              <w:bottom w:val="single" w:sz="4" w:space="0" w:color="F4B084"/>
            </w:tcBorders>
            <w:shd w:val="clear" w:color="auto" w:fill="auto"/>
            <w:noWrap/>
            <w:vAlign w:val="bottom"/>
          </w:tcPr>
          <w:p>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4,556,377</w:t>
            </w:r>
          </w:p>
        </w:tc>
        <w:tc>
          <w:tcPr>
            <w:tcW w:w="731" w:type="dxa"/>
            <w:tcBorders>
              <w:top w:val="single" w:sz="4" w:space="0" w:color="F4B084"/>
              <w:bottom w:val="single" w:sz="4" w:space="0" w:color="F4B084"/>
            </w:tcBorders>
            <w:vAlign w:val="bottom"/>
          </w:tcPr>
          <w:p>
            <w:pPr>
              <w:keepNext/>
              <w:keepLines/>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113</w:t>
            </w:r>
          </w:p>
        </w:tc>
        <w:tc>
          <w:tcPr>
            <w:tcW w:w="1582" w:type="dxa"/>
            <w:tcBorders>
              <w:top w:val="single" w:sz="4" w:space="0" w:color="F4B084"/>
              <w:bottom w:val="single" w:sz="4" w:space="0" w:color="F4B084"/>
              <w:right w:val="single" w:sz="4" w:space="0" w:color="F4B084"/>
            </w:tcBorders>
            <w:vAlign w:val="bottom"/>
          </w:tcPr>
          <w:p>
            <w:pPr>
              <w:keepNext/>
              <w:keepLines/>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6,319,082</w:t>
            </w:r>
          </w:p>
        </w:tc>
      </w:tr>
      <w:tr>
        <w:trPr>
          <w:cantSplit/>
          <w:trHeight w:val="278"/>
        </w:trPr>
        <w:tc>
          <w:tcPr>
            <w:tcW w:w="962" w:type="dxa"/>
            <w:tcBorders>
              <w:top w:val="single" w:sz="4" w:space="0" w:color="F4B084"/>
              <w:left w:val="single" w:sz="4" w:space="0" w:color="F4B084"/>
              <w:bottom w:val="single" w:sz="4" w:space="0" w:color="F4B084"/>
              <w:right w:val="nil"/>
            </w:tcBorders>
            <w:shd w:val="clear" w:color="FCE4D6" w:fill="FCE4D6"/>
            <w:noWrap/>
            <w:vAlign w:val="center"/>
            <w:hideMark/>
          </w:tcPr>
          <w:p>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2016</w:t>
            </w:r>
          </w:p>
        </w:tc>
        <w:tc>
          <w:tcPr>
            <w:tcW w:w="2064" w:type="dxa"/>
            <w:tcBorders>
              <w:top w:val="single" w:sz="4" w:space="0" w:color="F4B084"/>
              <w:left w:val="nil"/>
              <w:bottom w:val="single" w:sz="4" w:space="0" w:color="F4B084"/>
              <w:right w:val="nil"/>
            </w:tcBorders>
            <w:shd w:val="clear" w:color="FCE4D6" w:fill="FCE4D6"/>
            <w:noWrap/>
            <w:vAlign w:val="bottom"/>
            <w:hideMark/>
          </w:tcPr>
          <w:p>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19</w:t>
            </w:r>
          </w:p>
        </w:tc>
        <w:tc>
          <w:tcPr>
            <w:tcW w:w="1441" w:type="dxa"/>
            <w:tcBorders>
              <w:top w:val="single" w:sz="4" w:space="0" w:color="F4B084"/>
              <w:left w:val="nil"/>
              <w:bottom w:val="single" w:sz="4" w:space="0" w:color="F4B084"/>
              <w:right w:val="nil"/>
            </w:tcBorders>
            <w:shd w:val="clear" w:color="FCE4D6" w:fill="FCE4D6"/>
            <w:noWrap/>
            <w:vAlign w:val="bottom"/>
            <w:hideMark/>
          </w:tcPr>
          <w:p>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336,328</w:t>
            </w:r>
          </w:p>
        </w:tc>
        <w:tc>
          <w:tcPr>
            <w:tcW w:w="731" w:type="dxa"/>
            <w:tcBorders>
              <w:top w:val="single" w:sz="4" w:space="0" w:color="F4B084"/>
              <w:left w:val="nil"/>
              <w:bottom w:val="single" w:sz="4" w:space="0" w:color="F4B084"/>
              <w:right w:val="nil"/>
            </w:tcBorders>
            <w:shd w:val="clear" w:color="FCE4D6" w:fill="FCE4D6"/>
            <w:noWrap/>
            <w:vAlign w:val="bottom"/>
          </w:tcPr>
          <w:p>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91</w:t>
            </w:r>
          </w:p>
        </w:tc>
        <w:tc>
          <w:tcPr>
            <w:tcW w:w="1583" w:type="dxa"/>
            <w:tcBorders>
              <w:top w:val="single" w:sz="4" w:space="0" w:color="F4B084"/>
              <w:left w:val="nil"/>
              <w:bottom w:val="single" w:sz="4" w:space="0" w:color="F4B084"/>
            </w:tcBorders>
            <w:shd w:val="clear" w:color="FCE4D6" w:fill="FCE4D6"/>
            <w:noWrap/>
            <w:vAlign w:val="bottom"/>
          </w:tcPr>
          <w:p>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6,981,821</w:t>
            </w:r>
          </w:p>
        </w:tc>
        <w:tc>
          <w:tcPr>
            <w:tcW w:w="731" w:type="dxa"/>
            <w:tcBorders>
              <w:top w:val="single" w:sz="4" w:space="0" w:color="F4B084"/>
              <w:bottom w:val="single" w:sz="4" w:space="0" w:color="F4B084"/>
            </w:tcBorders>
            <w:shd w:val="clear" w:color="FCE4D6" w:fill="FCE4D6"/>
            <w:vAlign w:val="bottom"/>
          </w:tcPr>
          <w:p>
            <w:pPr>
              <w:keepNext/>
              <w:keepLines/>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110</w:t>
            </w:r>
          </w:p>
        </w:tc>
        <w:tc>
          <w:tcPr>
            <w:tcW w:w="1582" w:type="dxa"/>
            <w:tcBorders>
              <w:top w:val="single" w:sz="4" w:space="0" w:color="F4B084"/>
              <w:bottom w:val="single" w:sz="4" w:space="0" w:color="F4B084"/>
              <w:right w:val="single" w:sz="4" w:space="0" w:color="F4B084"/>
            </w:tcBorders>
            <w:shd w:val="clear" w:color="FCE4D6" w:fill="FCE4D6"/>
            <w:vAlign w:val="bottom"/>
          </w:tcPr>
          <w:p>
            <w:pPr>
              <w:keepNext/>
              <w:keepLines/>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7,318,149</w:t>
            </w:r>
          </w:p>
        </w:tc>
      </w:tr>
      <w:tr>
        <w:trPr>
          <w:cantSplit/>
          <w:trHeight w:val="278"/>
        </w:trPr>
        <w:tc>
          <w:tcPr>
            <w:tcW w:w="962" w:type="dxa"/>
            <w:tcBorders>
              <w:top w:val="single" w:sz="4" w:space="0" w:color="F4B084"/>
              <w:left w:val="single" w:sz="4" w:space="0" w:color="F4B084"/>
              <w:bottom w:val="single" w:sz="4" w:space="0" w:color="F4B084"/>
              <w:right w:val="nil"/>
            </w:tcBorders>
            <w:shd w:val="clear" w:color="auto" w:fill="auto"/>
            <w:noWrap/>
            <w:vAlign w:val="center"/>
            <w:hideMark/>
          </w:tcPr>
          <w:p>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2017</w:t>
            </w:r>
          </w:p>
        </w:tc>
        <w:tc>
          <w:tcPr>
            <w:tcW w:w="2064" w:type="dxa"/>
            <w:tcBorders>
              <w:top w:val="single" w:sz="4" w:space="0" w:color="F4B084"/>
              <w:left w:val="nil"/>
              <w:bottom w:val="single" w:sz="4" w:space="0" w:color="F4B084"/>
              <w:right w:val="nil"/>
            </w:tcBorders>
            <w:shd w:val="clear" w:color="auto" w:fill="auto"/>
            <w:noWrap/>
            <w:vAlign w:val="bottom"/>
            <w:hideMark/>
          </w:tcPr>
          <w:p>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16</w:t>
            </w:r>
          </w:p>
        </w:tc>
        <w:tc>
          <w:tcPr>
            <w:tcW w:w="1441" w:type="dxa"/>
            <w:tcBorders>
              <w:top w:val="single" w:sz="4" w:space="0" w:color="F4B084"/>
              <w:left w:val="nil"/>
              <w:bottom w:val="single" w:sz="4" w:space="0" w:color="F4B084"/>
              <w:right w:val="nil"/>
            </w:tcBorders>
            <w:shd w:val="clear" w:color="auto" w:fill="auto"/>
            <w:noWrap/>
            <w:vAlign w:val="bottom"/>
            <w:hideMark/>
          </w:tcPr>
          <w:p>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2,924,965</w:t>
            </w:r>
          </w:p>
        </w:tc>
        <w:tc>
          <w:tcPr>
            <w:tcW w:w="731" w:type="dxa"/>
            <w:tcBorders>
              <w:top w:val="single" w:sz="4" w:space="0" w:color="F4B084"/>
              <w:left w:val="nil"/>
              <w:bottom w:val="single" w:sz="4" w:space="0" w:color="F4B084"/>
              <w:right w:val="nil"/>
            </w:tcBorders>
            <w:shd w:val="clear" w:color="auto" w:fill="auto"/>
            <w:noWrap/>
            <w:vAlign w:val="bottom"/>
          </w:tcPr>
          <w:p>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102</w:t>
            </w:r>
          </w:p>
        </w:tc>
        <w:tc>
          <w:tcPr>
            <w:tcW w:w="1583" w:type="dxa"/>
            <w:tcBorders>
              <w:top w:val="single" w:sz="4" w:space="0" w:color="F4B084"/>
              <w:left w:val="nil"/>
              <w:bottom w:val="single" w:sz="4" w:space="0" w:color="F4B084"/>
            </w:tcBorders>
            <w:shd w:val="clear" w:color="auto" w:fill="auto"/>
            <w:noWrap/>
            <w:vAlign w:val="bottom"/>
          </w:tcPr>
          <w:p>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14,602,871</w:t>
            </w:r>
          </w:p>
        </w:tc>
        <w:tc>
          <w:tcPr>
            <w:tcW w:w="731" w:type="dxa"/>
            <w:tcBorders>
              <w:top w:val="single" w:sz="4" w:space="0" w:color="F4B084"/>
              <w:bottom w:val="single" w:sz="4" w:space="0" w:color="F4B084"/>
            </w:tcBorders>
            <w:vAlign w:val="bottom"/>
          </w:tcPr>
          <w:p>
            <w:pPr>
              <w:keepNext/>
              <w:keepLines/>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118</w:t>
            </w:r>
          </w:p>
        </w:tc>
        <w:tc>
          <w:tcPr>
            <w:tcW w:w="1582" w:type="dxa"/>
            <w:tcBorders>
              <w:top w:val="single" w:sz="4" w:space="0" w:color="F4B084"/>
              <w:bottom w:val="single" w:sz="4" w:space="0" w:color="F4B084"/>
              <w:right w:val="single" w:sz="4" w:space="0" w:color="F4B084"/>
            </w:tcBorders>
            <w:vAlign w:val="bottom"/>
          </w:tcPr>
          <w:p>
            <w:pPr>
              <w:keepNext/>
              <w:keepLines/>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17,527,835</w:t>
            </w:r>
          </w:p>
        </w:tc>
      </w:tr>
      <w:tr>
        <w:trPr>
          <w:cantSplit/>
          <w:trHeight w:val="278"/>
        </w:trPr>
        <w:tc>
          <w:tcPr>
            <w:tcW w:w="962" w:type="dxa"/>
            <w:tcBorders>
              <w:top w:val="single" w:sz="4" w:space="0" w:color="F4B084"/>
              <w:left w:val="single" w:sz="4" w:space="0" w:color="F4B084"/>
              <w:bottom w:val="single" w:sz="4" w:space="0" w:color="F4B084"/>
              <w:right w:val="nil"/>
            </w:tcBorders>
            <w:shd w:val="clear" w:color="FCE4D6" w:fill="FCE4D6"/>
            <w:noWrap/>
            <w:vAlign w:val="center"/>
            <w:hideMark/>
          </w:tcPr>
          <w:p>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2018</w:t>
            </w:r>
          </w:p>
        </w:tc>
        <w:tc>
          <w:tcPr>
            <w:tcW w:w="2064" w:type="dxa"/>
            <w:tcBorders>
              <w:top w:val="single" w:sz="4" w:space="0" w:color="F4B084"/>
              <w:left w:val="nil"/>
              <w:bottom w:val="single" w:sz="4" w:space="0" w:color="F4B084"/>
              <w:right w:val="nil"/>
            </w:tcBorders>
            <w:shd w:val="clear" w:color="FCE4D6" w:fill="FCE4D6"/>
            <w:noWrap/>
            <w:vAlign w:val="bottom"/>
            <w:hideMark/>
          </w:tcPr>
          <w:p>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12</w:t>
            </w:r>
          </w:p>
        </w:tc>
        <w:tc>
          <w:tcPr>
            <w:tcW w:w="1441" w:type="dxa"/>
            <w:tcBorders>
              <w:top w:val="single" w:sz="4" w:space="0" w:color="F4B084"/>
              <w:left w:val="nil"/>
              <w:bottom w:val="single" w:sz="4" w:space="0" w:color="F4B084"/>
              <w:right w:val="nil"/>
            </w:tcBorders>
            <w:shd w:val="clear" w:color="FCE4D6" w:fill="FCE4D6"/>
            <w:noWrap/>
            <w:vAlign w:val="bottom"/>
            <w:hideMark/>
          </w:tcPr>
          <w:p>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1,176,328</w:t>
            </w:r>
          </w:p>
        </w:tc>
        <w:tc>
          <w:tcPr>
            <w:tcW w:w="731" w:type="dxa"/>
            <w:tcBorders>
              <w:top w:val="single" w:sz="4" w:space="0" w:color="F4B084"/>
              <w:left w:val="nil"/>
              <w:bottom w:val="single" w:sz="4" w:space="0" w:color="F4B084"/>
              <w:right w:val="nil"/>
            </w:tcBorders>
            <w:shd w:val="clear" w:color="FCE4D6" w:fill="FCE4D6"/>
            <w:noWrap/>
            <w:vAlign w:val="bottom"/>
          </w:tcPr>
          <w:p>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115</w:t>
            </w:r>
          </w:p>
        </w:tc>
        <w:tc>
          <w:tcPr>
            <w:tcW w:w="1583" w:type="dxa"/>
            <w:tcBorders>
              <w:top w:val="single" w:sz="4" w:space="0" w:color="F4B084"/>
              <w:left w:val="nil"/>
              <w:bottom w:val="single" w:sz="4" w:space="0" w:color="F4B084"/>
            </w:tcBorders>
            <w:shd w:val="clear" w:color="FCE4D6" w:fill="FCE4D6"/>
            <w:noWrap/>
            <w:vAlign w:val="bottom"/>
          </w:tcPr>
          <w:p>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9,842,979</w:t>
            </w:r>
          </w:p>
        </w:tc>
        <w:tc>
          <w:tcPr>
            <w:tcW w:w="731" w:type="dxa"/>
            <w:tcBorders>
              <w:top w:val="single" w:sz="4" w:space="0" w:color="F4B084"/>
              <w:bottom w:val="single" w:sz="4" w:space="0" w:color="F4B084"/>
            </w:tcBorders>
            <w:shd w:val="clear" w:color="FCE4D6" w:fill="FCE4D6"/>
            <w:vAlign w:val="bottom"/>
          </w:tcPr>
          <w:p>
            <w:pPr>
              <w:keepNext/>
              <w:keepLines/>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127</w:t>
            </w:r>
          </w:p>
        </w:tc>
        <w:tc>
          <w:tcPr>
            <w:tcW w:w="1582" w:type="dxa"/>
            <w:tcBorders>
              <w:top w:val="single" w:sz="4" w:space="0" w:color="F4B084"/>
              <w:bottom w:val="single" w:sz="4" w:space="0" w:color="F4B084"/>
              <w:right w:val="single" w:sz="4" w:space="0" w:color="F4B084"/>
            </w:tcBorders>
            <w:shd w:val="clear" w:color="FCE4D6" w:fill="FCE4D6"/>
            <w:vAlign w:val="bottom"/>
          </w:tcPr>
          <w:p>
            <w:pPr>
              <w:keepNext/>
              <w:keepLines/>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11,651,358</w:t>
            </w:r>
          </w:p>
        </w:tc>
      </w:tr>
      <w:tr>
        <w:trPr>
          <w:cantSplit/>
          <w:trHeight w:val="278"/>
        </w:trPr>
        <w:tc>
          <w:tcPr>
            <w:tcW w:w="962" w:type="dxa"/>
            <w:tcBorders>
              <w:top w:val="single" w:sz="4" w:space="0" w:color="F4B084"/>
              <w:left w:val="single" w:sz="4" w:space="0" w:color="F4B084"/>
              <w:bottom w:val="single" w:sz="4" w:space="0" w:color="F4B084"/>
              <w:right w:val="nil"/>
            </w:tcBorders>
            <w:shd w:val="clear" w:color="auto" w:fill="auto"/>
            <w:noWrap/>
            <w:vAlign w:val="center"/>
            <w:hideMark/>
          </w:tcPr>
          <w:p>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2019</w:t>
            </w:r>
          </w:p>
        </w:tc>
        <w:tc>
          <w:tcPr>
            <w:tcW w:w="2064" w:type="dxa"/>
            <w:tcBorders>
              <w:top w:val="single" w:sz="4" w:space="0" w:color="F4B084"/>
              <w:left w:val="nil"/>
              <w:bottom w:val="single" w:sz="4" w:space="0" w:color="F4B084"/>
              <w:right w:val="nil"/>
            </w:tcBorders>
            <w:shd w:val="clear" w:color="auto" w:fill="auto"/>
            <w:noWrap/>
            <w:vAlign w:val="bottom"/>
            <w:hideMark/>
          </w:tcPr>
          <w:p>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39</w:t>
            </w:r>
          </w:p>
        </w:tc>
        <w:tc>
          <w:tcPr>
            <w:tcW w:w="1441" w:type="dxa"/>
            <w:tcBorders>
              <w:top w:val="single" w:sz="4" w:space="0" w:color="F4B084"/>
              <w:left w:val="nil"/>
              <w:bottom w:val="single" w:sz="4" w:space="0" w:color="F4B084"/>
              <w:right w:val="nil"/>
            </w:tcBorders>
            <w:shd w:val="clear" w:color="auto" w:fill="auto"/>
            <w:noWrap/>
            <w:vAlign w:val="bottom"/>
            <w:hideMark/>
          </w:tcPr>
          <w:p>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3,402,530</w:t>
            </w:r>
          </w:p>
        </w:tc>
        <w:tc>
          <w:tcPr>
            <w:tcW w:w="731" w:type="dxa"/>
            <w:tcBorders>
              <w:top w:val="single" w:sz="4" w:space="0" w:color="F4B084"/>
              <w:left w:val="nil"/>
              <w:bottom w:val="single" w:sz="4" w:space="0" w:color="F4B084"/>
              <w:right w:val="nil"/>
            </w:tcBorders>
            <w:shd w:val="clear" w:color="auto" w:fill="auto"/>
            <w:noWrap/>
            <w:vAlign w:val="bottom"/>
          </w:tcPr>
          <w:p>
            <w:pPr>
              <w:keepNext/>
              <w:keepLines/>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87</w:t>
            </w:r>
          </w:p>
        </w:tc>
        <w:tc>
          <w:tcPr>
            <w:tcW w:w="1583" w:type="dxa"/>
            <w:tcBorders>
              <w:top w:val="single" w:sz="4" w:space="0" w:color="F4B084"/>
              <w:left w:val="nil"/>
              <w:bottom w:val="single" w:sz="4" w:space="0" w:color="F4B084"/>
            </w:tcBorders>
            <w:shd w:val="clear" w:color="auto" w:fill="auto"/>
            <w:noWrap/>
            <w:vAlign w:val="bottom"/>
          </w:tcPr>
          <w:p>
            <w:pPr>
              <w:keepNext/>
              <w:keepLines/>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7,519,511</w:t>
            </w:r>
          </w:p>
        </w:tc>
        <w:tc>
          <w:tcPr>
            <w:tcW w:w="731" w:type="dxa"/>
            <w:tcBorders>
              <w:top w:val="single" w:sz="4" w:space="0" w:color="F4B084"/>
              <w:bottom w:val="single" w:sz="4" w:space="0" w:color="F4B084"/>
            </w:tcBorders>
            <w:vAlign w:val="bottom"/>
          </w:tcPr>
          <w:p>
            <w:pPr>
              <w:keepNext/>
              <w:keepLines/>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126</w:t>
            </w:r>
          </w:p>
        </w:tc>
        <w:tc>
          <w:tcPr>
            <w:tcW w:w="1582" w:type="dxa"/>
            <w:tcBorders>
              <w:top w:val="single" w:sz="4" w:space="0" w:color="F4B084"/>
              <w:bottom w:val="single" w:sz="4" w:space="0" w:color="F4B084"/>
              <w:right w:val="single" w:sz="4" w:space="0" w:color="F4B084"/>
            </w:tcBorders>
            <w:vAlign w:val="bottom"/>
          </w:tcPr>
          <w:p>
            <w:pPr>
              <w:keepNext/>
              <w:keepLines/>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12,099,884</w:t>
            </w:r>
          </w:p>
        </w:tc>
      </w:tr>
      <w:tr>
        <w:trPr>
          <w:cantSplit/>
          <w:trHeight w:val="278"/>
        </w:trPr>
        <w:tc>
          <w:tcPr>
            <w:tcW w:w="962" w:type="dxa"/>
            <w:tcBorders>
              <w:top w:val="single" w:sz="4" w:space="0" w:color="F4B084"/>
              <w:left w:val="single" w:sz="4" w:space="0" w:color="F4B084"/>
              <w:bottom w:val="single" w:sz="4" w:space="0" w:color="F4B084"/>
              <w:right w:val="nil"/>
            </w:tcBorders>
            <w:shd w:val="clear" w:color="FCE4D6" w:fill="FCE4D6"/>
            <w:noWrap/>
            <w:vAlign w:val="center"/>
            <w:hideMark/>
          </w:tcPr>
          <w:p>
            <w:pPr>
              <w:keepNext/>
              <w:keepLines/>
              <w:spacing w:after="0" w:line="240" w:lineRule="auto"/>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Total</w:t>
            </w:r>
          </w:p>
        </w:tc>
        <w:tc>
          <w:tcPr>
            <w:tcW w:w="2064" w:type="dxa"/>
            <w:tcBorders>
              <w:top w:val="single" w:sz="4" w:space="0" w:color="F4B084"/>
              <w:left w:val="nil"/>
              <w:bottom w:val="single" w:sz="4" w:space="0" w:color="F4B084"/>
              <w:right w:val="nil"/>
            </w:tcBorders>
            <w:shd w:val="clear" w:color="FCE4D6" w:fill="FCE4D6"/>
            <w:noWrap/>
            <w:vAlign w:val="bottom"/>
            <w:hideMark/>
          </w:tcPr>
          <w:p>
            <w:pPr>
              <w:keepNext/>
              <w:keepLines/>
              <w:spacing w:after="0" w:line="240" w:lineRule="auto"/>
              <w:jc w:val="center"/>
              <w:rPr>
                <w:rFonts w:ascii="Times New Roman" w:eastAsia="Times New Roman" w:hAnsi="Times New Roman" w:cs="Times New Roman"/>
                <w:b/>
                <w:noProof/>
                <w:color w:val="000000"/>
                <w:sz w:val="20"/>
                <w:szCs w:val="20"/>
                <w:lang w:eastAsia="en-GB"/>
              </w:rPr>
            </w:pPr>
            <w:r>
              <w:rPr>
                <w:rFonts w:ascii="Times New Roman" w:hAnsi="Times New Roman" w:cs="Times New Roman"/>
                <w:b/>
                <w:noProof/>
                <w:color w:val="000000"/>
                <w:sz w:val="20"/>
                <w:szCs w:val="20"/>
              </w:rPr>
              <w:t>104</w:t>
            </w:r>
          </w:p>
        </w:tc>
        <w:tc>
          <w:tcPr>
            <w:tcW w:w="1441" w:type="dxa"/>
            <w:tcBorders>
              <w:top w:val="single" w:sz="4" w:space="0" w:color="F4B084"/>
              <w:left w:val="nil"/>
              <w:bottom w:val="single" w:sz="4" w:space="0" w:color="F4B084"/>
              <w:right w:val="nil"/>
            </w:tcBorders>
            <w:shd w:val="clear" w:color="FCE4D6" w:fill="FCE4D6"/>
            <w:noWrap/>
            <w:vAlign w:val="bottom"/>
            <w:hideMark/>
          </w:tcPr>
          <w:p>
            <w:pPr>
              <w:keepNext/>
              <w:keepLines/>
              <w:spacing w:after="0" w:line="240" w:lineRule="auto"/>
              <w:jc w:val="right"/>
              <w:rPr>
                <w:rFonts w:ascii="Times New Roman" w:eastAsia="Times New Roman" w:hAnsi="Times New Roman" w:cs="Times New Roman"/>
                <w:b/>
                <w:noProof/>
                <w:color w:val="000000"/>
                <w:sz w:val="20"/>
                <w:szCs w:val="20"/>
                <w:lang w:eastAsia="en-GB"/>
              </w:rPr>
            </w:pPr>
            <w:r>
              <w:rPr>
                <w:rFonts w:ascii="Times New Roman" w:hAnsi="Times New Roman" w:cs="Times New Roman"/>
                <w:b/>
                <w:noProof/>
                <w:color w:val="000000"/>
                <w:sz w:val="20"/>
                <w:szCs w:val="20"/>
              </w:rPr>
              <w:t>9,602,856</w:t>
            </w:r>
          </w:p>
        </w:tc>
        <w:tc>
          <w:tcPr>
            <w:tcW w:w="731" w:type="dxa"/>
            <w:tcBorders>
              <w:top w:val="single" w:sz="4" w:space="0" w:color="F4B084"/>
              <w:left w:val="nil"/>
              <w:bottom w:val="single" w:sz="4" w:space="0" w:color="F4B084"/>
              <w:right w:val="nil"/>
            </w:tcBorders>
            <w:shd w:val="clear" w:color="FCE4D6" w:fill="FCE4D6"/>
            <w:noWrap/>
            <w:vAlign w:val="bottom"/>
          </w:tcPr>
          <w:p>
            <w:pPr>
              <w:keepNext/>
              <w:keepLines/>
              <w:spacing w:after="0" w:line="240" w:lineRule="auto"/>
              <w:jc w:val="center"/>
              <w:rPr>
                <w:rFonts w:ascii="Times New Roman" w:eastAsia="Times New Roman" w:hAnsi="Times New Roman" w:cs="Times New Roman"/>
                <w:b/>
                <w:noProof/>
                <w:color w:val="000000"/>
                <w:sz w:val="20"/>
                <w:szCs w:val="20"/>
                <w:lang w:eastAsia="en-GB"/>
              </w:rPr>
            </w:pPr>
            <w:r>
              <w:rPr>
                <w:rFonts w:ascii="Times New Roman" w:hAnsi="Times New Roman" w:cs="Times New Roman"/>
                <w:b/>
                <w:noProof/>
                <w:color w:val="000000"/>
                <w:sz w:val="20"/>
                <w:szCs w:val="20"/>
              </w:rPr>
              <w:t>490</w:t>
            </w:r>
          </w:p>
        </w:tc>
        <w:tc>
          <w:tcPr>
            <w:tcW w:w="1583" w:type="dxa"/>
            <w:tcBorders>
              <w:top w:val="single" w:sz="4" w:space="0" w:color="F4B084"/>
              <w:left w:val="nil"/>
              <w:bottom w:val="single" w:sz="4" w:space="0" w:color="F4B084"/>
            </w:tcBorders>
            <w:shd w:val="clear" w:color="FCE4D6" w:fill="FCE4D6"/>
            <w:noWrap/>
            <w:vAlign w:val="bottom"/>
          </w:tcPr>
          <w:p>
            <w:pPr>
              <w:keepNext/>
              <w:keepLines/>
              <w:spacing w:after="0" w:line="240" w:lineRule="auto"/>
              <w:jc w:val="right"/>
              <w:rPr>
                <w:rFonts w:ascii="Times New Roman" w:eastAsia="Times New Roman" w:hAnsi="Times New Roman" w:cs="Times New Roman"/>
                <w:b/>
                <w:noProof/>
                <w:color w:val="000000"/>
                <w:sz w:val="20"/>
                <w:szCs w:val="20"/>
                <w:lang w:eastAsia="en-GB"/>
              </w:rPr>
            </w:pPr>
            <w:r>
              <w:rPr>
                <w:rFonts w:ascii="Times New Roman" w:hAnsi="Times New Roman" w:cs="Times New Roman"/>
                <w:b/>
                <w:noProof/>
                <w:color w:val="000000"/>
                <w:sz w:val="20"/>
                <w:szCs w:val="20"/>
              </w:rPr>
              <w:t>43,503,558</w:t>
            </w:r>
          </w:p>
        </w:tc>
        <w:tc>
          <w:tcPr>
            <w:tcW w:w="731" w:type="dxa"/>
            <w:tcBorders>
              <w:top w:val="single" w:sz="4" w:space="0" w:color="F4B084"/>
              <w:bottom w:val="single" w:sz="4" w:space="0" w:color="F4B084"/>
            </w:tcBorders>
            <w:shd w:val="clear" w:color="FCE4D6" w:fill="FCE4D6"/>
            <w:vAlign w:val="bottom"/>
          </w:tcPr>
          <w:p>
            <w:pPr>
              <w:keepNext/>
              <w:keepLines/>
              <w:spacing w:after="0" w:line="240" w:lineRule="auto"/>
              <w:jc w:val="right"/>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594</w:t>
            </w:r>
          </w:p>
        </w:tc>
        <w:tc>
          <w:tcPr>
            <w:tcW w:w="1582" w:type="dxa"/>
            <w:tcBorders>
              <w:top w:val="single" w:sz="4" w:space="0" w:color="F4B084"/>
              <w:bottom w:val="single" w:sz="4" w:space="0" w:color="F4B084"/>
              <w:right w:val="single" w:sz="4" w:space="0" w:color="F4B084"/>
            </w:tcBorders>
            <w:shd w:val="clear" w:color="FCE4D6" w:fill="FCE4D6"/>
            <w:vAlign w:val="bottom"/>
          </w:tcPr>
          <w:p>
            <w:pPr>
              <w:keepNext/>
              <w:keepLines/>
              <w:spacing w:after="0" w:line="240" w:lineRule="auto"/>
              <w:jc w:val="right"/>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54,916,309</w:t>
            </w:r>
          </w:p>
        </w:tc>
      </w:tr>
    </w:tbl>
    <w:p>
      <w:pPr>
        <w:keepNext/>
        <w:rPr>
          <w:noProof/>
        </w:rPr>
      </w:pPr>
    </w:p>
    <w:p>
      <w:pPr>
        <w:pStyle w:val="Caption"/>
        <w:keepNext/>
        <w:rPr>
          <w:noProof/>
        </w:rPr>
      </w:pPr>
      <w:r>
        <w:rPr>
          <w:noProof/>
        </w:rPr>
        <w:t xml:space="preserve">Chart PA </w:t>
      </w:r>
      <w:r>
        <w:rPr>
          <w:noProof/>
        </w:rPr>
        <w:fldChar w:fldCharType="begin"/>
      </w:r>
      <w:r>
        <w:rPr>
          <w:noProof/>
        </w:rPr>
        <w:instrText xml:space="preserve"> SEQ Chart_PA \* ARABIC </w:instrText>
      </w:r>
      <w:r>
        <w:rPr>
          <w:noProof/>
        </w:rPr>
        <w:fldChar w:fldCharType="separate"/>
      </w:r>
      <w:r>
        <w:rPr>
          <w:noProof/>
        </w:rPr>
        <w:t>3</w:t>
      </w:r>
      <w:r>
        <w:rPr>
          <w:noProof/>
        </w:rPr>
        <w:fldChar w:fldCharType="end"/>
      </w:r>
    </w:p>
    <w:p>
      <w:pPr>
        <w:keepNext/>
        <w:rPr>
          <w:rFonts w:ascii="Times New Roman" w:hAnsi="Times New Roman" w:cs="Times New Roman"/>
          <w:noProof/>
          <w:sz w:val="20"/>
          <w:szCs w:val="20"/>
        </w:rPr>
      </w:pPr>
      <w:r>
        <w:rPr>
          <w:noProof/>
          <w:lang w:eastAsia="en-GB"/>
        </w:rPr>
        <w:drawing>
          <wp:inline distT="0" distB="0" distL="0" distR="0">
            <wp:extent cx="5376672" cy="3226003"/>
            <wp:effectExtent l="0" t="0" r="14605"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ManualHeading4"/>
        <w:numPr>
          <w:ilvl w:val="3"/>
          <w:numId w:val="1"/>
        </w:numPr>
        <w:ind w:left="850" w:hanging="850"/>
        <w:rPr>
          <w:noProof/>
        </w:rPr>
      </w:pPr>
      <w:r>
        <w:rPr>
          <w:noProof/>
        </w:rPr>
        <w:t>Instruments for Pre-Accession II</w:t>
      </w:r>
    </w:p>
    <w:p>
      <w:pPr>
        <w:jc w:val="both"/>
        <w:rPr>
          <w:rFonts w:ascii="Times New Roman" w:hAnsi="Times New Roman" w:cs="Times New Roman"/>
          <w:noProof/>
          <w:sz w:val="24"/>
          <w:szCs w:val="20"/>
        </w:rPr>
      </w:pPr>
      <w:r>
        <w:rPr>
          <w:rFonts w:ascii="Times New Roman" w:hAnsi="Times New Roman" w:cs="Times New Roman"/>
          <w:b/>
          <w:noProof/>
          <w:sz w:val="24"/>
          <w:szCs w:val="24"/>
        </w:rPr>
        <w:t>The number of fraudulent irregularities related to IPA II reported in 2019 and their associated financial amount jumped significantly relative to 2018.</w:t>
      </w:r>
      <w:r>
        <w:rPr>
          <w:rFonts w:ascii="Times New Roman" w:hAnsi="Times New Roman" w:cs="Times New Roman"/>
          <w:noProof/>
          <w:sz w:val="24"/>
          <w:szCs w:val="24"/>
        </w:rPr>
        <w:t xml:space="preserve"> Table PA4 shows number of irregularities and associated financial amounts that have been reported during the past five years with reference to IPA II. The figures are split between irregularities reported as fraudulent and those not reported as such. Chart PA4 is a visualisation of the same data. </w:t>
      </w:r>
      <w:r>
        <w:rPr>
          <w:rFonts w:ascii="Times New Roman" w:hAnsi="Times New Roman" w:cs="Times New Roman"/>
          <w:noProof/>
          <w:sz w:val="24"/>
          <w:szCs w:val="20"/>
        </w:rPr>
        <w:t>Given that there are practically only two years of data with regard to IPA II irregularities, it is difficult to speak of trends (the first irregularity arising out of IPA II funding was reported in 2017, with an irregular amount of EUR 0). It is notable that, in comparison with 2018, the absolute number of irregularities – both fraudulent and non-fraudulent – and their total value jumped significantly. The number of fraudulent irregularities reported has tripled while the number of non-fraudulent ones quintupled. The ten biggest cases in 2019 represented 40% of the total irregular amounts reported for that year (see Table PA4 and Chart PA4, below).</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4</w:t>
      </w:r>
      <w:r>
        <w:rPr>
          <w:noProof/>
        </w:rPr>
        <w:fldChar w:fldCharType="end"/>
      </w:r>
      <w:r>
        <w:rPr>
          <w:noProof/>
        </w:rPr>
        <w:t>: IPA II, 2015-2019: Number of irregularities reported and financial amounts involved</w:t>
      </w:r>
    </w:p>
    <w:tbl>
      <w:tblPr>
        <w:tblW w:w="9072" w:type="dxa"/>
        <w:tblInd w:w="108" w:type="dxa"/>
        <w:tblLayout w:type="fixed"/>
        <w:tblLook w:val="04A0" w:firstRow="1" w:lastRow="0" w:firstColumn="1" w:lastColumn="0" w:noHBand="0" w:noVBand="1"/>
      </w:tblPr>
      <w:tblGrid>
        <w:gridCol w:w="704"/>
        <w:gridCol w:w="1394"/>
        <w:gridCol w:w="1395"/>
        <w:gridCol w:w="1395"/>
        <w:gridCol w:w="1394"/>
        <w:gridCol w:w="1395"/>
        <w:gridCol w:w="1395"/>
      </w:tblGrid>
      <w:tr>
        <w:trPr>
          <w:cantSplit/>
          <w:trHeight w:val="311"/>
        </w:trPr>
        <w:tc>
          <w:tcPr>
            <w:tcW w:w="704" w:type="dxa"/>
            <w:vMerge w:val="restart"/>
            <w:tcBorders>
              <w:top w:val="single" w:sz="4" w:space="0" w:color="F4B084"/>
              <w:left w:val="single" w:sz="4" w:space="0" w:color="F4B084"/>
              <w:right w:val="nil"/>
            </w:tcBorders>
            <w:shd w:val="clear" w:color="ED7D31" w:fill="ED7D31"/>
            <w:noWrap/>
            <w:vAlign w:val="center"/>
            <w:hideMark/>
          </w:tcPr>
          <w:p>
            <w:pPr>
              <w:keepNext/>
              <w:spacing w:after="0" w:line="240" w:lineRule="auto"/>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Year</w:t>
            </w:r>
          </w:p>
        </w:tc>
        <w:tc>
          <w:tcPr>
            <w:tcW w:w="2789" w:type="dxa"/>
            <w:gridSpan w:val="2"/>
            <w:tcBorders>
              <w:top w:val="single" w:sz="4" w:space="0" w:color="F4B084"/>
              <w:left w:val="nil"/>
              <w:bottom w:val="single" w:sz="4" w:space="0" w:color="F4B084"/>
              <w:right w:val="nil"/>
            </w:tcBorders>
            <w:shd w:val="clear" w:color="ED7D31" w:fill="ED7D31"/>
            <w:noWrap/>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themeColor="background1"/>
                <w:sz w:val="20"/>
                <w:szCs w:val="20"/>
                <w:lang w:eastAsia="en-GB"/>
              </w:rPr>
              <w:t>Fraudulent Irregularities</w:t>
            </w:r>
          </w:p>
        </w:tc>
        <w:tc>
          <w:tcPr>
            <w:tcW w:w="2789" w:type="dxa"/>
            <w:gridSpan w:val="2"/>
            <w:tcBorders>
              <w:top w:val="single" w:sz="4" w:space="0" w:color="F4B084"/>
              <w:left w:val="nil"/>
              <w:bottom w:val="single" w:sz="4" w:space="0" w:color="F4B084"/>
              <w:right w:val="single" w:sz="4" w:space="0" w:color="F4B084"/>
            </w:tcBorders>
            <w:shd w:val="clear" w:color="ED7D31" w:fill="ED7D31"/>
            <w:noWrap/>
            <w:vAlign w:val="center"/>
            <w:hideMark/>
          </w:tcPr>
          <w:p>
            <w:pPr>
              <w:keepNext/>
              <w:spacing w:after="0" w:line="240" w:lineRule="auto"/>
              <w:ind w:left="-62" w:right="-62"/>
              <w:jc w:val="center"/>
              <w:rPr>
                <w:rFonts w:ascii="Times New Roman" w:eastAsia="Times New Roman" w:hAnsi="Times New Roman" w:cs="Times New Roman"/>
                <w:b/>
                <w:bCs/>
                <w:noProof/>
                <w:color w:val="FFFFFF" w:themeColor="background1"/>
                <w:sz w:val="20"/>
                <w:szCs w:val="20"/>
                <w:lang w:eastAsia="en-GB"/>
              </w:rPr>
            </w:pPr>
            <w:r>
              <w:rPr>
                <w:rFonts w:ascii="Times New Roman" w:eastAsia="Times New Roman" w:hAnsi="Times New Roman" w:cs="Times New Roman"/>
                <w:b/>
                <w:bCs/>
                <w:noProof/>
                <w:color w:val="FFFFFF" w:themeColor="background1"/>
                <w:sz w:val="20"/>
                <w:szCs w:val="20"/>
                <w:lang w:eastAsia="en-GB"/>
              </w:rPr>
              <w:t>Non-Fraudulent Irregularities</w:t>
            </w:r>
          </w:p>
        </w:tc>
        <w:tc>
          <w:tcPr>
            <w:tcW w:w="2790" w:type="dxa"/>
            <w:gridSpan w:val="2"/>
            <w:tcBorders>
              <w:top w:val="single" w:sz="4" w:space="0" w:color="F4B084"/>
              <w:left w:val="nil"/>
              <w:bottom w:val="single" w:sz="4" w:space="0" w:color="F4B084"/>
              <w:right w:val="single" w:sz="4" w:space="0" w:color="F4B084"/>
            </w:tcBorders>
            <w:shd w:val="clear" w:color="ED7D31" w:fill="ED7D31"/>
            <w:vAlign w:val="center"/>
          </w:tcPr>
          <w:p>
            <w:pPr>
              <w:keepNext/>
              <w:spacing w:after="0" w:line="240" w:lineRule="auto"/>
              <w:jc w:val="center"/>
              <w:rPr>
                <w:rFonts w:ascii="Times New Roman" w:eastAsia="Times New Roman" w:hAnsi="Times New Roman" w:cs="Times New Roman"/>
                <w:b/>
                <w:bCs/>
                <w:noProof/>
                <w:color w:val="FFFFFF" w:themeColor="background1"/>
                <w:sz w:val="20"/>
                <w:szCs w:val="20"/>
                <w:lang w:eastAsia="en-GB"/>
              </w:rPr>
            </w:pPr>
            <w:r>
              <w:rPr>
                <w:rFonts w:ascii="Times New Roman" w:eastAsia="Times New Roman" w:hAnsi="Times New Roman" w:cs="Times New Roman"/>
                <w:b/>
                <w:bCs/>
                <w:noProof/>
                <w:color w:val="FFFFFF" w:themeColor="background1"/>
                <w:sz w:val="20"/>
                <w:szCs w:val="20"/>
                <w:lang w:eastAsia="en-GB"/>
              </w:rPr>
              <w:t>Total</w:t>
            </w:r>
          </w:p>
        </w:tc>
      </w:tr>
      <w:tr>
        <w:trPr>
          <w:cantSplit/>
          <w:trHeight w:val="311"/>
        </w:trPr>
        <w:tc>
          <w:tcPr>
            <w:tcW w:w="704" w:type="dxa"/>
            <w:vMerge/>
            <w:tcBorders>
              <w:left w:val="single" w:sz="4" w:space="0" w:color="F4B084"/>
              <w:bottom w:val="single" w:sz="4" w:space="0" w:color="F4B084"/>
              <w:right w:val="nil"/>
            </w:tcBorders>
            <w:shd w:val="clear" w:color="ED7D31" w:fill="ED7D31"/>
            <w:noWrap/>
            <w:vAlign w:val="center"/>
          </w:tcPr>
          <w:p>
            <w:pPr>
              <w:keepNext/>
              <w:spacing w:after="0" w:line="240" w:lineRule="auto"/>
              <w:rPr>
                <w:rFonts w:ascii="Times New Roman" w:eastAsia="Times New Roman" w:hAnsi="Times New Roman" w:cs="Times New Roman"/>
                <w:b/>
                <w:bCs/>
                <w:noProof/>
                <w:color w:val="FFFFFF"/>
                <w:sz w:val="20"/>
                <w:szCs w:val="20"/>
                <w:lang w:eastAsia="en-GB"/>
              </w:rPr>
            </w:pPr>
          </w:p>
        </w:tc>
        <w:tc>
          <w:tcPr>
            <w:tcW w:w="1394" w:type="dxa"/>
            <w:tcBorders>
              <w:top w:val="single" w:sz="4" w:space="0" w:color="F4B084"/>
              <w:left w:val="nil"/>
              <w:bottom w:val="single" w:sz="4" w:space="0" w:color="F4B084"/>
              <w:right w:val="nil"/>
            </w:tcBorders>
            <w:shd w:val="clear" w:color="ED7D31" w:fill="ED7D31"/>
            <w:noWrap/>
            <w:vAlign w:val="center"/>
          </w:tcPr>
          <w:p>
            <w:pPr>
              <w:keepNext/>
              <w:spacing w:after="0" w:line="240" w:lineRule="auto"/>
              <w:jc w:val="center"/>
              <w:rPr>
                <w:rFonts w:ascii="Times New Roman" w:eastAsia="Times New Roman" w:hAnsi="Times New Roman" w:cs="Times New Roman"/>
                <w:b/>
                <w:bCs/>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1395" w:type="dxa"/>
            <w:tcBorders>
              <w:top w:val="single" w:sz="4" w:space="0" w:color="F4B084"/>
              <w:left w:val="nil"/>
              <w:bottom w:val="single" w:sz="4" w:space="0" w:color="F4B084"/>
              <w:right w:val="nil"/>
            </w:tcBorders>
            <w:shd w:val="clear" w:color="ED7D31" w:fill="ED7D31"/>
            <w:noWrap/>
            <w:vAlign w:val="center"/>
          </w:tcPr>
          <w:p>
            <w:pPr>
              <w:keepNext/>
              <w:spacing w:after="0" w:line="240" w:lineRule="auto"/>
              <w:jc w:val="right"/>
              <w:rPr>
                <w:rFonts w:ascii="Times New Roman" w:eastAsia="Times New Roman" w:hAnsi="Times New Roman" w:cs="Times New Roman"/>
                <w:b/>
                <w:bCs/>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 xml:space="preserve"> EUR </w:t>
            </w:r>
          </w:p>
        </w:tc>
        <w:tc>
          <w:tcPr>
            <w:tcW w:w="1395" w:type="dxa"/>
            <w:tcBorders>
              <w:top w:val="single" w:sz="4" w:space="0" w:color="F4B084"/>
              <w:left w:val="nil"/>
              <w:bottom w:val="single" w:sz="4" w:space="0" w:color="F4B084"/>
              <w:right w:val="nil"/>
            </w:tcBorders>
            <w:shd w:val="clear" w:color="ED7D31" w:fill="ED7D31"/>
            <w:noWrap/>
            <w:vAlign w:val="center"/>
          </w:tcPr>
          <w:p>
            <w:pPr>
              <w:keepNext/>
              <w:spacing w:after="0" w:line="240" w:lineRule="auto"/>
              <w:jc w:val="center"/>
              <w:rPr>
                <w:rFonts w:ascii="Times New Roman" w:eastAsia="Times New Roman" w:hAnsi="Times New Roman" w:cs="Times New Roman"/>
                <w:b/>
                <w:bCs/>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1394" w:type="dxa"/>
            <w:tcBorders>
              <w:top w:val="single" w:sz="4" w:space="0" w:color="F4B084"/>
              <w:left w:val="nil"/>
              <w:bottom w:val="single" w:sz="4" w:space="0" w:color="F4B084"/>
              <w:right w:val="single" w:sz="4" w:space="0" w:color="F4B084"/>
            </w:tcBorders>
            <w:shd w:val="clear" w:color="ED7D31" w:fill="ED7D31"/>
            <w:noWrap/>
            <w:vAlign w:val="center"/>
          </w:tcPr>
          <w:p>
            <w:pPr>
              <w:keepNext/>
              <w:spacing w:after="0" w:line="240" w:lineRule="auto"/>
              <w:jc w:val="right"/>
              <w:rPr>
                <w:rFonts w:ascii="Times New Roman" w:eastAsia="Times New Roman" w:hAnsi="Times New Roman" w:cs="Times New Roman"/>
                <w:b/>
                <w:bCs/>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 xml:space="preserve"> EUR </w:t>
            </w:r>
          </w:p>
        </w:tc>
        <w:tc>
          <w:tcPr>
            <w:tcW w:w="1395" w:type="dxa"/>
            <w:tcBorders>
              <w:top w:val="single" w:sz="4" w:space="0" w:color="F4B084"/>
              <w:left w:val="nil"/>
              <w:bottom w:val="single" w:sz="4" w:space="0" w:color="F4B084"/>
              <w:right w:val="single" w:sz="4" w:space="0" w:color="F4B084"/>
            </w:tcBorders>
            <w:shd w:val="clear" w:color="ED7D31" w:fill="ED7D31"/>
            <w:vAlign w:val="center"/>
          </w:tcPr>
          <w:p>
            <w:pPr>
              <w:keepNext/>
              <w:spacing w:after="0" w:line="240" w:lineRule="auto"/>
              <w:jc w:val="right"/>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1395" w:type="dxa"/>
            <w:tcBorders>
              <w:top w:val="single" w:sz="4" w:space="0" w:color="F4B084"/>
              <w:left w:val="nil"/>
              <w:bottom w:val="single" w:sz="4" w:space="0" w:color="F4B084"/>
              <w:right w:val="single" w:sz="4" w:space="0" w:color="F4B084"/>
            </w:tcBorders>
            <w:shd w:val="clear" w:color="ED7D31" w:fill="ED7D31"/>
            <w:vAlign w:val="center"/>
          </w:tcPr>
          <w:p>
            <w:pPr>
              <w:keepNext/>
              <w:spacing w:after="0" w:line="240" w:lineRule="auto"/>
              <w:jc w:val="right"/>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 xml:space="preserve"> EUR </w:t>
            </w:r>
          </w:p>
        </w:tc>
      </w:tr>
      <w:tr>
        <w:trPr>
          <w:cantSplit/>
          <w:trHeight w:val="311"/>
        </w:trPr>
        <w:tc>
          <w:tcPr>
            <w:tcW w:w="704" w:type="dxa"/>
            <w:tcBorders>
              <w:top w:val="single" w:sz="4" w:space="0" w:color="F4B084"/>
              <w:left w:val="single" w:sz="4" w:space="0" w:color="F4B084"/>
              <w:bottom w:val="single" w:sz="4" w:space="0" w:color="F4B084"/>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2015</w:t>
            </w:r>
          </w:p>
        </w:tc>
        <w:tc>
          <w:tcPr>
            <w:tcW w:w="1394" w:type="dxa"/>
            <w:tcBorders>
              <w:top w:val="single" w:sz="4" w:space="0" w:color="F4B084"/>
              <w:left w:val="nil"/>
              <w:bottom w:val="single" w:sz="4" w:space="0" w:color="F4B084"/>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395" w:type="dxa"/>
            <w:tcBorders>
              <w:top w:val="single" w:sz="4" w:space="0" w:color="F4B084"/>
              <w:left w:val="nil"/>
              <w:bottom w:val="single" w:sz="4" w:space="0" w:color="F4B084"/>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395" w:type="dxa"/>
            <w:tcBorders>
              <w:top w:val="single" w:sz="4" w:space="0" w:color="F4B084"/>
              <w:left w:val="nil"/>
              <w:bottom w:val="single" w:sz="4" w:space="0" w:color="F4B084"/>
              <w:right w:val="nil"/>
            </w:tcBorders>
            <w:shd w:val="clear" w:color="auto" w:fill="auto"/>
            <w:noWrap/>
            <w:vAlign w:val="center"/>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394" w:type="dxa"/>
            <w:tcBorders>
              <w:top w:val="single" w:sz="4" w:space="0" w:color="F4B084"/>
              <w:left w:val="nil"/>
              <w:bottom w:val="single" w:sz="4" w:space="0" w:color="F4B084"/>
              <w:right w:val="single" w:sz="4" w:space="0" w:color="F4B084"/>
            </w:tcBorders>
            <w:shd w:val="clear" w:color="auto" w:fill="auto"/>
            <w:noWrap/>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395" w:type="dxa"/>
            <w:tcBorders>
              <w:top w:val="single" w:sz="4" w:space="0" w:color="F4B084"/>
              <w:left w:val="nil"/>
              <w:bottom w:val="single" w:sz="4" w:space="0" w:color="F4B084"/>
              <w:right w:val="single" w:sz="4" w:space="0" w:color="F4B084"/>
            </w:tcBorders>
            <w:vAlign w:val="center"/>
          </w:tcPr>
          <w:p>
            <w:pPr>
              <w:keepNext/>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1395" w:type="dxa"/>
            <w:tcBorders>
              <w:top w:val="single" w:sz="4" w:space="0" w:color="F4B084"/>
              <w:left w:val="nil"/>
              <w:bottom w:val="single" w:sz="4" w:space="0" w:color="F4B084"/>
              <w:right w:val="single" w:sz="4" w:space="0" w:color="F4B084"/>
            </w:tcBorders>
            <w:vAlign w:val="center"/>
          </w:tcPr>
          <w:p>
            <w:pPr>
              <w:keepNext/>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trPr>
          <w:cantSplit/>
          <w:trHeight w:val="311"/>
        </w:trPr>
        <w:tc>
          <w:tcPr>
            <w:tcW w:w="704" w:type="dxa"/>
            <w:tcBorders>
              <w:top w:val="single" w:sz="4" w:space="0" w:color="F4B084"/>
              <w:left w:val="single" w:sz="4" w:space="0" w:color="F4B084"/>
              <w:bottom w:val="single" w:sz="4" w:space="0" w:color="F4B084"/>
              <w:right w:val="nil"/>
            </w:tcBorders>
            <w:shd w:val="clear" w:color="FCE4D6" w:fill="FCE4D6"/>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2016</w:t>
            </w:r>
          </w:p>
        </w:tc>
        <w:tc>
          <w:tcPr>
            <w:tcW w:w="1394" w:type="dxa"/>
            <w:tcBorders>
              <w:top w:val="single" w:sz="4" w:space="0" w:color="F4B084"/>
              <w:left w:val="nil"/>
              <w:bottom w:val="single" w:sz="4" w:space="0" w:color="F4B084"/>
              <w:right w:val="nil"/>
            </w:tcBorders>
            <w:shd w:val="clear" w:color="FCE4D6" w:fill="FCE4D6"/>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395" w:type="dxa"/>
            <w:tcBorders>
              <w:top w:val="single" w:sz="4" w:space="0" w:color="F4B084"/>
              <w:left w:val="nil"/>
              <w:bottom w:val="single" w:sz="4" w:space="0" w:color="F4B084"/>
              <w:right w:val="nil"/>
            </w:tcBorders>
            <w:shd w:val="clear" w:color="FCE4D6" w:fill="FCE4D6"/>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395" w:type="dxa"/>
            <w:tcBorders>
              <w:top w:val="single" w:sz="4" w:space="0" w:color="F4B084"/>
              <w:left w:val="nil"/>
              <w:bottom w:val="single" w:sz="4" w:space="0" w:color="F4B084"/>
              <w:right w:val="nil"/>
            </w:tcBorders>
            <w:shd w:val="clear" w:color="FCE4D6" w:fill="FCE4D6"/>
            <w:noWrap/>
            <w:vAlign w:val="center"/>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394" w:type="dxa"/>
            <w:tcBorders>
              <w:top w:val="single" w:sz="4" w:space="0" w:color="F4B084"/>
              <w:left w:val="nil"/>
              <w:bottom w:val="single" w:sz="4" w:space="0" w:color="F4B084"/>
              <w:right w:val="single" w:sz="4" w:space="0" w:color="F4B084"/>
            </w:tcBorders>
            <w:shd w:val="clear" w:color="FCE4D6" w:fill="FCE4D6"/>
            <w:noWrap/>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395" w:type="dxa"/>
            <w:tcBorders>
              <w:top w:val="single" w:sz="4" w:space="0" w:color="F4B084"/>
              <w:left w:val="nil"/>
              <w:bottom w:val="single" w:sz="4" w:space="0" w:color="F4B084"/>
              <w:right w:val="single" w:sz="4" w:space="0" w:color="F4B084"/>
            </w:tcBorders>
            <w:shd w:val="clear" w:color="FCE4D6" w:fill="FCE4D6"/>
            <w:vAlign w:val="center"/>
          </w:tcPr>
          <w:p>
            <w:pPr>
              <w:keepNext/>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1395" w:type="dxa"/>
            <w:tcBorders>
              <w:top w:val="single" w:sz="4" w:space="0" w:color="F4B084"/>
              <w:left w:val="nil"/>
              <w:bottom w:val="single" w:sz="4" w:space="0" w:color="F4B084"/>
              <w:right w:val="single" w:sz="4" w:space="0" w:color="F4B084"/>
            </w:tcBorders>
            <w:shd w:val="clear" w:color="FCE4D6" w:fill="FCE4D6"/>
            <w:vAlign w:val="center"/>
          </w:tcPr>
          <w:p>
            <w:pPr>
              <w:keepNext/>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trPr>
          <w:cantSplit/>
          <w:trHeight w:val="311"/>
        </w:trPr>
        <w:tc>
          <w:tcPr>
            <w:tcW w:w="704" w:type="dxa"/>
            <w:tcBorders>
              <w:top w:val="single" w:sz="4" w:space="0" w:color="F4B084"/>
              <w:left w:val="single" w:sz="4" w:space="0" w:color="F4B084"/>
              <w:bottom w:val="single" w:sz="4" w:space="0" w:color="F4B084"/>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2017</w:t>
            </w:r>
          </w:p>
        </w:tc>
        <w:tc>
          <w:tcPr>
            <w:tcW w:w="1394" w:type="dxa"/>
            <w:tcBorders>
              <w:top w:val="single" w:sz="4" w:space="0" w:color="F4B084"/>
              <w:left w:val="nil"/>
              <w:bottom w:val="single" w:sz="4" w:space="0" w:color="F4B084"/>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w:t>
            </w:r>
          </w:p>
        </w:tc>
        <w:tc>
          <w:tcPr>
            <w:tcW w:w="1395" w:type="dxa"/>
            <w:tcBorders>
              <w:top w:val="single" w:sz="4" w:space="0" w:color="F4B084"/>
              <w:left w:val="nil"/>
              <w:bottom w:val="single" w:sz="4" w:space="0" w:color="F4B084"/>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395" w:type="dxa"/>
            <w:tcBorders>
              <w:top w:val="single" w:sz="4" w:space="0" w:color="F4B084"/>
              <w:left w:val="nil"/>
              <w:bottom w:val="single" w:sz="4" w:space="0" w:color="F4B084"/>
              <w:right w:val="nil"/>
            </w:tcBorders>
            <w:shd w:val="clear" w:color="auto" w:fill="auto"/>
            <w:noWrap/>
            <w:vAlign w:val="center"/>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394" w:type="dxa"/>
            <w:tcBorders>
              <w:top w:val="single" w:sz="4" w:space="0" w:color="F4B084"/>
              <w:left w:val="nil"/>
              <w:bottom w:val="single" w:sz="4" w:space="0" w:color="F4B084"/>
              <w:right w:val="single" w:sz="4" w:space="0" w:color="F4B084"/>
            </w:tcBorders>
            <w:shd w:val="clear" w:color="auto" w:fill="auto"/>
            <w:noWrap/>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395" w:type="dxa"/>
            <w:tcBorders>
              <w:top w:val="single" w:sz="4" w:space="0" w:color="F4B084"/>
              <w:left w:val="nil"/>
              <w:bottom w:val="single" w:sz="4" w:space="0" w:color="F4B084"/>
              <w:right w:val="single" w:sz="4" w:space="0" w:color="F4B084"/>
            </w:tcBorders>
            <w:vAlign w:val="center"/>
          </w:tcPr>
          <w:p>
            <w:pPr>
              <w:keepNext/>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p>
        </w:tc>
        <w:tc>
          <w:tcPr>
            <w:tcW w:w="1395" w:type="dxa"/>
            <w:tcBorders>
              <w:top w:val="single" w:sz="4" w:space="0" w:color="F4B084"/>
              <w:left w:val="nil"/>
              <w:bottom w:val="single" w:sz="4" w:space="0" w:color="F4B084"/>
              <w:right w:val="single" w:sz="4" w:space="0" w:color="F4B084"/>
            </w:tcBorders>
            <w:vAlign w:val="center"/>
          </w:tcPr>
          <w:p>
            <w:pPr>
              <w:keepNext/>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trPr>
          <w:cantSplit/>
          <w:trHeight w:val="311"/>
        </w:trPr>
        <w:tc>
          <w:tcPr>
            <w:tcW w:w="704" w:type="dxa"/>
            <w:tcBorders>
              <w:top w:val="single" w:sz="4" w:space="0" w:color="F4B084"/>
              <w:left w:val="single" w:sz="4" w:space="0" w:color="F4B084"/>
              <w:bottom w:val="single" w:sz="4" w:space="0" w:color="F4B084"/>
              <w:right w:val="nil"/>
            </w:tcBorders>
            <w:shd w:val="clear" w:color="FCE4D6" w:fill="FCE4D6"/>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2018</w:t>
            </w:r>
          </w:p>
        </w:tc>
        <w:tc>
          <w:tcPr>
            <w:tcW w:w="1394" w:type="dxa"/>
            <w:tcBorders>
              <w:top w:val="single" w:sz="4" w:space="0" w:color="F4B084"/>
              <w:left w:val="nil"/>
              <w:bottom w:val="single" w:sz="4" w:space="0" w:color="F4B084"/>
              <w:right w:val="nil"/>
            </w:tcBorders>
            <w:shd w:val="clear" w:color="FCE4D6" w:fill="FCE4D6"/>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4</w:t>
            </w:r>
          </w:p>
        </w:tc>
        <w:tc>
          <w:tcPr>
            <w:tcW w:w="1395" w:type="dxa"/>
            <w:tcBorders>
              <w:top w:val="single" w:sz="4" w:space="0" w:color="F4B084"/>
              <w:left w:val="nil"/>
              <w:bottom w:val="single" w:sz="4" w:space="0" w:color="F4B084"/>
              <w:right w:val="nil"/>
            </w:tcBorders>
            <w:shd w:val="clear" w:color="FCE4D6" w:fill="FCE4D6"/>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377,249</w:t>
            </w:r>
          </w:p>
        </w:tc>
        <w:tc>
          <w:tcPr>
            <w:tcW w:w="1395" w:type="dxa"/>
            <w:tcBorders>
              <w:top w:val="single" w:sz="4" w:space="0" w:color="F4B084"/>
              <w:left w:val="nil"/>
              <w:bottom w:val="single" w:sz="4" w:space="0" w:color="F4B084"/>
              <w:right w:val="nil"/>
            </w:tcBorders>
            <w:shd w:val="clear" w:color="FCE4D6" w:fill="FCE4D6"/>
            <w:noWrap/>
            <w:vAlign w:val="center"/>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13</w:t>
            </w:r>
          </w:p>
        </w:tc>
        <w:tc>
          <w:tcPr>
            <w:tcW w:w="1394" w:type="dxa"/>
            <w:tcBorders>
              <w:top w:val="single" w:sz="4" w:space="0" w:color="F4B084"/>
              <w:left w:val="nil"/>
              <w:bottom w:val="single" w:sz="4" w:space="0" w:color="F4B084"/>
              <w:right w:val="single" w:sz="4" w:space="0" w:color="F4B084"/>
            </w:tcBorders>
            <w:shd w:val="clear" w:color="FCE4D6" w:fill="FCE4D6"/>
            <w:noWrap/>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254,801</w:t>
            </w:r>
          </w:p>
        </w:tc>
        <w:tc>
          <w:tcPr>
            <w:tcW w:w="1395" w:type="dxa"/>
            <w:tcBorders>
              <w:top w:val="single" w:sz="4" w:space="0" w:color="F4B084"/>
              <w:left w:val="nil"/>
              <w:bottom w:val="single" w:sz="4" w:space="0" w:color="F4B084"/>
              <w:right w:val="single" w:sz="4" w:space="0" w:color="F4B084"/>
            </w:tcBorders>
            <w:shd w:val="clear" w:color="FCE4D6" w:fill="FCE4D6"/>
            <w:vAlign w:val="center"/>
          </w:tcPr>
          <w:p>
            <w:pPr>
              <w:keepNext/>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17</w:t>
            </w:r>
          </w:p>
        </w:tc>
        <w:tc>
          <w:tcPr>
            <w:tcW w:w="1395" w:type="dxa"/>
            <w:tcBorders>
              <w:top w:val="single" w:sz="4" w:space="0" w:color="F4B084"/>
              <w:left w:val="nil"/>
              <w:bottom w:val="single" w:sz="4" w:space="0" w:color="F4B084"/>
              <w:right w:val="single" w:sz="4" w:space="0" w:color="F4B084"/>
            </w:tcBorders>
            <w:shd w:val="clear" w:color="FCE4D6" w:fill="FCE4D6"/>
            <w:vAlign w:val="center"/>
          </w:tcPr>
          <w:p>
            <w:pPr>
              <w:keepNext/>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632,051</w:t>
            </w:r>
          </w:p>
        </w:tc>
      </w:tr>
      <w:tr>
        <w:trPr>
          <w:cantSplit/>
          <w:trHeight w:val="311"/>
        </w:trPr>
        <w:tc>
          <w:tcPr>
            <w:tcW w:w="704" w:type="dxa"/>
            <w:tcBorders>
              <w:top w:val="single" w:sz="4" w:space="0" w:color="F4B084"/>
              <w:left w:val="single" w:sz="4" w:space="0" w:color="F4B084"/>
              <w:bottom w:val="single" w:sz="4" w:space="0" w:color="F4B084"/>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2019</w:t>
            </w:r>
          </w:p>
        </w:tc>
        <w:tc>
          <w:tcPr>
            <w:tcW w:w="1394" w:type="dxa"/>
            <w:tcBorders>
              <w:top w:val="single" w:sz="4" w:space="0" w:color="F4B084"/>
              <w:left w:val="nil"/>
              <w:bottom w:val="single" w:sz="4" w:space="0" w:color="F4B084"/>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12</w:t>
            </w:r>
          </w:p>
        </w:tc>
        <w:tc>
          <w:tcPr>
            <w:tcW w:w="1395" w:type="dxa"/>
            <w:tcBorders>
              <w:top w:val="single" w:sz="4" w:space="0" w:color="F4B084"/>
              <w:left w:val="nil"/>
              <w:bottom w:val="single" w:sz="4" w:space="0" w:color="F4B084"/>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417,899</w:t>
            </w:r>
          </w:p>
        </w:tc>
        <w:tc>
          <w:tcPr>
            <w:tcW w:w="1395" w:type="dxa"/>
            <w:tcBorders>
              <w:top w:val="single" w:sz="4" w:space="0" w:color="F4B084"/>
              <w:left w:val="nil"/>
              <w:bottom w:val="single" w:sz="4" w:space="0" w:color="F4B084"/>
              <w:right w:val="nil"/>
            </w:tcBorders>
            <w:shd w:val="clear" w:color="auto" w:fill="auto"/>
            <w:noWrap/>
            <w:vAlign w:val="center"/>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66</w:t>
            </w:r>
          </w:p>
        </w:tc>
        <w:tc>
          <w:tcPr>
            <w:tcW w:w="1394" w:type="dxa"/>
            <w:tcBorders>
              <w:top w:val="single" w:sz="4" w:space="0" w:color="F4B084"/>
              <w:left w:val="nil"/>
              <w:bottom w:val="single" w:sz="4" w:space="0" w:color="F4B084"/>
              <w:right w:val="single" w:sz="4" w:space="0" w:color="F4B084"/>
            </w:tcBorders>
            <w:shd w:val="clear" w:color="auto" w:fill="auto"/>
            <w:noWrap/>
            <w:vAlign w:val="center"/>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759,945</w:t>
            </w:r>
          </w:p>
        </w:tc>
        <w:tc>
          <w:tcPr>
            <w:tcW w:w="1395" w:type="dxa"/>
            <w:tcBorders>
              <w:top w:val="single" w:sz="4" w:space="0" w:color="F4B084"/>
              <w:left w:val="nil"/>
              <w:bottom w:val="single" w:sz="4" w:space="0" w:color="F4B084"/>
              <w:right w:val="single" w:sz="4" w:space="0" w:color="F4B084"/>
            </w:tcBorders>
            <w:vAlign w:val="center"/>
          </w:tcPr>
          <w:p>
            <w:pPr>
              <w:keepNext/>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78</w:t>
            </w:r>
          </w:p>
        </w:tc>
        <w:tc>
          <w:tcPr>
            <w:tcW w:w="1395" w:type="dxa"/>
            <w:tcBorders>
              <w:top w:val="single" w:sz="4" w:space="0" w:color="F4B084"/>
              <w:left w:val="nil"/>
              <w:bottom w:val="single" w:sz="4" w:space="0" w:color="F4B084"/>
              <w:right w:val="single" w:sz="4" w:space="0" w:color="F4B084"/>
            </w:tcBorders>
            <w:vAlign w:val="center"/>
          </w:tcPr>
          <w:p>
            <w:pPr>
              <w:keepNext/>
              <w:spacing w:after="0" w:line="240" w:lineRule="auto"/>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1,177,844</w:t>
            </w:r>
          </w:p>
        </w:tc>
      </w:tr>
      <w:tr>
        <w:trPr>
          <w:cantSplit/>
          <w:trHeight w:val="311"/>
        </w:trPr>
        <w:tc>
          <w:tcPr>
            <w:tcW w:w="704" w:type="dxa"/>
            <w:tcBorders>
              <w:top w:val="single" w:sz="4" w:space="0" w:color="F4B084"/>
              <w:left w:val="single" w:sz="4" w:space="0" w:color="F4B084"/>
              <w:bottom w:val="single" w:sz="4" w:space="0" w:color="F4B084"/>
              <w:right w:val="nil"/>
            </w:tcBorders>
            <w:shd w:val="clear" w:color="FCE4D6" w:fill="FCE4D6"/>
            <w:noWrap/>
            <w:vAlign w:val="center"/>
            <w:hideMark/>
          </w:tcPr>
          <w:p>
            <w:pPr>
              <w:keepNext/>
              <w:spacing w:after="0" w:line="240" w:lineRule="auto"/>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Total</w:t>
            </w:r>
          </w:p>
        </w:tc>
        <w:tc>
          <w:tcPr>
            <w:tcW w:w="1394" w:type="dxa"/>
            <w:tcBorders>
              <w:top w:val="single" w:sz="4" w:space="0" w:color="F4B084"/>
              <w:left w:val="nil"/>
              <w:bottom w:val="single" w:sz="4" w:space="0" w:color="F4B084"/>
              <w:right w:val="nil"/>
            </w:tcBorders>
            <w:shd w:val="clear" w:color="FCE4D6" w:fill="FCE4D6"/>
            <w:noWrap/>
            <w:vAlign w:val="center"/>
            <w:hideMark/>
          </w:tcPr>
          <w:p>
            <w:pPr>
              <w:keepNext/>
              <w:spacing w:after="0" w:line="240" w:lineRule="auto"/>
              <w:jc w:val="center"/>
              <w:rPr>
                <w:rFonts w:ascii="Times New Roman" w:eastAsia="Times New Roman" w:hAnsi="Times New Roman" w:cs="Times New Roman"/>
                <w:b/>
                <w:noProof/>
                <w:color w:val="000000"/>
                <w:sz w:val="20"/>
                <w:szCs w:val="20"/>
                <w:lang w:eastAsia="en-GB"/>
              </w:rPr>
            </w:pPr>
            <w:r>
              <w:rPr>
                <w:rFonts w:ascii="Times New Roman" w:hAnsi="Times New Roman" w:cs="Times New Roman"/>
                <w:b/>
                <w:noProof/>
                <w:color w:val="000000"/>
                <w:sz w:val="20"/>
                <w:szCs w:val="20"/>
              </w:rPr>
              <w:t>17</w:t>
            </w:r>
          </w:p>
        </w:tc>
        <w:tc>
          <w:tcPr>
            <w:tcW w:w="1395" w:type="dxa"/>
            <w:tcBorders>
              <w:top w:val="single" w:sz="4" w:space="0" w:color="F4B084"/>
              <w:left w:val="nil"/>
              <w:bottom w:val="single" w:sz="4" w:space="0" w:color="F4B084"/>
              <w:right w:val="nil"/>
            </w:tcBorders>
            <w:shd w:val="clear" w:color="FCE4D6" w:fill="FCE4D6"/>
            <w:noWrap/>
            <w:vAlign w:val="center"/>
            <w:hideMark/>
          </w:tcPr>
          <w:p>
            <w:pPr>
              <w:keepNext/>
              <w:spacing w:after="0" w:line="240" w:lineRule="auto"/>
              <w:jc w:val="right"/>
              <w:rPr>
                <w:rFonts w:ascii="Times New Roman" w:eastAsia="Times New Roman" w:hAnsi="Times New Roman" w:cs="Times New Roman"/>
                <w:b/>
                <w:noProof/>
                <w:color w:val="000000"/>
                <w:sz w:val="20"/>
                <w:szCs w:val="20"/>
                <w:lang w:eastAsia="en-GB"/>
              </w:rPr>
            </w:pPr>
            <w:r>
              <w:rPr>
                <w:rFonts w:ascii="Times New Roman" w:hAnsi="Times New Roman" w:cs="Times New Roman"/>
                <w:b/>
                <w:noProof/>
                <w:color w:val="000000"/>
                <w:sz w:val="20"/>
                <w:szCs w:val="20"/>
              </w:rPr>
              <w:t>795,148</w:t>
            </w:r>
          </w:p>
        </w:tc>
        <w:tc>
          <w:tcPr>
            <w:tcW w:w="1395" w:type="dxa"/>
            <w:tcBorders>
              <w:top w:val="single" w:sz="4" w:space="0" w:color="F4B084"/>
              <w:left w:val="nil"/>
              <w:bottom w:val="single" w:sz="4" w:space="0" w:color="F4B084"/>
              <w:right w:val="nil"/>
            </w:tcBorders>
            <w:shd w:val="clear" w:color="FCE4D6" w:fill="FCE4D6"/>
            <w:noWrap/>
            <w:vAlign w:val="center"/>
          </w:tcPr>
          <w:p>
            <w:pPr>
              <w:keepNext/>
              <w:spacing w:after="0" w:line="240" w:lineRule="auto"/>
              <w:jc w:val="center"/>
              <w:rPr>
                <w:rFonts w:ascii="Times New Roman" w:eastAsia="Times New Roman" w:hAnsi="Times New Roman" w:cs="Times New Roman"/>
                <w:b/>
                <w:noProof/>
                <w:color w:val="000000"/>
                <w:sz w:val="20"/>
                <w:szCs w:val="20"/>
                <w:lang w:eastAsia="en-GB"/>
              </w:rPr>
            </w:pPr>
            <w:r>
              <w:rPr>
                <w:rFonts w:ascii="Times New Roman" w:hAnsi="Times New Roman" w:cs="Times New Roman"/>
                <w:b/>
                <w:noProof/>
                <w:color w:val="000000"/>
                <w:sz w:val="20"/>
                <w:szCs w:val="20"/>
              </w:rPr>
              <w:t>79</w:t>
            </w:r>
          </w:p>
        </w:tc>
        <w:tc>
          <w:tcPr>
            <w:tcW w:w="1394" w:type="dxa"/>
            <w:tcBorders>
              <w:top w:val="single" w:sz="4" w:space="0" w:color="F4B084"/>
              <w:left w:val="nil"/>
              <w:bottom w:val="single" w:sz="4" w:space="0" w:color="F4B084"/>
              <w:right w:val="single" w:sz="4" w:space="0" w:color="F4B084"/>
            </w:tcBorders>
            <w:shd w:val="clear" w:color="FCE4D6" w:fill="FCE4D6"/>
            <w:noWrap/>
            <w:vAlign w:val="center"/>
          </w:tcPr>
          <w:p>
            <w:pPr>
              <w:keepNext/>
              <w:spacing w:after="0" w:line="240" w:lineRule="auto"/>
              <w:jc w:val="right"/>
              <w:rPr>
                <w:rFonts w:ascii="Times New Roman" w:eastAsia="Times New Roman" w:hAnsi="Times New Roman" w:cs="Times New Roman"/>
                <w:b/>
                <w:noProof/>
                <w:color w:val="000000"/>
                <w:sz w:val="20"/>
                <w:szCs w:val="20"/>
                <w:lang w:eastAsia="en-GB"/>
              </w:rPr>
            </w:pPr>
            <w:r>
              <w:rPr>
                <w:rFonts w:ascii="Times New Roman" w:hAnsi="Times New Roman" w:cs="Times New Roman"/>
                <w:b/>
                <w:noProof/>
                <w:color w:val="000000"/>
                <w:sz w:val="20"/>
                <w:szCs w:val="20"/>
              </w:rPr>
              <w:t>1,014,746</w:t>
            </w:r>
          </w:p>
        </w:tc>
        <w:tc>
          <w:tcPr>
            <w:tcW w:w="1395" w:type="dxa"/>
            <w:tcBorders>
              <w:top w:val="single" w:sz="4" w:space="0" w:color="F4B084"/>
              <w:left w:val="nil"/>
              <w:bottom w:val="single" w:sz="4" w:space="0" w:color="F4B084"/>
              <w:right w:val="single" w:sz="4" w:space="0" w:color="F4B084"/>
            </w:tcBorders>
            <w:shd w:val="clear" w:color="FCE4D6" w:fill="FCE4D6"/>
            <w:vAlign w:val="center"/>
          </w:tcPr>
          <w:p>
            <w:pPr>
              <w:keepNext/>
              <w:spacing w:after="0" w:line="240" w:lineRule="auto"/>
              <w:jc w:val="right"/>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96</w:t>
            </w:r>
          </w:p>
        </w:tc>
        <w:tc>
          <w:tcPr>
            <w:tcW w:w="1395" w:type="dxa"/>
            <w:tcBorders>
              <w:top w:val="single" w:sz="4" w:space="0" w:color="F4B084"/>
              <w:left w:val="nil"/>
              <w:bottom w:val="single" w:sz="4" w:space="0" w:color="F4B084"/>
              <w:right w:val="single" w:sz="4" w:space="0" w:color="F4B084"/>
            </w:tcBorders>
            <w:shd w:val="clear" w:color="FCE4D6" w:fill="FCE4D6"/>
            <w:vAlign w:val="center"/>
          </w:tcPr>
          <w:p>
            <w:pPr>
              <w:keepNext/>
              <w:spacing w:after="0" w:line="240" w:lineRule="auto"/>
              <w:jc w:val="right"/>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1,809,895</w:t>
            </w:r>
          </w:p>
        </w:tc>
      </w:tr>
    </w:tbl>
    <w:p>
      <w:pPr>
        <w:pStyle w:val="Caption"/>
        <w:keepNext/>
        <w:rPr>
          <w:noProof/>
        </w:rPr>
      </w:pPr>
    </w:p>
    <w:p>
      <w:pPr>
        <w:pStyle w:val="Caption"/>
        <w:keepNext/>
        <w:rPr>
          <w:noProof/>
        </w:rPr>
      </w:pPr>
      <w:r>
        <w:rPr>
          <w:noProof/>
        </w:rPr>
        <w:t xml:space="preserve">Chart PA </w:t>
      </w:r>
      <w:r>
        <w:rPr>
          <w:noProof/>
        </w:rPr>
        <w:fldChar w:fldCharType="begin"/>
      </w:r>
      <w:r>
        <w:rPr>
          <w:noProof/>
        </w:rPr>
        <w:instrText xml:space="preserve"> SEQ Chart_PA \* ARABIC </w:instrText>
      </w:r>
      <w:r>
        <w:rPr>
          <w:noProof/>
        </w:rPr>
        <w:fldChar w:fldCharType="separate"/>
      </w:r>
      <w:r>
        <w:rPr>
          <w:noProof/>
        </w:rPr>
        <w:t>4</w:t>
      </w:r>
      <w:r>
        <w:rPr>
          <w:noProof/>
        </w:rPr>
        <w:fldChar w:fldCharType="end"/>
      </w:r>
    </w:p>
    <w:p>
      <w:pPr>
        <w:rPr>
          <w:rFonts w:ascii="Times New Roman" w:hAnsi="Times New Roman" w:cs="Times New Roman"/>
          <w:noProof/>
          <w:sz w:val="20"/>
          <w:szCs w:val="20"/>
        </w:rPr>
      </w:pPr>
      <w:r>
        <w:rPr>
          <w:noProof/>
          <w:lang w:eastAsia="en-GB"/>
        </w:rPr>
        <w:drawing>
          <wp:inline distT="0" distB="0" distL="0" distR="0">
            <wp:extent cx="5764378" cy="3458627"/>
            <wp:effectExtent l="0" t="0" r="8255" b="889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ManualHeading3"/>
        <w:numPr>
          <w:ilvl w:val="2"/>
          <w:numId w:val="1"/>
        </w:numPr>
        <w:ind w:left="850" w:hanging="850"/>
        <w:rPr>
          <w:noProof/>
        </w:rPr>
      </w:pPr>
      <w:bookmarkStart w:id="39" w:name="_Toc45617998"/>
      <w:r>
        <w:rPr>
          <w:noProof/>
        </w:rPr>
        <w:t>Analysis by Component</w:t>
      </w:r>
      <w:bookmarkEnd w:id="39"/>
    </w:p>
    <w:p>
      <w:pPr>
        <w:pStyle w:val="ManualHeading4"/>
        <w:numPr>
          <w:ilvl w:val="3"/>
          <w:numId w:val="1"/>
        </w:numPr>
        <w:ind w:left="850" w:hanging="850"/>
        <w:rPr>
          <w:noProof/>
        </w:rPr>
      </w:pPr>
      <w:r>
        <w:rPr>
          <w:noProof/>
        </w:rPr>
        <w:t>Pre-accession assistance 2000-2006 (PAA)</w:t>
      </w:r>
    </w:p>
    <w:p>
      <w:pPr>
        <w:jc w:val="both"/>
        <w:rPr>
          <w:rFonts w:ascii="Times New Roman" w:hAnsi="Times New Roman" w:cs="Times New Roman"/>
          <w:noProof/>
          <w:sz w:val="24"/>
        </w:rPr>
      </w:pPr>
      <w:r>
        <w:rPr>
          <w:rFonts w:ascii="Times New Roman" w:hAnsi="Times New Roman" w:cs="Times New Roman"/>
          <w:b/>
          <w:noProof/>
          <w:sz w:val="24"/>
          <w:szCs w:val="24"/>
        </w:rPr>
        <w:t xml:space="preserve">No irregularities were reported with regard to any of the PAA 2000-2006 components in 2019. </w:t>
      </w:r>
      <w:r>
        <w:rPr>
          <w:rFonts w:ascii="Times New Roman" w:hAnsi="Times New Roman" w:cs="Times New Roman"/>
          <w:noProof/>
          <w:sz w:val="24"/>
          <w:szCs w:val="24"/>
        </w:rPr>
        <w:t>Table PA5 shows the number of irregularities and associated financial amounts that have been reported during the past five years by component, with reference to PAA 2000</w:t>
      </w:r>
      <w:r>
        <w:rPr>
          <w:rFonts w:ascii="Times New Roman" w:hAnsi="Times New Roman" w:cs="Times New Roman"/>
          <w:noProof/>
          <w:sz w:val="24"/>
          <w:szCs w:val="24"/>
        </w:rPr>
        <w:noBreakHyphen/>
        <w:t xml:space="preserve">2006. The figures are split between irregularities reported as fraudulent and those not reported as such. Chart PA5 broadens the perspective and shows the same data, but including all irregularities referring to PAA 2000-2006, going beyond the past five years. </w:t>
      </w:r>
      <w:r>
        <w:rPr>
          <w:rFonts w:ascii="Times New Roman" w:hAnsi="Times New Roman" w:cs="Times New Roman"/>
          <w:noProof/>
          <w:sz w:val="24"/>
        </w:rPr>
        <w:t xml:space="preserve">With no irregularities reported in 2019, there is little to add to last year’s reporting on this subject. </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5</w:t>
      </w:r>
      <w:r>
        <w:rPr>
          <w:noProof/>
        </w:rPr>
        <w:fldChar w:fldCharType="end"/>
      </w:r>
      <w:r>
        <w:rPr>
          <w:noProof/>
        </w:rPr>
        <w:t>: PAA, 2015-2019: Number of irregularities and financial amounts involved by Component</w:t>
      </w:r>
    </w:p>
    <w:tbl>
      <w:tblPr>
        <w:tblStyle w:val="ListTable4Accent2"/>
        <w:tblW w:w="9373" w:type="dxa"/>
        <w:tblLook w:val="04A0" w:firstRow="1" w:lastRow="0" w:firstColumn="1" w:lastColumn="0" w:noHBand="0" w:noVBand="1"/>
      </w:tblPr>
      <w:tblGrid>
        <w:gridCol w:w="1083"/>
        <w:gridCol w:w="951"/>
        <w:gridCol w:w="882"/>
        <w:gridCol w:w="913"/>
        <w:gridCol w:w="1030"/>
        <w:gridCol w:w="913"/>
        <w:gridCol w:w="1487"/>
        <w:gridCol w:w="335"/>
        <w:gridCol w:w="913"/>
        <w:gridCol w:w="866"/>
      </w:tblGrid>
      <w:tr>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083" w:type="dxa"/>
            <w:noWrap/>
          </w:tcPr>
          <w:p>
            <w:pPr>
              <w:keepNext/>
              <w:rPr>
                <w:rFonts w:ascii="Times New Roman" w:eastAsia="Times New Roman" w:hAnsi="Times New Roman" w:cs="Times New Roman"/>
                <w:noProof/>
                <w:sz w:val="24"/>
                <w:szCs w:val="24"/>
                <w:lang w:eastAsia="en-GB"/>
              </w:rPr>
            </w:pPr>
          </w:p>
        </w:tc>
        <w:tc>
          <w:tcPr>
            <w:tcW w:w="1833" w:type="dxa"/>
            <w:gridSpan w:val="2"/>
            <w:noWrap/>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ISPA</w:t>
            </w:r>
          </w:p>
        </w:tc>
        <w:tc>
          <w:tcPr>
            <w:tcW w:w="1943" w:type="dxa"/>
            <w:gridSpan w:val="2"/>
            <w:noWrap/>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PHARE</w:t>
            </w:r>
          </w:p>
        </w:tc>
        <w:tc>
          <w:tcPr>
            <w:tcW w:w="2400" w:type="dxa"/>
            <w:gridSpan w:val="2"/>
            <w:noWrap/>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SAPARD</w:t>
            </w:r>
          </w:p>
        </w:tc>
        <w:tc>
          <w:tcPr>
            <w:tcW w:w="335" w:type="dxa"/>
          </w:tcPr>
          <w:p>
            <w:pPr>
              <w:keepNext/>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eastAsia="en-GB"/>
              </w:rPr>
            </w:pPr>
          </w:p>
        </w:tc>
        <w:tc>
          <w:tcPr>
            <w:tcW w:w="1779" w:type="dxa"/>
            <w:gridSpan w:val="2"/>
            <w:noWrap/>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TIPAA</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083" w:type="dxa"/>
            <w:shd w:val="clear" w:color="auto" w:fill="ED7D31" w:themeFill="accent2"/>
            <w:noWrap/>
          </w:tcPr>
          <w:p>
            <w:pPr>
              <w:keepNext/>
              <w:rPr>
                <w:rFonts w:ascii="Times New Roman" w:eastAsia="Times New Roman" w:hAnsi="Times New Roman" w:cs="Times New Roman"/>
                <w:noProof/>
                <w:color w:val="FFFFFF" w:themeColor="background1"/>
                <w:sz w:val="24"/>
                <w:szCs w:val="24"/>
                <w:lang w:eastAsia="en-GB"/>
              </w:rPr>
            </w:pPr>
          </w:p>
        </w:tc>
        <w:tc>
          <w:tcPr>
            <w:tcW w:w="951" w:type="dxa"/>
            <w:shd w:val="clear" w:color="auto" w:fill="ED7D31" w:themeFill="accent2"/>
            <w:noWrap/>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18"/>
                <w:szCs w:val="18"/>
                <w:lang w:eastAsia="en-GB"/>
              </w:rPr>
            </w:pPr>
            <w:r>
              <w:rPr>
                <w:rFonts w:ascii="Times New Roman" w:eastAsia="Times New Roman" w:hAnsi="Times New Roman" w:cs="Times New Roman"/>
                <w:noProof/>
                <w:color w:val="FFFFFF" w:themeColor="background1"/>
                <w:sz w:val="18"/>
                <w:szCs w:val="18"/>
                <w:lang w:eastAsia="en-GB"/>
              </w:rPr>
              <w:t>(#)</w:t>
            </w:r>
          </w:p>
        </w:tc>
        <w:tc>
          <w:tcPr>
            <w:tcW w:w="882" w:type="dxa"/>
            <w:shd w:val="clear" w:color="auto" w:fill="ED7D31" w:themeFill="accent2"/>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18"/>
                <w:szCs w:val="18"/>
                <w:lang w:eastAsia="en-GB"/>
              </w:rPr>
            </w:pPr>
            <w:r>
              <w:rPr>
                <w:rFonts w:ascii="Times New Roman" w:eastAsia="Times New Roman" w:hAnsi="Times New Roman" w:cs="Times New Roman"/>
                <w:noProof/>
                <w:color w:val="FFFFFF" w:themeColor="background1"/>
                <w:sz w:val="18"/>
                <w:szCs w:val="18"/>
                <w:lang w:eastAsia="en-GB"/>
              </w:rPr>
              <w:t>(EUR)</w:t>
            </w:r>
          </w:p>
        </w:tc>
        <w:tc>
          <w:tcPr>
            <w:tcW w:w="913" w:type="dxa"/>
            <w:shd w:val="clear" w:color="auto" w:fill="ED7D31" w:themeFill="accent2"/>
            <w:noWrap/>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18"/>
                <w:szCs w:val="18"/>
                <w:lang w:eastAsia="en-GB"/>
              </w:rPr>
            </w:pPr>
            <w:r>
              <w:rPr>
                <w:rFonts w:ascii="Times New Roman" w:eastAsia="Times New Roman" w:hAnsi="Times New Roman" w:cs="Times New Roman"/>
                <w:noProof/>
                <w:color w:val="FFFFFF" w:themeColor="background1"/>
                <w:sz w:val="18"/>
                <w:szCs w:val="18"/>
                <w:lang w:eastAsia="en-GB"/>
              </w:rPr>
              <w:t>(#)</w:t>
            </w:r>
          </w:p>
        </w:tc>
        <w:tc>
          <w:tcPr>
            <w:tcW w:w="1030" w:type="dxa"/>
            <w:shd w:val="clear" w:color="auto" w:fill="ED7D31" w:themeFill="accent2"/>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18"/>
                <w:szCs w:val="18"/>
                <w:lang w:eastAsia="en-GB"/>
              </w:rPr>
            </w:pPr>
            <w:r>
              <w:rPr>
                <w:rFonts w:ascii="Times New Roman" w:eastAsia="Times New Roman" w:hAnsi="Times New Roman" w:cs="Times New Roman"/>
                <w:noProof/>
                <w:color w:val="FFFFFF" w:themeColor="background1"/>
                <w:sz w:val="18"/>
                <w:szCs w:val="18"/>
                <w:lang w:eastAsia="en-GB"/>
              </w:rPr>
              <w:t>(EUR)</w:t>
            </w:r>
          </w:p>
        </w:tc>
        <w:tc>
          <w:tcPr>
            <w:tcW w:w="913" w:type="dxa"/>
            <w:shd w:val="clear" w:color="auto" w:fill="ED7D31" w:themeFill="accent2"/>
            <w:noWrap/>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18"/>
                <w:szCs w:val="18"/>
                <w:lang w:eastAsia="en-GB"/>
              </w:rPr>
            </w:pPr>
            <w:r>
              <w:rPr>
                <w:rFonts w:ascii="Times New Roman" w:eastAsia="Times New Roman" w:hAnsi="Times New Roman" w:cs="Times New Roman"/>
                <w:noProof/>
                <w:color w:val="FFFFFF" w:themeColor="background1"/>
                <w:sz w:val="18"/>
                <w:szCs w:val="18"/>
                <w:lang w:eastAsia="en-GB"/>
              </w:rPr>
              <w:t>(#)</w:t>
            </w:r>
          </w:p>
        </w:tc>
        <w:tc>
          <w:tcPr>
            <w:tcW w:w="1487" w:type="dxa"/>
            <w:shd w:val="clear" w:color="auto" w:fill="ED7D31" w:themeFill="accent2"/>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18"/>
                <w:szCs w:val="18"/>
                <w:lang w:eastAsia="en-GB"/>
              </w:rPr>
            </w:pPr>
            <w:r>
              <w:rPr>
                <w:rFonts w:ascii="Times New Roman" w:eastAsia="Times New Roman" w:hAnsi="Times New Roman" w:cs="Times New Roman"/>
                <w:noProof/>
                <w:color w:val="FFFFFF" w:themeColor="background1"/>
                <w:sz w:val="18"/>
                <w:szCs w:val="18"/>
                <w:lang w:eastAsia="en-GB"/>
              </w:rPr>
              <w:t>(EUR)</w:t>
            </w:r>
          </w:p>
        </w:tc>
        <w:tc>
          <w:tcPr>
            <w:tcW w:w="335" w:type="dxa"/>
            <w:shd w:val="clear" w:color="auto" w:fill="ED7D31" w:themeFill="accent2"/>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18"/>
                <w:szCs w:val="18"/>
                <w:lang w:eastAsia="en-GB"/>
              </w:rPr>
            </w:pPr>
          </w:p>
        </w:tc>
        <w:tc>
          <w:tcPr>
            <w:tcW w:w="913" w:type="dxa"/>
            <w:shd w:val="clear" w:color="auto" w:fill="ED7D31" w:themeFill="accent2"/>
            <w:noWrap/>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18"/>
                <w:szCs w:val="18"/>
                <w:lang w:eastAsia="en-GB"/>
              </w:rPr>
            </w:pPr>
            <w:r>
              <w:rPr>
                <w:rFonts w:ascii="Times New Roman" w:eastAsia="Times New Roman" w:hAnsi="Times New Roman" w:cs="Times New Roman"/>
                <w:noProof/>
                <w:color w:val="FFFFFF" w:themeColor="background1"/>
                <w:sz w:val="18"/>
                <w:szCs w:val="18"/>
                <w:lang w:eastAsia="en-GB"/>
              </w:rPr>
              <w:t>(#)</w:t>
            </w:r>
          </w:p>
        </w:tc>
        <w:tc>
          <w:tcPr>
            <w:tcW w:w="866" w:type="dxa"/>
            <w:shd w:val="clear" w:color="auto" w:fill="ED7D31" w:themeFill="accent2"/>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18"/>
                <w:szCs w:val="18"/>
                <w:lang w:eastAsia="en-GB"/>
              </w:rPr>
            </w:pPr>
            <w:r>
              <w:rPr>
                <w:rFonts w:ascii="Times New Roman" w:eastAsia="Times New Roman" w:hAnsi="Times New Roman" w:cs="Times New Roman"/>
                <w:noProof/>
                <w:color w:val="FFFFFF" w:themeColor="background1"/>
                <w:sz w:val="18"/>
                <w:szCs w:val="18"/>
                <w:lang w:eastAsia="en-GB"/>
              </w:rPr>
              <w:t>(EUR)</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083" w:type="dxa"/>
            <w:noWrap/>
            <w:hideMark/>
          </w:tcPr>
          <w:p>
            <w:pPr>
              <w:keepNext/>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2015</w:t>
            </w:r>
          </w:p>
        </w:tc>
        <w:tc>
          <w:tcPr>
            <w:tcW w:w="951" w:type="dxa"/>
            <w:noWrap/>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882"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sz w:val="20"/>
                <w:szCs w:val="20"/>
                <w:lang w:eastAsia="en-GB"/>
              </w:rPr>
              <w:t>780,965</w:t>
            </w:r>
          </w:p>
        </w:tc>
        <w:tc>
          <w:tcPr>
            <w:tcW w:w="913" w:type="dxa"/>
            <w:noWrap/>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w:t>
            </w:r>
          </w:p>
        </w:tc>
        <w:tc>
          <w:tcPr>
            <w:tcW w:w="1030"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2,259,733</w:t>
            </w:r>
          </w:p>
        </w:tc>
        <w:tc>
          <w:tcPr>
            <w:tcW w:w="913" w:type="dxa"/>
            <w:noWrap/>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w:t>
            </w:r>
          </w:p>
        </w:tc>
        <w:tc>
          <w:tcPr>
            <w:tcW w:w="1487"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2,682,232</w:t>
            </w:r>
          </w:p>
        </w:tc>
        <w:tc>
          <w:tcPr>
            <w:tcW w:w="335"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913" w:type="dxa"/>
            <w:noWrap/>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66" w:type="dxa"/>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083" w:type="dxa"/>
            <w:noWrap/>
            <w:hideMark/>
          </w:tcPr>
          <w:p>
            <w:pPr>
              <w:keepNext/>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2016</w:t>
            </w:r>
          </w:p>
        </w:tc>
        <w:tc>
          <w:tcPr>
            <w:tcW w:w="951" w:type="dxa"/>
            <w:noWrap/>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882"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sz w:val="20"/>
                <w:szCs w:val="20"/>
                <w:lang w:eastAsia="en-GB"/>
              </w:rPr>
              <w:t>39,000</w:t>
            </w:r>
          </w:p>
        </w:tc>
        <w:tc>
          <w:tcPr>
            <w:tcW w:w="913" w:type="dxa"/>
            <w:noWrap/>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w:t>
            </w:r>
          </w:p>
        </w:tc>
        <w:tc>
          <w:tcPr>
            <w:tcW w:w="1030"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101,351</w:t>
            </w:r>
          </w:p>
        </w:tc>
        <w:tc>
          <w:tcPr>
            <w:tcW w:w="913" w:type="dxa"/>
            <w:noWrap/>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w:t>
            </w:r>
          </w:p>
        </w:tc>
        <w:tc>
          <w:tcPr>
            <w:tcW w:w="1487"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409,177</w:t>
            </w:r>
          </w:p>
        </w:tc>
        <w:tc>
          <w:tcPr>
            <w:tcW w:w="335"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913" w:type="dxa"/>
            <w:noWrap/>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66" w:type="dxa"/>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083" w:type="dxa"/>
            <w:noWrap/>
            <w:hideMark/>
          </w:tcPr>
          <w:p>
            <w:pPr>
              <w:keepNext/>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2017</w:t>
            </w:r>
          </w:p>
        </w:tc>
        <w:tc>
          <w:tcPr>
            <w:tcW w:w="951" w:type="dxa"/>
            <w:noWrap/>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82"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13" w:type="dxa"/>
            <w:noWrap/>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1030"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13" w:type="dxa"/>
            <w:noWrap/>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487"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335"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913" w:type="dxa"/>
            <w:noWrap/>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w:t>
            </w:r>
          </w:p>
        </w:tc>
        <w:tc>
          <w:tcPr>
            <w:tcW w:w="866" w:type="dxa"/>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121,749</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083" w:type="dxa"/>
            <w:noWrap/>
            <w:hideMark/>
          </w:tcPr>
          <w:p>
            <w:pPr>
              <w:keepNext/>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2018</w:t>
            </w:r>
          </w:p>
        </w:tc>
        <w:tc>
          <w:tcPr>
            <w:tcW w:w="951" w:type="dxa"/>
            <w:noWrap/>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82"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color w:val="000000"/>
                <w:sz w:val="20"/>
                <w:szCs w:val="20"/>
                <w:lang w:eastAsia="en-GB"/>
              </w:rPr>
              <w:t>0</w:t>
            </w:r>
          </w:p>
        </w:tc>
        <w:tc>
          <w:tcPr>
            <w:tcW w:w="913" w:type="dxa"/>
            <w:noWrap/>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1030"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23,528</w:t>
            </w:r>
          </w:p>
        </w:tc>
        <w:tc>
          <w:tcPr>
            <w:tcW w:w="913" w:type="dxa"/>
            <w:noWrap/>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1487"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sz w:val="20"/>
                <w:szCs w:val="20"/>
                <w:lang w:eastAsia="en-GB"/>
              </w:rPr>
              <w:t>8,744</w:t>
            </w:r>
          </w:p>
        </w:tc>
        <w:tc>
          <w:tcPr>
            <w:tcW w:w="335"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913" w:type="dxa"/>
            <w:noWrap/>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866" w:type="dxa"/>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546,060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083" w:type="dxa"/>
            <w:noWrap/>
            <w:hideMark/>
          </w:tcPr>
          <w:p>
            <w:pPr>
              <w:keepNext/>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2019</w:t>
            </w:r>
          </w:p>
        </w:tc>
        <w:tc>
          <w:tcPr>
            <w:tcW w:w="951" w:type="dxa"/>
            <w:noWrap/>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82"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13" w:type="dxa"/>
            <w:noWrap/>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030"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13" w:type="dxa"/>
            <w:noWrap/>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487"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335"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913" w:type="dxa"/>
            <w:noWrap/>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66" w:type="dxa"/>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083" w:type="dxa"/>
            <w:noWrap/>
          </w:tcPr>
          <w:p>
            <w:pPr>
              <w:keepNext/>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Totals</w:t>
            </w:r>
          </w:p>
        </w:tc>
        <w:tc>
          <w:tcPr>
            <w:tcW w:w="951" w:type="dxa"/>
            <w:noWrap/>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2</w:t>
            </w:r>
          </w:p>
        </w:tc>
        <w:tc>
          <w:tcPr>
            <w:tcW w:w="882"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819,965</w:t>
            </w:r>
          </w:p>
        </w:tc>
        <w:tc>
          <w:tcPr>
            <w:tcW w:w="913" w:type="dxa"/>
            <w:noWrap/>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12</w:t>
            </w:r>
          </w:p>
        </w:tc>
        <w:tc>
          <w:tcPr>
            <w:tcW w:w="1030"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szCs w:val="20"/>
                <w:lang w:eastAsia="en-GB"/>
              </w:rPr>
              <w:t>2,384,612</w:t>
            </w:r>
          </w:p>
        </w:tc>
        <w:tc>
          <w:tcPr>
            <w:tcW w:w="913" w:type="dxa"/>
            <w:noWrap/>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11</w:t>
            </w:r>
          </w:p>
        </w:tc>
        <w:tc>
          <w:tcPr>
            <w:tcW w:w="1487"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lang w:eastAsia="en-GB"/>
              </w:rPr>
            </w:pPr>
            <w:r>
              <w:rPr>
                <w:rFonts w:ascii="Times New Roman" w:eastAsia="Times New Roman" w:hAnsi="Times New Roman" w:cs="Times New Roman"/>
                <w:b/>
                <w:noProof/>
                <w:color w:val="000000"/>
                <w:sz w:val="20"/>
                <w:lang w:eastAsia="en-GB"/>
              </w:rPr>
              <w:t>3,100,153</w:t>
            </w:r>
          </w:p>
        </w:tc>
        <w:tc>
          <w:tcPr>
            <w:tcW w:w="335"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lang w:eastAsia="en-GB"/>
              </w:rPr>
            </w:pPr>
          </w:p>
        </w:tc>
        <w:tc>
          <w:tcPr>
            <w:tcW w:w="913" w:type="dxa"/>
            <w:noWrap/>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6</w:t>
            </w:r>
          </w:p>
        </w:tc>
        <w:tc>
          <w:tcPr>
            <w:tcW w:w="866" w:type="dxa"/>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lang w:eastAsia="en-GB"/>
              </w:rPr>
              <w:t>667,809</w:t>
            </w:r>
          </w:p>
        </w:tc>
      </w:tr>
    </w:tbl>
    <w:p>
      <w:pPr>
        <w:rPr>
          <w:rFonts w:ascii="Times New Roman" w:hAnsi="Times New Roman" w:cs="Times New Roman"/>
          <w:noProof/>
        </w:rPr>
      </w:pPr>
    </w:p>
    <w:p>
      <w:pPr>
        <w:pStyle w:val="Caption"/>
        <w:keepNext/>
        <w:rPr>
          <w:noProof/>
        </w:rPr>
      </w:pPr>
      <w:r>
        <w:rPr>
          <w:noProof/>
        </w:rPr>
        <w:t xml:space="preserve">Chart PA </w:t>
      </w:r>
      <w:r>
        <w:rPr>
          <w:noProof/>
        </w:rPr>
        <w:fldChar w:fldCharType="begin"/>
      </w:r>
      <w:r>
        <w:rPr>
          <w:noProof/>
        </w:rPr>
        <w:instrText xml:space="preserve"> SEQ Chart_PA \* ARABIC </w:instrText>
      </w:r>
      <w:r>
        <w:rPr>
          <w:noProof/>
        </w:rPr>
        <w:fldChar w:fldCharType="separate"/>
      </w:r>
      <w:r>
        <w:rPr>
          <w:noProof/>
        </w:rPr>
        <w:t>5</w:t>
      </w:r>
      <w:r>
        <w:rPr>
          <w:noProof/>
        </w:rPr>
        <w:fldChar w:fldCharType="end"/>
      </w:r>
    </w:p>
    <w:p>
      <w:pPr>
        <w:rPr>
          <w:rFonts w:ascii="Times New Roman" w:hAnsi="Times New Roman" w:cs="Times New Roman"/>
          <w:noProof/>
        </w:rPr>
      </w:pPr>
      <w:r>
        <w:rPr>
          <w:noProof/>
          <w:lang w:eastAsia="en-GB"/>
        </w:rPr>
        <w:drawing>
          <wp:inline distT="0" distB="0" distL="0" distR="0">
            <wp:extent cx="5838825" cy="36290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ListParagraph"/>
        <w:numPr>
          <w:ilvl w:val="3"/>
          <w:numId w:val="4"/>
        </w:numPr>
        <w:outlineLvl w:val="3"/>
        <w:rPr>
          <w:rFonts w:ascii="Times New Roman" w:hAnsi="Times New Roman" w:cs="Times New Roman"/>
          <w:i/>
          <w:noProof/>
          <w:sz w:val="24"/>
        </w:rPr>
      </w:pPr>
      <w:r>
        <w:rPr>
          <w:rFonts w:ascii="Times New Roman" w:hAnsi="Times New Roman" w:cs="Times New Roman"/>
          <w:i/>
          <w:noProof/>
          <w:sz w:val="24"/>
        </w:rPr>
        <w:t>Instruments for Pre-Accession I</w:t>
      </w:r>
    </w:p>
    <w:p>
      <w:pPr>
        <w:jc w:val="both"/>
        <w:rPr>
          <w:rFonts w:ascii="Times New Roman" w:hAnsi="Times New Roman" w:cs="Times New Roman"/>
          <w:noProof/>
          <w:sz w:val="24"/>
        </w:rPr>
      </w:pPr>
      <w:r>
        <w:rPr>
          <w:rFonts w:ascii="Times New Roman" w:hAnsi="Times New Roman" w:cs="Times New Roman"/>
          <w:b/>
          <w:noProof/>
          <w:sz w:val="24"/>
          <w:szCs w:val="24"/>
        </w:rPr>
        <w:t>The components of IPA I have not followed similar trajectories over the past five years.</w:t>
      </w:r>
      <w:r>
        <w:rPr>
          <w:rFonts w:ascii="Times New Roman" w:hAnsi="Times New Roman" w:cs="Times New Roman"/>
          <w:noProof/>
          <w:sz w:val="24"/>
          <w:szCs w:val="24"/>
        </w:rPr>
        <w:t xml:space="preserve"> Table PA6 shows number of irregularities and involved financial amounts that have been reported during the past five years by component, with reference to IPA I. The figures are split between irregularities reported as fraudulent and those not reported as such. Chart PA6 broadens the perspective by including all irregularities referring to IPA I reported until 2019. </w:t>
      </w:r>
      <w:r>
        <w:rPr>
          <w:rFonts w:ascii="Times New Roman" w:hAnsi="Times New Roman" w:cs="Times New Roman"/>
          <w:noProof/>
          <w:sz w:val="24"/>
        </w:rPr>
        <w:t>For the funds distributed via IPA I, the general trend with regard to both the number of irregularities reported and their total amounts over the past five years has been decreasing (CBC-IPA), increasing (HRD and IPARD), fluctuating (REGD) and steady (TAIB). IPARD has, since 2015, consistently shown the highest number of irregularities by amount and has steadily increased in the absolute number of irregularities reported. During the period 2015-2019, more than 90% of the irregularities concerning IPARD and the related financial amounts were reported by Turkey. Most of the rest were reported by Croatia.</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6</w:t>
      </w:r>
      <w:r>
        <w:rPr>
          <w:noProof/>
        </w:rPr>
        <w:fldChar w:fldCharType="end"/>
      </w:r>
      <w:r>
        <w:rPr>
          <w:noProof/>
        </w:rPr>
        <w:t>: IPA I, 2015-2019: Number of irregularities and financial amounts involved by Component</w:t>
      </w:r>
    </w:p>
    <w:tbl>
      <w:tblPr>
        <w:tblStyle w:val="ListTable4Accent2"/>
        <w:tblW w:w="9180" w:type="dxa"/>
        <w:tblLayout w:type="fixed"/>
        <w:tblLook w:val="04A0" w:firstRow="1" w:lastRow="0" w:firstColumn="1" w:lastColumn="0" w:noHBand="0" w:noVBand="1"/>
      </w:tblPr>
      <w:tblGrid>
        <w:gridCol w:w="817"/>
        <w:gridCol w:w="539"/>
        <w:gridCol w:w="1091"/>
        <w:gridCol w:w="576"/>
        <w:gridCol w:w="1215"/>
        <w:gridCol w:w="453"/>
        <w:gridCol w:w="1229"/>
        <w:gridCol w:w="567"/>
        <w:gridCol w:w="992"/>
        <w:gridCol w:w="548"/>
        <w:gridCol w:w="1153"/>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noWrap/>
            <w:vAlign w:val="center"/>
          </w:tcPr>
          <w:p>
            <w:pPr>
              <w:rPr>
                <w:rFonts w:ascii="Times New Roman" w:eastAsia="Times New Roman" w:hAnsi="Times New Roman" w:cs="Times New Roman"/>
                <w:noProof/>
                <w:sz w:val="20"/>
                <w:szCs w:val="20"/>
                <w:lang w:eastAsia="en-GB"/>
              </w:rPr>
            </w:pPr>
          </w:p>
        </w:tc>
        <w:tc>
          <w:tcPr>
            <w:tcW w:w="1630" w:type="dxa"/>
            <w:gridSpan w:val="2"/>
            <w:noWrap/>
            <w:vAlign w:val="center"/>
          </w:tcPr>
          <w:p>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CBC-IPA</w:t>
            </w:r>
          </w:p>
        </w:tc>
        <w:tc>
          <w:tcPr>
            <w:tcW w:w="1791" w:type="dxa"/>
            <w:gridSpan w:val="2"/>
            <w:noWrap/>
            <w:vAlign w:val="center"/>
          </w:tcPr>
          <w:p>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HRD</w:t>
            </w:r>
          </w:p>
        </w:tc>
        <w:tc>
          <w:tcPr>
            <w:tcW w:w="1682" w:type="dxa"/>
            <w:gridSpan w:val="2"/>
            <w:noWrap/>
            <w:vAlign w:val="center"/>
          </w:tcPr>
          <w:p>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IPARD</w:t>
            </w:r>
          </w:p>
        </w:tc>
        <w:tc>
          <w:tcPr>
            <w:tcW w:w="1559" w:type="dxa"/>
            <w:gridSpan w:val="2"/>
            <w:vAlign w:val="center"/>
          </w:tcPr>
          <w:p>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REGD</w:t>
            </w:r>
          </w:p>
        </w:tc>
        <w:tc>
          <w:tcPr>
            <w:tcW w:w="1701" w:type="dxa"/>
            <w:gridSpan w:val="2"/>
            <w:noWrap/>
            <w:vAlign w:val="center"/>
          </w:tcPr>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TAIB</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shd w:val="clear" w:color="auto" w:fill="ED7D31" w:themeFill="accent2"/>
            <w:noWrap/>
            <w:vAlign w:val="center"/>
          </w:tcPr>
          <w:p>
            <w:pPr>
              <w:rPr>
                <w:rFonts w:ascii="Times New Roman" w:eastAsia="Times New Roman" w:hAnsi="Times New Roman" w:cs="Times New Roman"/>
                <w:noProof/>
                <w:color w:val="FFFFFF" w:themeColor="background1"/>
                <w:sz w:val="20"/>
                <w:szCs w:val="20"/>
                <w:lang w:eastAsia="en-GB"/>
              </w:rPr>
            </w:pPr>
          </w:p>
        </w:tc>
        <w:tc>
          <w:tcPr>
            <w:tcW w:w="539" w:type="dxa"/>
            <w:shd w:val="clear" w:color="auto" w:fill="ED7D31" w:themeFill="accent2"/>
            <w:noWrap/>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1091" w:type="dxa"/>
            <w:shd w:val="clear" w:color="auto" w:fill="ED7D31" w:themeFill="accent2"/>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(EUR)</w:t>
            </w:r>
          </w:p>
        </w:tc>
        <w:tc>
          <w:tcPr>
            <w:tcW w:w="576" w:type="dxa"/>
            <w:shd w:val="clear" w:color="auto" w:fill="ED7D31" w:themeFill="accent2"/>
            <w:noWrap/>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1215" w:type="dxa"/>
            <w:shd w:val="clear" w:color="auto" w:fill="ED7D31" w:themeFill="accent2"/>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(EUR)</w:t>
            </w:r>
          </w:p>
        </w:tc>
        <w:tc>
          <w:tcPr>
            <w:tcW w:w="453" w:type="dxa"/>
            <w:shd w:val="clear" w:color="auto" w:fill="ED7D31" w:themeFill="accent2"/>
            <w:noWrap/>
            <w:vAlign w:val="center"/>
          </w:tcPr>
          <w:p>
            <w:pPr>
              <w:ind w:right="-6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1229" w:type="dxa"/>
            <w:shd w:val="clear" w:color="auto" w:fill="ED7D31" w:themeFill="accent2"/>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(EUR)</w:t>
            </w:r>
          </w:p>
        </w:tc>
        <w:tc>
          <w:tcPr>
            <w:tcW w:w="567" w:type="dxa"/>
            <w:shd w:val="clear" w:color="auto" w:fill="ED7D31" w:themeFill="accent2"/>
            <w:vAlign w:val="center"/>
          </w:tcPr>
          <w:p>
            <w:pPr>
              <w:ind w:right="-10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992" w:type="dxa"/>
            <w:shd w:val="clear" w:color="auto" w:fill="ED7D31" w:themeFill="accent2"/>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(EUR)</w:t>
            </w:r>
          </w:p>
        </w:tc>
        <w:tc>
          <w:tcPr>
            <w:tcW w:w="548" w:type="dxa"/>
            <w:shd w:val="clear" w:color="auto" w:fill="ED7D31" w:themeFill="accent2"/>
            <w:noWrap/>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1153" w:type="dxa"/>
            <w:shd w:val="clear" w:color="auto" w:fill="ED7D31" w:themeFill="accent2"/>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(EUR)</w:t>
            </w:r>
          </w:p>
        </w:tc>
      </w:tr>
      <w:tr>
        <w:trPr>
          <w:trHeight w:val="300"/>
        </w:trPr>
        <w:tc>
          <w:tcPr>
            <w:cnfStyle w:val="001000000000" w:firstRow="0" w:lastRow="0" w:firstColumn="1" w:lastColumn="0" w:oddVBand="0" w:evenVBand="0" w:oddHBand="0" w:evenHBand="0" w:firstRowFirstColumn="0" w:firstRowLastColumn="0" w:lastRowFirstColumn="0" w:lastRowLastColumn="0"/>
            <w:tcW w:w="817" w:type="dxa"/>
            <w:noWrap/>
            <w:vAlign w:val="center"/>
            <w:hideMark/>
          </w:tcPr>
          <w:p>
            <w:pPr>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2015</w:t>
            </w:r>
          </w:p>
        </w:tc>
        <w:tc>
          <w:tcPr>
            <w:tcW w:w="539" w:type="dxa"/>
            <w:noWrap/>
            <w:vAlign w:val="center"/>
            <w:hideMark/>
          </w:tcPr>
          <w:p>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49</w:t>
            </w:r>
          </w:p>
        </w:tc>
        <w:tc>
          <w:tcPr>
            <w:tcW w:w="1091"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szCs w:val="20"/>
              </w:rPr>
              <w:t>725,135</w:t>
            </w:r>
          </w:p>
        </w:tc>
        <w:tc>
          <w:tcPr>
            <w:tcW w:w="576" w:type="dxa"/>
            <w:noWrap/>
            <w:vAlign w:val="center"/>
            <w:hideMark/>
          </w:tcPr>
          <w:p>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8</w:t>
            </w:r>
          </w:p>
        </w:tc>
        <w:tc>
          <w:tcPr>
            <w:tcW w:w="1215"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506,749 </w:t>
            </w:r>
          </w:p>
        </w:tc>
        <w:tc>
          <w:tcPr>
            <w:tcW w:w="453" w:type="dxa"/>
            <w:noWrap/>
            <w:vAlign w:val="center"/>
            <w:hideMark/>
          </w:tcPr>
          <w:p>
            <w:pPr>
              <w:ind w:right="-6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36</w:t>
            </w:r>
          </w:p>
        </w:tc>
        <w:tc>
          <w:tcPr>
            <w:tcW w:w="1229"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 2,941,225 </w:t>
            </w:r>
          </w:p>
        </w:tc>
        <w:tc>
          <w:tcPr>
            <w:tcW w:w="567" w:type="dxa"/>
            <w:vAlign w:val="center"/>
          </w:tcPr>
          <w:p>
            <w:pPr>
              <w:ind w:right="-10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5</w:t>
            </w:r>
          </w:p>
        </w:tc>
        <w:tc>
          <w:tcPr>
            <w:tcW w:w="992"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494,508</w:t>
            </w:r>
          </w:p>
        </w:tc>
        <w:tc>
          <w:tcPr>
            <w:tcW w:w="548" w:type="dxa"/>
            <w:noWrap/>
            <w:vAlign w:val="center"/>
            <w:hideMark/>
          </w:tcPr>
          <w:p>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15</w:t>
            </w:r>
          </w:p>
        </w:tc>
        <w:tc>
          <w:tcPr>
            <w:tcW w:w="1153"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1,651,465</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noWrap/>
            <w:vAlign w:val="center"/>
            <w:hideMark/>
          </w:tcPr>
          <w:p>
            <w:pPr>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2016</w:t>
            </w:r>
          </w:p>
        </w:tc>
        <w:tc>
          <w:tcPr>
            <w:tcW w:w="539" w:type="dxa"/>
            <w:noWrap/>
            <w:vAlign w:val="center"/>
            <w:hideMark/>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45</w:t>
            </w:r>
          </w:p>
        </w:tc>
        <w:tc>
          <w:tcPr>
            <w:tcW w:w="1091"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szCs w:val="20"/>
              </w:rPr>
              <w:t xml:space="preserve">160,700 </w:t>
            </w:r>
          </w:p>
        </w:tc>
        <w:tc>
          <w:tcPr>
            <w:tcW w:w="576" w:type="dxa"/>
            <w:noWrap/>
            <w:vAlign w:val="center"/>
            <w:hideMark/>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17</w:t>
            </w:r>
          </w:p>
        </w:tc>
        <w:tc>
          <w:tcPr>
            <w:tcW w:w="1215"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1,208,999 </w:t>
            </w:r>
          </w:p>
        </w:tc>
        <w:tc>
          <w:tcPr>
            <w:tcW w:w="453" w:type="dxa"/>
            <w:noWrap/>
            <w:vAlign w:val="center"/>
            <w:hideMark/>
          </w:tcPr>
          <w:p>
            <w:pPr>
              <w:ind w:right="-6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36</w:t>
            </w:r>
          </w:p>
        </w:tc>
        <w:tc>
          <w:tcPr>
            <w:tcW w:w="1229"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5,537,483 </w:t>
            </w:r>
          </w:p>
        </w:tc>
        <w:tc>
          <w:tcPr>
            <w:tcW w:w="567" w:type="dxa"/>
            <w:vAlign w:val="center"/>
          </w:tcPr>
          <w:p>
            <w:pPr>
              <w:ind w:right="-10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3</w:t>
            </w:r>
          </w:p>
        </w:tc>
        <w:tc>
          <w:tcPr>
            <w:tcW w:w="992"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548" w:type="dxa"/>
            <w:noWrap/>
            <w:vAlign w:val="center"/>
            <w:hideMark/>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9</w:t>
            </w:r>
          </w:p>
        </w:tc>
        <w:tc>
          <w:tcPr>
            <w:tcW w:w="1153"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410,967 </w:t>
            </w:r>
          </w:p>
        </w:tc>
      </w:tr>
      <w:tr>
        <w:trPr>
          <w:trHeight w:val="300"/>
        </w:trPr>
        <w:tc>
          <w:tcPr>
            <w:cnfStyle w:val="001000000000" w:firstRow="0" w:lastRow="0" w:firstColumn="1" w:lastColumn="0" w:oddVBand="0" w:evenVBand="0" w:oddHBand="0" w:evenHBand="0" w:firstRowFirstColumn="0" w:firstRowLastColumn="0" w:lastRowFirstColumn="0" w:lastRowLastColumn="0"/>
            <w:tcW w:w="817" w:type="dxa"/>
            <w:noWrap/>
            <w:vAlign w:val="center"/>
            <w:hideMark/>
          </w:tcPr>
          <w:p>
            <w:pPr>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2017</w:t>
            </w:r>
          </w:p>
        </w:tc>
        <w:tc>
          <w:tcPr>
            <w:tcW w:w="539" w:type="dxa"/>
            <w:noWrap/>
            <w:vAlign w:val="center"/>
            <w:hideMark/>
          </w:tcPr>
          <w:p>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22</w:t>
            </w:r>
          </w:p>
        </w:tc>
        <w:tc>
          <w:tcPr>
            <w:tcW w:w="1091"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szCs w:val="20"/>
              </w:rPr>
              <w:t xml:space="preserve">738,777 </w:t>
            </w:r>
          </w:p>
        </w:tc>
        <w:tc>
          <w:tcPr>
            <w:tcW w:w="576" w:type="dxa"/>
            <w:noWrap/>
            <w:vAlign w:val="center"/>
            <w:hideMark/>
          </w:tcPr>
          <w:p>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17</w:t>
            </w:r>
          </w:p>
        </w:tc>
        <w:tc>
          <w:tcPr>
            <w:tcW w:w="1215"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1,744,973</w:t>
            </w:r>
          </w:p>
        </w:tc>
        <w:tc>
          <w:tcPr>
            <w:tcW w:w="453" w:type="dxa"/>
            <w:noWrap/>
            <w:vAlign w:val="center"/>
            <w:hideMark/>
          </w:tcPr>
          <w:p>
            <w:pPr>
              <w:ind w:right="-6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56</w:t>
            </w:r>
          </w:p>
        </w:tc>
        <w:tc>
          <w:tcPr>
            <w:tcW w:w="1229"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12,528,243 </w:t>
            </w:r>
          </w:p>
        </w:tc>
        <w:tc>
          <w:tcPr>
            <w:tcW w:w="567" w:type="dxa"/>
            <w:vAlign w:val="center"/>
          </w:tcPr>
          <w:p>
            <w:pPr>
              <w:ind w:right="-10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11</w:t>
            </w:r>
          </w:p>
        </w:tc>
        <w:tc>
          <w:tcPr>
            <w:tcW w:w="992"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14,450</w:t>
            </w:r>
          </w:p>
        </w:tc>
        <w:tc>
          <w:tcPr>
            <w:tcW w:w="548" w:type="dxa"/>
            <w:noWrap/>
            <w:vAlign w:val="center"/>
            <w:hideMark/>
          </w:tcPr>
          <w:p>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12</w:t>
            </w:r>
          </w:p>
        </w:tc>
        <w:tc>
          <w:tcPr>
            <w:tcW w:w="1153"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2,501,393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noWrap/>
            <w:vAlign w:val="center"/>
            <w:hideMark/>
          </w:tcPr>
          <w:p>
            <w:pPr>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2018</w:t>
            </w:r>
          </w:p>
        </w:tc>
        <w:tc>
          <w:tcPr>
            <w:tcW w:w="539" w:type="dxa"/>
            <w:noWrap/>
            <w:vAlign w:val="center"/>
            <w:hideMark/>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15</w:t>
            </w:r>
          </w:p>
        </w:tc>
        <w:tc>
          <w:tcPr>
            <w:tcW w:w="1091"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 xml:space="preserve">181,994 </w:t>
            </w:r>
          </w:p>
        </w:tc>
        <w:tc>
          <w:tcPr>
            <w:tcW w:w="576" w:type="dxa"/>
            <w:noWrap/>
            <w:vAlign w:val="center"/>
            <w:hideMark/>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42</w:t>
            </w:r>
          </w:p>
        </w:tc>
        <w:tc>
          <w:tcPr>
            <w:tcW w:w="1215"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1,219,279</w:t>
            </w:r>
          </w:p>
        </w:tc>
        <w:tc>
          <w:tcPr>
            <w:tcW w:w="453" w:type="dxa"/>
            <w:noWrap/>
            <w:vAlign w:val="center"/>
            <w:hideMark/>
          </w:tcPr>
          <w:p>
            <w:pPr>
              <w:ind w:right="-6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57</w:t>
            </w:r>
          </w:p>
        </w:tc>
        <w:tc>
          <w:tcPr>
            <w:tcW w:w="1229"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szCs w:val="20"/>
              </w:rPr>
              <w:t xml:space="preserve">7,437,826 </w:t>
            </w:r>
          </w:p>
        </w:tc>
        <w:tc>
          <w:tcPr>
            <w:tcW w:w="567" w:type="dxa"/>
            <w:vAlign w:val="center"/>
          </w:tcPr>
          <w:p>
            <w:pPr>
              <w:ind w:right="-10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1</w:t>
            </w:r>
          </w:p>
        </w:tc>
        <w:tc>
          <w:tcPr>
            <w:tcW w:w="992"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34,000 </w:t>
            </w:r>
          </w:p>
        </w:tc>
        <w:tc>
          <w:tcPr>
            <w:tcW w:w="548" w:type="dxa"/>
            <w:noWrap/>
            <w:vAlign w:val="center"/>
            <w:hideMark/>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12</w:t>
            </w:r>
          </w:p>
        </w:tc>
        <w:tc>
          <w:tcPr>
            <w:tcW w:w="1153"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2,146,209</w:t>
            </w:r>
          </w:p>
        </w:tc>
      </w:tr>
      <w:tr>
        <w:trPr>
          <w:trHeight w:val="300"/>
        </w:trPr>
        <w:tc>
          <w:tcPr>
            <w:cnfStyle w:val="001000000000" w:firstRow="0" w:lastRow="0" w:firstColumn="1" w:lastColumn="0" w:oddVBand="0" w:evenVBand="0" w:oddHBand="0" w:evenHBand="0" w:firstRowFirstColumn="0" w:firstRowLastColumn="0" w:lastRowFirstColumn="0" w:lastRowLastColumn="0"/>
            <w:tcW w:w="817" w:type="dxa"/>
            <w:noWrap/>
            <w:vAlign w:val="center"/>
            <w:hideMark/>
          </w:tcPr>
          <w:p>
            <w:pPr>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2019</w:t>
            </w:r>
          </w:p>
        </w:tc>
        <w:tc>
          <w:tcPr>
            <w:tcW w:w="539" w:type="dxa"/>
            <w:noWrap/>
            <w:vAlign w:val="center"/>
            <w:hideMark/>
          </w:tcPr>
          <w:p>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0</w:t>
            </w:r>
          </w:p>
        </w:tc>
        <w:tc>
          <w:tcPr>
            <w:tcW w:w="1091"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576" w:type="dxa"/>
            <w:noWrap/>
            <w:vAlign w:val="center"/>
            <w:hideMark/>
          </w:tcPr>
          <w:p>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25</w:t>
            </w:r>
          </w:p>
        </w:tc>
        <w:tc>
          <w:tcPr>
            <w:tcW w:w="1215"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163,435</w:t>
            </w:r>
          </w:p>
        </w:tc>
        <w:tc>
          <w:tcPr>
            <w:tcW w:w="453" w:type="dxa"/>
            <w:noWrap/>
            <w:vAlign w:val="center"/>
            <w:hideMark/>
          </w:tcPr>
          <w:p>
            <w:pPr>
              <w:ind w:right="-6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82</w:t>
            </w:r>
          </w:p>
        </w:tc>
        <w:tc>
          <w:tcPr>
            <w:tcW w:w="1229"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9,558,114 </w:t>
            </w:r>
          </w:p>
        </w:tc>
        <w:tc>
          <w:tcPr>
            <w:tcW w:w="567" w:type="dxa"/>
            <w:vAlign w:val="center"/>
          </w:tcPr>
          <w:p>
            <w:pPr>
              <w:ind w:right="-10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10</w:t>
            </w:r>
          </w:p>
        </w:tc>
        <w:tc>
          <w:tcPr>
            <w:tcW w:w="992"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47,194</w:t>
            </w:r>
          </w:p>
        </w:tc>
        <w:tc>
          <w:tcPr>
            <w:tcW w:w="548" w:type="dxa"/>
            <w:noWrap/>
            <w:vAlign w:val="center"/>
            <w:hideMark/>
          </w:tcPr>
          <w:p>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color w:val="000000"/>
                <w:sz w:val="20"/>
                <w:szCs w:val="20"/>
              </w:rPr>
              <w:t>9</w:t>
            </w:r>
          </w:p>
        </w:tc>
        <w:tc>
          <w:tcPr>
            <w:tcW w:w="1153"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1,153,297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noWrap/>
            <w:vAlign w:val="center"/>
          </w:tcPr>
          <w:p>
            <w:pPr>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Total</w:t>
            </w:r>
          </w:p>
        </w:tc>
        <w:tc>
          <w:tcPr>
            <w:tcW w:w="539" w:type="dxa"/>
            <w:noWrap/>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131</w:t>
            </w:r>
          </w:p>
        </w:tc>
        <w:tc>
          <w:tcPr>
            <w:tcW w:w="1091"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18"/>
                <w:szCs w:val="18"/>
              </w:rPr>
              <w:t>1,806,606</w:t>
            </w:r>
          </w:p>
        </w:tc>
        <w:tc>
          <w:tcPr>
            <w:tcW w:w="576" w:type="dxa"/>
            <w:noWrap/>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109</w:t>
            </w:r>
          </w:p>
        </w:tc>
        <w:tc>
          <w:tcPr>
            <w:tcW w:w="1215"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4,843,435</w:t>
            </w:r>
          </w:p>
        </w:tc>
        <w:tc>
          <w:tcPr>
            <w:tcW w:w="453" w:type="dxa"/>
            <w:noWrap/>
            <w:vAlign w:val="center"/>
          </w:tcPr>
          <w:p>
            <w:pPr>
              <w:ind w:left="-112" w:right="-6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267</w:t>
            </w:r>
          </w:p>
        </w:tc>
        <w:tc>
          <w:tcPr>
            <w:tcW w:w="1229"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38,002,890</w:t>
            </w:r>
          </w:p>
        </w:tc>
        <w:tc>
          <w:tcPr>
            <w:tcW w:w="567" w:type="dxa"/>
            <w:vAlign w:val="center"/>
          </w:tcPr>
          <w:p>
            <w:pPr>
              <w:ind w:right="-109"/>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30</w:t>
            </w:r>
          </w:p>
        </w:tc>
        <w:tc>
          <w:tcPr>
            <w:tcW w:w="992"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590,152</w:t>
            </w:r>
          </w:p>
        </w:tc>
        <w:tc>
          <w:tcPr>
            <w:tcW w:w="548" w:type="dxa"/>
            <w:noWrap/>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57</w:t>
            </w:r>
          </w:p>
        </w:tc>
        <w:tc>
          <w:tcPr>
            <w:tcW w:w="1153" w:type="dxa"/>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7,863,331</w:t>
            </w:r>
          </w:p>
        </w:tc>
      </w:tr>
    </w:tbl>
    <w:p>
      <w:pPr>
        <w:pStyle w:val="Caption"/>
        <w:keepNext/>
        <w:rPr>
          <w:noProof/>
        </w:rPr>
      </w:pPr>
    </w:p>
    <w:p>
      <w:pPr>
        <w:pStyle w:val="Caption"/>
        <w:keepNext/>
        <w:rPr>
          <w:noProof/>
        </w:rPr>
      </w:pPr>
      <w:r>
        <w:rPr>
          <w:noProof/>
        </w:rPr>
        <w:t xml:space="preserve">Chart PA </w:t>
      </w:r>
      <w:r>
        <w:rPr>
          <w:noProof/>
        </w:rPr>
        <w:fldChar w:fldCharType="begin"/>
      </w:r>
      <w:r>
        <w:rPr>
          <w:noProof/>
        </w:rPr>
        <w:instrText xml:space="preserve"> SEQ Chart_PA \* ARABIC </w:instrText>
      </w:r>
      <w:r>
        <w:rPr>
          <w:noProof/>
        </w:rPr>
        <w:fldChar w:fldCharType="separate"/>
      </w:r>
      <w:r>
        <w:rPr>
          <w:noProof/>
        </w:rPr>
        <w:t>6</w:t>
      </w:r>
      <w:r>
        <w:rPr>
          <w:noProof/>
        </w:rPr>
        <w:fldChar w:fldCharType="end"/>
      </w:r>
    </w:p>
    <w:p>
      <w:pPr>
        <w:keepNext/>
        <w:rPr>
          <w:noProof/>
        </w:rPr>
      </w:pPr>
      <w:r>
        <w:rPr>
          <w:noProof/>
          <w:lang w:eastAsia="en-GB"/>
        </w:rPr>
        <w:drawing>
          <wp:inline distT="0" distB="0" distL="0" distR="0">
            <wp:extent cx="5648325" cy="3388995"/>
            <wp:effectExtent l="0" t="0" r="9525"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ListParagraph"/>
        <w:numPr>
          <w:ilvl w:val="3"/>
          <w:numId w:val="4"/>
        </w:numPr>
        <w:outlineLvl w:val="3"/>
        <w:rPr>
          <w:rFonts w:ascii="Times New Roman" w:hAnsi="Times New Roman" w:cs="Times New Roman"/>
          <w:i/>
          <w:noProof/>
          <w:sz w:val="24"/>
        </w:rPr>
      </w:pPr>
      <w:r>
        <w:rPr>
          <w:rFonts w:ascii="Times New Roman" w:hAnsi="Times New Roman" w:cs="Times New Roman"/>
          <w:i/>
          <w:noProof/>
          <w:sz w:val="24"/>
        </w:rPr>
        <w:t>Instruments for Pre-Accession II</w:t>
      </w:r>
    </w:p>
    <w:p>
      <w:pPr>
        <w:jc w:val="both"/>
        <w:rPr>
          <w:rFonts w:ascii="Times New Roman" w:hAnsi="Times New Roman" w:cs="Times New Roman"/>
          <w:noProof/>
          <w:sz w:val="24"/>
        </w:rPr>
      </w:pPr>
      <w:r>
        <w:rPr>
          <w:rFonts w:ascii="Times New Roman" w:hAnsi="Times New Roman" w:cs="Times New Roman"/>
          <w:b/>
          <w:noProof/>
          <w:sz w:val="24"/>
          <w:szCs w:val="24"/>
        </w:rPr>
        <w:t xml:space="preserve">Irregularity were reported under only three IPA II funds, of which IPARD has the highest number of irregularities and highest associated financial amount. </w:t>
      </w:r>
      <w:r>
        <w:rPr>
          <w:rFonts w:ascii="Times New Roman" w:hAnsi="Times New Roman" w:cs="Times New Roman"/>
          <w:noProof/>
          <w:sz w:val="24"/>
          <w:szCs w:val="24"/>
        </w:rPr>
        <w:t xml:space="preserve">Table PA7 shows number of irregularities and associated financial amounts that have been reported during the past five years by component, with reference to IPA II. The figures are split between irregularities reported as fraudulent and those not reported as such. Chart PA7 is a visualisation of this data. </w:t>
      </w:r>
      <w:r>
        <w:rPr>
          <w:rFonts w:ascii="Times New Roman" w:hAnsi="Times New Roman" w:cs="Times New Roman"/>
          <w:noProof/>
          <w:sz w:val="24"/>
        </w:rPr>
        <w:t>The trend of IPARD reporting the highest number of irregularities – in terms of both number and amount – has carried over to the IPA II funds as well, where IPARD accounts for around 84% of the reported irregularities and 94% of the irregular amounts reported. As such, Table PA7 is quite skewed by the IPARD numbers. Differently from IPA I, 60% of irregularities concerning IPARD were reported by North Macedonia, while the highest financial amounts were still reported by Turkey.</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7</w:t>
      </w:r>
      <w:r>
        <w:rPr>
          <w:noProof/>
        </w:rPr>
        <w:fldChar w:fldCharType="end"/>
      </w:r>
      <w:r>
        <w:rPr>
          <w:noProof/>
        </w:rPr>
        <w:t>: IPA II, 2015-2019: Number of irregularities and financial amounts involved by Component</w:t>
      </w:r>
    </w:p>
    <w:tbl>
      <w:tblPr>
        <w:tblStyle w:val="ListTable4Accent2"/>
        <w:tblW w:w="8861" w:type="dxa"/>
        <w:tblLayout w:type="fixed"/>
        <w:tblLook w:val="04A0" w:firstRow="1" w:lastRow="0" w:firstColumn="1" w:lastColumn="0" w:noHBand="0" w:noVBand="1"/>
      </w:tblPr>
      <w:tblGrid>
        <w:gridCol w:w="675"/>
        <w:gridCol w:w="801"/>
        <w:gridCol w:w="900"/>
        <w:gridCol w:w="741"/>
        <w:gridCol w:w="821"/>
        <w:gridCol w:w="820"/>
        <w:gridCol w:w="1020"/>
        <w:gridCol w:w="621"/>
        <w:gridCol w:w="821"/>
        <w:gridCol w:w="820"/>
        <w:gridCol w:w="821"/>
      </w:tblGrid>
      <w:tr>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5" w:type="dxa"/>
            <w:noWrap/>
            <w:vAlign w:val="center"/>
          </w:tcPr>
          <w:p>
            <w:pPr>
              <w:keepNext/>
              <w:jc w:val="center"/>
              <w:rPr>
                <w:rFonts w:ascii="Times New Roman" w:eastAsia="Times New Roman" w:hAnsi="Times New Roman" w:cs="Times New Roman"/>
                <w:noProof/>
                <w:sz w:val="20"/>
                <w:szCs w:val="20"/>
                <w:lang w:eastAsia="en-GB"/>
              </w:rPr>
            </w:pPr>
          </w:p>
        </w:tc>
        <w:tc>
          <w:tcPr>
            <w:tcW w:w="1701" w:type="dxa"/>
            <w:gridSpan w:val="2"/>
            <w:noWrap/>
            <w:vAlign w:val="center"/>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CBC-IPA</w:t>
            </w:r>
          </w:p>
        </w:tc>
        <w:tc>
          <w:tcPr>
            <w:tcW w:w="1562" w:type="dxa"/>
            <w:gridSpan w:val="2"/>
            <w:noWrap/>
            <w:vAlign w:val="center"/>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HRD</w:t>
            </w:r>
          </w:p>
        </w:tc>
        <w:tc>
          <w:tcPr>
            <w:tcW w:w="1840" w:type="dxa"/>
            <w:gridSpan w:val="2"/>
            <w:noWrap/>
            <w:vAlign w:val="center"/>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IPARD</w:t>
            </w:r>
          </w:p>
        </w:tc>
        <w:tc>
          <w:tcPr>
            <w:tcW w:w="1442" w:type="dxa"/>
            <w:gridSpan w:val="2"/>
            <w:vAlign w:val="center"/>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REGD</w:t>
            </w:r>
          </w:p>
        </w:tc>
        <w:tc>
          <w:tcPr>
            <w:tcW w:w="1641" w:type="dxa"/>
            <w:gridSpan w:val="2"/>
            <w:noWrap/>
            <w:vAlign w:val="center"/>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TAIB</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5" w:type="dxa"/>
            <w:shd w:val="clear" w:color="auto" w:fill="ED7D31" w:themeFill="accent2"/>
            <w:noWrap/>
            <w:vAlign w:val="center"/>
          </w:tcPr>
          <w:p>
            <w:pPr>
              <w:keepNext/>
              <w:rPr>
                <w:rFonts w:ascii="Times New Roman" w:eastAsia="Times New Roman" w:hAnsi="Times New Roman" w:cs="Times New Roman"/>
                <w:noProof/>
                <w:color w:val="FFFFFF" w:themeColor="background1"/>
                <w:sz w:val="20"/>
                <w:szCs w:val="20"/>
                <w:lang w:eastAsia="en-GB"/>
              </w:rPr>
            </w:pPr>
          </w:p>
        </w:tc>
        <w:tc>
          <w:tcPr>
            <w:tcW w:w="801" w:type="dxa"/>
            <w:shd w:val="clear" w:color="auto" w:fill="ED7D31" w:themeFill="accent2"/>
            <w:noWrap/>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900" w:type="dxa"/>
            <w:shd w:val="clear" w:color="auto" w:fill="ED7D31" w:themeFill="accent2"/>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(EUR)</w:t>
            </w:r>
          </w:p>
        </w:tc>
        <w:tc>
          <w:tcPr>
            <w:tcW w:w="741" w:type="dxa"/>
            <w:shd w:val="clear" w:color="auto" w:fill="ED7D31" w:themeFill="accent2"/>
            <w:noWrap/>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821" w:type="dxa"/>
            <w:shd w:val="clear" w:color="auto" w:fill="ED7D31" w:themeFill="accent2"/>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(EUR)</w:t>
            </w:r>
          </w:p>
        </w:tc>
        <w:tc>
          <w:tcPr>
            <w:tcW w:w="820" w:type="dxa"/>
            <w:shd w:val="clear" w:color="auto" w:fill="ED7D31" w:themeFill="accent2"/>
            <w:noWrap/>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1020" w:type="dxa"/>
            <w:shd w:val="clear" w:color="auto" w:fill="ED7D31" w:themeFill="accent2"/>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(EUR)</w:t>
            </w:r>
          </w:p>
        </w:tc>
        <w:tc>
          <w:tcPr>
            <w:tcW w:w="621" w:type="dxa"/>
            <w:shd w:val="clear" w:color="auto" w:fill="ED7D31" w:themeFill="accent2"/>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821" w:type="dxa"/>
            <w:shd w:val="clear" w:color="auto" w:fill="ED7D31" w:themeFill="accent2"/>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(EUR)</w:t>
            </w:r>
          </w:p>
        </w:tc>
        <w:tc>
          <w:tcPr>
            <w:tcW w:w="820" w:type="dxa"/>
            <w:shd w:val="clear" w:color="auto" w:fill="ED7D31" w:themeFill="accent2"/>
            <w:noWrap/>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821" w:type="dxa"/>
            <w:shd w:val="clear" w:color="auto" w:fill="ED7D31" w:themeFill="accent2"/>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(EUR)</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675" w:type="dxa"/>
            <w:noWrap/>
            <w:vAlign w:val="center"/>
            <w:hideMark/>
          </w:tcPr>
          <w:p>
            <w:pPr>
              <w:keepNext/>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2015</w:t>
            </w:r>
          </w:p>
        </w:tc>
        <w:tc>
          <w:tcPr>
            <w:tcW w:w="801" w:type="dxa"/>
            <w:noWrap/>
            <w:vAlign w:val="center"/>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900"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szCs w:val="20"/>
              </w:rPr>
              <w:t>0</w:t>
            </w:r>
          </w:p>
        </w:tc>
        <w:tc>
          <w:tcPr>
            <w:tcW w:w="741" w:type="dxa"/>
            <w:noWrap/>
            <w:vAlign w:val="center"/>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2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20" w:type="dxa"/>
            <w:noWrap/>
            <w:vAlign w:val="center"/>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020"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62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2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20" w:type="dxa"/>
            <w:noWrap/>
            <w:vAlign w:val="center"/>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21" w:type="dxa"/>
            <w:vAlign w:val="center"/>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5" w:type="dxa"/>
            <w:noWrap/>
            <w:vAlign w:val="center"/>
            <w:hideMark/>
          </w:tcPr>
          <w:p>
            <w:pPr>
              <w:keepNext/>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2016</w:t>
            </w:r>
          </w:p>
        </w:tc>
        <w:tc>
          <w:tcPr>
            <w:tcW w:w="801" w:type="dxa"/>
            <w:noWrap/>
            <w:vAlign w:val="center"/>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900"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szCs w:val="20"/>
              </w:rPr>
              <w:t>0</w:t>
            </w:r>
          </w:p>
        </w:tc>
        <w:tc>
          <w:tcPr>
            <w:tcW w:w="741" w:type="dxa"/>
            <w:noWrap/>
            <w:vAlign w:val="center"/>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2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20" w:type="dxa"/>
            <w:noWrap/>
            <w:vAlign w:val="center"/>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020"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62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2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20" w:type="dxa"/>
            <w:noWrap/>
            <w:vAlign w:val="center"/>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21" w:type="dxa"/>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675" w:type="dxa"/>
            <w:noWrap/>
            <w:vAlign w:val="center"/>
            <w:hideMark/>
          </w:tcPr>
          <w:p>
            <w:pPr>
              <w:keepNext/>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2017</w:t>
            </w:r>
          </w:p>
        </w:tc>
        <w:tc>
          <w:tcPr>
            <w:tcW w:w="801" w:type="dxa"/>
            <w:noWrap/>
            <w:vAlign w:val="center"/>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900"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szCs w:val="20"/>
              </w:rPr>
              <w:t>0</w:t>
            </w:r>
          </w:p>
        </w:tc>
        <w:tc>
          <w:tcPr>
            <w:tcW w:w="741" w:type="dxa"/>
            <w:noWrap/>
            <w:vAlign w:val="center"/>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2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20" w:type="dxa"/>
            <w:noWrap/>
            <w:vAlign w:val="center"/>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w:t>
            </w:r>
          </w:p>
        </w:tc>
        <w:tc>
          <w:tcPr>
            <w:tcW w:w="1020"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62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2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20" w:type="dxa"/>
            <w:noWrap/>
            <w:vAlign w:val="center"/>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21" w:type="dxa"/>
            <w:vAlign w:val="center"/>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5" w:type="dxa"/>
            <w:noWrap/>
            <w:vAlign w:val="center"/>
            <w:hideMark/>
          </w:tcPr>
          <w:p>
            <w:pPr>
              <w:keepNext/>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2018</w:t>
            </w:r>
          </w:p>
        </w:tc>
        <w:tc>
          <w:tcPr>
            <w:tcW w:w="801" w:type="dxa"/>
            <w:noWrap/>
            <w:vAlign w:val="center"/>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w:t>
            </w:r>
          </w:p>
        </w:tc>
        <w:tc>
          <w:tcPr>
            <w:tcW w:w="900"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51,409</w:t>
            </w:r>
          </w:p>
        </w:tc>
        <w:tc>
          <w:tcPr>
            <w:tcW w:w="741" w:type="dxa"/>
            <w:noWrap/>
            <w:vAlign w:val="center"/>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2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0</w:t>
            </w:r>
          </w:p>
        </w:tc>
        <w:tc>
          <w:tcPr>
            <w:tcW w:w="820" w:type="dxa"/>
            <w:noWrap/>
            <w:vAlign w:val="center"/>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8</w:t>
            </w:r>
          </w:p>
        </w:tc>
        <w:tc>
          <w:tcPr>
            <w:tcW w:w="1020"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szCs w:val="20"/>
              </w:rPr>
              <w:t>580,642</w:t>
            </w:r>
          </w:p>
        </w:tc>
        <w:tc>
          <w:tcPr>
            <w:tcW w:w="62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2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20" w:type="dxa"/>
            <w:noWrap/>
            <w:vAlign w:val="center"/>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w:t>
            </w:r>
          </w:p>
        </w:tc>
        <w:tc>
          <w:tcPr>
            <w:tcW w:w="821" w:type="dxa"/>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675" w:type="dxa"/>
            <w:noWrap/>
            <w:vAlign w:val="center"/>
            <w:hideMark/>
          </w:tcPr>
          <w:p>
            <w:pPr>
              <w:keepNext/>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2019</w:t>
            </w:r>
          </w:p>
        </w:tc>
        <w:tc>
          <w:tcPr>
            <w:tcW w:w="801" w:type="dxa"/>
            <w:noWrap/>
            <w:vAlign w:val="center"/>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2</w:t>
            </w:r>
          </w:p>
        </w:tc>
        <w:tc>
          <w:tcPr>
            <w:tcW w:w="900"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sz w:val="20"/>
                <w:szCs w:val="20"/>
              </w:rPr>
              <w:t>66,186</w:t>
            </w:r>
          </w:p>
        </w:tc>
        <w:tc>
          <w:tcPr>
            <w:tcW w:w="741" w:type="dxa"/>
            <w:noWrap/>
            <w:vAlign w:val="center"/>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2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20" w:type="dxa"/>
            <w:noWrap/>
            <w:vAlign w:val="center"/>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72</w:t>
            </w:r>
          </w:p>
        </w:tc>
        <w:tc>
          <w:tcPr>
            <w:tcW w:w="1020"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1,111,658</w:t>
            </w:r>
          </w:p>
        </w:tc>
        <w:tc>
          <w:tcPr>
            <w:tcW w:w="62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2</w:t>
            </w:r>
          </w:p>
        </w:tc>
        <w:tc>
          <w:tcPr>
            <w:tcW w:w="82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20" w:type="dxa"/>
            <w:noWrap/>
            <w:vAlign w:val="center"/>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2</w:t>
            </w:r>
          </w:p>
        </w:tc>
        <w:tc>
          <w:tcPr>
            <w:tcW w:w="821" w:type="dxa"/>
            <w:vAlign w:val="center"/>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5" w:type="dxa"/>
            <w:noWrap/>
            <w:vAlign w:val="center"/>
          </w:tcPr>
          <w:p>
            <w:pPr>
              <w:keepNext/>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Total</w:t>
            </w:r>
          </w:p>
        </w:tc>
        <w:tc>
          <w:tcPr>
            <w:tcW w:w="801" w:type="dxa"/>
            <w:noWrap/>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10</w:t>
            </w:r>
          </w:p>
        </w:tc>
        <w:tc>
          <w:tcPr>
            <w:tcW w:w="900"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sz w:val="20"/>
                <w:szCs w:val="20"/>
              </w:rPr>
              <w:t>117,595</w:t>
            </w:r>
          </w:p>
        </w:tc>
        <w:tc>
          <w:tcPr>
            <w:tcW w:w="741" w:type="dxa"/>
            <w:noWrap/>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0</w:t>
            </w:r>
          </w:p>
        </w:tc>
        <w:tc>
          <w:tcPr>
            <w:tcW w:w="82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0</w:t>
            </w:r>
          </w:p>
        </w:tc>
        <w:tc>
          <w:tcPr>
            <w:tcW w:w="820" w:type="dxa"/>
            <w:noWrap/>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81</w:t>
            </w:r>
          </w:p>
        </w:tc>
        <w:tc>
          <w:tcPr>
            <w:tcW w:w="1020"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1,692,300</w:t>
            </w:r>
          </w:p>
        </w:tc>
        <w:tc>
          <w:tcPr>
            <w:tcW w:w="62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2</w:t>
            </w:r>
          </w:p>
        </w:tc>
        <w:tc>
          <w:tcPr>
            <w:tcW w:w="82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0</w:t>
            </w:r>
          </w:p>
        </w:tc>
        <w:tc>
          <w:tcPr>
            <w:tcW w:w="820" w:type="dxa"/>
            <w:noWrap/>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3</w:t>
            </w:r>
          </w:p>
        </w:tc>
        <w:tc>
          <w:tcPr>
            <w:tcW w:w="821" w:type="dxa"/>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0</w:t>
            </w:r>
          </w:p>
        </w:tc>
      </w:tr>
    </w:tbl>
    <w:p>
      <w:pPr>
        <w:rPr>
          <w:rFonts w:ascii="Times New Roman" w:hAnsi="Times New Roman" w:cs="Times New Roman"/>
          <w:noProof/>
        </w:rPr>
      </w:pPr>
    </w:p>
    <w:p>
      <w:pPr>
        <w:pStyle w:val="Caption"/>
        <w:keepNext/>
        <w:rPr>
          <w:noProof/>
        </w:rPr>
      </w:pPr>
      <w:r>
        <w:rPr>
          <w:noProof/>
        </w:rPr>
        <w:t xml:space="preserve">Chart PA </w:t>
      </w:r>
      <w:r>
        <w:rPr>
          <w:noProof/>
        </w:rPr>
        <w:fldChar w:fldCharType="begin"/>
      </w:r>
      <w:r>
        <w:rPr>
          <w:noProof/>
        </w:rPr>
        <w:instrText xml:space="preserve"> SEQ Chart_PA \* ARABIC </w:instrText>
      </w:r>
      <w:r>
        <w:rPr>
          <w:noProof/>
        </w:rPr>
        <w:fldChar w:fldCharType="separate"/>
      </w:r>
      <w:r>
        <w:rPr>
          <w:noProof/>
        </w:rPr>
        <w:t>7</w:t>
      </w:r>
      <w:r>
        <w:rPr>
          <w:noProof/>
        </w:rPr>
        <w:fldChar w:fldCharType="end"/>
      </w:r>
    </w:p>
    <w:p>
      <w:pPr>
        <w:keepNext/>
        <w:rPr>
          <w:noProof/>
        </w:rPr>
      </w:pPr>
      <w:r>
        <w:rPr>
          <w:noProof/>
          <w:lang w:eastAsia="en-GB"/>
        </w:rPr>
        <w:drawing>
          <wp:inline distT="0" distB="0" distL="0" distR="0">
            <wp:extent cx="5803392" cy="2809037"/>
            <wp:effectExtent l="0" t="0" r="6985" b="107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keepNext/>
        <w:rPr>
          <w:noProof/>
        </w:rPr>
      </w:pPr>
    </w:p>
    <w:p>
      <w:pPr>
        <w:pStyle w:val="ManualHeading3"/>
        <w:numPr>
          <w:ilvl w:val="2"/>
          <w:numId w:val="1"/>
        </w:numPr>
        <w:ind w:left="850" w:hanging="850"/>
        <w:rPr>
          <w:noProof/>
        </w:rPr>
      </w:pPr>
      <w:bookmarkStart w:id="40" w:name="_Toc45617999"/>
      <w:r>
        <w:rPr>
          <w:noProof/>
        </w:rPr>
        <w:t>Analysis by Country</w:t>
      </w:r>
      <w:bookmarkEnd w:id="40"/>
    </w:p>
    <w:p>
      <w:pPr>
        <w:outlineLvl w:val="3"/>
        <w:rPr>
          <w:rFonts w:ascii="Times New Roman" w:hAnsi="Times New Roman" w:cs="Times New Roman"/>
          <w:i/>
          <w:noProof/>
          <w:sz w:val="24"/>
        </w:rPr>
      </w:pPr>
      <w:r>
        <w:rPr>
          <w:rFonts w:ascii="Times New Roman" w:hAnsi="Times New Roman" w:cs="Times New Roman"/>
          <w:i/>
          <w:noProof/>
          <w:sz w:val="24"/>
        </w:rPr>
        <w:t>5.3.4.1 Fraud level for 2019</w:t>
      </w:r>
    </w:p>
    <w:p>
      <w:pPr>
        <w:jc w:val="both"/>
        <w:rPr>
          <w:rFonts w:ascii="Times New Roman" w:hAnsi="Times New Roman" w:cs="Times New Roman"/>
          <w:noProof/>
          <w:sz w:val="24"/>
        </w:rPr>
      </w:pPr>
      <w:r>
        <w:rPr>
          <w:rFonts w:ascii="Times New Roman" w:hAnsi="Times New Roman" w:cs="Times New Roman"/>
          <w:b/>
          <w:noProof/>
          <w:sz w:val="24"/>
        </w:rPr>
        <w:t>Only three countries reported fraudulent irregularities in 2019 – North Macedonia, Serbia and Turkey</w:t>
      </w:r>
      <w:r>
        <w:rPr>
          <w:rFonts w:ascii="Times New Roman" w:hAnsi="Times New Roman" w:cs="Times New Roman"/>
          <w:noProof/>
          <w:sz w:val="24"/>
        </w:rPr>
        <w:t>. Turkey had the highest fraud level in terms of absolute numbers (FFL) whereas Serbia reported the highest rate in terms of irregular amounts (FAL), at 42% and 35%, respectively.</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8</w:t>
      </w:r>
      <w:r>
        <w:rPr>
          <w:noProof/>
        </w:rPr>
        <w:fldChar w:fldCharType="end"/>
      </w:r>
      <w:r>
        <w:rPr>
          <w:noProof/>
        </w:rPr>
        <w:t>: Irregularities reported in 2019,  involved financial amounts, FFL and FAL, by country</w:t>
      </w:r>
    </w:p>
    <w:tbl>
      <w:tblPr>
        <w:tblStyle w:val="ListTable4Accent2"/>
        <w:tblW w:w="9072" w:type="dxa"/>
        <w:tblInd w:w="108" w:type="dxa"/>
        <w:tblLayout w:type="fixed"/>
        <w:tblLook w:val="04A0" w:firstRow="1" w:lastRow="0" w:firstColumn="1" w:lastColumn="0" w:noHBand="0" w:noVBand="1"/>
      </w:tblPr>
      <w:tblGrid>
        <w:gridCol w:w="665"/>
        <w:gridCol w:w="1401"/>
        <w:gridCol w:w="1401"/>
        <w:gridCol w:w="1401"/>
        <w:gridCol w:w="1401"/>
        <w:gridCol w:w="1401"/>
        <w:gridCol w:w="1402"/>
      </w:tblGrid>
      <w:tr>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5" w:type="dxa"/>
            <w:noWrap/>
            <w:vAlign w:val="center"/>
            <w:hideMark/>
          </w:tcPr>
          <w:p>
            <w:pPr>
              <w:keepNext/>
              <w:rPr>
                <w:rFonts w:ascii="Times New Roman" w:eastAsia="Times New Roman" w:hAnsi="Times New Roman" w:cs="Times New Roman"/>
                <w:noProof/>
                <w:sz w:val="20"/>
                <w:szCs w:val="20"/>
                <w:lang w:eastAsia="en-GB"/>
              </w:rPr>
            </w:pPr>
          </w:p>
        </w:tc>
        <w:tc>
          <w:tcPr>
            <w:tcW w:w="4203" w:type="dxa"/>
            <w:gridSpan w:val="3"/>
            <w:vAlign w:val="center"/>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Number of Irregularities</w:t>
            </w:r>
          </w:p>
        </w:tc>
        <w:tc>
          <w:tcPr>
            <w:tcW w:w="4204" w:type="dxa"/>
            <w:gridSpan w:val="3"/>
            <w:noWrap/>
            <w:vAlign w:val="center"/>
            <w:hideMark/>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Amount of Irregularities (EUR)</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5" w:type="dxa"/>
            <w:shd w:val="clear" w:color="auto" w:fill="ED7D31" w:themeFill="accent2"/>
            <w:noWrap/>
            <w:vAlign w:val="center"/>
          </w:tcPr>
          <w:p>
            <w:pPr>
              <w:keepNext/>
              <w:rPr>
                <w:rFonts w:ascii="Times New Roman" w:eastAsia="Times New Roman" w:hAnsi="Times New Roman" w:cs="Times New Roman"/>
                <w:noProof/>
                <w:color w:val="FFFFFF" w:themeColor="background1"/>
                <w:sz w:val="20"/>
                <w:szCs w:val="20"/>
                <w:lang w:eastAsia="en-GB"/>
              </w:rPr>
            </w:pPr>
          </w:p>
        </w:tc>
        <w:tc>
          <w:tcPr>
            <w:tcW w:w="1401" w:type="dxa"/>
            <w:shd w:val="clear" w:color="auto" w:fill="ED7D31" w:themeFill="accent2"/>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Fraudulent</w:t>
            </w:r>
          </w:p>
        </w:tc>
        <w:tc>
          <w:tcPr>
            <w:tcW w:w="1401" w:type="dxa"/>
            <w:shd w:val="clear" w:color="auto" w:fill="ED7D31" w:themeFill="accent2"/>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Non-Fraud</w:t>
            </w:r>
          </w:p>
        </w:tc>
        <w:tc>
          <w:tcPr>
            <w:tcW w:w="1401" w:type="dxa"/>
            <w:tcBorders>
              <w:bottom w:val="single" w:sz="4" w:space="0" w:color="F4B083" w:themeColor="accent2" w:themeTint="99"/>
            </w:tcBorders>
            <w:shd w:val="clear" w:color="auto" w:fill="ED7D31" w:themeFill="accent2"/>
            <w:noWrap/>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 xml:space="preserve">FFL </w:t>
            </w:r>
            <w:r>
              <w:rPr>
                <w:rFonts w:ascii="Times New Roman" w:eastAsia="Times New Roman" w:hAnsi="Times New Roman" w:cs="Times New Roman"/>
                <w:noProof/>
                <w:color w:val="FFFFFF" w:themeColor="background1"/>
                <w:sz w:val="20"/>
                <w:szCs w:val="20"/>
                <w:vertAlign w:val="superscript"/>
                <w:lang w:eastAsia="en-GB"/>
              </w:rPr>
              <w:t>i</w:t>
            </w:r>
          </w:p>
        </w:tc>
        <w:tc>
          <w:tcPr>
            <w:tcW w:w="1401" w:type="dxa"/>
            <w:shd w:val="clear" w:color="auto" w:fill="ED7D31" w:themeFill="accent2"/>
            <w:noWrap/>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Fraudulent</w:t>
            </w:r>
          </w:p>
        </w:tc>
        <w:tc>
          <w:tcPr>
            <w:tcW w:w="1401" w:type="dxa"/>
            <w:shd w:val="clear" w:color="auto" w:fill="ED7D31" w:themeFill="accent2"/>
            <w:noWrap/>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Non-Fraud</w:t>
            </w:r>
          </w:p>
        </w:tc>
        <w:tc>
          <w:tcPr>
            <w:tcW w:w="1402" w:type="dxa"/>
            <w:shd w:val="clear" w:color="auto" w:fill="ED7D31" w:themeFill="accent2"/>
            <w:noWrap/>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 xml:space="preserve">FAL </w:t>
            </w:r>
            <w:r>
              <w:rPr>
                <w:rFonts w:ascii="Times New Roman" w:eastAsia="Times New Roman" w:hAnsi="Times New Roman" w:cs="Times New Roman"/>
                <w:noProof/>
                <w:color w:val="FFFFFF" w:themeColor="background1"/>
                <w:sz w:val="20"/>
                <w:szCs w:val="20"/>
                <w:vertAlign w:val="superscript"/>
                <w:lang w:eastAsia="en-GB"/>
              </w:rPr>
              <w:t>i</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665" w:type="dxa"/>
            <w:noWrap/>
            <w:vAlign w:val="center"/>
            <w:hideMark/>
          </w:tcPr>
          <w:p>
            <w:pPr>
              <w:keepNext/>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AL</w:t>
            </w:r>
          </w:p>
        </w:tc>
        <w:tc>
          <w:tcPr>
            <w:tcW w:w="140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140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w:t>
            </w:r>
          </w:p>
        </w:tc>
        <w:tc>
          <w:tcPr>
            <w:tcW w:w="1401" w:type="dxa"/>
            <w:tcBorders>
              <w:right w:val="single" w:sz="4" w:space="0" w:color="F4B083" w:themeColor="accent2" w:themeTint="99"/>
            </w:tcBorders>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hAnsi="Times New Roman" w:cs="Times New Roman"/>
                <w:noProof/>
                <w:color w:val="000000"/>
                <w:sz w:val="20"/>
                <w:szCs w:val="20"/>
              </w:rPr>
              <w:t>0%</w:t>
            </w:r>
          </w:p>
        </w:tc>
        <w:tc>
          <w:tcPr>
            <w:tcW w:w="1401" w:type="dxa"/>
            <w:tcBorders>
              <w:left w:val="single" w:sz="4" w:space="0" w:color="F4B083" w:themeColor="accent2" w:themeTint="99"/>
            </w:tcBorders>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c>
          <w:tcPr>
            <w:tcW w:w="1401"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c>
          <w:tcPr>
            <w:tcW w:w="1402" w:type="dxa"/>
            <w:noWrap/>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n/a</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5" w:type="dxa"/>
            <w:noWrap/>
            <w:vAlign w:val="center"/>
            <w:hideMark/>
          </w:tcPr>
          <w:p>
            <w:pPr>
              <w:keepNext/>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BG</w:t>
            </w:r>
          </w:p>
        </w:tc>
        <w:tc>
          <w:tcPr>
            <w:tcW w:w="140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140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w:t>
            </w:r>
          </w:p>
        </w:tc>
        <w:tc>
          <w:tcPr>
            <w:tcW w:w="1401" w:type="dxa"/>
            <w:tcBorders>
              <w:right w:val="single" w:sz="4" w:space="0" w:color="F4B083" w:themeColor="accent2" w:themeTint="99"/>
            </w:tcBorders>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hAnsi="Times New Roman" w:cs="Times New Roman"/>
                <w:noProof/>
                <w:color w:val="000000"/>
                <w:sz w:val="20"/>
                <w:szCs w:val="20"/>
              </w:rPr>
              <w:t>0%</w:t>
            </w:r>
          </w:p>
        </w:tc>
        <w:tc>
          <w:tcPr>
            <w:tcW w:w="1401" w:type="dxa"/>
            <w:tcBorders>
              <w:left w:val="single" w:sz="4" w:space="0" w:color="F4B083" w:themeColor="accent2" w:themeTint="99"/>
            </w:tcBorders>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c>
          <w:tcPr>
            <w:tcW w:w="1401"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 xml:space="preserve">66,186 </w:t>
            </w:r>
          </w:p>
        </w:tc>
        <w:tc>
          <w:tcPr>
            <w:tcW w:w="1402" w:type="dxa"/>
            <w:noWrap/>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665" w:type="dxa"/>
            <w:noWrap/>
            <w:vAlign w:val="center"/>
            <w:hideMark/>
          </w:tcPr>
          <w:p>
            <w:pPr>
              <w:keepNext/>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HR</w:t>
            </w:r>
          </w:p>
        </w:tc>
        <w:tc>
          <w:tcPr>
            <w:tcW w:w="140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140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w:t>
            </w:r>
          </w:p>
        </w:tc>
        <w:tc>
          <w:tcPr>
            <w:tcW w:w="1401" w:type="dxa"/>
            <w:tcBorders>
              <w:right w:val="single" w:sz="4" w:space="0" w:color="F4B083" w:themeColor="accent2" w:themeTint="99"/>
            </w:tcBorders>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401" w:type="dxa"/>
            <w:tcBorders>
              <w:left w:val="single" w:sz="4" w:space="0" w:color="F4B083" w:themeColor="accent2" w:themeTint="99"/>
            </w:tcBorders>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c>
          <w:tcPr>
            <w:tcW w:w="1401"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 xml:space="preserve">9,081 </w:t>
            </w:r>
          </w:p>
        </w:tc>
        <w:tc>
          <w:tcPr>
            <w:tcW w:w="1402" w:type="dxa"/>
            <w:noWrap/>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5" w:type="dxa"/>
            <w:noWrap/>
            <w:vAlign w:val="center"/>
            <w:hideMark/>
          </w:tcPr>
          <w:p>
            <w:pPr>
              <w:keepNext/>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ME</w:t>
            </w:r>
          </w:p>
        </w:tc>
        <w:tc>
          <w:tcPr>
            <w:tcW w:w="140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140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27</w:t>
            </w:r>
          </w:p>
        </w:tc>
        <w:tc>
          <w:tcPr>
            <w:tcW w:w="1401" w:type="dxa"/>
            <w:tcBorders>
              <w:right w:val="single" w:sz="4" w:space="0" w:color="F4B083" w:themeColor="accent2" w:themeTint="99"/>
            </w:tcBorders>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401" w:type="dxa"/>
            <w:tcBorders>
              <w:left w:val="single" w:sz="4" w:space="0" w:color="F4B083" w:themeColor="accent2" w:themeTint="99"/>
            </w:tcBorders>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c>
          <w:tcPr>
            <w:tcW w:w="1401"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hAnsi="Times New Roman" w:cs="Times New Roman"/>
                <w:noProof/>
                <w:sz w:val="20"/>
                <w:szCs w:val="20"/>
              </w:rPr>
              <w:t xml:space="preserve">70,418 </w:t>
            </w:r>
          </w:p>
        </w:tc>
        <w:tc>
          <w:tcPr>
            <w:tcW w:w="1402" w:type="dxa"/>
            <w:noWrap/>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665" w:type="dxa"/>
            <w:noWrap/>
            <w:vAlign w:val="center"/>
            <w:hideMark/>
          </w:tcPr>
          <w:p>
            <w:pPr>
              <w:keepNext/>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MK</w:t>
            </w:r>
          </w:p>
        </w:tc>
        <w:tc>
          <w:tcPr>
            <w:tcW w:w="140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w:t>
            </w:r>
          </w:p>
        </w:tc>
        <w:tc>
          <w:tcPr>
            <w:tcW w:w="140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47</w:t>
            </w:r>
          </w:p>
        </w:tc>
        <w:tc>
          <w:tcPr>
            <w:tcW w:w="1401" w:type="dxa"/>
            <w:tcBorders>
              <w:right w:val="single" w:sz="4" w:space="0" w:color="F4B083" w:themeColor="accent2" w:themeTint="99"/>
            </w:tcBorders>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4%</w:t>
            </w:r>
          </w:p>
        </w:tc>
        <w:tc>
          <w:tcPr>
            <w:tcW w:w="1401" w:type="dxa"/>
            <w:tcBorders>
              <w:left w:val="single" w:sz="4" w:space="0" w:color="F4B083" w:themeColor="accent2" w:themeTint="99"/>
            </w:tcBorders>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26,183</w:t>
            </w:r>
          </w:p>
        </w:tc>
        <w:tc>
          <w:tcPr>
            <w:tcW w:w="1401"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 xml:space="preserve">323,459 </w:t>
            </w:r>
          </w:p>
        </w:tc>
        <w:tc>
          <w:tcPr>
            <w:tcW w:w="1402" w:type="dxa"/>
            <w:noWrap/>
            <w:hideMark/>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7%</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5" w:type="dxa"/>
            <w:noWrap/>
            <w:vAlign w:val="center"/>
          </w:tcPr>
          <w:p>
            <w:pPr>
              <w:keepNext/>
              <w:jc w:val="right"/>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RS</w:t>
            </w:r>
          </w:p>
        </w:tc>
        <w:tc>
          <w:tcPr>
            <w:tcW w:w="140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noProof/>
                <w:color w:val="000000"/>
                <w:sz w:val="20"/>
                <w:szCs w:val="20"/>
              </w:rPr>
              <w:t>2</w:t>
            </w:r>
          </w:p>
        </w:tc>
        <w:tc>
          <w:tcPr>
            <w:tcW w:w="140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noProof/>
                <w:color w:val="000000"/>
                <w:sz w:val="20"/>
                <w:szCs w:val="20"/>
              </w:rPr>
              <w:t>7</w:t>
            </w:r>
          </w:p>
        </w:tc>
        <w:tc>
          <w:tcPr>
            <w:tcW w:w="1401" w:type="dxa"/>
            <w:tcBorders>
              <w:right w:val="single" w:sz="4" w:space="0" w:color="F4B083" w:themeColor="accent2" w:themeTint="99"/>
            </w:tcBorders>
            <w:noWrap/>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noProof/>
                <w:color w:val="000000"/>
                <w:sz w:val="20"/>
                <w:szCs w:val="20"/>
              </w:rPr>
              <w:t>22%</w:t>
            </w:r>
          </w:p>
        </w:tc>
        <w:tc>
          <w:tcPr>
            <w:tcW w:w="1401" w:type="dxa"/>
            <w:tcBorders>
              <w:left w:val="single" w:sz="4" w:space="0" w:color="F4B083" w:themeColor="accent2" w:themeTint="99"/>
            </w:tcBorders>
            <w:noWrap/>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noProof/>
                <w:sz w:val="20"/>
                <w:szCs w:val="20"/>
              </w:rPr>
              <w:t xml:space="preserve">399,098 </w:t>
            </w:r>
          </w:p>
        </w:tc>
        <w:tc>
          <w:tcPr>
            <w:tcW w:w="1401" w:type="dxa"/>
            <w:noWrap/>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noProof/>
                <w:sz w:val="20"/>
                <w:szCs w:val="20"/>
              </w:rPr>
              <w:t xml:space="preserve">754,199 </w:t>
            </w:r>
          </w:p>
        </w:tc>
        <w:tc>
          <w:tcPr>
            <w:tcW w:w="1402" w:type="dxa"/>
            <w:noWrap/>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noProof/>
                <w:sz w:val="20"/>
                <w:szCs w:val="20"/>
              </w:rPr>
              <w:t>35%</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665" w:type="dxa"/>
            <w:noWrap/>
            <w:vAlign w:val="center"/>
          </w:tcPr>
          <w:p>
            <w:pPr>
              <w:keepNext/>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TR</w:t>
            </w:r>
          </w:p>
        </w:tc>
        <w:tc>
          <w:tcPr>
            <w:tcW w:w="140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47</w:t>
            </w:r>
          </w:p>
        </w:tc>
        <w:tc>
          <w:tcPr>
            <w:tcW w:w="140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65</w:t>
            </w:r>
          </w:p>
        </w:tc>
        <w:tc>
          <w:tcPr>
            <w:tcW w:w="1401" w:type="dxa"/>
            <w:tcBorders>
              <w:right w:val="single" w:sz="4" w:space="0" w:color="F4B083" w:themeColor="accent2" w:themeTint="99"/>
            </w:tcBorders>
            <w:noWrap/>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42%</w:t>
            </w:r>
          </w:p>
        </w:tc>
        <w:tc>
          <w:tcPr>
            <w:tcW w:w="1401" w:type="dxa"/>
            <w:tcBorders>
              <w:left w:val="single" w:sz="4" w:space="0" w:color="F4B083" w:themeColor="accent2" w:themeTint="99"/>
            </w:tcBorders>
            <w:noWrap/>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noProof/>
                <w:sz w:val="20"/>
                <w:szCs w:val="20"/>
              </w:rPr>
              <w:t xml:space="preserve">3,395,147 </w:t>
            </w:r>
          </w:p>
        </w:tc>
        <w:tc>
          <w:tcPr>
            <w:tcW w:w="1401" w:type="dxa"/>
            <w:noWrap/>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noProof/>
                <w:sz w:val="20"/>
                <w:szCs w:val="20"/>
              </w:rPr>
              <w:t xml:space="preserve">7,056,113 </w:t>
            </w:r>
          </w:p>
        </w:tc>
        <w:tc>
          <w:tcPr>
            <w:tcW w:w="1402" w:type="dxa"/>
            <w:noWrap/>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noProof/>
                <w:sz w:val="20"/>
                <w:szCs w:val="20"/>
              </w:rPr>
              <w:t>32%</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5" w:type="dxa"/>
            <w:noWrap/>
            <w:vAlign w:val="center"/>
          </w:tcPr>
          <w:p>
            <w:pPr>
              <w:keepNext/>
              <w:ind w:left="-104"/>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Total</w:t>
            </w:r>
          </w:p>
        </w:tc>
        <w:tc>
          <w:tcPr>
            <w:tcW w:w="140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51</w:t>
            </w:r>
          </w:p>
        </w:tc>
        <w:tc>
          <w:tcPr>
            <w:tcW w:w="140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153</w:t>
            </w:r>
          </w:p>
        </w:tc>
        <w:tc>
          <w:tcPr>
            <w:tcW w:w="1401" w:type="dxa"/>
            <w:tcBorders>
              <w:right w:val="single" w:sz="4" w:space="0" w:color="F4B083" w:themeColor="accent2" w:themeTint="99"/>
            </w:tcBorders>
            <w:noWrap/>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25%</w:t>
            </w:r>
          </w:p>
        </w:tc>
        <w:tc>
          <w:tcPr>
            <w:tcW w:w="1401" w:type="dxa"/>
            <w:tcBorders>
              <w:left w:val="single" w:sz="4" w:space="0" w:color="F4B083" w:themeColor="accent2" w:themeTint="99"/>
            </w:tcBorders>
            <w:noWrap/>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color w:val="000000"/>
                <w:sz w:val="20"/>
              </w:rPr>
              <w:t>3,820,428</w:t>
            </w:r>
          </w:p>
        </w:tc>
        <w:tc>
          <w:tcPr>
            <w:tcW w:w="1401" w:type="dxa"/>
            <w:noWrap/>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color w:val="000000"/>
                <w:sz w:val="20"/>
              </w:rPr>
              <w:t>8,279,456</w:t>
            </w:r>
          </w:p>
        </w:tc>
        <w:tc>
          <w:tcPr>
            <w:tcW w:w="1402" w:type="dxa"/>
            <w:noWrap/>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32%</w:t>
            </w:r>
          </w:p>
        </w:tc>
      </w:tr>
    </w:tbl>
    <w:p>
      <w:pPr>
        <w:pStyle w:val="Caption"/>
        <w:ind w:left="720"/>
        <w:rPr>
          <w:rStyle w:val="Hyperlink"/>
          <w:rFonts w:ascii="Times New Roman" w:hAnsi="Times New Roman" w:cs="Times New Roman"/>
          <w:noProof/>
          <w:sz w:val="16"/>
        </w:rPr>
      </w:pPr>
      <w:r>
        <w:rPr>
          <w:rFonts w:ascii="Times New Roman" w:hAnsi="Times New Roman" w:cs="Times New Roman"/>
          <w:noProof/>
          <w:sz w:val="24"/>
          <w:vertAlign w:val="superscript"/>
        </w:rPr>
        <w:t>i</w:t>
      </w:r>
      <w:r>
        <w:rPr>
          <w:rFonts w:ascii="Times New Roman" w:hAnsi="Times New Roman" w:cs="Times New Roman"/>
          <w:i w:val="0"/>
          <w:noProof/>
          <w:sz w:val="24"/>
        </w:rPr>
        <w:t xml:space="preserve"> </w:t>
      </w:r>
      <w:r>
        <w:rPr>
          <w:rFonts w:ascii="Times New Roman" w:hAnsi="Times New Roman" w:cs="Times New Roman"/>
          <w:noProof/>
          <w:sz w:val="16"/>
        </w:rPr>
        <w:t xml:space="preserve">For details on the calculation of the FFL and FAL, see SWD(2016)237 final. </w:t>
      </w:r>
      <w:hyperlink r:id="rId26" w:history="1">
        <w:r>
          <w:rPr>
            <w:rStyle w:val="Hyperlink"/>
            <w:rFonts w:ascii="Times New Roman" w:hAnsi="Times New Roman" w:cs="Times New Roman"/>
            <w:noProof/>
            <w:sz w:val="16"/>
          </w:rPr>
          <w:t>http://ec.europa.eu/anti- fraud/sites/antifraud/files/methodology_statistical_evaluation_2015_en.pdf</w:t>
        </w:r>
      </w:hyperlink>
    </w:p>
    <w:p>
      <w:pPr>
        <w:rPr>
          <w:rFonts w:ascii="Times New Roman" w:hAnsi="Times New Roman" w:cs="Times New Roman"/>
          <w:i/>
          <w:noProof/>
          <w:sz w:val="24"/>
        </w:rPr>
      </w:pPr>
    </w:p>
    <w:p>
      <w:pPr>
        <w:outlineLvl w:val="3"/>
        <w:rPr>
          <w:rFonts w:ascii="Times New Roman" w:hAnsi="Times New Roman" w:cs="Times New Roman"/>
          <w:i/>
          <w:noProof/>
          <w:sz w:val="24"/>
        </w:rPr>
      </w:pPr>
      <w:r>
        <w:rPr>
          <w:rFonts w:ascii="Times New Roman" w:hAnsi="Times New Roman" w:cs="Times New Roman"/>
          <w:i/>
          <w:noProof/>
          <w:sz w:val="24"/>
        </w:rPr>
        <w:t>5.3.4.2 Irregularity Typology for 2019</w:t>
      </w:r>
    </w:p>
    <w:p>
      <w:pPr>
        <w:jc w:val="both"/>
        <w:rPr>
          <w:rFonts w:ascii="Times New Roman" w:hAnsi="Times New Roman" w:cs="Times New Roman"/>
          <w:noProof/>
          <w:sz w:val="24"/>
        </w:rPr>
      </w:pPr>
      <w:r>
        <w:rPr>
          <w:rFonts w:ascii="Times New Roman" w:hAnsi="Times New Roman" w:cs="Times New Roman"/>
          <w:b/>
          <w:noProof/>
          <w:sz w:val="24"/>
        </w:rPr>
        <w:t xml:space="preserve">The most frequently reported irregularity categories were </w:t>
      </w:r>
      <w:r>
        <w:rPr>
          <w:rFonts w:ascii="Times New Roman" w:hAnsi="Times New Roman" w:cs="Times New Roman"/>
          <w:b/>
          <w:i/>
          <w:noProof/>
          <w:sz w:val="24"/>
        </w:rPr>
        <w:t>Other</w:t>
      </w:r>
      <w:r>
        <w:rPr>
          <w:rFonts w:ascii="Times New Roman" w:hAnsi="Times New Roman" w:cs="Times New Roman"/>
          <w:b/>
          <w:noProof/>
          <w:sz w:val="24"/>
        </w:rPr>
        <w:t xml:space="preserve">, </w:t>
      </w:r>
      <w:r>
        <w:rPr>
          <w:rFonts w:ascii="Times New Roman" w:hAnsi="Times New Roman" w:cs="Times New Roman"/>
          <w:b/>
          <w:i/>
          <w:noProof/>
          <w:sz w:val="24"/>
        </w:rPr>
        <w:t>Documentary Proof</w:t>
      </w:r>
      <w:r>
        <w:rPr>
          <w:rFonts w:ascii="Times New Roman" w:hAnsi="Times New Roman" w:cs="Times New Roman"/>
          <w:b/>
          <w:noProof/>
          <w:sz w:val="24"/>
        </w:rPr>
        <w:t xml:space="preserve"> and </w:t>
      </w:r>
      <w:r>
        <w:rPr>
          <w:rFonts w:ascii="Times New Roman" w:hAnsi="Times New Roman" w:cs="Times New Roman"/>
          <w:b/>
          <w:i/>
          <w:noProof/>
          <w:sz w:val="24"/>
        </w:rPr>
        <w:t>(Non-)action</w:t>
      </w:r>
      <w:r>
        <w:rPr>
          <w:rFonts w:ascii="Times New Roman" w:hAnsi="Times New Roman" w:cs="Times New Roman"/>
          <w:b/>
          <w:noProof/>
          <w:sz w:val="24"/>
        </w:rPr>
        <w:t xml:space="preserve">. </w:t>
      </w:r>
      <w:r>
        <w:rPr>
          <w:rFonts w:ascii="Times New Roman" w:hAnsi="Times New Roman" w:cs="Times New Roman"/>
          <w:noProof/>
          <w:sz w:val="24"/>
        </w:rPr>
        <w:t xml:space="preserve">Nearly all of the irregularities reported for 2019 are categorised per Annex 13 of this report. While most irregularities are categories as a single type, some have multiple – up to six – categories. Of the general categories, the most frequently reported were </w:t>
      </w:r>
      <w:r>
        <w:rPr>
          <w:rFonts w:ascii="Times New Roman" w:hAnsi="Times New Roman" w:cs="Times New Roman"/>
          <w:i/>
          <w:noProof/>
          <w:sz w:val="24"/>
        </w:rPr>
        <w:t>Other</w:t>
      </w:r>
      <w:r>
        <w:rPr>
          <w:rFonts w:ascii="Times New Roman" w:hAnsi="Times New Roman" w:cs="Times New Roman"/>
          <w:noProof/>
          <w:sz w:val="24"/>
        </w:rPr>
        <w:t xml:space="preserve">, </w:t>
      </w:r>
      <w:r>
        <w:rPr>
          <w:rFonts w:ascii="Times New Roman" w:hAnsi="Times New Roman" w:cs="Times New Roman"/>
          <w:i/>
          <w:noProof/>
          <w:sz w:val="24"/>
        </w:rPr>
        <w:t>Documentary Proof</w:t>
      </w:r>
      <w:r>
        <w:rPr>
          <w:rFonts w:ascii="Times New Roman" w:hAnsi="Times New Roman" w:cs="Times New Roman"/>
          <w:noProof/>
          <w:sz w:val="24"/>
        </w:rPr>
        <w:t xml:space="preserve"> and </w:t>
      </w:r>
      <w:r>
        <w:rPr>
          <w:rFonts w:ascii="Times New Roman" w:hAnsi="Times New Roman" w:cs="Times New Roman"/>
          <w:i/>
          <w:noProof/>
          <w:sz w:val="24"/>
        </w:rPr>
        <w:t>(Non-)action</w:t>
      </w:r>
      <w:r>
        <w:rPr>
          <w:rFonts w:ascii="Times New Roman" w:hAnsi="Times New Roman" w:cs="Times New Roman"/>
          <w:noProof/>
          <w:sz w:val="24"/>
        </w:rPr>
        <w:t xml:space="preserve">. </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9</w:t>
      </w:r>
      <w:r>
        <w:rPr>
          <w:noProof/>
        </w:rPr>
        <w:fldChar w:fldCharType="end"/>
      </w:r>
      <w:r>
        <w:rPr>
          <w:noProof/>
        </w:rPr>
        <w:t>: Number of irregularities where a category of violation was mentioned</w:t>
      </w:r>
    </w:p>
    <w:tbl>
      <w:tblPr>
        <w:tblStyle w:val="ListTable4Accent2"/>
        <w:tblW w:w="4361" w:type="dxa"/>
        <w:tblInd w:w="108" w:type="dxa"/>
        <w:tblLook w:val="04A0" w:firstRow="1" w:lastRow="0" w:firstColumn="1" w:lastColumn="0" w:noHBand="0" w:noVBand="1"/>
      </w:tblPr>
      <w:tblGrid>
        <w:gridCol w:w="2590"/>
        <w:gridCol w:w="1771"/>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90" w:type="dxa"/>
            <w:hideMark/>
          </w:tcPr>
          <w:p>
            <w:pP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Category</w:t>
            </w:r>
          </w:p>
        </w:tc>
        <w:tc>
          <w:tcPr>
            <w:tcW w:w="1771" w:type="dxa"/>
            <w:noWrap/>
            <w:hideMark/>
          </w:tcPr>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Irregularities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90" w:type="dxa"/>
            <w:noWrap/>
            <w:hideMark/>
          </w:tcPr>
          <w:p>
            <w:pPr>
              <w:rPr>
                <w:rFonts w:ascii="Times New Roman" w:eastAsia="Times New Roman" w:hAnsi="Times New Roman" w:cs="Times New Roman"/>
                <w:b w:val="0"/>
                <w:noProof/>
                <w:color w:val="000000"/>
                <w:sz w:val="20"/>
                <w:szCs w:val="20"/>
                <w:lang w:eastAsia="en-GB"/>
              </w:rPr>
            </w:pPr>
            <w:r>
              <w:rPr>
                <w:rFonts w:ascii="Times New Roman" w:eastAsia="Times New Roman" w:hAnsi="Times New Roman" w:cs="Times New Roman"/>
                <w:b w:val="0"/>
                <w:noProof/>
                <w:color w:val="000000"/>
                <w:sz w:val="20"/>
                <w:szCs w:val="20"/>
                <w:lang w:eastAsia="en-GB"/>
              </w:rPr>
              <w:t>Request</w:t>
            </w:r>
          </w:p>
        </w:tc>
        <w:tc>
          <w:tcPr>
            <w:tcW w:w="1771" w:type="dxa"/>
            <w:noWrap/>
            <w:hideMark/>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26</w:t>
            </w:r>
          </w:p>
        </w:tc>
      </w:tr>
      <w:tr>
        <w:trPr>
          <w:trHeight w:val="315"/>
        </w:trPr>
        <w:tc>
          <w:tcPr>
            <w:cnfStyle w:val="001000000000" w:firstRow="0" w:lastRow="0" w:firstColumn="1" w:lastColumn="0" w:oddVBand="0" w:evenVBand="0" w:oddHBand="0" w:evenHBand="0" w:firstRowFirstColumn="0" w:firstRowLastColumn="0" w:lastRowFirstColumn="0" w:lastRowLastColumn="0"/>
            <w:tcW w:w="2590" w:type="dxa"/>
            <w:noWrap/>
            <w:hideMark/>
          </w:tcPr>
          <w:p>
            <w:pPr>
              <w:rPr>
                <w:rFonts w:ascii="Times New Roman" w:eastAsia="Times New Roman" w:hAnsi="Times New Roman" w:cs="Times New Roman"/>
                <w:b w:val="0"/>
                <w:noProof/>
                <w:color w:val="000000"/>
                <w:sz w:val="20"/>
                <w:szCs w:val="20"/>
                <w:lang w:eastAsia="en-GB"/>
              </w:rPr>
            </w:pPr>
            <w:r>
              <w:rPr>
                <w:rFonts w:ascii="Times New Roman" w:eastAsia="Times New Roman" w:hAnsi="Times New Roman" w:cs="Times New Roman"/>
                <w:b w:val="0"/>
                <w:noProof/>
                <w:color w:val="000000"/>
                <w:sz w:val="20"/>
                <w:szCs w:val="20"/>
                <w:lang w:eastAsia="en-GB"/>
              </w:rPr>
              <w:t>Beneficiary</w:t>
            </w:r>
          </w:p>
        </w:tc>
        <w:tc>
          <w:tcPr>
            <w:tcW w:w="1771" w:type="dxa"/>
            <w:noWrap/>
            <w:hideMark/>
          </w:tcPr>
          <w:p>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90" w:type="dxa"/>
            <w:noWrap/>
            <w:hideMark/>
          </w:tcPr>
          <w:p>
            <w:pPr>
              <w:rPr>
                <w:rFonts w:ascii="Times New Roman" w:eastAsia="Times New Roman" w:hAnsi="Times New Roman" w:cs="Times New Roman"/>
                <w:b w:val="0"/>
                <w:noProof/>
                <w:color w:val="000000"/>
                <w:sz w:val="20"/>
                <w:szCs w:val="20"/>
                <w:lang w:eastAsia="en-GB"/>
              </w:rPr>
            </w:pPr>
            <w:r>
              <w:rPr>
                <w:rFonts w:ascii="Times New Roman" w:eastAsia="Times New Roman" w:hAnsi="Times New Roman" w:cs="Times New Roman"/>
                <w:b w:val="0"/>
                <w:noProof/>
                <w:color w:val="000000"/>
                <w:sz w:val="20"/>
                <w:szCs w:val="20"/>
                <w:lang w:eastAsia="en-GB"/>
              </w:rPr>
              <w:t>Accounts and records</w:t>
            </w:r>
          </w:p>
        </w:tc>
        <w:tc>
          <w:tcPr>
            <w:tcW w:w="1771" w:type="dxa"/>
            <w:noWrap/>
            <w:hideMark/>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11</w:t>
            </w:r>
          </w:p>
        </w:tc>
      </w:tr>
      <w:tr>
        <w:trPr>
          <w:trHeight w:val="300"/>
        </w:trPr>
        <w:tc>
          <w:tcPr>
            <w:cnfStyle w:val="001000000000" w:firstRow="0" w:lastRow="0" w:firstColumn="1" w:lastColumn="0" w:oddVBand="0" w:evenVBand="0" w:oddHBand="0" w:evenHBand="0" w:firstRowFirstColumn="0" w:firstRowLastColumn="0" w:lastRowFirstColumn="0" w:lastRowLastColumn="0"/>
            <w:tcW w:w="2590" w:type="dxa"/>
            <w:noWrap/>
            <w:hideMark/>
          </w:tcPr>
          <w:p>
            <w:pPr>
              <w:rPr>
                <w:rFonts w:ascii="Times New Roman" w:eastAsia="Times New Roman" w:hAnsi="Times New Roman" w:cs="Times New Roman"/>
                <w:b w:val="0"/>
                <w:noProof/>
                <w:color w:val="000000"/>
                <w:sz w:val="20"/>
                <w:szCs w:val="20"/>
                <w:lang w:eastAsia="en-GB"/>
              </w:rPr>
            </w:pPr>
            <w:r>
              <w:rPr>
                <w:rFonts w:ascii="Times New Roman" w:eastAsia="Times New Roman" w:hAnsi="Times New Roman" w:cs="Times New Roman"/>
                <w:b w:val="0"/>
                <w:noProof/>
                <w:color w:val="000000"/>
                <w:sz w:val="20"/>
                <w:szCs w:val="20"/>
                <w:lang w:eastAsia="en-GB"/>
              </w:rPr>
              <w:t>Documentary proof</w:t>
            </w:r>
          </w:p>
        </w:tc>
        <w:tc>
          <w:tcPr>
            <w:tcW w:w="1771" w:type="dxa"/>
            <w:noWrap/>
            <w:hideMark/>
          </w:tcPr>
          <w:p>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90" w:type="dxa"/>
            <w:noWrap/>
            <w:hideMark/>
          </w:tcPr>
          <w:p>
            <w:pPr>
              <w:rPr>
                <w:rFonts w:ascii="Times New Roman" w:eastAsia="Times New Roman" w:hAnsi="Times New Roman" w:cs="Times New Roman"/>
                <w:b w:val="0"/>
                <w:noProof/>
                <w:color w:val="000000"/>
                <w:sz w:val="20"/>
                <w:szCs w:val="20"/>
                <w:lang w:eastAsia="en-GB"/>
              </w:rPr>
            </w:pPr>
            <w:r>
              <w:rPr>
                <w:rFonts w:ascii="Times New Roman" w:eastAsia="Times New Roman" w:hAnsi="Times New Roman" w:cs="Times New Roman"/>
                <w:b w:val="0"/>
                <w:noProof/>
                <w:color w:val="000000"/>
                <w:sz w:val="20"/>
                <w:szCs w:val="20"/>
                <w:lang w:eastAsia="en-GB"/>
              </w:rPr>
              <w:t>Product, species and/or land</w:t>
            </w:r>
          </w:p>
        </w:tc>
        <w:tc>
          <w:tcPr>
            <w:tcW w:w="1771" w:type="dxa"/>
            <w:noWrap/>
            <w:hideMark/>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r>
      <w:tr>
        <w:trPr>
          <w:trHeight w:val="300"/>
        </w:trPr>
        <w:tc>
          <w:tcPr>
            <w:cnfStyle w:val="001000000000" w:firstRow="0" w:lastRow="0" w:firstColumn="1" w:lastColumn="0" w:oddVBand="0" w:evenVBand="0" w:oddHBand="0" w:evenHBand="0" w:firstRowFirstColumn="0" w:firstRowLastColumn="0" w:lastRowFirstColumn="0" w:lastRowLastColumn="0"/>
            <w:tcW w:w="2590" w:type="dxa"/>
            <w:noWrap/>
            <w:hideMark/>
          </w:tcPr>
          <w:p>
            <w:pPr>
              <w:rPr>
                <w:rFonts w:ascii="Times New Roman" w:eastAsia="Times New Roman" w:hAnsi="Times New Roman" w:cs="Times New Roman"/>
                <w:b w:val="0"/>
                <w:noProof/>
                <w:color w:val="000000"/>
                <w:sz w:val="20"/>
                <w:szCs w:val="20"/>
                <w:lang w:eastAsia="en-GB"/>
              </w:rPr>
            </w:pPr>
            <w:r>
              <w:rPr>
                <w:rFonts w:ascii="Times New Roman" w:eastAsia="Times New Roman" w:hAnsi="Times New Roman" w:cs="Times New Roman"/>
                <w:b w:val="0"/>
                <w:noProof/>
                <w:color w:val="000000"/>
                <w:sz w:val="20"/>
                <w:szCs w:val="20"/>
                <w:lang w:eastAsia="en-GB"/>
              </w:rPr>
              <w:t>(Non-)action</w:t>
            </w:r>
          </w:p>
        </w:tc>
        <w:tc>
          <w:tcPr>
            <w:tcW w:w="1771" w:type="dxa"/>
            <w:noWrap/>
            <w:hideMark/>
          </w:tcPr>
          <w:p>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40</w:t>
            </w:r>
          </w:p>
        </w:tc>
      </w:tr>
      <w:tr>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90" w:type="dxa"/>
            <w:noWrap/>
            <w:hideMark/>
          </w:tcPr>
          <w:p>
            <w:pPr>
              <w:rPr>
                <w:rFonts w:ascii="Times New Roman" w:eastAsia="Times New Roman" w:hAnsi="Times New Roman" w:cs="Times New Roman"/>
                <w:b w:val="0"/>
                <w:noProof/>
                <w:color w:val="000000"/>
                <w:sz w:val="20"/>
                <w:szCs w:val="20"/>
                <w:lang w:eastAsia="en-GB"/>
              </w:rPr>
            </w:pPr>
            <w:r>
              <w:rPr>
                <w:rFonts w:ascii="Times New Roman" w:eastAsia="Times New Roman" w:hAnsi="Times New Roman" w:cs="Times New Roman"/>
                <w:b w:val="0"/>
                <w:noProof/>
                <w:color w:val="000000"/>
                <w:sz w:val="20"/>
                <w:szCs w:val="20"/>
                <w:lang w:eastAsia="en-GB"/>
              </w:rPr>
              <w:t>Movement</w:t>
            </w:r>
          </w:p>
        </w:tc>
        <w:tc>
          <w:tcPr>
            <w:tcW w:w="1771" w:type="dxa"/>
            <w:noWrap/>
            <w:hideMark/>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r>
      <w:tr>
        <w:trPr>
          <w:trHeight w:val="300"/>
        </w:trPr>
        <w:tc>
          <w:tcPr>
            <w:cnfStyle w:val="001000000000" w:firstRow="0" w:lastRow="0" w:firstColumn="1" w:lastColumn="0" w:oddVBand="0" w:evenVBand="0" w:oddHBand="0" w:evenHBand="0" w:firstRowFirstColumn="0" w:firstRowLastColumn="0" w:lastRowFirstColumn="0" w:lastRowLastColumn="0"/>
            <w:tcW w:w="2590" w:type="dxa"/>
            <w:noWrap/>
            <w:hideMark/>
          </w:tcPr>
          <w:p>
            <w:pPr>
              <w:rPr>
                <w:rFonts w:ascii="Times New Roman" w:eastAsia="Times New Roman" w:hAnsi="Times New Roman" w:cs="Times New Roman"/>
                <w:b w:val="0"/>
                <w:noProof/>
                <w:color w:val="000000"/>
                <w:sz w:val="20"/>
                <w:szCs w:val="20"/>
                <w:lang w:eastAsia="en-GB"/>
              </w:rPr>
            </w:pPr>
            <w:r>
              <w:rPr>
                <w:rFonts w:ascii="Times New Roman" w:eastAsia="Times New Roman" w:hAnsi="Times New Roman" w:cs="Times New Roman"/>
                <w:b w:val="0"/>
                <w:noProof/>
                <w:color w:val="000000"/>
                <w:sz w:val="20"/>
                <w:szCs w:val="20"/>
                <w:lang w:eastAsia="en-GB"/>
              </w:rPr>
              <w:t>Ethics and integrity</w:t>
            </w:r>
          </w:p>
        </w:tc>
        <w:tc>
          <w:tcPr>
            <w:tcW w:w="1771" w:type="dxa"/>
            <w:noWrap/>
            <w:hideMark/>
          </w:tcPr>
          <w:p>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90" w:type="dxa"/>
            <w:noWrap/>
            <w:hideMark/>
          </w:tcPr>
          <w:p>
            <w:pPr>
              <w:rPr>
                <w:rFonts w:ascii="Times New Roman" w:eastAsia="Times New Roman" w:hAnsi="Times New Roman" w:cs="Times New Roman"/>
                <w:b w:val="0"/>
                <w:noProof/>
                <w:color w:val="000000"/>
                <w:sz w:val="20"/>
                <w:szCs w:val="20"/>
                <w:lang w:eastAsia="en-GB"/>
              </w:rPr>
            </w:pPr>
            <w:r>
              <w:rPr>
                <w:rFonts w:ascii="Times New Roman" w:eastAsia="Times New Roman" w:hAnsi="Times New Roman" w:cs="Times New Roman"/>
                <w:b w:val="0"/>
                <w:noProof/>
                <w:color w:val="000000"/>
                <w:sz w:val="20"/>
                <w:szCs w:val="20"/>
                <w:lang w:eastAsia="en-GB"/>
              </w:rPr>
              <w:t>Public procurement</w:t>
            </w:r>
          </w:p>
        </w:tc>
        <w:tc>
          <w:tcPr>
            <w:tcW w:w="1771" w:type="dxa"/>
            <w:noWrap/>
            <w:hideMark/>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w:t>
            </w:r>
          </w:p>
        </w:tc>
      </w:tr>
      <w:tr>
        <w:trPr>
          <w:trHeight w:val="300"/>
        </w:trPr>
        <w:tc>
          <w:tcPr>
            <w:cnfStyle w:val="001000000000" w:firstRow="0" w:lastRow="0" w:firstColumn="1" w:lastColumn="0" w:oddVBand="0" w:evenVBand="0" w:oddHBand="0" w:evenHBand="0" w:firstRowFirstColumn="0" w:firstRowLastColumn="0" w:lastRowFirstColumn="0" w:lastRowLastColumn="0"/>
            <w:tcW w:w="2590" w:type="dxa"/>
            <w:noWrap/>
            <w:hideMark/>
          </w:tcPr>
          <w:p>
            <w:pPr>
              <w:rPr>
                <w:rFonts w:ascii="Times New Roman" w:eastAsia="Times New Roman" w:hAnsi="Times New Roman" w:cs="Times New Roman"/>
                <w:b w:val="0"/>
                <w:noProof/>
                <w:color w:val="000000"/>
                <w:sz w:val="20"/>
                <w:szCs w:val="20"/>
                <w:lang w:eastAsia="en-GB"/>
              </w:rPr>
            </w:pPr>
            <w:r>
              <w:rPr>
                <w:rFonts w:ascii="Times New Roman" w:eastAsia="Times New Roman" w:hAnsi="Times New Roman" w:cs="Times New Roman"/>
                <w:b w:val="0"/>
                <w:noProof/>
                <w:color w:val="000000"/>
                <w:sz w:val="20"/>
                <w:szCs w:val="20"/>
                <w:lang w:eastAsia="en-GB"/>
              </w:rPr>
              <w:t>Other</w:t>
            </w:r>
          </w:p>
        </w:tc>
        <w:tc>
          <w:tcPr>
            <w:tcW w:w="1771" w:type="dxa"/>
            <w:noWrap/>
            <w:hideMark/>
          </w:tcPr>
          <w:p>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150</w:t>
            </w:r>
          </w:p>
        </w:tc>
      </w:tr>
    </w:tbl>
    <w:p>
      <w:pPr>
        <w:jc w:val="both"/>
        <w:rPr>
          <w:rFonts w:ascii="Times New Roman" w:hAnsi="Times New Roman" w:cs="Times New Roman"/>
          <w:i/>
          <w:noProof/>
          <w:sz w:val="24"/>
        </w:rPr>
      </w:pPr>
    </w:p>
    <w:p>
      <w:pPr>
        <w:jc w:val="both"/>
        <w:rPr>
          <w:rFonts w:ascii="Times New Roman" w:hAnsi="Times New Roman" w:cs="Times New Roman"/>
          <w:noProof/>
          <w:sz w:val="24"/>
        </w:rPr>
      </w:pPr>
      <w:r>
        <w:rPr>
          <w:rFonts w:ascii="Times New Roman" w:hAnsi="Times New Roman" w:cs="Times New Roman"/>
          <w:b/>
          <w:noProof/>
          <w:sz w:val="24"/>
        </w:rPr>
        <w:t xml:space="preserve">The most frequently reported sub-categories (types) are </w:t>
      </w:r>
      <w:r>
        <w:rPr>
          <w:rFonts w:ascii="Times New Roman" w:hAnsi="Times New Roman" w:cs="Times New Roman"/>
          <w:b/>
          <w:i/>
          <w:noProof/>
          <w:sz w:val="24"/>
        </w:rPr>
        <w:t>Other Irregularities</w:t>
      </w:r>
      <w:r>
        <w:rPr>
          <w:rFonts w:ascii="Times New Roman" w:hAnsi="Times New Roman" w:cs="Times New Roman"/>
          <w:b/>
          <w:noProof/>
          <w:sz w:val="24"/>
        </w:rPr>
        <w:t xml:space="preserve"> (45%), </w:t>
      </w:r>
      <w:r>
        <w:rPr>
          <w:rFonts w:ascii="Times New Roman" w:hAnsi="Times New Roman" w:cs="Times New Roman"/>
          <w:b/>
          <w:i/>
          <w:noProof/>
          <w:sz w:val="24"/>
        </w:rPr>
        <w:t>Action Not Implemented</w:t>
      </w:r>
      <w:r>
        <w:rPr>
          <w:rFonts w:ascii="Times New Roman" w:hAnsi="Times New Roman" w:cs="Times New Roman"/>
          <w:b/>
          <w:noProof/>
          <w:sz w:val="24"/>
        </w:rPr>
        <w:t xml:space="preserve"> (11%), and </w:t>
      </w:r>
      <w:r>
        <w:rPr>
          <w:rFonts w:ascii="Times New Roman" w:hAnsi="Times New Roman" w:cs="Times New Roman"/>
          <w:b/>
          <w:i/>
          <w:noProof/>
          <w:sz w:val="24"/>
        </w:rPr>
        <w:t>Documents Missing and/or Not Provided</w:t>
      </w:r>
      <w:r>
        <w:rPr>
          <w:rFonts w:ascii="Times New Roman" w:hAnsi="Times New Roman" w:cs="Times New Roman"/>
          <w:b/>
          <w:noProof/>
          <w:sz w:val="24"/>
        </w:rPr>
        <w:t xml:space="preserve"> (10%).</w:t>
      </w:r>
      <w:r>
        <w:rPr>
          <w:rFonts w:ascii="Times New Roman" w:hAnsi="Times New Roman" w:cs="Times New Roman"/>
          <w:noProof/>
          <w:sz w:val="24"/>
        </w:rPr>
        <w:t xml:space="preserve"> Table PA10 has the complete list of reported types by the reporting state.</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10</w:t>
      </w:r>
      <w:r>
        <w:rPr>
          <w:noProof/>
        </w:rPr>
        <w:fldChar w:fldCharType="end"/>
      </w:r>
      <w:r>
        <w:rPr>
          <w:noProof/>
        </w:rPr>
        <w:t>: Number of irregularities where a type of violation was mentioned, by country</w:t>
      </w:r>
    </w:p>
    <w:tbl>
      <w:tblPr>
        <w:tblStyle w:val="ListTable4Accent2"/>
        <w:tblW w:w="9242" w:type="dxa"/>
        <w:tblLayout w:type="fixed"/>
        <w:tblLook w:val="04A0" w:firstRow="1" w:lastRow="0" w:firstColumn="1" w:lastColumn="0" w:noHBand="0" w:noVBand="1"/>
      </w:tblPr>
      <w:tblGrid>
        <w:gridCol w:w="1668"/>
        <w:gridCol w:w="2987"/>
        <w:gridCol w:w="499"/>
        <w:gridCol w:w="500"/>
        <w:gridCol w:w="499"/>
        <w:gridCol w:w="500"/>
        <w:gridCol w:w="499"/>
        <w:gridCol w:w="500"/>
        <w:gridCol w:w="499"/>
        <w:gridCol w:w="500"/>
        <w:gridCol w:w="591"/>
      </w:tblGrid>
      <w:tr>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68" w:type="dxa"/>
            <w:vAlign w:val="center"/>
          </w:tcPr>
          <w:p>
            <w:pPr>
              <w:keepNext/>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Category</w:t>
            </w:r>
          </w:p>
        </w:tc>
        <w:tc>
          <w:tcPr>
            <w:tcW w:w="2987" w:type="dxa"/>
            <w:noWrap/>
            <w:vAlign w:val="center"/>
            <w:hideMark/>
          </w:tcPr>
          <w:p>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Type</w:t>
            </w:r>
          </w:p>
        </w:tc>
        <w:tc>
          <w:tcPr>
            <w:tcW w:w="499" w:type="dxa"/>
            <w:noWrap/>
            <w:vAlign w:val="center"/>
            <w:hideMark/>
          </w:tcPr>
          <w:p>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AL</w:t>
            </w:r>
          </w:p>
        </w:tc>
        <w:tc>
          <w:tcPr>
            <w:tcW w:w="500" w:type="dxa"/>
            <w:noWrap/>
            <w:vAlign w:val="center"/>
            <w:hideMark/>
          </w:tcPr>
          <w:p>
            <w:pPr>
              <w:keepNext/>
              <w:ind w:right="-9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BG</w:t>
            </w:r>
          </w:p>
        </w:tc>
        <w:tc>
          <w:tcPr>
            <w:tcW w:w="499" w:type="dxa"/>
            <w:noWrap/>
            <w:vAlign w:val="center"/>
            <w:hideMark/>
          </w:tcPr>
          <w:p>
            <w:pPr>
              <w:keepNext/>
              <w:ind w:right="-16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HR</w:t>
            </w:r>
          </w:p>
        </w:tc>
        <w:tc>
          <w:tcPr>
            <w:tcW w:w="500" w:type="dxa"/>
            <w:noWrap/>
            <w:vAlign w:val="center"/>
            <w:hideMark/>
          </w:tcPr>
          <w:p>
            <w:pPr>
              <w:keepNext/>
              <w:ind w:right="-8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ME</w:t>
            </w:r>
          </w:p>
        </w:tc>
        <w:tc>
          <w:tcPr>
            <w:tcW w:w="499" w:type="dxa"/>
            <w:noWrap/>
            <w:vAlign w:val="center"/>
            <w:hideMark/>
          </w:tcPr>
          <w:p>
            <w:pPr>
              <w:keepNext/>
              <w:ind w:right="-15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MK</w:t>
            </w:r>
          </w:p>
        </w:tc>
        <w:tc>
          <w:tcPr>
            <w:tcW w:w="500" w:type="dxa"/>
            <w:noWrap/>
            <w:vAlign w:val="center"/>
            <w:hideMark/>
          </w:tcPr>
          <w:p>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RS</w:t>
            </w:r>
          </w:p>
        </w:tc>
        <w:tc>
          <w:tcPr>
            <w:tcW w:w="499" w:type="dxa"/>
            <w:noWrap/>
            <w:vAlign w:val="center"/>
            <w:hideMark/>
          </w:tcPr>
          <w:p>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TR</w:t>
            </w:r>
          </w:p>
        </w:tc>
        <w:tc>
          <w:tcPr>
            <w:tcW w:w="500" w:type="dxa"/>
            <w:noWrap/>
            <w:vAlign w:val="center"/>
            <w:hideMark/>
          </w:tcPr>
          <w:p>
            <w:pPr>
              <w:keepNext/>
              <w:ind w:right="-17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Ttl</w:t>
            </w:r>
          </w:p>
        </w:tc>
        <w:tc>
          <w:tcPr>
            <w:tcW w:w="591" w:type="dxa"/>
            <w:vAlign w:val="center"/>
          </w:tcPr>
          <w:p>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vAlign w:val="center"/>
          </w:tcPr>
          <w:p>
            <w:pPr>
              <w:pStyle w:val="Default"/>
              <w:keepNext/>
              <w:rPr>
                <w:noProof/>
                <w:sz w:val="18"/>
                <w:szCs w:val="18"/>
              </w:rPr>
            </w:pPr>
            <w:r>
              <w:rPr>
                <w:noProof/>
                <w:sz w:val="18"/>
                <w:szCs w:val="18"/>
              </w:rPr>
              <w:t xml:space="preserve">Request </w:t>
            </w:r>
          </w:p>
          <w:p>
            <w:pPr>
              <w:keepNext/>
              <w:rPr>
                <w:rFonts w:ascii="Times New Roman" w:hAnsi="Times New Roman" w:cs="Times New Roman"/>
                <w:noProof/>
                <w:color w:val="000000"/>
                <w:sz w:val="18"/>
                <w:szCs w:val="18"/>
              </w:rPr>
            </w:pPr>
          </w:p>
        </w:tc>
        <w:tc>
          <w:tcPr>
            <w:tcW w:w="2987" w:type="dxa"/>
            <w:noWrap/>
            <w:vAlign w:val="center"/>
            <w:hideMark/>
          </w:tcPr>
          <w:p>
            <w:pPr>
              <w:keepNex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Incorrect or incomplete request for aid</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w:t>
            </w:r>
          </w:p>
        </w:tc>
        <w:tc>
          <w:tcPr>
            <w:tcW w:w="59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vAlign w:val="center"/>
          </w:tcPr>
          <w:p>
            <w:pPr>
              <w:pStyle w:val="Default"/>
              <w:keepNext/>
              <w:rPr>
                <w:noProof/>
                <w:sz w:val="18"/>
                <w:szCs w:val="18"/>
              </w:rPr>
            </w:pPr>
          </w:p>
        </w:tc>
        <w:tc>
          <w:tcPr>
            <w:tcW w:w="2987" w:type="dxa"/>
            <w:noWrap/>
            <w:vAlign w:val="center"/>
            <w:hideMark/>
          </w:tcPr>
          <w:p>
            <w:pPr>
              <w:pStyle w:val="Default"/>
              <w:keepNext/>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 xml:space="preserve">Product, species, project and/or activity not eligible for aid </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24</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25</w:t>
            </w:r>
          </w:p>
        </w:tc>
        <w:tc>
          <w:tcPr>
            <w:tcW w:w="59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7%</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pPr>
              <w:pStyle w:val="Default"/>
              <w:keepNext/>
              <w:rPr>
                <w:noProof/>
                <w:sz w:val="18"/>
                <w:szCs w:val="18"/>
              </w:rPr>
            </w:pPr>
            <w:r>
              <w:rPr>
                <w:noProof/>
                <w:sz w:val="18"/>
                <w:szCs w:val="18"/>
              </w:rPr>
              <w:t xml:space="preserve">Beneficiary </w:t>
            </w:r>
          </w:p>
          <w:p>
            <w:pPr>
              <w:pStyle w:val="Default"/>
              <w:keepNext/>
              <w:rPr>
                <w:noProof/>
                <w:sz w:val="18"/>
                <w:szCs w:val="18"/>
              </w:rPr>
            </w:pPr>
          </w:p>
        </w:tc>
        <w:tc>
          <w:tcPr>
            <w:tcW w:w="2987" w:type="dxa"/>
            <w:noWrap/>
            <w:vAlign w:val="center"/>
            <w:hideMark/>
          </w:tcPr>
          <w:p>
            <w:pPr>
              <w:pStyle w:val="Default"/>
              <w:keepNex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 xml:space="preserve">Operator/beneficiary not having the required quality </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w:t>
            </w:r>
          </w:p>
        </w:tc>
        <w:tc>
          <w:tcPr>
            <w:tcW w:w="59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pPr>
              <w:pStyle w:val="Default"/>
              <w:keepNext/>
              <w:rPr>
                <w:noProof/>
                <w:sz w:val="18"/>
                <w:szCs w:val="18"/>
              </w:rPr>
            </w:pPr>
            <w:r>
              <w:rPr>
                <w:noProof/>
                <w:sz w:val="18"/>
                <w:szCs w:val="18"/>
              </w:rPr>
              <w:t xml:space="preserve">Accounts and records </w:t>
            </w:r>
          </w:p>
          <w:p>
            <w:pPr>
              <w:pStyle w:val="Default"/>
              <w:keepNext/>
              <w:rPr>
                <w:noProof/>
                <w:sz w:val="18"/>
                <w:szCs w:val="18"/>
              </w:rPr>
            </w:pPr>
          </w:p>
        </w:tc>
        <w:tc>
          <w:tcPr>
            <w:tcW w:w="2987" w:type="dxa"/>
            <w:noWrap/>
            <w:vAlign w:val="center"/>
            <w:hideMark/>
          </w:tcPr>
          <w:p>
            <w:pPr>
              <w:pStyle w:val="Default"/>
              <w:keepNext/>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 xml:space="preserve">Incomplete accounts </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w:t>
            </w:r>
          </w:p>
        </w:tc>
        <w:tc>
          <w:tcPr>
            <w:tcW w:w="59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pPr>
              <w:pStyle w:val="Default"/>
              <w:keepNext/>
              <w:rPr>
                <w:noProof/>
                <w:sz w:val="18"/>
                <w:szCs w:val="18"/>
              </w:rPr>
            </w:pPr>
          </w:p>
        </w:tc>
        <w:tc>
          <w:tcPr>
            <w:tcW w:w="2987" w:type="dxa"/>
            <w:noWrap/>
            <w:vAlign w:val="center"/>
            <w:hideMark/>
          </w:tcPr>
          <w:p>
            <w:pPr>
              <w:pStyle w:val="Default"/>
              <w:keepNex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 xml:space="preserve">Incorrect accounts </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w:t>
            </w:r>
          </w:p>
        </w:tc>
        <w:tc>
          <w:tcPr>
            <w:tcW w:w="59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pPr>
              <w:pStyle w:val="Default"/>
              <w:keepNext/>
              <w:rPr>
                <w:noProof/>
                <w:sz w:val="18"/>
                <w:szCs w:val="18"/>
              </w:rPr>
            </w:pPr>
          </w:p>
        </w:tc>
        <w:tc>
          <w:tcPr>
            <w:tcW w:w="2987" w:type="dxa"/>
            <w:noWrap/>
            <w:vAlign w:val="center"/>
            <w:hideMark/>
          </w:tcPr>
          <w:p>
            <w:pPr>
              <w:pStyle w:val="Default"/>
              <w:keepNext/>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 xml:space="preserve">Accounts not presented </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w:t>
            </w: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5</w:t>
            </w:r>
          </w:p>
        </w:tc>
        <w:tc>
          <w:tcPr>
            <w:tcW w:w="59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1%</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pPr>
              <w:pStyle w:val="Default"/>
              <w:keepNext/>
              <w:rPr>
                <w:noProof/>
                <w:sz w:val="18"/>
                <w:szCs w:val="18"/>
              </w:rPr>
            </w:pPr>
          </w:p>
        </w:tc>
        <w:tc>
          <w:tcPr>
            <w:tcW w:w="2987" w:type="dxa"/>
            <w:noWrap/>
            <w:vAlign w:val="center"/>
            <w:hideMark/>
          </w:tcPr>
          <w:p>
            <w:pPr>
              <w:pStyle w:val="Default"/>
              <w:keepNex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 xml:space="preserve">Calculation errors </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0</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w:t>
            </w: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5</w:t>
            </w:r>
          </w:p>
        </w:tc>
        <w:tc>
          <w:tcPr>
            <w:tcW w:w="59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1%</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pPr>
              <w:pStyle w:val="Default"/>
              <w:keepNext/>
              <w:rPr>
                <w:noProof/>
                <w:sz w:val="18"/>
                <w:szCs w:val="18"/>
              </w:rPr>
            </w:pPr>
            <w:r>
              <w:rPr>
                <w:noProof/>
                <w:sz w:val="18"/>
                <w:szCs w:val="18"/>
              </w:rPr>
              <w:t xml:space="preserve">Documentary proof </w:t>
            </w:r>
          </w:p>
          <w:p>
            <w:pPr>
              <w:pStyle w:val="Default"/>
              <w:keepNext/>
              <w:rPr>
                <w:noProof/>
                <w:sz w:val="18"/>
                <w:szCs w:val="18"/>
              </w:rPr>
            </w:pPr>
          </w:p>
        </w:tc>
        <w:tc>
          <w:tcPr>
            <w:tcW w:w="2987" w:type="dxa"/>
            <w:noWrap/>
            <w:vAlign w:val="center"/>
            <w:hideMark/>
          </w:tcPr>
          <w:p>
            <w:pPr>
              <w:pStyle w:val="Default"/>
              <w:keepNext/>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 xml:space="preserve">Documents missing and/or not provided </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26</w:t>
            </w: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33</w:t>
            </w:r>
          </w:p>
        </w:tc>
        <w:tc>
          <w:tcPr>
            <w:tcW w:w="59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10%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pPr>
              <w:pStyle w:val="Default"/>
              <w:keepNext/>
              <w:rPr>
                <w:noProof/>
                <w:sz w:val="18"/>
                <w:szCs w:val="18"/>
              </w:rPr>
            </w:pPr>
          </w:p>
        </w:tc>
        <w:tc>
          <w:tcPr>
            <w:tcW w:w="2987" w:type="dxa"/>
            <w:noWrap/>
            <w:vAlign w:val="center"/>
            <w:hideMark/>
          </w:tcPr>
          <w:p>
            <w:pPr>
              <w:pStyle w:val="Default"/>
              <w:keepNex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 xml:space="preserve">Documents incomplete </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7</w:t>
            </w:r>
          </w:p>
        </w:tc>
        <w:tc>
          <w:tcPr>
            <w:tcW w:w="59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2%</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pPr>
              <w:pStyle w:val="Default"/>
              <w:keepNext/>
              <w:rPr>
                <w:noProof/>
                <w:sz w:val="18"/>
                <w:szCs w:val="18"/>
              </w:rPr>
            </w:pPr>
          </w:p>
        </w:tc>
        <w:tc>
          <w:tcPr>
            <w:tcW w:w="2987" w:type="dxa"/>
            <w:noWrap/>
            <w:vAlign w:val="center"/>
            <w:hideMark/>
          </w:tcPr>
          <w:p>
            <w:pPr>
              <w:pStyle w:val="Default"/>
              <w:keepNext/>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 xml:space="preserve">Documents incorrect </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10</w:t>
            </w:r>
          </w:p>
        </w:tc>
        <w:tc>
          <w:tcPr>
            <w:tcW w:w="59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3%</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pPr>
              <w:pStyle w:val="Default"/>
              <w:keepNext/>
              <w:rPr>
                <w:noProof/>
                <w:sz w:val="18"/>
                <w:szCs w:val="18"/>
              </w:rPr>
            </w:pPr>
          </w:p>
        </w:tc>
        <w:tc>
          <w:tcPr>
            <w:tcW w:w="2987" w:type="dxa"/>
            <w:noWrap/>
            <w:vAlign w:val="center"/>
            <w:hideMark/>
          </w:tcPr>
          <w:p>
            <w:pPr>
              <w:pStyle w:val="Default"/>
              <w:keepNex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 xml:space="preserve">Documents false and/or falsified </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w:t>
            </w: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32</w:t>
            </w: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33</w:t>
            </w:r>
          </w:p>
        </w:tc>
        <w:tc>
          <w:tcPr>
            <w:tcW w:w="59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9%</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pPr>
              <w:keepNext/>
              <w:rPr>
                <w:rFonts w:ascii="Times New Roman" w:eastAsia="Times New Roman" w:hAnsi="Times New Roman" w:cs="Times New Roman"/>
                <w:noProof/>
                <w:sz w:val="20"/>
                <w:szCs w:val="20"/>
                <w:lang w:eastAsia="en-GB"/>
              </w:rPr>
            </w:pPr>
          </w:p>
        </w:tc>
        <w:tc>
          <w:tcPr>
            <w:tcW w:w="2987" w:type="dxa"/>
            <w:noWrap/>
            <w:vAlign w:val="center"/>
            <w:hideMark/>
          </w:tcPr>
          <w:p>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Other</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2</w:t>
            </w:r>
          </w:p>
        </w:tc>
        <w:tc>
          <w:tcPr>
            <w:tcW w:w="59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1%</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vAlign w:val="center"/>
          </w:tcPr>
          <w:p>
            <w:pPr>
              <w:pStyle w:val="Default"/>
              <w:keepNext/>
              <w:rPr>
                <w:noProof/>
                <w:sz w:val="18"/>
                <w:szCs w:val="18"/>
              </w:rPr>
            </w:pPr>
            <w:r>
              <w:rPr>
                <w:noProof/>
                <w:sz w:val="18"/>
                <w:szCs w:val="18"/>
              </w:rPr>
              <w:t xml:space="preserve">Product, species and/or land </w:t>
            </w:r>
          </w:p>
        </w:tc>
        <w:tc>
          <w:tcPr>
            <w:tcW w:w="2987" w:type="dxa"/>
            <w:noWrap/>
            <w:vAlign w:val="center"/>
            <w:hideMark/>
          </w:tcPr>
          <w:p>
            <w:pPr>
              <w:keepNex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Inexact origin</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w:t>
            </w:r>
          </w:p>
        </w:tc>
        <w:tc>
          <w:tcPr>
            <w:tcW w:w="59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vAlign w:val="center"/>
          </w:tcPr>
          <w:p>
            <w:pPr>
              <w:keepNext/>
              <w:rPr>
                <w:rFonts w:ascii="Times New Roman" w:eastAsia="Times New Roman" w:hAnsi="Times New Roman" w:cs="Times New Roman"/>
                <w:noProof/>
                <w:sz w:val="20"/>
                <w:szCs w:val="20"/>
                <w:lang w:eastAsia="en-GB"/>
              </w:rPr>
            </w:pPr>
          </w:p>
        </w:tc>
        <w:tc>
          <w:tcPr>
            <w:tcW w:w="2987" w:type="dxa"/>
            <w:noWrap/>
            <w:vAlign w:val="center"/>
            <w:hideMark/>
          </w:tcPr>
          <w:p>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Variation in quality or content</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w:t>
            </w:r>
          </w:p>
        </w:tc>
        <w:tc>
          <w:tcPr>
            <w:tcW w:w="59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vAlign w:val="center"/>
          </w:tcPr>
          <w:p>
            <w:pPr>
              <w:keepNext/>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w:t>
            </w:r>
            <w:r>
              <w:rPr>
                <w:rFonts w:ascii="Times New Roman" w:hAnsi="Times New Roman" w:cs="Times New Roman"/>
                <w:noProof/>
                <w:sz w:val="18"/>
                <w:szCs w:val="18"/>
              </w:rPr>
              <w:t xml:space="preserve">Non-)action </w:t>
            </w:r>
          </w:p>
        </w:tc>
        <w:tc>
          <w:tcPr>
            <w:tcW w:w="2987" w:type="dxa"/>
            <w:noWrap/>
            <w:vAlign w:val="center"/>
            <w:hideMark/>
          </w:tcPr>
          <w:p>
            <w:pPr>
              <w:pStyle w:val="Default"/>
              <w:keepNex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 xml:space="preserve">Action not implemented </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35</w:t>
            </w: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37</w:t>
            </w:r>
          </w:p>
        </w:tc>
        <w:tc>
          <w:tcPr>
            <w:tcW w:w="59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11%</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vAlign w:val="center"/>
          </w:tcPr>
          <w:p>
            <w:pPr>
              <w:keepNext/>
              <w:rPr>
                <w:rFonts w:ascii="Times New Roman" w:eastAsia="Times New Roman" w:hAnsi="Times New Roman" w:cs="Times New Roman"/>
                <w:noProof/>
                <w:sz w:val="20"/>
                <w:szCs w:val="20"/>
                <w:lang w:eastAsia="en-GB"/>
              </w:rPr>
            </w:pPr>
          </w:p>
        </w:tc>
        <w:tc>
          <w:tcPr>
            <w:tcW w:w="2987" w:type="dxa"/>
            <w:noWrap/>
            <w:vAlign w:val="center"/>
            <w:hideMark/>
          </w:tcPr>
          <w:p>
            <w:pPr>
              <w:pStyle w:val="Default"/>
              <w:keepNext/>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 xml:space="preserve">Action not completed </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w:t>
            </w: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5</w:t>
            </w:r>
          </w:p>
        </w:tc>
        <w:tc>
          <w:tcPr>
            <w:tcW w:w="59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1%</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vAlign w:val="center"/>
          </w:tcPr>
          <w:p>
            <w:pPr>
              <w:keepNext/>
              <w:rPr>
                <w:rFonts w:ascii="Times New Roman" w:eastAsia="Times New Roman" w:hAnsi="Times New Roman" w:cs="Times New Roman"/>
                <w:noProof/>
                <w:sz w:val="20"/>
                <w:szCs w:val="20"/>
                <w:lang w:eastAsia="en-GB"/>
              </w:rPr>
            </w:pPr>
          </w:p>
        </w:tc>
        <w:tc>
          <w:tcPr>
            <w:tcW w:w="2987" w:type="dxa"/>
            <w:noWrap/>
            <w:vAlign w:val="center"/>
            <w:hideMark/>
          </w:tcPr>
          <w:p>
            <w:pPr>
              <w:pStyle w:val="Default"/>
              <w:keepNex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 xml:space="preserve">Failure to respect deadlines </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2</w:t>
            </w:r>
          </w:p>
        </w:tc>
        <w:tc>
          <w:tcPr>
            <w:tcW w:w="59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1%</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pPr>
              <w:pStyle w:val="Default"/>
              <w:keepNext/>
              <w:rPr>
                <w:noProof/>
                <w:sz w:val="18"/>
                <w:szCs w:val="18"/>
              </w:rPr>
            </w:pPr>
            <w:r>
              <w:rPr>
                <w:noProof/>
                <w:sz w:val="18"/>
                <w:szCs w:val="18"/>
              </w:rPr>
              <w:t xml:space="preserve">Movement </w:t>
            </w:r>
          </w:p>
        </w:tc>
        <w:tc>
          <w:tcPr>
            <w:tcW w:w="2987" w:type="dxa"/>
            <w:noWrap/>
            <w:vAlign w:val="center"/>
            <w:hideMark/>
          </w:tcPr>
          <w:p>
            <w:pPr>
              <w:pStyle w:val="Default"/>
              <w:keepNext/>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 xml:space="preserve">Irregularities in connection with final destination </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w:t>
            </w:r>
          </w:p>
        </w:tc>
        <w:tc>
          <w:tcPr>
            <w:tcW w:w="59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pPr>
              <w:pStyle w:val="Default"/>
              <w:keepNext/>
              <w:rPr>
                <w:noProof/>
                <w:sz w:val="18"/>
                <w:szCs w:val="18"/>
              </w:rPr>
            </w:pPr>
            <w:r>
              <w:rPr>
                <w:noProof/>
                <w:sz w:val="18"/>
                <w:szCs w:val="18"/>
              </w:rPr>
              <w:t xml:space="preserve">Ethics and integrity </w:t>
            </w:r>
          </w:p>
        </w:tc>
        <w:tc>
          <w:tcPr>
            <w:tcW w:w="2987" w:type="dxa"/>
            <w:noWrap/>
            <w:vAlign w:val="center"/>
            <w:hideMark/>
          </w:tcPr>
          <w:p>
            <w:pPr>
              <w:pStyle w:val="Default"/>
              <w:keepNex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 xml:space="preserve">Conflict of interest </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w:t>
            </w:r>
          </w:p>
        </w:tc>
        <w:tc>
          <w:tcPr>
            <w:tcW w:w="59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1%</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vAlign w:val="center"/>
          </w:tcPr>
          <w:p>
            <w:pPr>
              <w:keepNext/>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Public procurement</w:t>
            </w:r>
          </w:p>
        </w:tc>
        <w:tc>
          <w:tcPr>
            <w:tcW w:w="2987" w:type="dxa"/>
            <w:noWrap/>
            <w:vAlign w:val="center"/>
            <w:hideMark/>
          </w:tcPr>
          <w:p>
            <w:pPr>
              <w:pStyle w:val="Default"/>
              <w:keepNext/>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 xml:space="preserve">Artificial splitting of works/services/supplies contracts </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w:t>
            </w:r>
          </w:p>
        </w:tc>
        <w:tc>
          <w:tcPr>
            <w:tcW w:w="59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vAlign w:val="center"/>
          </w:tcPr>
          <w:p>
            <w:pPr>
              <w:keepNext/>
              <w:rPr>
                <w:rFonts w:ascii="Times New Roman" w:eastAsia="Times New Roman" w:hAnsi="Times New Roman" w:cs="Times New Roman"/>
                <w:noProof/>
                <w:sz w:val="20"/>
                <w:szCs w:val="20"/>
                <w:lang w:eastAsia="en-GB"/>
              </w:rPr>
            </w:pPr>
          </w:p>
        </w:tc>
        <w:tc>
          <w:tcPr>
            <w:tcW w:w="2987" w:type="dxa"/>
            <w:noWrap/>
            <w:vAlign w:val="center"/>
            <w:hideMark/>
          </w:tcPr>
          <w:p>
            <w:pPr>
              <w:pStyle w:val="Default"/>
              <w:keepNex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Failure to state</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w:t>
            </w:r>
          </w:p>
        </w:tc>
        <w:tc>
          <w:tcPr>
            <w:tcW w:w="59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0%</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vAlign w:val="center"/>
          </w:tcPr>
          <w:p>
            <w:pPr>
              <w:keepNext/>
              <w:rPr>
                <w:rFonts w:ascii="Times New Roman" w:eastAsia="Times New Roman" w:hAnsi="Times New Roman" w:cs="Times New Roman"/>
                <w:noProof/>
                <w:sz w:val="20"/>
                <w:szCs w:val="20"/>
                <w:lang w:eastAsia="en-GB"/>
              </w:rPr>
            </w:pPr>
          </w:p>
        </w:tc>
        <w:tc>
          <w:tcPr>
            <w:tcW w:w="2987" w:type="dxa"/>
            <w:noWrap/>
            <w:vAlign w:val="center"/>
            <w:hideMark/>
          </w:tcPr>
          <w:p>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Selection criteria not related and proportionate to the subject matter of the contract</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w:t>
            </w:r>
          </w:p>
        </w:tc>
        <w:tc>
          <w:tcPr>
            <w:tcW w:w="59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vAlign w:val="center"/>
          </w:tcPr>
          <w:p>
            <w:pPr>
              <w:keepNext/>
              <w:rPr>
                <w:rFonts w:ascii="Times New Roman" w:eastAsia="Times New Roman" w:hAnsi="Times New Roman" w:cs="Times New Roman"/>
                <w:noProof/>
                <w:sz w:val="20"/>
                <w:szCs w:val="20"/>
                <w:lang w:eastAsia="en-GB"/>
              </w:rPr>
            </w:pPr>
          </w:p>
        </w:tc>
        <w:tc>
          <w:tcPr>
            <w:tcW w:w="2987" w:type="dxa"/>
            <w:noWrap/>
            <w:vAlign w:val="center"/>
            <w:hideMark/>
          </w:tcPr>
          <w:p>
            <w:pPr>
              <w:keepNex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Lack of transparency and/or equal treatment during evaluation</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2</w:t>
            </w:r>
          </w:p>
        </w:tc>
        <w:tc>
          <w:tcPr>
            <w:tcW w:w="59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1%</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vAlign w:val="center"/>
          </w:tcPr>
          <w:p>
            <w:pPr>
              <w:keepNext/>
              <w:rPr>
                <w:rFonts w:ascii="Times New Roman" w:eastAsia="Times New Roman" w:hAnsi="Times New Roman" w:cs="Times New Roman"/>
                <w:noProof/>
                <w:sz w:val="20"/>
                <w:szCs w:val="20"/>
                <w:lang w:eastAsia="en-GB"/>
              </w:rPr>
            </w:pPr>
          </w:p>
        </w:tc>
        <w:tc>
          <w:tcPr>
            <w:tcW w:w="2987" w:type="dxa"/>
            <w:noWrap/>
            <w:vAlign w:val="center"/>
            <w:hideMark/>
          </w:tcPr>
          <w:p>
            <w:pPr>
              <w:pStyle w:val="Default"/>
              <w:keepNext/>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 xml:space="preserve">Substantial modification of the contract elements </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w:t>
            </w:r>
          </w:p>
        </w:tc>
        <w:tc>
          <w:tcPr>
            <w:tcW w:w="59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vAlign w:val="center"/>
          </w:tcPr>
          <w:p>
            <w:pPr>
              <w:keepNext/>
              <w:rPr>
                <w:rFonts w:ascii="Times New Roman" w:eastAsia="Times New Roman" w:hAnsi="Times New Roman" w:cs="Times New Roman"/>
                <w:noProof/>
                <w:sz w:val="20"/>
                <w:szCs w:val="20"/>
                <w:lang w:eastAsia="en-GB"/>
              </w:rPr>
            </w:pPr>
          </w:p>
        </w:tc>
        <w:tc>
          <w:tcPr>
            <w:tcW w:w="2987" w:type="dxa"/>
            <w:noWrap/>
            <w:vAlign w:val="center"/>
            <w:hideMark/>
          </w:tcPr>
          <w:p>
            <w:pPr>
              <w:pStyle w:val="Default"/>
              <w:keepNex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 xml:space="preserve">Award of additional works/services/supplies contracts </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2</w:t>
            </w:r>
          </w:p>
        </w:tc>
        <w:tc>
          <w:tcPr>
            <w:tcW w:w="59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1%</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vAlign w:val="center"/>
          </w:tcPr>
          <w:p>
            <w:pPr>
              <w:keepNext/>
              <w:rPr>
                <w:rFonts w:ascii="Times New Roman" w:eastAsia="Times New Roman" w:hAnsi="Times New Roman" w:cs="Times New Roman"/>
                <w:noProof/>
                <w:sz w:val="20"/>
                <w:szCs w:val="20"/>
                <w:lang w:eastAsia="en-GB"/>
              </w:rPr>
            </w:pPr>
          </w:p>
        </w:tc>
        <w:tc>
          <w:tcPr>
            <w:tcW w:w="2987" w:type="dxa"/>
            <w:noWrap/>
            <w:vAlign w:val="center"/>
            <w:hideMark/>
          </w:tcPr>
          <w:p>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Other</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1</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2</w:t>
            </w:r>
          </w:p>
        </w:tc>
        <w:tc>
          <w:tcPr>
            <w:tcW w:w="59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pPr>
              <w:keepNext/>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Other</w:t>
            </w:r>
          </w:p>
        </w:tc>
        <w:tc>
          <w:tcPr>
            <w:tcW w:w="2987" w:type="dxa"/>
            <w:noWrap/>
            <w:vAlign w:val="center"/>
            <w:hideMark/>
          </w:tcPr>
          <w:p>
            <w:pPr>
              <w:keepNex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Other irregularities</w:t>
            </w: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46</w:t>
            </w:r>
          </w:p>
        </w:tc>
        <w:tc>
          <w:tcPr>
            <w:tcW w:w="500" w:type="dxa"/>
            <w:noWrap/>
            <w:vAlign w:val="center"/>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499" w:type="dxa"/>
            <w:noWrap/>
            <w:vAlign w:val="center"/>
            <w:hideMark/>
          </w:tcPr>
          <w:p>
            <w:pPr>
              <w:keepNext/>
              <w:ind w:left="-1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104</w:t>
            </w:r>
          </w:p>
        </w:tc>
        <w:tc>
          <w:tcPr>
            <w:tcW w:w="500" w:type="dxa"/>
            <w:noWrap/>
            <w:vAlign w:val="center"/>
            <w:hideMark/>
          </w:tcPr>
          <w:p>
            <w:pPr>
              <w:keepNext/>
              <w:ind w:left="-7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150</w:t>
            </w:r>
          </w:p>
        </w:tc>
        <w:tc>
          <w:tcPr>
            <w:tcW w:w="591" w:type="dxa"/>
            <w:vAlign w:val="center"/>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45%</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1668" w:type="dxa"/>
            <w:vAlign w:val="center"/>
          </w:tcPr>
          <w:p>
            <w:pPr>
              <w:keepNext/>
              <w:rPr>
                <w:rFonts w:ascii="Times New Roman" w:eastAsia="Times New Roman" w:hAnsi="Times New Roman" w:cs="Times New Roman"/>
                <w:noProof/>
                <w:sz w:val="20"/>
                <w:szCs w:val="20"/>
                <w:lang w:eastAsia="en-GB"/>
              </w:rPr>
            </w:pPr>
          </w:p>
        </w:tc>
        <w:tc>
          <w:tcPr>
            <w:tcW w:w="2987" w:type="dxa"/>
            <w:noWrap/>
            <w:vAlign w:val="center"/>
            <w:hideMark/>
          </w:tcPr>
          <w:p>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Blank</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w:t>
            </w: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499"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p>
        </w:tc>
        <w:tc>
          <w:tcPr>
            <w:tcW w:w="500" w:type="dxa"/>
            <w:noWrap/>
            <w:vAlign w:val="center"/>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4</w:t>
            </w:r>
          </w:p>
        </w:tc>
        <w:tc>
          <w:tcPr>
            <w:tcW w:w="591" w:type="dxa"/>
            <w:vAlign w:val="center"/>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hAnsi="Times New Roman" w:cs="Times New Roman"/>
                <w:noProof/>
                <w:sz w:val="20"/>
                <w:szCs w:val="20"/>
              </w:rPr>
              <w:t>1%</w:t>
            </w:r>
          </w:p>
        </w:tc>
      </w:tr>
    </w:tbl>
    <w:p>
      <w:pPr>
        <w:jc w:val="both"/>
        <w:rPr>
          <w:rFonts w:ascii="Times New Roman" w:hAnsi="Times New Roman" w:cs="Times New Roman"/>
          <w:i/>
          <w:noProof/>
          <w:sz w:val="24"/>
        </w:rPr>
      </w:pPr>
    </w:p>
    <w:p>
      <w:pPr>
        <w:outlineLvl w:val="3"/>
        <w:rPr>
          <w:rFonts w:ascii="Times New Roman" w:hAnsi="Times New Roman" w:cs="Times New Roman"/>
          <w:i/>
          <w:noProof/>
          <w:sz w:val="24"/>
        </w:rPr>
      </w:pPr>
      <w:r>
        <w:rPr>
          <w:rFonts w:ascii="Times New Roman" w:hAnsi="Times New Roman" w:cs="Times New Roman"/>
          <w:i/>
          <w:noProof/>
          <w:sz w:val="24"/>
        </w:rPr>
        <w:t>5.3.4.3 Irregularities by Country</w:t>
      </w:r>
    </w:p>
    <w:p>
      <w:pPr>
        <w:outlineLvl w:val="4"/>
        <w:rPr>
          <w:rFonts w:ascii="Times New Roman" w:hAnsi="Times New Roman" w:cs="Times New Roman"/>
          <w:i/>
          <w:noProof/>
          <w:sz w:val="24"/>
        </w:rPr>
      </w:pPr>
      <w:r>
        <w:rPr>
          <w:rFonts w:ascii="Times New Roman" w:hAnsi="Times New Roman" w:cs="Times New Roman"/>
          <w:i/>
          <w:noProof/>
          <w:sz w:val="24"/>
        </w:rPr>
        <w:t>5.3.4.3.1</w:t>
      </w:r>
      <w:r>
        <w:rPr>
          <w:rFonts w:ascii="Times New Roman" w:hAnsi="Times New Roman" w:cs="Times New Roman"/>
          <w:i/>
          <w:noProof/>
          <w:sz w:val="24"/>
        </w:rPr>
        <w:tab/>
        <w:t xml:space="preserve">Pre-accession assistance 2000-2006 (PAA) </w:t>
      </w:r>
    </w:p>
    <w:p>
      <w:pPr>
        <w:jc w:val="both"/>
        <w:rPr>
          <w:rFonts w:ascii="Times New Roman" w:hAnsi="Times New Roman" w:cs="Times New Roman"/>
          <w:noProof/>
          <w:sz w:val="24"/>
        </w:rPr>
      </w:pPr>
      <w:r>
        <w:rPr>
          <w:rFonts w:ascii="Times New Roman" w:hAnsi="Times New Roman" w:cs="Times New Roman"/>
          <w:b/>
          <w:noProof/>
          <w:sz w:val="24"/>
        </w:rPr>
        <w:t>Only three countries have reported irregularities relating to PAA 2000-2006 funding in the past five years.</w:t>
      </w:r>
      <w:r>
        <w:rPr>
          <w:rFonts w:ascii="Times New Roman" w:hAnsi="Times New Roman" w:cs="Times New Roman"/>
          <w:noProof/>
          <w:sz w:val="24"/>
        </w:rPr>
        <w:t xml:space="preserve"> </w:t>
      </w:r>
      <w:r>
        <w:rPr>
          <w:rFonts w:ascii="Times New Roman" w:hAnsi="Times New Roman" w:cs="Times New Roman"/>
          <w:noProof/>
          <w:sz w:val="24"/>
          <w:szCs w:val="24"/>
        </w:rPr>
        <w:t>Table PA11 shows the number of irregularities and associated financial amounts that have been reported during the past five years by country, with reference to PAA 2000-2006. The figures are split between irregularities reported as fraudulent and those not reported as such. Chart PA8 broadens the perspective by including all irregularities referring to PAA 2000</w:t>
      </w:r>
      <w:r>
        <w:rPr>
          <w:rFonts w:ascii="Times New Roman" w:hAnsi="Times New Roman" w:cs="Times New Roman"/>
          <w:noProof/>
          <w:sz w:val="24"/>
          <w:szCs w:val="24"/>
        </w:rPr>
        <w:noBreakHyphen/>
        <w:t>2006 reported until 2019. I</w:t>
      </w:r>
      <w:r>
        <w:rPr>
          <w:rFonts w:ascii="Times New Roman" w:hAnsi="Times New Roman" w:cs="Times New Roman"/>
          <w:noProof/>
          <w:sz w:val="24"/>
        </w:rPr>
        <w:t xml:space="preserve">n the past five years, only Bulgaria, Romania and Turkey have reported irregularities relating to PAA 2000-2006 funding. While the largest amounts (both in terms of numbers and financial amounts) were reported by Romania, these arise from irregularities reported in 2015. In the past three years, 95% of the irregular amounts reported were reported by Turkey; of the nine irregularities reported in the past three years, six were reported by Turkey and three by Romania. </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11</w:t>
      </w:r>
      <w:r>
        <w:rPr>
          <w:noProof/>
        </w:rPr>
        <w:fldChar w:fldCharType="end"/>
      </w:r>
      <w:r>
        <w:rPr>
          <w:noProof/>
        </w:rPr>
        <w:t>: PAA, 2015-2019: Number of irregularities and financial amounts involved by Country</w:t>
      </w:r>
    </w:p>
    <w:tbl>
      <w:tblPr>
        <w:tblStyle w:val="ListTable4Accent2"/>
        <w:tblW w:w="5812" w:type="dxa"/>
        <w:tblInd w:w="108" w:type="dxa"/>
        <w:tblLayout w:type="fixed"/>
        <w:tblLook w:val="04A0" w:firstRow="1" w:lastRow="0" w:firstColumn="1" w:lastColumn="0" w:noHBand="0" w:noVBand="1"/>
      </w:tblPr>
      <w:tblGrid>
        <w:gridCol w:w="673"/>
        <w:gridCol w:w="767"/>
        <w:gridCol w:w="874"/>
        <w:gridCol w:w="874"/>
        <w:gridCol w:w="1065"/>
        <w:gridCol w:w="684"/>
        <w:gridCol w:w="875"/>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vAlign w:val="center"/>
          </w:tcPr>
          <w:p>
            <w:pPr>
              <w:jc w:val="center"/>
              <w:rPr>
                <w:rFonts w:ascii="Times New Roman" w:eastAsia="Times New Roman" w:hAnsi="Times New Roman" w:cs="Times New Roman"/>
                <w:noProof/>
                <w:sz w:val="20"/>
                <w:szCs w:val="20"/>
                <w:lang w:eastAsia="en-GB"/>
              </w:rPr>
            </w:pPr>
          </w:p>
        </w:tc>
        <w:tc>
          <w:tcPr>
            <w:tcW w:w="1641" w:type="dxa"/>
            <w:gridSpan w:val="2"/>
            <w:noWrap/>
            <w:vAlign w:val="center"/>
          </w:tcPr>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Bulgaria</w:t>
            </w:r>
          </w:p>
        </w:tc>
        <w:tc>
          <w:tcPr>
            <w:tcW w:w="1939" w:type="dxa"/>
            <w:gridSpan w:val="2"/>
            <w:noWrap/>
            <w:vAlign w:val="center"/>
          </w:tcPr>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Romania</w:t>
            </w:r>
          </w:p>
        </w:tc>
        <w:tc>
          <w:tcPr>
            <w:tcW w:w="1559" w:type="dxa"/>
            <w:gridSpan w:val="2"/>
            <w:noWrap/>
            <w:vAlign w:val="center"/>
          </w:tcPr>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Turkey</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shd w:val="clear" w:color="auto" w:fill="ED7D31" w:themeFill="accent2"/>
            <w:noWrap/>
            <w:vAlign w:val="center"/>
          </w:tcPr>
          <w:p>
            <w:pPr>
              <w:rPr>
                <w:rFonts w:ascii="Times New Roman" w:eastAsia="Times New Roman" w:hAnsi="Times New Roman" w:cs="Times New Roman"/>
                <w:noProof/>
                <w:color w:val="FFFFFF" w:themeColor="background1"/>
                <w:sz w:val="20"/>
                <w:szCs w:val="20"/>
                <w:lang w:eastAsia="en-GB"/>
              </w:rPr>
            </w:pPr>
          </w:p>
        </w:tc>
        <w:tc>
          <w:tcPr>
            <w:tcW w:w="767" w:type="dxa"/>
            <w:shd w:val="clear" w:color="auto" w:fill="ED7D31" w:themeFill="accent2"/>
            <w:noWrap/>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874" w:type="dxa"/>
            <w:shd w:val="clear" w:color="auto" w:fill="ED7D31" w:themeFill="accent2"/>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(EUR)</w:t>
            </w:r>
          </w:p>
        </w:tc>
        <w:tc>
          <w:tcPr>
            <w:tcW w:w="874" w:type="dxa"/>
            <w:shd w:val="clear" w:color="auto" w:fill="ED7D31" w:themeFill="accent2"/>
            <w:noWrap/>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1065" w:type="dxa"/>
            <w:shd w:val="clear" w:color="auto" w:fill="ED7D31" w:themeFill="accent2"/>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(EUR)</w:t>
            </w:r>
          </w:p>
        </w:tc>
        <w:tc>
          <w:tcPr>
            <w:tcW w:w="684" w:type="dxa"/>
            <w:shd w:val="clear" w:color="auto" w:fill="ED7D31" w:themeFill="accent2"/>
            <w:noWrap/>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w:t>
            </w:r>
          </w:p>
        </w:tc>
        <w:tc>
          <w:tcPr>
            <w:tcW w:w="875" w:type="dxa"/>
            <w:shd w:val="clear" w:color="auto" w:fill="ED7D31" w:themeFill="accent2"/>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themeColor="background1"/>
                <w:sz w:val="20"/>
                <w:szCs w:val="20"/>
                <w:lang w:eastAsia="en-GB"/>
              </w:rPr>
            </w:pPr>
            <w:r>
              <w:rPr>
                <w:rFonts w:ascii="Times New Roman" w:eastAsia="Times New Roman" w:hAnsi="Times New Roman" w:cs="Times New Roman"/>
                <w:noProof/>
                <w:color w:val="FFFFFF" w:themeColor="background1"/>
                <w:sz w:val="20"/>
                <w:szCs w:val="20"/>
                <w:lang w:eastAsia="en-GB"/>
              </w:rPr>
              <w:t>(EUR)</w:t>
            </w:r>
          </w:p>
        </w:tc>
      </w:tr>
      <w:tr>
        <w:trPr>
          <w:trHeight w:val="300"/>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pPr>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2015</w:t>
            </w:r>
          </w:p>
        </w:tc>
        <w:tc>
          <w:tcPr>
            <w:tcW w:w="767"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2</w:t>
            </w:r>
          </w:p>
        </w:tc>
        <w:tc>
          <w:tcPr>
            <w:tcW w:w="874"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816,903</w:t>
            </w:r>
          </w:p>
        </w:tc>
        <w:tc>
          <w:tcPr>
            <w:tcW w:w="874"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13</w:t>
            </w:r>
          </w:p>
        </w:tc>
        <w:tc>
          <w:tcPr>
            <w:tcW w:w="1065"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4,906,028</w:t>
            </w:r>
          </w:p>
        </w:tc>
        <w:tc>
          <w:tcPr>
            <w:tcW w:w="684"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7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pPr>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2016</w:t>
            </w:r>
          </w:p>
        </w:tc>
        <w:tc>
          <w:tcPr>
            <w:tcW w:w="767" w:type="dxa"/>
            <w:noWrap/>
            <w:vAlign w:val="center"/>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3</w:t>
            </w:r>
          </w:p>
        </w:tc>
        <w:tc>
          <w:tcPr>
            <w:tcW w:w="874"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101,351</w:t>
            </w:r>
          </w:p>
        </w:tc>
        <w:tc>
          <w:tcPr>
            <w:tcW w:w="874" w:type="dxa"/>
            <w:noWrap/>
            <w:vAlign w:val="center"/>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4</w:t>
            </w:r>
          </w:p>
        </w:tc>
        <w:tc>
          <w:tcPr>
            <w:tcW w:w="1065"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448,177</w:t>
            </w:r>
          </w:p>
        </w:tc>
        <w:tc>
          <w:tcPr>
            <w:tcW w:w="684" w:type="dxa"/>
            <w:noWrap/>
            <w:vAlign w:val="center"/>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7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pPr>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2017</w:t>
            </w:r>
          </w:p>
        </w:tc>
        <w:tc>
          <w:tcPr>
            <w:tcW w:w="767"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74"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74"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1</w:t>
            </w:r>
          </w:p>
        </w:tc>
        <w:tc>
          <w:tcPr>
            <w:tcW w:w="1065"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684"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4</w:t>
            </w:r>
          </w:p>
        </w:tc>
        <w:tc>
          <w:tcPr>
            <w:tcW w:w="87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121,749</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pPr>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2018</w:t>
            </w:r>
          </w:p>
        </w:tc>
        <w:tc>
          <w:tcPr>
            <w:tcW w:w="767" w:type="dxa"/>
            <w:noWrap/>
            <w:vAlign w:val="center"/>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74"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74" w:type="dxa"/>
            <w:noWrap/>
            <w:vAlign w:val="center"/>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2</w:t>
            </w:r>
          </w:p>
        </w:tc>
        <w:tc>
          <w:tcPr>
            <w:tcW w:w="1065"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32,272</w:t>
            </w:r>
          </w:p>
        </w:tc>
        <w:tc>
          <w:tcPr>
            <w:tcW w:w="684" w:type="dxa"/>
            <w:noWrap/>
            <w:vAlign w:val="center"/>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2</w:t>
            </w:r>
          </w:p>
        </w:tc>
        <w:tc>
          <w:tcPr>
            <w:tcW w:w="875" w:type="dxa"/>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546,060</w:t>
            </w:r>
          </w:p>
        </w:tc>
      </w:tr>
      <w:tr>
        <w:trPr>
          <w:trHeight w:val="300"/>
        </w:trPr>
        <w:tc>
          <w:tcPr>
            <w:cnfStyle w:val="001000000000" w:firstRow="0" w:lastRow="0" w:firstColumn="1" w:lastColumn="0" w:oddVBand="0" w:evenVBand="0" w:oddHBand="0" w:evenHBand="0" w:firstRowFirstColumn="0" w:firstRowLastColumn="0" w:lastRowFirstColumn="0" w:lastRowLastColumn="0"/>
            <w:tcW w:w="673" w:type="dxa"/>
            <w:noWrap/>
            <w:vAlign w:val="center"/>
            <w:hideMark/>
          </w:tcPr>
          <w:p>
            <w:pPr>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2019</w:t>
            </w:r>
          </w:p>
        </w:tc>
        <w:tc>
          <w:tcPr>
            <w:tcW w:w="767"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74"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874"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1065" w:type="dxa"/>
            <w:vAlign w:val="center"/>
          </w:tcPr>
          <w:p>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c>
          <w:tcPr>
            <w:tcW w:w="684"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hAnsi="Times New Roman" w:cs="Times New Roman"/>
                <w:noProof/>
                <w:color w:val="000000"/>
                <w:sz w:val="20"/>
                <w:szCs w:val="20"/>
              </w:rPr>
              <w:t>0</w:t>
            </w:r>
          </w:p>
        </w:tc>
        <w:tc>
          <w:tcPr>
            <w:tcW w:w="875" w:type="dxa"/>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vAlign w:val="center"/>
          </w:tcPr>
          <w:p>
            <w:pPr>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Total</w:t>
            </w:r>
          </w:p>
        </w:tc>
        <w:tc>
          <w:tcPr>
            <w:tcW w:w="767" w:type="dxa"/>
            <w:noWrap/>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5</w:t>
            </w:r>
          </w:p>
        </w:tc>
        <w:tc>
          <w:tcPr>
            <w:tcW w:w="874"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918,255</w:t>
            </w:r>
          </w:p>
        </w:tc>
        <w:tc>
          <w:tcPr>
            <w:tcW w:w="874" w:type="dxa"/>
            <w:noWrap/>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20</w:t>
            </w:r>
          </w:p>
        </w:tc>
        <w:tc>
          <w:tcPr>
            <w:tcW w:w="1065" w:type="dxa"/>
            <w:vAlign w:val="center"/>
          </w:tcPr>
          <w:p>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5,386,476</w:t>
            </w:r>
          </w:p>
        </w:tc>
        <w:tc>
          <w:tcPr>
            <w:tcW w:w="684" w:type="dxa"/>
            <w:noWrap/>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6</w:t>
            </w:r>
          </w:p>
        </w:tc>
        <w:tc>
          <w:tcPr>
            <w:tcW w:w="875" w:type="dxa"/>
            <w:vAlign w:val="center"/>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667,809</w:t>
            </w:r>
          </w:p>
        </w:tc>
      </w:tr>
    </w:tbl>
    <w:p>
      <w:pPr>
        <w:pStyle w:val="Caption"/>
        <w:keepNext/>
        <w:jc w:val="both"/>
        <w:rPr>
          <w:noProof/>
        </w:rPr>
      </w:pPr>
    </w:p>
    <w:p>
      <w:pPr>
        <w:pStyle w:val="Caption"/>
        <w:keepNext/>
        <w:jc w:val="both"/>
        <w:rPr>
          <w:noProof/>
        </w:rPr>
      </w:pPr>
      <w:r>
        <w:rPr>
          <w:noProof/>
        </w:rPr>
        <w:t xml:space="preserve">Chart PA </w:t>
      </w:r>
      <w:r>
        <w:rPr>
          <w:noProof/>
        </w:rPr>
        <w:fldChar w:fldCharType="begin"/>
      </w:r>
      <w:r>
        <w:rPr>
          <w:noProof/>
        </w:rPr>
        <w:instrText xml:space="preserve"> SEQ Chart_PA \* ARABIC </w:instrText>
      </w:r>
      <w:r>
        <w:rPr>
          <w:noProof/>
        </w:rPr>
        <w:fldChar w:fldCharType="separate"/>
      </w:r>
      <w:r>
        <w:rPr>
          <w:noProof/>
        </w:rPr>
        <w:t>8</w:t>
      </w:r>
      <w:r>
        <w:rPr>
          <w:noProof/>
        </w:rPr>
        <w:fldChar w:fldCharType="end"/>
      </w:r>
      <w:r>
        <w:rPr>
          <w:noProof/>
        </w:rPr>
        <w:t>: PAA: Number of irregularities and financial amounts involved by country (note that the data has been spread across two graphs for the sake of legibility – note that the graphs’ scales are not identical)</w:t>
      </w:r>
    </w:p>
    <w:p>
      <w:pPr>
        <w:jc w:val="both"/>
        <w:rPr>
          <w:noProof/>
        </w:rPr>
      </w:pPr>
      <w:r>
        <w:rPr>
          <w:noProof/>
          <w:lang w:eastAsia="en-GB"/>
        </w:rPr>
        <w:drawing>
          <wp:inline distT="0" distB="0" distL="0" distR="0">
            <wp:extent cx="5731510" cy="2626360"/>
            <wp:effectExtent l="0" t="0" r="2540"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jc w:val="both"/>
        <w:rPr>
          <w:noProof/>
        </w:rPr>
      </w:pPr>
      <w:r>
        <w:rPr>
          <w:noProof/>
          <w:lang w:eastAsia="en-GB"/>
        </w:rPr>
        <w:drawing>
          <wp:inline distT="0" distB="0" distL="0" distR="0">
            <wp:extent cx="5731510" cy="2620010"/>
            <wp:effectExtent l="0" t="0" r="2540" b="88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outlineLvl w:val="4"/>
        <w:rPr>
          <w:rFonts w:ascii="Times New Roman" w:hAnsi="Times New Roman" w:cs="Times New Roman"/>
          <w:i/>
          <w:noProof/>
          <w:sz w:val="24"/>
        </w:rPr>
      </w:pPr>
      <w:r>
        <w:rPr>
          <w:rFonts w:ascii="Times New Roman" w:hAnsi="Times New Roman" w:cs="Times New Roman"/>
          <w:i/>
          <w:noProof/>
          <w:sz w:val="24"/>
        </w:rPr>
        <w:t>5.3.4.3.2</w:t>
      </w:r>
      <w:r>
        <w:rPr>
          <w:rFonts w:ascii="Times New Roman" w:hAnsi="Times New Roman" w:cs="Times New Roman"/>
          <w:i/>
          <w:noProof/>
          <w:sz w:val="24"/>
        </w:rPr>
        <w:tab/>
        <w:t>Instruments for Pre-Accession I Irregularities by Country (2015-2019)</w:t>
      </w:r>
    </w:p>
    <w:p>
      <w:pPr>
        <w:jc w:val="both"/>
        <w:rPr>
          <w:rFonts w:ascii="Times New Roman" w:hAnsi="Times New Roman" w:cs="Times New Roman"/>
          <w:noProof/>
          <w:sz w:val="24"/>
          <w:szCs w:val="24"/>
        </w:rPr>
      </w:pPr>
      <w:r>
        <w:rPr>
          <w:rFonts w:ascii="Times New Roman" w:hAnsi="Times New Roman" w:cs="Times New Roman"/>
          <w:b/>
          <w:noProof/>
          <w:sz w:val="24"/>
        </w:rPr>
        <w:t>Over the past five years, ten countries have reported irregularities regarding projects funded via IPA I.</w:t>
      </w:r>
      <w:r>
        <w:rPr>
          <w:rFonts w:ascii="Times New Roman" w:hAnsi="Times New Roman" w:cs="Times New Roman"/>
          <w:noProof/>
          <w:sz w:val="24"/>
        </w:rPr>
        <w:t xml:space="preserve"> In order to make these data more easily comprehensible, the charts and tables below are split between Member States and non-Member States. </w:t>
      </w:r>
      <w:r>
        <w:rPr>
          <w:rFonts w:ascii="Times New Roman" w:hAnsi="Times New Roman" w:cs="Times New Roman"/>
          <w:noProof/>
          <w:sz w:val="24"/>
          <w:szCs w:val="24"/>
        </w:rPr>
        <w:t>Tables PA12 and PA13 show number of irregularities and involved financial amounts that have been reported during the past five years by country, with reference to IPA I. The figures are split between irregularities reported as fraudulent and those not reported as such. Charts PA9 and PA10 broaden the perspective by including all irregularities referring to IPA I reported until 2019.</w:t>
      </w:r>
    </w:p>
    <w:p>
      <w:pPr>
        <w:jc w:val="both"/>
        <w:rPr>
          <w:rFonts w:ascii="Times New Roman" w:hAnsi="Times New Roman" w:cs="Times New Roman"/>
          <w:noProof/>
          <w:sz w:val="24"/>
        </w:rPr>
      </w:pPr>
      <w:r>
        <w:rPr>
          <w:rFonts w:ascii="Times New Roman" w:hAnsi="Times New Roman" w:cs="Times New Roman"/>
          <w:b/>
          <w:noProof/>
          <w:sz w:val="24"/>
        </w:rPr>
        <w:t>Of the Member States, only Croatia reported IPA I irregularities in 2019</w:t>
      </w:r>
      <w:r>
        <w:rPr>
          <w:rFonts w:ascii="Times New Roman" w:hAnsi="Times New Roman" w:cs="Times New Roman"/>
          <w:noProof/>
          <w:sz w:val="24"/>
        </w:rPr>
        <w:t xml:space="preserve"> – two irregularities, both at relatively negligible amounts. All irregularities reported during 2015</w:t>
      </w:r>
      <w:r>
        <w:rPr>
          <w:rFonts w:ascii="Times New Roman" w:hAnsi="Times New Roman" w:cs="Times New Roman"/>
          <w:noProof/>
          <w:sz w:val="24"/>
        </w:rPr>
        <w:noBreakHyphen/>
        <w:t>2019 by Bulgaria, Greece, Italy and Romania concerned CBC-IPA. For Croatia, they are evenly split between CBC-IPA and IPARD, with the latter involving most of the financial amounts. The remaining 15% of the irregularities reported by Croatia covered REGD, HRD or TAIB. As demonstrated by Chart PA9, there has been a steady downwards trend in the number of irregularities reported by the Member States over the past five years. However, both Croatia and Romania show a spike in irregular financial amounts reported in 2017.</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12</w:t>
      </w:r>
      <w:r>
        <w:rPr>
          <w:noProof/>
        </w:rPr>
        <w:fldChar w:fldCharType="end"/>
      </w:r>
      <w:r>
        <w:rPr>
          <w:noProof/>
        </w:rPr>
        <w:t>: IPA I, 2015-2019: Number of irregularities and financial amounts involved by Member State</w:t>
      </w:r>
    </w:p>
    <w:tbl>
      <w:tblPr>
        <w:tblW w:w="9072" w:type="dxa"/>
        <w:tblInd w:w="108" w:type="dxa"/>
        <w:tblLayout w:type="fixed"/>
        <w:tblLook w:val="04A0" w:firstRow="1" w:lastRow="0" w:firstColumn="1" w:lastColumn="0" w:noHBand="0" w:noVBand="1"/>
      </w:tblPr>
      <w:tblGrid>
        <w:gridCol w:w="956"/>
        <w:gridCol w:w="462"/>
        <w:gridCol w:w="1161"/>
        <w:gridCol w:w="540"/>
        <w:gridCol w:w="1083"/>
        <w:gridCol w:w="476"/>
        <w:gridCol w:w="1147"/>
        <w:gridCol w:w="554"/>
        <w:gridCol w:w="1069"/>
        <w:gridCol w:w="632"/>
        <w:gridCol w:w="992"/>
      </w:tblGrid>
      <w:tr>
        <w:trPr>
          <w:cantSplit/>
          <w:trHeight w:val="315"/>
        </w:trPr>
        <w:tc>
          <w:tcPr>
            <w:tcW w:w="956" w:type="dxa"/>
            <w:tcBorders>
              <w:top w:val="single" w:sz="8" w:space="0" w:color="ED7D31"/>
              <w:left w:val="single" w:sz="8" w:space="0" w:color="ED7D31"/>
              <w:bottom w:val="single" w:sz="8" w:space="0" w:color="ED7D31"/>
              <w:right w:val="nil"/>
            </w:tcBorders>
            <w:shd w:val="clear" w:color="000000" w:fill="ED7D31"/>
            <w:noWrap/>
            <w:vAlign w:val="center"/>
            <w:hideMark/>
          </w:tcPr>
          <w:p>
            <w:pPr>
              <w:keepNext/>
              <w:spacing w:after="0" w:line="240" w:lineRule="auto"/>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c>
          <w:tcPr>
            <w:tcW w:w="1623" w:type="dxa"/>
            <w:gridSpan w:val="2"/>
            <w:tcBorders>
              <w:top w:val="single" w:sz="8" w:space="0" w:color="ED7D31"/>
              <w:left w:val="nil"/>
              <w:bottom w:val="single" w:sz="8" w:space="0" w:color="ED7D31"/>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Bulgaria</w:t>
            </w:r>
          </w:p>
        </w:tc>
        <w:tc>
          <w:tcPr>
            <w:tcW w:w="1623" w:type="dxa"/>
            <w:gridSpan w:val="2"/>
            <w:tcBorders>
              <w:top w:val="single" w:sz="8" w:space="0" w:color="ED7D31"/>
              <w:left w:val="nil"/>
              <w:bottom w:val="single" w:sz="8" w:space="0" w:color="ED7D31"/>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Greece</w:t>
            </w:r>
          </w:p>
        </w:tc>
        <w:tc>
          <w:tcPr>
            <w:tcW w:w="1623" w:type="dxa"/>
            <w:gridSpan w:val="2"/>
            <w:tcBorders>
              <w:top w:val="single" w:sz="8" w:space="0" w:color="ED7D31"/>
              <w:left w:val="nil"/>
              <w:bottom w:val="single" w:sz="8" w:space="0" w:color="ED7D31"/>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Croatia</w:t>
            </w:r>
          </w:p>
        </w:tc>
        <w:tc>
          <w:tcPr>
            <w:tcW w:w="1623" w:type="dxa"/>
            <w:gridSpan w:val="2"/>
            <w:tcBorders>
              <w:top w:val="single" w:sz="8" w:space="0" w:color="ED7D31"/>
              <w:left w:val="nil"/>
              <w:bottom w:val="single" w:sz="8" w:space="0" w:color="ED7D31"/>
              <w:right w:val="nil"/>
            </w:tcBorders>
            <w:shd w:val="clear" w:color="000000" w:fill="ED7D31"/>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Italy</w:t>
            </w:r>
          </w:p>
        </w:tc>
        <w:tc>
          <w:tcPr>
            <w:tcW w:w="1624" w:type="dxa"/>
            <w:gridSpan w:val="2"/>
            <w:tcBorders>
              <w:top w:val="single" w:sz="8" w:space="0" w:color="ED7D31"/>
              <w:left w:val="nil"/>
              <w:bottom w:val="single" w:sz="8" w:space="0" w:color="ED7D31"/>
              <w:right w:val="single" w:sz="8" w:space="0" w:color="ED7D31"/>
            </w:tcBorders>
            <w:shd w:val="clear" w:color="000000" w:fill="ED7D31"/>
            <w:noWrap/>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Romania</w:t>
            </w:r>
          </w:p>
        </w:tc>
      </w:tr>
      <w:tr>
        <w:trPr>
          <w:cantSplit/>
          <w:trHeight w:val="315"/>
        </w:trPr>
        <w:tc>
          <w:tcPr>
            <w:tcW w:w="956" w:type="dxa"/>
            <w:tcBorders>
              <w:top w:val="nil"/>
              <w:left w:val="single" w:sz="8" w:space="0" w:color="F4B083"/>
              <w:bottom w:val="single" w:sz="8" w:space="0" w:color="F4B083"/>
              <w:right w:val="nil"/>
            </w:tcBorders>
            <w:shd w:val="clear" w:color="000000" w:fill="ED7D31"/>
            <w:noWrap/>
            <w:vAlign w:val="center"/>
            <w:hideMark/>
          </w:tcPr>
          <w:p>
            <w:pPr>
              <w:keepNext/>
              <w:spacing w:after="0" w:line="240" w:lineRule="auto"/>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 </w:t>
            </w:r>
          </w:p>
        </w:tc>
        <w:tc>
          <w:tcPr>
            <w:tcW w:w="462" w:type="dxa"/>
            <w:tcBorders>
              <w:top w:val="nil"/>
              <w:left w:val="nil"/>
              <w:bottom w:val="single" w:sz="8" w:space="0" w:color="F4B083"/>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161" w:type="dxa"/>
            <w:tcBorders>
              <w:top w:val="nil"/>
              <w:left w:val="nil"/>
              <w:bottom w:val="single" w:sz="8" w:space="0" w:color="F4B083"/>
              <w:right w:val="nil"/>
            </w:tcBorders>
            <w:shd w:val="clear" w:color="000000" w:fill="ED7D31"/>
            <w:noWrap/>
            <w:vAlign w:val="center"/>
            <w:hideMark/>
          </w:tcPr>
          <w:p>
            <w:pPr>
              <w:keepNext/>
              <w:spacing w:after="0" w:line="240" w:lineRule="auto"/>
              <w:jc w:val="right"/>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c>
          <w:tcPr>
            <w:tcW w:w="540" w:type="dxa"/>
            <w:tcBorders>
              <w:top w:val="nil"/>
              <w:left w:val="nil"/>
              <w:bottom w:val="single" w:sz="8" w:space="0" w:color="F4B083"/>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083" w:type="dxa"/>
            <w:tcBorders>
              <w:top w:val="nil"/>
              <w:left w:val="nil"/>
              <w:bottom w:val="single" w:sz="8" w:space="0" w:color="F4B083"/>
              <w:right w:val="nil"/>
            </w:tcBorders>
            <w:shd w:val="clear" w:color="000000" w:fill="ED7D31"/>
            <w:noWrap/>
            <w:vAlign w:val="center"/>
            <w:hideMark/>
          </w:tcPr>
          <w:p>
            <w:pPr>
              <w:keepNext/>
              <w:spacing w:after="0" w:line="240" w:lineRule="auto"/>
              <w:jc w:val="right"/>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c>
          <w:tcPr>
            <w:tcW w:w="476" w:type="dxa"/>
            <w:tcBorders>
              <w:top w:val="nil"/>
              <w:left w:val="nil"/>
              <w:bottom w:val="single" w:sz="8" w:space="0" w:color="F4B083"/>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147" w:type="dxa"/>
            <w:tcBorders>
              <w:top w:val="nil"/>
              <w:left w:val="nil"/>
              <w:bottom w:val="single" w:sz="8" w:space="0" w:color="F4B083"/>
              <w:right w:val="nil"/>
            </w:tcBorders>
            <w:shd w:val="clear" w:color="000000" w:fill="ED7D31"/>
            <w:noWrap/>
            <w:vAlign w:val="center"/>
            <w:hideMark/>
          </w:tcPr>
          <w:p>
            <w:pPr>
              <w:keepNext/>
              <w:spacing w:after="0" w:line="240" w:lineRule="auto"/>
              <w:jc w:val="right"/>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c>
          <w:tcPr>
            <w:tcW w:w="554" w:type="dxa"/>
            <w:tcBorders>
              <w:top w:val="nil"/>
              <w:left w:val="nil"/>
              <w:bottom w:val="single" w:sz="8" w:space="0" w:color="F4B083"/>
              <w:right w:val="nil"/>
            </w:tcBorders>
            <w:shd w:val="clear" w:color="000000" w:fill="ED7D31"/>
            <w:vAlign w:val="center"/>
            <w:hideMark/>
          </w:tcPr>
          <w:p>
            <w:pPr>
              <w:keepNext/>
              <w:spacing w:after="0" w:line="240" w:lineRule="auto"/>
              <w:jc w:val="right"/>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069" w:type="dxa"/>
            <w:tcBorders>
              <w:top w:val="nil"/>
              <w:left w:val="nil"/>
              <w:bottom w:val="single" w:sz="8" w:space="0" w:color="F4B083"/>
              <w:right w:val="nil"/>
            </w:tcBorders>
            <w:shd w:val="clear" w:color="000000" w:fill="ED7D31"/>
            <w:vAlign w:val="center"/>
            <w:hideMark/>
          </w:tcPr>
          <w:p>
            <w:pPr>
              <w:keepNext/>
              <w:spacing w:after="0" w:line="240" w:lineRule="auto"/>
              <w:jc w:val="right"/>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c>
          <w:tcPr>
            <w:tcW w:w="632" w:type="dxa"/>
            <w:tcBorders>
              <w:top w:val="nil"/>
              <w:left w:val="nil"/>
              <w:bottom w:val="single" w:sz="8" w:space="0" w:color="F4B083"/>
              <w:right w:val="nil"/>
            </w:tcBorders>
            <w:shd w:val="clear" w:color="000000" w:fill="ED7D31"/>
            <w:vAlign w:val="center"/>
            <w:hideMark/>
          </w:tcPr>
          <w:p>
            <w:pPr>
              <w:keepNext/>
              <w:spacing w:after="0" w:line="240" w:lineRule="auto"/>
              <w:jc w:val="right"/>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992" w:type="dxa"/>
            <w:tcBorders>
              <w:top w:val="nil"/>
              <w:left w:val="nil"/>
              <w:bottom w:val="single" w:sz="8" w:space="0" w:color="F4B083"/>
              <w:right w:val="single" w:sz="8" w:space="0" w:color="F4B083"/>
            </w:tcBorders>
            <w:shd w:val="clear" w:color="000000" w:fill="ED7D31"/>
            <w:noWrap/>
            <w:vAlign w:val="center"/>
            <w:hideMark/>
          </w:tcPr>
          <w:p>
            <w:pPr>
              <w:keepNext/>
              <w:spacing w:after="0" w:line="240" w:lineRule="auto"/>
              <w:jc w:val="right"/>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r>
      <w:tr>
        <w:trPr>
          <w:cantSplit/>
          <w:trHeight w:val="315"/>
        </w:trPr>
        <w:tc>
          <w:tcPr>
            <w:tcW w:w="956" w:type="dxa"/>
            <w:tcBorders>
              <w:top w:val="nil"/>
              <w:left w:val="single" w:sz="8" w:space="0" w:color="F4B083"/>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2015</w:t>
            </w:r>
          </w:p>
        </w:tc>
        <w:tc>
          <w:tcPr>
            <w:tcW w:w="462"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27</w:t>
            </w:r>
          </w:p>
        </w:tc>
        <w:tc>
          <w:tcPr>
            <w:tcW w:w="1161"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78,754</w:t>
            </w:r>
          </w:p>
        </w:tc>
        <w:tc>
          <w:tcPr>
            <w:tcW w:w="540"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083"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76"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25</w:t>
            </w:r>
          </w:p>
        </w:tc>
        <w:tc>
          <w:tcPr>
            <w:tcW w:w="1147"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717,492</w:t>
            </w:r>
          </w:p>
        </w:tc>
        <w:tc>
          <w:tcPr>
            <w:tcW w:w="554"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w:t>
            </w:r>
          </w:p>
        </w:tc>
        <w:tc>
          <w:tcPr>
            <w:tcW w:w="1069"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553,935</w:t>
            </w:r>
          </w:p>
        </w:tc>
        <w:tc>
          <w:tcPr>
            <w:tcW w:w="632"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992" w:type="dxa"/>
            <w:tcBorders>
              <w:top w:val="nil"/>
              <w:left w:val="nil"/>
              <w:bottom w:val="single" w:sz="8" w:space="0" w:color="F4B083"/>
              <w:right w:val="single" w:sz="8" w:space="0" w:color="F4B083"/>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29,067</w:t>
            </w:r>
          </w:p>
        </w:tc>
      </w:tr>
      <w:tr>
        <w:trPr>
          <w:cantSplit/>
          <w:trHeight w:val="315"/>
        </w:trPr>
        <w:tc>
          <w:tcPr>
            <w:tcW w:w="956" w:type="dxa"/>
            <w:tcBorders>
              <w:top w:val="nil"/>
              <w:left w:val="single" w:sz="8" w:space="0" w:color="F4B083"/>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2016</w:t>
            </w:r>
          </w:p>
        </w:tc>
        <w:tc>
          <w:tcPr>
            <w:tcW w:w="462"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31</w:t>
            </w:r>
          </w:p>
        </w:tc>
        <w:tc>
          <w:tcPr>
            <w:tcW w:w="1161"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85,483</w:t>
            </w:r>
          </w:p>
        </w:tc>
        <w:tc>
          <w:tcPr>
            <w:tcW w:w="540"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083"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76"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9</w:t>
            </w:r>
          </w:p>
        </w:tc>
        <w:tc>
          <w:tcPr>
            <w:tcW w:w="1147"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165,788</w:t>
            </w:r>
          </w:p>
        </w:tc>
        <w:tc>
          <w:tcPr>
            <w:tcW w:w="554"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069"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632"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92" w:type="dxa"/>
            <w:tcBorders>
              <w:top w:val="nil"/>
              <w:left w:val="nil"/>
              <w:bottom w:val="single" w:sz="8" w:space="0" w:color="F4B083"/>
              <w:right w:val="single" w:sz="8" w:space="0" w:color="F4B083"/>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antSplit/>
          <w:trHeight w:val="315"/>
        </w:trPr>
        <w:tc>
          <w:tcPr>
            <w:tcW w:w="956" w:type="dxa"/>
            <w:tcBorders>
              <w:top w:val="nil"/>
              <w:left w:val="single" w:sz="8" w:space="0" w:color="F4B083"/>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2017</w:t>
            </w:r>
          </w:p>
        </w:tc>
        <w:tc>
          <w:tcPr>
            <w:tcW w:w="462"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15</w:t>
            </w:r>
          </w:p>
        </w:tc>
        <w:tc>
          <w:tcPr>
            <w:tcW w:w="1161"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20,932</w:t>
            </w:r>
          </w:p>
        </w:tc>
        <w:tc>
          <w:tcPr>
            <w:tcW w:w="540"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1083"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41,681</w:t>
            </w:r>
          </w:p>
        </w:tc>
        <w:tc>
          <w:tcPr>
            <w:tcW w:w="476"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w:t>
            </w:r>
          </w:p>
        </w:tc>
        <w:tc>
          <w:tcPr>
            <w:tcW w:w="1147"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1,368,047</w:t>
            </w:r>
          </w:p>
        </w:tc>
        <w:tc>
          <w:tcPr>
            <w:tcW w:w="554"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069"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632"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992" w:type="dxa"/>
            <w:tcBorders>
              <w:top w:val="nil"/>
              <w:left w:val="nil"/>
              <w:bottom w:val="single" w:sz="8" w:space="0" w:color="F4B083"/>
              <w:right w:val="single" w:sz="8" w:space="0" w:color="F4B083"/>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649,636</w:t>
            </w:r>
          </w:p>
        </w:tc>
      </w:tr>
      <w:tr>
        <w:trPr>
          <w:cantSplit/>
          <w:trHeight w:val="315"/>
        </w:trPr>
        <w:tc>
          <w:tcPr>
            <w:tcW w:w="956" w:type="dxa"/>
            <w:tcBorders>
              <w:top w:val="nil"/>
              <w:left w:val="single" w:sz="8" w:space="0" w:color="F4B083"/>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2018</w:t>
            </w:r>
          </w:p>
        </w:tc>
        <w:tc>
          <w:tcPr>
            <w:tcW w:w="462"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9</w:t>
            </w:r>
          </w:p>
        </w:tc>
        <w:tc>
          <w:tcPr>
            <w:tcW w:w="1161"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23,405</w:t>
            </w:r>
          </w:p>
        </w:tc>
        <w:tc>
          <w:tcPr>
            <w:tcW w:w="540"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1083"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148,364</w:t>
            </w:r>
          </w:p>
        </w:tc>
        <w:tc>
          <w:tcPr>
            <w:tcW w:w="476"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w:t>
            </w:r>
          </w:p>
        </w:tc>
        <w:tc>
          <w:tcPr>
            <w:tcW w:w="1147"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103,600</w:t>
            </w:r>
          </w:p>
        </w:tc>
        <w:tc>
          <w:tcPr>
            <w:tcW w:w="554"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069"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632"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92" w:type="dxa"/>
            <w:tcBorders>
              <w:top w:val="nil"/>
              <w:left w:val="nil"/>
              <w:bottom w:val="single" w:sz="8" w:space="0" w:color="F4B083"/>
              <w:right w:val="single" w:sz="8" w:space="0" w:color="F4B083"/>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antSplit/>
          <w:trHeight w:val="315"/>
        </w:trPr>
        <w:tc>
          <w:tcPr>
            <w:tcW w:w="956" w:type="dxa"/>
            <w:tcBorders>
              <w:top w:val="nil"/>
              <w:left w:val="single" w:sz="8" w:space="0" w:color="F4B083"/>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2019</w:t>
            </w:r>
          </w:p>
        </w:tc>
        <w:tc>
          <w:tcPr>
            <w:tcW w:w="462"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61"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40"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083"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76"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1147"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9,081</w:t>
            </w:r>
          </w:p>
        </w:tc>
        <w:tc>
          <w:tcPr>
            <w:tcW w:w="554"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069"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632"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92" w:type="dxa"/>
            <w:tcBorders>
              <w:top w:val="nil"/>
              <w:left w:val="nil"/>
              <w:bottom w:val="single" w:sz="8" w:space="0" w:color="F4B083"/>
              <w:right w:val="single" w:sz="8" w:space="0" w:color="F4B083"/>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antSplit/>
          <w:trHeight w:val="315"/>
        </w:trPr>
        <w:tc>
          <w:tcPr>
            <w:tcW w:w="956" w:type="dxa"/>
            <w:tcBorders>
              <w:top w:val="nil"/>
              <w:left w:val="single" w:sz="8" w:space="0" w:color="F4B083"/>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Total</w:t>
            </w:r>
          </w:p>
        </w:tc>
        <w:tc>
          <w:tcPr>
            <w:tcW w:w="462"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82</w:t>
            </w:r>
          </w:p>
        </w:tc>
        <w:tc>
          <w:tcPr>
            <w:tcW w:w="1161"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208,575</w:t>
            </w:r>
          </w:p>
        </w:tc>
        <w:tc>
          <w:tcPr>
            <w:tcW w:w="540"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3</w:t>
            </w:r>
          </w:p>
        </w:tc>
        <w:tc>
          <w:tcPr>
            <w:tcW w:w="1083"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190,045</w:t>
            </w:r>
          </w:p>
        </w:tc>
        <w:tc>
          <w:tcPr>
            <w:tcW w:w="476"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53</w:t>
            </w:r>
          </w:p>
        </w:tc>
        <w:tc>
          <w:tcPr>
            <w:tcW w:w="1147"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2,364,008</w:t>
            </w:r>
          </w:p>
        </w:tc>
        <w:tc>
          <w:tcPr>
            <w:tcW w:w="554"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3</w:t>
            </w:r>
          </w:p>
        </w:tc>
        <w:tc>
          <w:tcPr>
            <w:tcW w:w="1069"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553,935</w:t>
            </w:r>
          </w:p>
        </w:tc>
        <w:tc>
          <w:tcPr>
            <w:tcW w:w="632"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w:t>
            </w:r>
          </w:p>
        </w:tc>
        <w:tc>
          <w:tcPr>
            <w:tcW w:w="992" w:type="dxa"/>
            <w:tcBorders>
              <w:top w:val="nil"/>
              <w:left w:val="nil"/>
              <w:bottom w:val="single" w:sz="8" w:space="0" w:color="F4B083"/>
              <w:right w:val="single" w:sz="8" w:space="0" w:color="F4B083"/>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678,704</w:t>
            </w:r>
          </w:p>
        </w:tc>
      </w:tr>
    </w:tbl>
    <w:p>
      <w:pPr>
        <w:rPr>
          <w:noProof/>
        </w:rPr>
      </w:pPr>
    </w:p>
    <w:p>
      <w:pPr>
        <w:pStyle w:val="Caption"/>
        <w:keepNext/>
        <w:jc w:val="both"/>
        <w:rPr>
          <w:noProof/>
        </w:rPr>
      </w:pPr>
      <w:r>
        <w:rPr>
          <w:noProof/>
        </w:rPr>
        <w:t xml:space="preserve">Chart PA </w:t>
      </w:r>
      <w:r>
        <w:rPr>
          <w:noProof/>
        </w:rPr>
        <w:fldChar w:fldCharType="begin"/>
      </w:r>
      <w:r>
        <w:rPr>
          <w:noProof/>
        </w:rPr>
        <w:instrText xml:space="preserve"> SEQ Chart_PA \* ARABIC </w:instrText>
      </w:r>
      <w:r>
        <w:rPr>
          <w:noProof/>
        </w:rPr>
        <w:fldChar w:fldCharType="separate"/>
      </w:r>
      <w:r>
        <w:rPr>
          <w:noProof/>
        </w:rPr>
        <w:t>9</w:t>
      </w:r>
      <w:r>
        <w:rPr>
          <w:noProof/>
        </w:rPr>
        <w:fldChar w:fldCharType="end"/>
      </w:r>
    </w:p>
    <w:p>
      <w:pPr>
        <w:jc w:val="both"/>
        <w:rPr>
          <w:noProof/>
        </w:rPr>
      </w:pPr>
      <w:r>
        <w:rPr>
          <w:noProof/>
          <w:lang w:eastAsia="en-GB"/>
        </w:rPr>
        <w:drawing>
          <wp:inline distT="0" distB="0" distL="0" distR="0">
            <wp:extent cx="5731510" cy="3438906"/>
            <wp:effectExtent l="0" t="0" r="254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jc w:val="both"/>
        <w:rPr>
          <w:rFonts w:ascii="Times New Roman" w:hAnsi="Times New Roman" w:cs="Times New Roman"/>
          <w:noProof/>
          <w:sz w:val="24"/>
        </w:rPr>
      </w:pPr>
    </w:p>
    <w:p>
      <w:pPr>
        <w:jc w:val="both"/>
        <w:rPr>
          <w:rFonts w:ascii="Times New Roman" w:hAnsi="Times New Roman" w:cs="Times New Roman"/>
          <w:noProof/>
          <w:sz w:val="24"/>
        </w:rPr>
      </w:pPr>
      <w:r>
        <w:rPr>
          <w:rFonts w:ascii="Times New Roman" w:hAnsi="Times New Roman" w:cs="Times New Roman"/>
          <w:b/>
          <w:noProof/>
          <w:sz w:val="24"/>
        </w:rPr>
        <w:t>For non-Member States, there are no easily discernible patterns regarding the reporting of IPA I irregularities during the period 2015-2019</w:t>
      </w:r>
      <w:r>
        <w:rPr>
          <w:rFonts w:ascii="Times New Roman" w:hAnsi="Times New Roman" w:cs="Times New Roman"/>
          <w:noProof/>
          <w:sz w:val="24"/>
        </w:rPr>
        <w:t>. Turkey consistently reports the largest number of irregularities and the highest financial amounts of these countries, whereas Albania and North Macedonia have consistently reported the lowest number of irregularities and financial amounts, with Albania not monetising any of its reported irregularities at all. For Montenegro, the irregularities were evenly split between HRD and REGD. For Serbia 60% of irregularities were related to CBC-IPA and the rest to TAIB. For Turkey, 65% of the irregularities and 75% of the financial amounts concerned IPARD. Most of the remaining irregularities were related either to HRD (22%) or to TAIB (10%)</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13</w:t>
      </w:r>
      <w:r>
        <w:rPr>
          <w:noProof/>
        </w:rPr>
        <w:fldChar w:fldCharType="end"/>
      </w:r>
      <w:r>
        <w:rPr>
          <w:noProof/>
        </w:rPr>
        <w:t>: IPA I, 2015-2019: Number of irregularities and financial amounts involved by country</w:t>
      </w:r>
    </w:p>
    <w:tbl>
      <w:tblPr>
        <w:tblW w:w="8931" w:type="dxa"/>
        <w:tblInd w:w="108" w:type="dxa"/>
        <w:tblLayout w:type="fixed"/>
        <w:tblLook w:val="04A0" w:firstRow="1" w:lastRow="0" w:firstColumn="1" w:lastColumn="0" w:noHBand="0" w:noVBand="1"/>
      </w:tblPr>
      <w:tblGrid>
        <w:gridCol w:w="959"/>
        <w:gridCol w:w="457"/>
        <w:gridCol w:w="808"/>
        <w:gridCol w:w="467"/>
        <w:gridCol w:w="1137"/>
        <w:gridCol w:w="465"/>
        <w:gridCol w:w="1236"/>
        <w:gridCol w:w="465"/>
        <w:gridCol w:w="1280"/>
        <w:gridCol w:w="523"/>
        <w:gridCol w:w="1134"/>
      </w:tblGrid>
      <w:tr>
        <w:trPr>
          <w:cantSplit/>
          <w:trHeight w:val="315"/>
        </w:trPr>
        <w:tc>
          <w:tcPr>
            <w:tcW w:w="959" w:type="dxa"/>
            <w:tcBorders>
              <w:top w:val="single" w:sz="8" w:space="0" w:color="ED7D31"/>
              <w:left w:val="single" w:sz="8" w:space="0" w:color="ED7D31"/>
              <w:bottom w:val="single" w:sz="8" w:space="0" w:color="ED7D31"/>
              <w:right w:val="nil"/>
            </w:tcBorders>
            <w:shd w:val="clear" w:color="000000" w:fill="ED7D31"/>
            <w:noWrap/>
            <w:vAlign w:val="center"/>
            <w:hideMark/>
          </w:tcPr>
          <w:p>
            <w:pPr>
              <w:keepNext/>
              <w:spacing w:after="0" w:line="240" w:lineRule="auto"/>
              <w:jc w:val="center"/>
              <w:rPr>
                <w:rFonts w:ascii="Calibri" w:eastAsia="Times New Roman" w:hAnsi="Calibri" w:cs="Calibri"/>
                <w:noProof/>
                <w:color w:val="000000"/>
                <w:lang w:eastAsia="en-GB"/>
              </w:rPr>
            </w:pPr>
          </w:p>
        </w:tc>
        <w:tc>
          <w:tcPr>
            <w:tcW w:w="1265" w:type="dxa"/>
            <w:gridSpan w:val="2"/>
            <w:tcBorders>
              <w:top w:val="single" w:sz="8" w:space="0" w:color="ED7D31"/>
              <w:left w:val="nil"/>
              <w:bottom w:val="single" w:sz="8" w:space="0" w:color="ED7D31"/>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Albania</w:t>
            </w:r>
          </w:p>
        </w:tc>
        <w:tc>
          <w:tcPr>
            <w:tcW w:w="1604" w:type="dxa"/>
            <w:gridSpan w:val="2"/>
            <w:tcBorders>
              <w:top w:val="single" w:sz="8" w:space="0" w:color="ED7D31"/>
              <w:left w:val="nil"/>
              <w:bottom w:val="single" w:sz="8" w:space="0" w:color="ED7D31"/>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Montenegro</w:t>
            </w:r>
          </w:p>
        </w:tc>
        <w:tc>
          <w:tcPr>
            <w:tcW w:w="1701" w:type="dxa"/>
            <w:gridSpan w:val="2"/>
            <w:tcBorders>
              <w:top w:val="single" w:sz="8" w:space="0" w:color="ED7D31"/>
              <w:left w:val="nil"/>
              <w:bottom w:val="single" w:sz="8" w:space="0" w:color="ED7D31"/>
              <w:right w:val="nil"/>
            </w:tcBorders>
            <w:shd w:val="clear" w:color="000000" w:fill="ED7D31"/>
            <w:noWrap/>
            <w:vAlign w:val="center"/>
            <w:hideMark/>
          </w:tcPr>
          <w:p>
            <w:pPr>
              <w:keepNext/>
              <w:spacing w:after="0" w:line="240" w:lineRule="auto"/>
              <w:ind w:left="-112" w:right="-103"/>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North Macedonia</w:t>
            </w:r>
          </w:p>
        </w:tc>
        <w:tc>
          <w:tcPr>
            <w:tcW w:w="1745" w:type="dxa"/>
            <w:gridSpan w:val="2"/>
            <w:tcBorders>
              <w:top w:val="single" w:sz="8" w:space="0" w:color="ED7D31"/>
              <w:left w:val="nil"/>
              <w:bottom w:val="single" w:sz="8" w:space="0" w:color="ED7D31"/>
              <w:right w:val="nil"/>
            </w:tcBorders>
            <w:shd w:val="clear" w:color="000000" w:fill="ED7D31"/>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Serbia</w:t>
            </w:r>
          </w:p>
        </w:tc>
        <w:tc>
          <w:tcPr>
            <w:tcW w:w="1657" w:type="dxa"/>
            <w:gridSpan w:val="2"/>
            <w:tcBorders>
              <w:top w:val="single" w:sz="8" w:space="0" w:color="ED7D31"/>
              <w:left w:val="nil"/>
              <w:bottom w:val="single" w:sz="8" w:space="0" w:color="ED7D31"/>
              <w:right w:val="single" w:sz="8" w:space="0" w:color="ED7D31"/>
            </w:tcBorders>
            <w:shd w:val="clear" w:color="000000" w:fill="ED7D31"/>
            <w:noWrap/>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Turkey</w:t>
            </w:r>
          </w:p>
        </w:tc>
      </w:tr>
      <w:tr>
        <w:trPr>
          <w:cantSplit/>
          <w:trHeight w:val="315"/>
        </w:trPr>
        <w:tc>
          <w:tcPr>
            <w:tcW w:w="959" w:type="dxa"/>
            <w:tcBorders>
              <w:top w:val="nil"/>
              <w:left w:val="single" w:sz="8" w:space="0" w:color="F4B083"/>
              <w:bottom w:val="single" w:sz="8" w:space="0" w:color="F4B083"/>
              <w:right w:val="nil"/>
            </w:tcBorders>
            <w:shd w:val="clear" w:color="000000" w:fill="ED7D31"/>
            <w:noWrap/>
            <w:vAlign w:val="center"/>
            <w:hideMark/>
          </w:tcPr>
          <w:p>
            <w:pPr>
              <w:keepNext/>
              <w:spacing w:after="0" w:line="240" w:lineRule="auto"/>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 </w:t>
            </w:r>
          </w:p>
        </w:tc>
        <w:tc>
          <w:tcPr>
            <w:tcW w:w="457" w:type="dxa"/>
            <w:tcBorders>
              <w:top w:val="nil"/>
              <w:left w:val="nil"/>
              <w:bottom w:val="single" w:sz="8" w:space="0" w:color="F4B083"/>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808" w:type="dxa"/>
            <w:tcBorders>
              <w:top w:val="nil"/>
              <w:left w:val="nil"/>
              <w:bottom w:val="single" w:sz="8" w:space="0" w:color="F4B083"/>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c>
          <w:tcPr>
            <w:tcW w:w="467" w:type="dxa"/>
            <w:tcBorders>
              <w:top w:val="nil"/>
              <w:left w:val="nil"/>
              <w:bottom w:val="single" w:sz="8" w:space="0" w:color="F4B083"/>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137" w:type="dxa"/>
            <w:tcBorders>
              <w:top w:val="nil"/>
              <w:left w:val="nil"/>
              <w:bottom w:val="single" w:sz="8" w:space="0" w:color="F4B083"/>
              <w:right w:val="nil"/>
            </w:tcBorders>
            <w:shd w:val="clear" w:color="000000" w:fill="ED7D31"/>
            <w:noWrap/>
            <w:vAlign w:val="center"/>
            <w:hideMark/>
          </w:tcPr>
          <w:p>
            <w:pPr>
              <w:keepNext/>
              <w:spacing w:after="0" w:line="240" w:lineRule="auto"/>
              <w:jc w:val="right"/>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c>
          <w:tcPr>
            <w:tcW w:w="465" w:type="dxa"/>
            <w:tcBorders>
              <w:top w:val="nil"/>
              <w:left w:val="nil"/>
              <w:bottom w:val="single" w:sz="8" w:space="0" w:color="F4B083"/>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236" w:type="dxa"/>
            <w:tcBorders>
              <w:top w:val="nil"/>
              <w:left w:val="nil"/>
              <w:bottom w:val="single" w:sz="8" w:space="0" w:color="F4B083"/>
              <w:right w:val="nil"/>
            </w:tcBorders>
            <w:shd w:val="clear" w:color="000000" w:fill="ED7D31"/>
            <w:noWrap/>
            <w:vAlign w:val="center"/>
            <w:hideMark/>
          </w:tcPr>
          <w:p>
            <w:pPr>
              <w:keepNext/>
              <w:spacing w:after="0" w:line="240" w:lineRule="auto"/>
              <w:jc w:val="right"/>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c>
          <w:tcPr>
            <w:tcW w:w="465" w:type="dxa"/>
            <w:tcBorders>
              <w:top w:val="nil"/>
              <w:left w:val="nil"/>
              <w:bottom w:val="single" w:sz="8" w:space="0" w:color="F4B083"/>
              <w:right w:val="nil"/>
            </w:tcBorders>
            <w:shd w:val="clear" w:color="000000" w:fill="ED7D31"/>
            <w:vAlign w:val="center"/>
            <w:hideMark/>
          </w:tcPr>
          <w:p>
            <w:pPr>
              <w:keepNext/>
              <w:spacing w:after="0" w:line="240" w:lineRule="auto"/>
              <w:jc w:val="right"/>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280" w:type="dxa"/>
            <w:tcBorders>
              <w:top w:val="nil"/>
              <w:left w:val="nil"/>
              <w:bottom w:val="single" w:sz="8" w:space="0" w:color="F4B083"/>
              <w:right w:val="nil"/>
            </w:tcBorders>
            <w:shd w:val="clear" w:color="000000" w:fill="ED7D31"/>
            <w:vAlign w:val="center"/>
            <w:hideMark/>
          </w:tcPr>
          <w:p>
            <w:pPr>
              <w:keepNext/>
              <w:spacing w:after="0" w:line="240" w:lineRule="auto"/>
              <w:jc w:val="right"/>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c>
          <w:tcPr>
            <w:tcW w:w="523" w:type="dxa"/>
            <w:tcBorders>
              <w:top w:val="nil"/>
              <w:left w:val="nil"/>
              <w:bottom w:val="single" w:sz="8" w:space="0" w:color="F4B083"/>
              <w:right w:val="nil"/>
            </w:tcBorders>
            <w:shd w:val="clear" w:color="000000" w:fill="ED7D31"/>
            <w:vAlign w:val="center"/>
            <w:hideMark/>
          </w:tcPr>
          <w:p>
            <w:pPr>
              <w:keepNext/>
              <w:spacing w:after="0" w:line="240" w:lineRule="auto"/>
              <w:jc w:val="right"/>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134" w:type="dxa"/>
            <w:tcBorders>
              <w:top w:val="nil"/>
              <w:left w:val="nil"/>
              <w:bottom w:val="single" w:sz="8" w:space="0" w:color="F4B083"/>
              <w:right w:val="single" w:sz="8" w:space="0" w:color="F4B083"/>
            </w:tcBorders>
            <w:shd w:val="clear" w:color="000000" w:fill="ED7D31"/>
            <w:noWrap/>
            <w:vAlign w:val="center"/>
            <w:hideMark/>
          </w:tcPr>
          <w:p>
            <w:pPr>
              <w:keepNext/>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r>
      <w:tr>
        <w:trPr>
          <w:cantSplit/>
          <w:trHeight w:val="315"/>
        </w:trPr>
        <w:tc>
          <w:tcPr>
            <w:tcW w:w="959" w:type="dxa"/>
            <w:tcBorders>
              <w:top w:val="nil"/>
              <w:left w:val="single" w:sz="8" w:space="0" w:color="F4B083"/>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2015</w:t>
            </w:r>
          </w:p>
        </w:tc>
        <w:tc>
          <w:tcPr>
            <w:tcW w:w="45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808"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6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7"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65"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236"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65"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w:t>
            </w:r>
          </w:p>
        </w:tc>
        <w:tc>
          <w:tcPr>
            <w:tcW w:w="1280"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35,309</w:t>
            </w:r>
          </w:p>
        </w:tc>
        <w:tc>
          <w:tcPr>
            <w:tcW w:w="523"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53</w:t>
            </w:r>
          </w:p>
        </w:tc>
        <w:tc>
          <w:tcPr>
            <w:tcW w:w="1134" w:type="dxa"/>
            <w:tcBorders>
              <w:top w:val="nil"/>
              <w:left w:val="nil"/>
              <w:bottom w:val="single" w:sz="8" w:space="0" w:color="F4B083"/>
              <w:right w:val="single" w:sz="8" w:space="0" w:color="F4B083"/>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4,904,525</w:t>
            </w:r>
          </w:p>
        </w:tc>
      </w:tr>
      <w:tr>
        <w:trPr>
          <w:cantSplit/>
          <w:trHeight w:val="315"/>
        </w:trPr>
        <w:tc>
          <w:tcPr>
            <w:tcW w:w="959" w:type="dxa"/>
            <w:tcBorders>
              <w:top w:val="nil"/>
              <w:left w:val="single" w:sz="8" w:space="0" w:color="F4B083"/>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2016</w:t>
            </w:r>
          </w:p>
        </w:tc>
        <w:tc>
          <w:tcPr>
            <w:tcW w:w="45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08"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6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7"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65"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w:t>
            </w:r>
          </w:p>
        </w:tc>
        <w:tc>
          <w:tcPr>
            <w:tcW w:w="1236"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6,500</w:t>
            </w:r>
          </w:p>
        </w:tc>
        <w:tc>
          <w:tcPr>
            <w:tcW w:w="465"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12</w:t>
            </w:r>
          </w:p>
        </w:tc>
        <w:tc>
          <w:tcPr>
            <w:tcW w:w="1280"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71,130</w:t>
            </w:r>
          </w:p>
        </w:tc>
        <w:tc>
          <w:tcPr>
            <w:tcW w:w="523"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54</w:t>
            </w:r>
          </w:p>
        </w:tc>
        <w:tc>
          <w:tcPr>
            <w:tcW w:w="1134" w:type="dxa"/>
            <w:tcBorders>
              <w:top w:val="nil"/>
              <w:left w:val="nil"/>
              <w:bottom w:val="single" w:sz="8" w:space="0" w:color="F4B083"/>
              <w:right w:val="single" w:sz="8" w:space="0" w:color="F4B083"/>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6,989,247</w:t>
            </w:r>
          </w:p>
        </w:tc>
      </w:tr>
      <w:tr>
        <w:trPr>
          <w:cantSplit/>
          <w:trHeight w:val="315"/>
        </w:trPr>
        <w:tc>
          <w:tcPr>
            <w:tcW w:w="959" w:type="dxa"/>
            <w:tcBorders>
              <w:top w:val="nil"/>
              <w:left w:val="single" w:sz="8" w:space="0" w:color="F4B083"/>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2017</w:t>
            </w:r>
          </w:p>
        </w:tc>
        <w:tc>
          <w:tcPr>
            <w:tcW w:w="45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08"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6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9</w:t>
            </w:r>
          </w:p>
        </w:tc>
        <w:tc>
          <w:tcPr>
            <w:tcW w:w="1137"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65"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1236"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27,950</w:t>
            </w:r>
          </w:p>
        </w:tc>
        <w:tc>
          <w:tcPr>
            <w:tcW w:w="465"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1280"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22,388</w:t>
            </w:r>
          </w:p>
        </w:tc>
        <w:tc>
          <w:tcPr>
            <w:tcW w:w="523"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80</w:t>
            </w:r>
          </w:p>
        </w:tc>
        <w:tc>
          <w:tcPr>
            <w:tcW w:w="1134" w:type="dxa"/>
            <w:tcBorders>
              <w:top w:val="nil"/>
              <w:left w:val="nil"/>
              <w:bottom w:val="single" w:sz="8" w:space="0" w:color="F4B083"/>
              <w:right w:val="single" w:sz="8" w:space="0" w:color="F4B083"/>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15,397,202</w:t>
            </w:r>
          </w:p>
        </w:tc>
      </w:tr>
      <w:tr>
        <w:trPr>
          <w:cantSplit/>
          <w:trHeight w:val="315"/>
        </w:trPr>
        <w:tc>
          <w:tcPr>
            <w:tcW w:w="959" w:type="dxa"/>
            <w:tcBorders>
              <w:top w:val="nil"/>
              <w:left w:val="single" w:sz="8" w:space="0" w:color="F4B083"/>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2018</w:t>
            </w:r>
          </w:p>
        </w:tc>
        <w:tc>
          <w:tcPr>
            <w:tcW w:w="45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08"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6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w:t>
            </w:r>
          </w:p>
        </w:tc>
        <w:tc>
          <w:tcPr>
            <w:tcW w:w="1137"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36,647</w:t>
            </w:r>
          </w:p>
        </w:tc>
        <w:tc>
          <w:tcPr>
            <w:tcW w:w="465"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1236"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65"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1280"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23"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101</w:t>
            </w:r>
          </w:p>
        </w:tc>
        <w:tc>
          <w:tcPr>
            <w:tcW w:w="1134" w:type="dxa"/>
            <w:tcBorders>
              <w:top w:val="nil"/>
              <w:left w:val="nil"/>
              <w:bottom w:val="single" w:sz="8" w:space="0" w:color="F4B083"/>
              <w:right w:val="single" w:sz="8" w:space="0" w:color="F4B083"/>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10,707,292</w:t>
            </w:r>
          </w:p>
        </w:tc>
      </w:tr>
      <w:tr>
        <w:trPr>
          <w:cantSplit/>
          <w:trHeight w:val="315"/>
        </w:trPr>
        <w:tc>
          <w:tcPr>
            <w:tcW w:w="959" w:type="dxa"/>
            <w:tcBorders>
              <w:top w:val="nil"/>
              <w:left w:val="single" w:sz="8" w:space="0" w:color="F4B083"/>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2019</w:t>
            </w:r>
          </w:p>
        </w:tc>
        <w:tc>
          <w:tcPr>
            <w:tcW w:w="45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808"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6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27</w:t>
            </w:r>
          </w:p>
        </w:tc>
        <w:tc>
          <w:tcPr>
            <w:tcW w:w="1137"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70,418</w:t>
            </w:r>
          </w:p>
        </w:tc>
        <w:tc>
          <w:tcPr>
            <w:tcW w:w="465"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1236"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26,183</w:t>
            </w:r>
          </w:p>
        </w:tc>
        <w:tc>
          <w:tcPr>
            <w:tcW w:w="465"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w:t>
            </w:r>
          </w:p>
        </w:tc>
        <w:tc>
          <w:tcPr>
            <w:tcW w:w="1280"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1,153,297</w:t>
            </w:r>
          </w:p>
        </w:tc>
        <w:tc>
          <w:tcPr>
            <w:tcW w:w="523"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87</w:t>
            </w:r>
          </w:p>
        </w:tc>
        <w:tc>
          <w:tcPr>
            <w:tcW w:w="1134" w:type="dxa"/>
            <w:tcBorders>
              <w:top w:val="nil"/>
              <w:left w:val="nil"/>
              <w:bottom w:val="single" w:sz="8" w:space="0" w:color="F4B083"/>
              <w:right w:val="single" w:sz="8" w:space="0" w:color="F4B083"/>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9,663,060</w:t>
            </w:r>
          </w:p>
        </w:tc>
      </w:tr>
      <w:tr>
        <w:trPr>
          <w:cantSplit/>
          <w:trHeight w:val="315"/>
        </w:trPr>
        <w:tc>
          <w:tcPr>
            <w:tcW w:w="959" w:type="dxa"/>
            <w:tcBorders>
              <w:top w:val="nil"/>
              <w:left w:val="single" w:sz="8" w:space="0" w:color="F4B083"/>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Total</w:t>
            </w:r>
          </w:p>
        </w:tc>
        <w:tc>
          <w:tcPr>
            <w:tcW w:w="45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w:t>
            </w:r>
          </w:p>
        </w:tc>
        <w:tc>
          <w:tcPr>
            <w:tcW w:w="808"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0</w:t>
            </w:r>
          </w:p>
        </w:tc>
        <w:tc>
          <w:tcPr>
            <w:tcW w:w="46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41</w:t>
            </w:r>
          </w:p>
        </w:tc>
        <w:tc>
          <w:tcPr>
            <w:tcW w:w="1137"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107,065</w:t>
            </w:r>
          </w:p>
        </w:tc>
        <w:tc>
          <w:tcPr>
            <w:tcW w:w="465"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7</w:t>
            </w:r>
          </w:p>
        </w:tc>
        <w:tc>
          <w:tcPr>
            <w:tcW w:w="1236"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60,633</w:t>
            </w:r>
          </w:p>
        </w:tc>
        <w:tc>
          <w:tcPr>
            <w:tcW w:w="465"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26</w:t>
            </w:r>
          </w:p>
        </w:tc>
        <w:tc>
          <w:tcPr>
            <w:tcW w:w="1280"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1,282,124</w:t>
            </w:r>
          </w:p>
        </w:tc>
        <w:tc>
          <w:tcPr>
            <w:tcW w:w="523"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375</w:t>
            </w:r>
          </w:p>
        </w:tc>
        <w:tc>
          <w:tcPr>
            <w:tcW w:w="1134" w:type="dxa"/>
            <w:tcBorders>
              <w:top w:val="nil"/>
              <w:left w:val="nil"/>
              <w:bottom w:val="single" w:sz="8" w:space="0" w:color="F4B083"/>
              <w:right w:val="single" w:sz="8" w:space="0" w:color="F4B083"/>
            </w:tcBorders>
            <w:shd w:val="clear" w:color="000000" w:fill="FBE4D5"/>
            <w:noWrap/>
            <w:vAlign w:val="center"/>
            <w:hideMark/>
          </w:tcPr>
          <w:p>
            <w:pPr>
              <w:keepNext/>
              <w:spacing w:after="0" w:line="240" w:lineRule="auto"/>
              <w:jc w:val="center"/>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47,661,326</w:t>
            </w:r>
          </w:p>
        </w:tc>
      </w:tr>
    </w:tbl>
    <w:p>
      <w:pPr>
        <w:rPr>
          <w:noProof/>
        </w:rPr>
      </w:pPr>
    </w:p>
    <w:p>
      <w:pPr>
        <w:pStyle w:val="Caption"/>
        <w:keepNext/>
        <w:jc w:val="both"/>
        <w:rPr>
          <w:noProof/>
        </w:rPr>
      </w:pPr>
      <w:r>
        <w:rPr>
          <w:noProof/>
        </w:rPr>
        <w:t xml:space="preserve">Chart PA </w:t>
      </w:r>
      <w:r>
        <w:rPr>
          <w:noProof/>
        </w:rPr>
        <w:fldChar w:fldCharType="begin"/>
      </w:r>
      <w:r>
        <w:rPr>
          <w:noProof/>
        </w:rPr>
        <w:instrText xml:space="preserve"> SEQ Chart_PA \* ARABIC </w:instrText>
      </w:r>
      <w:r>
        <w:rPr>
          <w:noProof/>
        </w:rPr>
        <w:fldChar w:fldCharType="separate"/>
      </w:r>
      <w:r>
        <w:rPr>
          <w:noProof/>
        </w:rPr>
        <w:t>10</w:t>
      </w:r>
      <w:r>
        <w:rPr>
          <w:noProof/>
        </w:rPr>
        <w:fldChar w:fldCharType="end"/>
      </w:r>
    </w:p>
    <w:p>
      <w:pPr>
        <w:jc w:val="both"/>
        <w:rPr>
          <w:noProof/>
        </w:rPr>
      </w:pPr>
      <w:r>
        <w:rPr>
          <w:noProof/>
          <w:lang w:eastAsia="en-GB"/>
        </w:rPr>
        <w:drawing>
          <wp:inline distT="0" distB="0" distL="0" distR="0">
            <wp:extent cx="5730875" cy="3438525"/>
            <wp:effectExtent l="0" t="0" r="317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ListParagraph"/>
        <w:keepNext/>
        <w:ind w:left="1724"/>
        <w:rPr>
          <w:rFonts w:ascii="Times New Roman" w:hAnsi="Times New Roman" w:cs="Times New Roman"/>
          <w:i/>
          <w:noProof/>
          <w:sz w:val="24"/>
        </w:rPr>
      </w:pPr>
    </w:p>
    <w:p>
      <w:pPr>
        <w:outlineLvl w:val="4"/>
        <w:rPr>
          <w:rFonts w:ascii="Times New Roman" w:hAnsi="Times New Roman" w:cs="Times New Roman"/>
          <w:i/>
          <w:noProof/>
          <w:sz w:val="24"/>
        </w:rPr>
      </w:pPr>
      <w:r>
        <w:rPr>
          <w:rFonts w:ascii="Times New Roman" w:hAnsi="Times New Roman" w:cs="Times New Roman"/>
          <w:i/>
          <w:noProof/>
          <w:sz w:val="24"/>
        </w:rPr>
        <w:t>5.3.4.3.3</w:t>
      </w:r>
      <w:r>
        <w:rPr>
          <w:rFonts w:ascii="Times New Roman" w:hAnsi="Times New Roman" w:cs="Times New Roman"/>
          <w:i/>
          <w:noProof/>
          <w:sz w:val="24"/>
        </w:rPr>
        <w:tab/>
        <w:t xml:space="preserve"> Instruments for Pre-Accession II Irregularities by Country</w:t>
      </w:r>
    </w:p>
    <w:p>
      <w:pPr>
        <w:jc w:val="both"/>
        <w:rPr>
          <w:rFonts w:ascii="Times New Roman" w:hAnsi="Times New Roman" w:cs="Times New Roman"/>
          <w:noProof/>
          <w:sz w:val="24"/>
        </w:rPr>
      </w:pPr>
      <w:r>
        <w:rPr>
          <w:rFonts w:ascii="Times New Roman" w:hAnsi="Times New Roman" w:cs="Times New Roman"/>
          <w:b/>
          <w:noProof/>
          <w:sz w:val="24"/>
        </w:rPr>
        <w:t>Financial amounts relating to IPA II irregularities were only reported by Bulgaria, North Macedonia and Turkey</w:t>
      </w:r>
      <w:r>
        <w:rPr>
          <w:rFonts w:ascii="Times New Roman" w:hAnsi="Times New Roman" w:cs="Times New Roman"/>
          <w:noProof/>
          <w:sz w:val="24"/>
        </w:rPr>
        <w:t>. The financial amounts North Macedonia reported in 2019 were approximately ten times greater than the sum of the amounts the country reported in the preceding four years under both IPA I and II. While Turkey has reported the largest sum of irregular financial amounts under IPA II so far, North Macedonia reported the highest number of irregularities. Table PA14 and Chart PA11 provide further detail. Nearly all irregularities reported by North Macedonia and Turkey concerned IPARD (two cases were related to REGD), while Serbia reported more on CBC-IPA (only one case on IPARD) and Albania and Montenegro exclusively on TAIB. Bulgaria reported only irregularities related to CBC-IPA, as it is a Member State.</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14</w:t>
      </w:r>
      <w:r>
        <w:rPr>
          <w:noProof/>
        </w:rPr>
        <w:fldChar w:fldCharType="end"/>
      </w:r>
      <w:r>
        <w:rPr>
          <w:noProof/>
        </w:rPr>
        <w:t>: IPA II, 2015-2019: Number of irregularities and financial amounts involved by Country</w:t>
      </w:r>
    </w:p>
    <w:tbl>
      <w:tblPr>
        <w:tblW w:w="9355" w:type="dxa"/>
        <w:tblInd w:w="108" w:type="dxa"/>
        <w:tblLayout w:type="fixed"/>
        <w:tblLook w:val="04A0" w:firstRow="1" w:lastRow="0" w:firstColumn="1" w:lastColumn="0" w:noHBand="0" w:noVBand="1"/>
      </w:tblPr>
      <w:tblGrid>
        <w:gridCol w:w="708"/>
        <w:gridCol w:w="568"/>
        <w:gridCol w:w="709"/>
        <w:gridCol w:w="567"/>
        <w:gridCol w:w="992"/>
        <w:gridCol w:w="567"/>
        <w:gridCol w:w="851"/>
        <w:gridCol w:w="425"/>
        <w:gridCol w:w="1134"/>
        <w:gridCol w:w="567"/>
        <w:gridCol w:w="709"/>
        <w:gridCol w:w="567"/>
        <w:gridCol w:w="991"/>
      </w:tblGrid>
      <w:tr>
        <w:trPr>
          <w:cantSplit/>
          <w:trHeight w:val="315"/>
        </w:trPr>
        <w:tc>
          <w:tcPr>
            <w:tcW w:w="708" w:type="dxa"/>
            <w:tcBorders>
              <w:top w:val="single" w:sz="8" w:space="0" w:color="ED7D31"/>
              <w:left w:val="single" w:sz="8" w:space="0" w:color="ED7D31"/>
              <w:bottom w:val="single" w:sz="8" w:space="0" w:color="ED7D31"/>
              <w:right w:val="nil"/>
            </w:tcBorders>
            <w:shd w:val="clear" w:color="000000" w:fill="ED7D31"/>
            <w:noWrap/>
            <w:vAlign w:val="center"/>
            <w:hideMark/>
          </w:tcPr>
          <w:p>
            <w:pPr>
              <w:keepNext/>
              <w:spacing w:after="0" w:line="240" w:lineRule="auto"/>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c>
          <w:tcPr>
            <w:tcW w:w="1277" w:type="dxa"/>
            <w:gridSpan w:val="2"/>
            <w:tcBorders>
              <w:top w:val="single" w:sz="8" w:space="0" w:color="ED7D31"/>
              <w:left w:val="nil"/>
              <w:bottom w:val="single" w:sz="8" w:space="0" w:color="ED7D31"/>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Albania</w:t>
            </w:r>
          </w:p>
        </w:tc>
        <w:tc>
          <w:tcPr>
            <w:tcW w:w="1559" w:type="dxa"/>
            <w:gridSpan w:val="2"/>
            <w:tcBorders>
              <w:top w:val="single" w:sz="8" w:space="0" w:color="ED7D31"/>
              <w:left w:val="nil"/>
              <w:bottom w:val="single" w:sz="8" w:space="0" w:color="ED7D31"/>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Bulgaria</w:t>
            </w:r>
          </w:p>
        </w:tc>
        <w:tc>
          <w:tcPr>
            <w:tcW w:w="1418" w:type="dxa"/>
            <w:gridSpan w:val="2"/>
            <w:tcBorders>
              <w:top w:val="single" w:sz="8" w:space="0" w:color="ED7D31"/>
              <w:left w:val="nil"/>
              <w:bottom w:val="single" w:sz="8" w:space="0" w:color="ED7D31"/>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Montenegro</w:t>
            </w:r>
          </w:p>
        </w:tc>
        <w:tc>
          <w:tcPr>
            <w:tcW w:w="1559" w:type="dxa"/>
            <w:gridSpan w:val="2"/>
            <w:tcBorders>
              <w:top w:val="single" w:sz="8" w:space="0" w:color="ED7D31"/>
              <w:left w:val="nil"/>
              <w:bottom w:val="single" w:sz="8" w:space="0" w:color="ED7D31"/>
              <w:right w:val="nil"/>
            </w:tcBorders>
            <w:shd w:val="clear" w:color="000000" w:fill="ED7D31"/>
            <w:vAlign w:val="center"/>
            <w:hideMark/>
          </w:tcPr>
          <w:p>
            <w:pPr>
              <w:keepNext/>
              <w:spacing w:after="0" w:line="240" w:lineRule="auto"/>
              <w:ind w:left="-254" w:right="-322"/>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North Macedonia</w:t>
            </w:r>
          </w:p>
        </w:tc>
        <w:tc>
          <w:tcPr>
            <w:tcW w:w="1276" w:type="dxa"/>
            <w:gridSpan w:val="2"/>
            <w:tcBorders>
              <w:top w:val="single" w:sz="8" w:space="0" w:color="ED7D31"/>
              <w:left w:val="nil"/>
              <w:bottom w:val="single" w:sz="8" w:space="0" w:color="ED7D31"/>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Serbia</w:t>
            </w:r>
          </w:p>
        </w:tc>
        <w:tc>
          <w:tcPr>
            <w:tcW w:w="1558" w:type="dxa"/>
            <w:gridSpan w:val="2"/>
            <w:tcBorders>
              <w:top w:val="single" w:sz="8" w:space="0" w:color="ED7D31"/>
              <w:left w:val="nil"/>
              <w:bottom w:val="single" w:sz="8" w:space="0" w:color="ED7D31"/>
              <w:right w:val="single" w:sz="8" w:space="0" w:color="ED7D31"/>
            </w:tcBorders>
            <w:shd w:val="clear" w:color="000000" w:fill="ED7D31"/>
            <w:vAlign w:val="center"/>
            <w:hideMark/>
          </w:tcPr>
          <w:p>
            <w:pPr>
              <w:keepNext/>
              <w:spacing w:after="0" w:line="240" w:lineRule="auto"/>
              <w:jc w:val="center"/>
              <w:rPr>
                <w:rFonts w:ascii="Times New Roman" w:eastAsia="Times New Roman" w:hAnsi="Times New Roman" w:cs="Times New Roman"/>
                <w:b/>
                <w:bCs/>
                <w:noProof/>
                <w:color w:val="FFFFFF"/>
                <w:sz w:val="20"/>
                <w:szCs w:val="20"/>
                <w:lang w:eastAsia="en-GB"/>
              </w:rPr>
            </w:pPr>
            <w:r>
              <w:rPr>
                <w:rFonts w:ascii="Times New Roman" w:eastAsia="Times New Roman" w:hAnsi="Times New Roman" w:cs="Times New Roman"/>
                <w:b/>
                <w:bCs/>
                <w:noProof/>
                <w:color w:val="FFFFFF"/>
                <w:sz w:val="20"/>
                <w:szCs w:val="20"/>
                <w:lang w:eastAsia="en-GB"/>
              </w:rPr>
              <w:t>Turkey</w:t>
            </w:r>
          </w:p>
        </w:tc>
      </w:tr>
      <w:tr>
        <w:trPr>
          <w:cantSplit/>
          <w:trHeight w:val="315"/>
        </w:trPr>
        <w:tc>
          <w:tcPr>
            <w:tcW w:w="708" w:type="dxa"/>
            <w:tcBorders>
              <w:top w:val="nil"/>
              <w:left w:val="single" w:sz="8" w:space="0" w:color="F4B083"/>
              <w:bottom w:val="single" w:sz="8" w:space="0" w:color="F4B083"/>
              <w:right w:val="nil"/>
            </w:tcBorders>
            <w:shd w:val="clear" w:color="000000" w:fill="ED7D31"/>
            <w:noWrap/>
            <w:vAlign w:val="center"/>
            <w:hideMark/>
          </w:tcPr>
          <w:p>
            <w:pPr>
              <w:keepNext/>
              <w:spacing w:after="0" w:line="240" w:lineRule="auto"/>
              <w:rPr>
                <w:rFonts w:ascii="Times New Roman" w:eastAsia="Times New Roman" w:hAnsi="Times New Roman" w:cs="Times New Roman"/>
                <w:b/>
                <w:bCs/>
                <w:noProof/>
                <w:color w:val="FFFFFF"/>
                <w:sz w:val="18"/>
                <w:szCs w:val="20"/>
                <w:lang w:eastAsia="en-GB"/>
              </w:rPr>
            </w:pPr>
            <w:r>
              <w:rPr>
                <w:rFonts w:ascii="Times New Roman" w:eastAsia="Times New Roman" w:hAnsi="Times New Roman" w:cs="Times New Roman"/>
                <w:b/>
                <w:bCs/>
                <w:noProof/>
                <w:color w:val="FFFFFF"/>
                <w:sz w:val="18"/>
                <w:szCs w:val="20"/>
                <w:lang w:eastAsia="en-GB"/>
              </w:rPr>
              <w:t> </w:t>
            </w:r>
          </w:p>
        </w:tc>
        <w:tc>
          <w:tcPr>
            <w:tcW w:w="568" w:type="dxa"/>
            <w:tcBorders>
              <w:top w:val="nil"/>
              <w:left w:val="nil"/>
              <w:bottom w:val="single" w:sz="8" w:space="0" w:color="F4B083"/>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noProof/>
                <w:color w:val="FFFFFF"/>
                <w:sz w:val="18"/>
                <w:szCs w:val="20"/>
                <w:lang w:eastAsia="en-GB"/>
              </w:rPr>
            </w:pPr>
            <w:r>
              <w:rPr>
                <w:rFonts w:ascii="Times New Roman" w:eastAsia="Times New Roman" w:hAnsi="Times New Roman" w:cs="Times New Roman"/>
                <w:noProof/>
                <w:color w:val="FFFFFF"/>
                <w:sz w:val="18"/>
                <w:szCs w:val="20"/>
                <w:lang w:eastAsia="en-GB"/>
              </w:rPr>
              <w:t>(#)</w:t>
            </w:r>
          </w:p>
        </w:tc>
        <w:tc>
          <w:tcPr>
            <w:tcW w:w="709" w:type="dxa"/>
            <w:tcBorders>
              <w:top w:val="nil"/>
              <w:left w:val="nil"/>
              <w:bottom w:val="single" w:sz="8" w:space="0" w:color="F4B083"/>
              <w:right w:val="nil"/>
            </w:tcBorders>
            <w:shd w:val="clear" w:color="000000" w:fill="ED7D31"/>
            <w:noWrap/>
            <w:vAlign w:val="center"/>
            <w:hideMark/>
          </w:tcPr>
          <w:p>
            <w:pPr>
              <w:keepNext/>
              <w:spacing w:after="0" w:line="240" w:lineRule="auto"/>
              <w:ind w:left="-107"/>
              <w:jc w:val="right"/>
              <w:rPr>
                <w:rFonts w:ascii="Times New Roman" w:eastAsia="Times New Roman" w:hAnsi="Times New Roman" w:cs="Times New Roman"/>
                <w:noProof/>
                <w:color w:val="FFFFFF"/>
                <w:sz w:val="18"/>
                <w:szCs w:val="20"/>
                <w:lang w:eastAsia="en-GB"/>
              </w:rPr>
            </w:pPr>
            <w:r>
              <w:rPr>
                <w:rFonts w:ascii="Times New Roman" w:eastAsia="Times New Roman" w:hAnsi="Times New Roman" w:cs="Times New Roman"/>
                <w:noProof/>
                <w:color w:val="FFFFFF"/>
                <w:sz w:val="18"/>
                <w:szCs w:val="20"/>
                <w:lang w:eastAsia="en-GB"/>
              </w:rPr>
              <w:t>(EUR)</w:t>
            </w:r>
          </w:p>
        </w:tc>
        <w:tc>
          <w:tcPr>
            <w:tcW w:w="567" w:type="dxa"/>
            <w:tcBorders>
              <w:top w:val="nil"/>
              <w:left w:val="nil"/>
              <w:bottom w:val="single" w:sz="8" w:space="0" w:color="F4B083"/>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noProof/>
                <w:color w:val="FFFFFF"/>
                <w:sz w:val="18"/>
                <w:szCs w:val="20"/>
                <w:lang w:eastAsia="en-GB"/>
              </w:rPr>
            </w:pPr>
            <w:r>
              <w:rPr>
                <w:rFonts w:ascii="Times New Roman" w:eastAsia="Times New Roman" w:hAnsi="Times New Roman" w:cs="Times New Roman"/>
                <w:noProof/>
                <w:color w:val="FFFFFF"/>
                <w:sz w:val="18"/>
                <w:szCs w:val="20"/>
                <w:lang w:eastAsia="en-GB"/>
              </w:rPr>
              <w:t>(#)</w:t>
            </w:r>
          </w:p>
        </w:tc>
        <w:tc>
          <w:tcPr>
            <w:tcW w:w="992" w:type="dxa"/>
            <w:tcBorders>
              <w:top w:val="nil"/>
              <w:left w:val="nil"/>
              <w:bottom w:val="single" w:sz="8" w:space="0" w:color="F4B083"/>
              <w:right w:val="nil"/>
            </w:tcBorders>
            <w:shd w:val="clear" w:color="000000" w:fill="ED7D31"/>
            <w:noWrap/>
            <w:vAlign w:val="center"/>
            <w:hideMark/>
          </w:tcPr>
          <w:p>
            <w:pPr>
              <w:keepNext/>
              <w:spacing w:after="0" w:line="240" w:lineRule="auto"/>
              <w:jc w:val="right"/>
              <w:rPr>
                <w:rFonts w:ascii="Times New Roman" w:eastAsia="Times New Roman" w:hAnsi="Times New Roman" w:cs="Times New Roman"/>
                <w:noProof/>
                <w:color w:val="FFFFFF"/>
                <w:sz w:val="18"/>
                <w:szCs w:val="20"/>
                <w:lang w:eastAsia="en-GB"/>
              </w:rPr>
            </w:pPr>
            <w:r>
              <w:rPr>
                <w:rFonts w:ascii="Times New Roman" w:eastAsia="Times New Roman" w:hAnsi="Times New Roman" w:cs="Times New Roman"/>
                <w:noProof/>
                <w:color w:val="FFFFFF"/>
                <w:sz w:val="18"/>
                <w:szCs w:val="20"/>
                <w:lang w:eastAsia="en-GB"/>
              </w:rPr>
              <w:t>(EUR)</w:t>
            </w:r>
          </w:p>
        </w:tc>
        <w:tc>
          <w:tcPr>
            <w:tcW w:w="567" w:type="dxa"/>
            <w:tcBorders>
              <w:top w:val="nil"/>
              <w:left w:val="nil"/>
              <w:bottom w:val="single" w:sz="8" w:space="0" w:color="F4B083"/>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noProof/>
                <w:color w:val="FFFFFF"/>
                <w:sz w:val="18"/>
                <w:szCs w:val="20"/>
                <w:lang w:eastAsia="en-GB"/>
              </w:rPr>
            </w:pPr>
            <w:r>
              <w:rPr>
                <w:rFonts w:ascii="Times New Roman" w:eastAsia="Times New Roman" w:hAnsi="Times New Roman" w:cs="Times New Roman"/>
                <w:noProof/>
                <w:color w:val="FFFFFF"/>
                <w:sz w:val="18"/>
                <w:szCs w:val="20"/>
                <w:lang w:eastAsia="en-GB"/>
              </w:rPr>
              <w:t>(#)</w:t>
            </w:r>
          </w:p>
        </w:tc>
        <w:tc>
          <w:tcPr>
            <w:tcW w:w="851" w:type="dxa"/>
            <w:tcBorders>
              <w:top w:val="nil"/>
              <w:left w:val="nil"/>
              <w:bottom w:val="single" w:sz="8" w:space="0" w:color="F4B083"/>
              <w:right w:val="nil"/>
            </w:tcBorders>
            <w:shd w:val="clear" w:color="000000" w:fill="ED7D31"/>
            <w:noWrap/>
            <w:vAlign w:val="center"/>
            <w:hideMark/>
          </w:tcPr>
          <w:p>
            <w:pPr>
              <w:keepNext/>
              <w:spacing w:after="0" w:line="240" w:lineRule="auto"/>
              <w:jc w:val="right"/>
              <w:rPr>
                <w:rFonts w:ascii="Times New Roman" w:eastAsia="Times New Roman" w:hAnsi="Times New Roman" w:cs="Times New Roman"/>
                <w:noProof/>
                <w:color w:val="FFFFFF"/>
                <w:sz w:val="18"/>
                <w:szCs w:val="20"/>
                <w:lang w:eastAsia="en-GB"/>
              </w:rPr>
            </w:pPr>
            <w:r>
              <w:rPr>
                <w:rFonts w:ascii="Times New Roman" w:eastAsia="Times New Roman" w:hAnsi="Times New Roman" w:cs="Times New Roman"/>
                <w:noProof/>
                <w:color w:val="FFFFFF"/>
                <w:sz w:val="18"/>
                <w:szCs w:val="20"/>
                <w:lang w:eastAsia="en-GB"/>
              </w:rPr>
              <w:t>(EUR)</w:t>
            </w:r>
          </w:p>
        </w:tc>
        <w:tc>
          <w:tcPr>
            <w:tcW w:w="425" w:type="dxa"/>
            <w:tcBorders>
              <w:top w:val="nil"/>
              <w:left w:val="nil"/>
              <w:bottom w:val="single" w:sz="8" w:space="0" w:color="F4B083"/>
              <w:right w:val="nil"/>
            </w:tcBorders>
            <w:shd w:val="clear" w:color="000000" w:fill="ED7D31"/>
            <w:vAlign w:val="center"/>
            <w:hideMark/>
          </w:tcPr>
          <w:p>
            <w:pPr>
              <w:keepNext/>
              <w:spacing w:after="0" w:line="240" w:lineRule="auto"/>
              <w:ind w:left="-107"/>
              <w:jc w:val="right"/>
              <w:rPr>
                <w:rFonts w:ascii="Times New Roman" w:eastAsia="Times New Roman" w:hAnsi="Times New Roman" w:cs="Times New Roman"/>
                <w:noProof/>
                <w:color w:val="FFFFFF"/>
                <w:sz w:val="18"/>
                <w:szCs w:val="20"/>
                <w:lang w:eastAsia="en-GB"/>
              </w:rPr>
            </w:pPr>
            <w:r>
              <w:rPr>
                <w:rFonts w:ascii="Times New Roman" w:eastAsia="Times New Roman" w:hAnsi="Times New Roman" w:cs="Times New Roman"/>
                <w:noProof/>
                <w:color w:val="FFFFFF"/>
                <w:sz w:val="18"/>
                <w:szCs w:val="20"/>
                <w:lang w:eastAsia="en-GB"/>
              </w:rPr>
              <w:t>(#)</w:t>
            </w:r>
          </w:p>
        </w:tc>
        <w:tc>
          <w:tcPr>
            <w:tcW w:w="1134" w:type="dxa"/>
            <w:tcBorders>
              <w:top w:val="nil"/>
              <w:left w:val="nil"/>
              <w:bottom w:val="single" w:sz="8" w:space="0" w:color="F4B083"/>
              <w:right w:val="nil"/>
            </w:tcBorders>
            <w:shd w:val="clear" w:color="000000" w:fill="ED7D31"/>
            <w:vAlign w:val="center"/>
            <w:hideMark/>
          </w:tcPr>
          <w:p>
            <w:pPr>
              <w:keepNext/>
              <w:spacing w:after="0" w:line="240" w:lineRule="auto"/>
              <w:jc w:val="right"/>
              <w:rPr>
                <w:rFonts w:ascii="Times New Roman" w:eastAsia="Times New Roman" w:hAnsi="Times New Roman" w:cs="Times New Roman"/>
                <w:noProof/>
                <w:color w:val="FFFFFF"/>
                <w:sz w:val="18"/>
                <w:szCs w:val="20"/>
                <w:lang w:eastAsia="en-GB"/>
              </w:rPr>
            </w:pPr>
            <w:r>
              <w:rPr>
                <w:rFonts w:ascii="Times New Roman" w:eastAsia="Times New Roman" w:hAnsi="Times New Roman" w:cs="Times New Roman"/>
                <w:noProof/>
                <w:color w:val="FFFFFF"/>
                <w:sz w:val="18"/>
                <w:szCs w:val="20"/>
                <w:lang w:eastAsia="en-GB"/>
              </w:rPr>
              <w:t>(EUR)</w:t>
            </w:r>
          </w:p>
        </w:tc>
        <w:tc>
          <w:tcPr>
            <w:tcW w:w="567" w:type="dxa"/>
            <w:tcBorders>
              <w:top w:val="nil"/>
              <w:left w:val="nil"/>
              <w:bottom w:val="single" w:sz="8" w:space="0" w:color="F4B083"/>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noProof/>
                <w:color w:val="FFFFFF"/>
                <w:sz w:val="18"/>
                <w:szCs w:val="20"/>
                <w:lang w:eastAsia="en-GB"/>
              </w:rPr>
            </w:pPr>
            <w:r>
              <w:rPr>
                <w:rFonts w:ascii="Times New Roman" w:eastAsia="Times New Roman" w:hAnsi="Times New Roman" w:cs="Times New Roman"/>
                <w:noProof/>
                <w:color w:val="FFFFFF"/>
                <w:sz w:val="18"/>
                <w:szCs w:val="20"/>
                <w:lang w:eastAsia="en-GB"/>
              </w:rPr>
              <w:t>(#)</w:t>
            </w:r>
          </w:p>
        </w:tc>
        <w:tc>
          <w:tcPr>
            <w:tcW w:w="709" w:type="dxa"/>
            <w:tcBorders>
              <w:top w:val="nil"/>
              <w:left w:val="nil"/>
              <w:bottom w:val="single" w:sz="8" w:space="0" w:color="F4B083"/>
              <w:right w:val="nil"/>
            </w:tcBorders>
            <w:shd w:val="clear" w:color="000000" w:fill="ED7D31"/>
            <w:noWrap/>
            <w:vAlign w:val="center"/>
            <w:hideMark/>
          </w:tcPr>
          <w:p>
            <w:pPr>
              <w:keepNext/>
              <w:spacing w:after="0" w:line="240" w:lineRule="auto"/>
              <w:ind w:left="-105"/>
              <w:jc w:val="right"/>
              <w:rPr>
                <w:rFonts w:ascii="Times New Roman" w:eastAsia="Times New Roman" w:hAnsi="Times New Roman" w:cs="Times New Roman"/>
                <w:noProof/>
                <w:color w:val="FFFFFF"/>
                <w:sz w:val="18"/>
                <w:szCs w:val="20"/>
                <w:lang w:eastAsia="en-GB"/>
              </w:rPr>
            </w:pPr>
            <w:r>
              <w:rPr>
                <w:rFonts w:ascii="Times New Roman" w:eastAsia="Times New Roman" w:hAnsi="Times New Roman" w:cs="Times New Roman"/>
                <w:noProof/>
                <w:color w:val="FFFFFF"/>
                <w:sz w:val="18"/>
                <w:szCs w:val="20"/>
                <w:lang w:eastAsia="en-GB"/>
              </w:rPr>
              <w:t>(EUR)</w:t>
            </w:r>
          </w:p>
        </w:tc>
        <w:tc>
          <w:tcPr>
            <w:tcW w:w="567" w:type="dxa"/>
            <w:tcBorders>
              <w:top w:val="nil"/>
              <w:left w:val="nil"/>
              <w:bottom w:val="single" w:sz="8" w:space="0" w:color="F4B083"/>
              <w:right w:val="nil"/>
            </w:tcBorders>
            <w:shd w:val="clear" w:color="000000" w:fill="ED7D31"/>
            <w:noWrap/>
            <w:vAlign w:val="center"/>
            <w:hideMark/>
          </w:tcPr>
          <w:p>
            <w:pPr>
              <w:keepNext/>
              <w:spacing w:after="0" w:line="240" w:lineRule="auto"/>
              <w:jc w:val="center"/>
              <w:rPr>
                <w:rFonts w:ascii="Times New Roman" w:eastAsia="Times New Roman" w:hAnsi="Times New Roman" w:cs="Times New Roman"/>
                <w:noProof/>
                <w:color w:val="FFFFFF"/>
                <w:sz w:val="18"/>
                <w:szCs w:val="20"/>
                <w:lang w:eastAsia="en-GB"/>
              </w:rPr>
            </w:pPr>
            <w:r>
              <w:rPr>
                <w:rFonts w:ascii="Times New Roman" w:eastAsia="Times New Roman" w:hAnsi="Times New Roman" w:cs="Times New Roman"/>
                <w:noProof/>
                <w:color w:val="FFFFFF"/>
                <w:sz w:val="18"/>
                <w:szCs w:val="20"/>
                <w:lang w:eastAsia="en-GB"/>
              </w:rPr>
              <w:t>(#)</w:t>
            </w:r>
          </w:p>
        </w:tc>
        <w:tc>
          <w:tcPr>
            <w:tcW w:w="991" w:type="dxa"/>
            <w:tcBorders>
              <w:top w:val="nil"/>
              <w:left w:val="nil"/>
              <w:bottom w:val="single" w:sz="8" w:space="0" w:color="F4B083"/>
              <w:right w:val="single" w:sz="8" w:space="0" w:color="F4B083"/>
            </w:tcBorders>
            <w:shd w:val="clear" w:color="000000" w:fill="ED7D31"/>
            <w:vAlign w:val="center"/>
            <w:hideMark/>
          </w:tcPr>
          <w:p>
            <w:pPr>
              <w:keepNext/>
              <w:spacing w:after="0" w:line="240" w:lineRule="auto"/>
              <w:jc w:val="center"/>
              <w:rPr>
                <w:rFonts w:ascii="Times New Roman" w:eastAsia="Times New Roman" w:hAnsi="Times New Roman" w:cs="Times New Roman"/>
                <w:noProof/>
                <w:color w:val="FFFFFF"/>
                <w:sz w:val="18"/>
                <w:szCs w:val="20"/>
                <w:lang w:eastAsia="en-GB"/>
              </w:rPr>
            </w:pPr>
            <w:r>
              <w:rPr>
                <w:rFonts w:ascii="Times New Roman" w:eastAsia="Times New Roman" w:hAnsi="Times New Roman" w:cs="Times New Roman"/>
                <w:noProof/>
                <w:color w:val="FFFFFF"/>
                <w:sz w:val="18"/>
                <w:szCs w:val="20"/>
                <w:lang w:eastAsia="en-GB"/>
              </w:rPr>
              <w:t>(EUR)</w:t>
            </w:r>
          </w:p>
        </w:tc>
      </w:tr>
      <w:tr>
        <w:trPr>
          <w:cantSplit/>
          <w:trHeight w:val="315"/>
        </w:trPr>
        <w:tc>
          <w:tcPr>
            <w:tcW w:w="708" w:type="dxa"/>
            <w:tcBorders>
              <w:top w:val="nil"/>
              <w:left w:val="single" w:sz="8" w:space="0" w:color="F4B083"/>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2015</w:t>
            </w:r>
          </w:p>
        </w:tc>
        <w:tc>
          <w:tcPr>
            <w:tcW w:w="568"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709"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92"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51"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25"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709"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91" w:type="dxa"/>
            <w:tcBorders>
              <w:top w:val="nil"/>
              <w:left w:val="nil"/>
              <w:bottom w:val="single" w:sz="8" w:space="0" w:color="F4B083"/>
              <w:right w:val="single" w:sz="8" w:space="0" w:color="F4B083"/>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antSplit/>
          <w:trHeight w:val="315"/>
        </w:trPr>
        <w:tc>
          <w:tcPr>
            <w:tcW w:w="708" w:type="dxa"/>
            <w:tcBorders>
              <w:top w:val="nil"/>
              <w:left w:val="single" w:sz="8" w:space="0" w:color="F4B083"/>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2016</w:t>
            </w:r>
          </w:p>
        </w:tc>
        <w:tc>
          <w:tcPr>
            <w:tcW w:w="568"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709"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92"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51"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25"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709"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91" w:type="dxa"/>
            <w:tcBorders>
              <w:top w:val="nil"/>
              <w:left w:val="nil"/>
              <w:bottom w:val="single" w:sz="8" w:space="0" w:color="F4B083"/>
              <w:right w:val="single" w:sz="8" w:space="0" w:color="F4B083"/>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antSplit/>
          <w:trHeight w:val="315"/>
        </w:trPr>
        <w:tc>
          <w:tcPr>
            <w:tcW w:w="708" w:type="dxa"/>
            <w:tcBorders>
              <w:top w:val="nil"/>
              <w:left w:val="single" w:sz="8" w:space="0" w:color="F4B083"/>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2017</w:t>
            </w:r>
          </w:p>
        </w:tc>
        <w:tc>
          <w:tcPr>
            <w:tcW w:w="568"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709"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92"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51"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25"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709"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991" w:type="dxa"/>
            <w:tcBorders>
              <w:top w:val="nil"/>
              <w:left w:val="nil"/>
              <w:bottom w:val="single" w:sz="8" w:space="0" w:color="F4B083"/>
              <w:right w:val="single" w:sz="8" w:space="0" w:color="F4B083"/>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antSplit/>
          <w:trHeight w:val="315"/>
        </w:trPr>
        <w:tc>
          <w:tcPr>
            <w:tcW w:w="708" w:type="dxa"/>
            <w:tcBorders>
              <w:top w:val="nil"/>
              <w:left w:val="single" w:sz="8" w:space="0" w:color="F4B083"/>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2018</w:t>
            </w:r>
          </w:p>
        </w:tc>
        <w:tc>
          <w:tcPr>
            <w:tcW w:w="568"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709"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w:t>
            </w:r>
          </w:p>
        </w:tc>
        <w:tc>
          <w:tcPr>
            <w:tcW w:w="992"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51,409</w:t>
            </w:r>
          </w:p>
        </w:tc>
        <w:tc>
          <w:tcPr>
            <w:tcW w:w="56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851"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25"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1134"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w:t>
            </w:r>
          </w:p>
        </w:tc>
        <w:tc>
          <w:tcPr>
            <w:tcW w:w="709"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w:t>
            </w:r>
          </w:p>
        </w:tc>
        <w:tc>
          <w:tcPr>
            <w:tcW w:w="991" w:type="dxa"/>
            <w:tcBorders>
              <w:top w:val="nil"/>
              <w:left w:val="nil"/>
              <w:bottom w:val="single" w:sz="8" w:space="0" w:color="F4B083"/>
              <w:right w:val="single" w:sz="8" w:space="0" w:color="F4B083"/>
            </w:tcBorders>
            <w:shd w:val="clear" w:color="000000" w:fill="FBE4D5"/>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580,642</w:t>
            </w:r>
          </w:p>
        </w:tc>
      </w:tr>
      <w:tr>
        <w:trPr>
          <w:cantSplit/>
          <w:trHeight w:val="315"/>
        </w:trPr>
        <w:tc>
          <w:tcPr>
            <w:tcW w:w="708" w:type="dxa"/>
            <w:tcBorders>
              <w:top w:val="nil"/>
              <w:left w:val="single" w:sz="8" w:space="0" w:color="F4B083"/>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2019</w:t>
            </w:r>
          </w:p>
        </w:tc>
        <w:tc>
          <w:tcPr>
            <w:tcW w:w="568"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709"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992"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66,186</w:t>
            </w:r>
          </w:p>
        </w:tc>
        <w:tc>
          <w:tcPr>
            <w:tcW w:w="56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51"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25" w:type="dxa"/>
            <w:tcBorders>
              <w:top w:val="nil"/>
              <w:left w:val="nil"/>
              <w:bottom w:val="single" w:sz="8" w:space="0" w:color="F4B083"/>
              <w:right w:val="nil"/>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48</w:t>
            </w:r>
          </w:p>
        </w:tc>
        <w:tc>
          <w:tcPr>
            <w:tcW w:w="1134" w:type="dxa"/>
            <w:tcBorders>
              <w:top w:val="nil"/>
              <w:left w:val="nil"/>
              <w:bottom w:val="single" w:sz="8" w:space="0" w:color="F4B083"/>
              <w:right w:val="nil"/>
            </w:tcBorders>
            <w:shd w:val="clear" w:color="auto" w:fill="auto"/>
            <w:vAlign w:val="center"/>
            <w:hideMark/>
          </w:tcPr>
          <w:p>
            <w:pPr>
              <w:keepNext/>
              <w:spacing w:after="0" w:line="240" w:lineRule="auto"/>
              <w:ind w:left="-108"/>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323,459</w:t>
            </w:r>
          </w:p>
        </w:tc>
        <w:tc>
          <w:tcPr>
            <w:tcW w:w="56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709" w:type="dxa"/>
            <w:tcBorders>
              <w:top w:val="nil"/>
              <w:left w:val="nil"/>
              <w:bottom w:val="single" w:sz="8" w:space="0" w:color="F4B083"/>
              <w:right w:val="nil"/>
            </w:tcBorders>
            <w:shd w:val="clear" w:color="auto" w:fill="auto"/>
            <w:noWrap/>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tcBorders>
              <w:top w:val="nil"/>
              <w:left w:val="nil"/>
              <w:bottom w:val="single" w:sz="8" w:space="0" w:color="F4B083"/>
              <w:right w:val="nil"/>
            </w:tcBorders>
            <w:shd w:val="clear" w:color="auto" w:fill="auto"/>
            <w:noWrap/>
            <w:vAlign w:val="center"/>
            <w:hideMark/>
          </w:tcPr>
          <w:p>
            <w:pPr>
              <w:keepNext/>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25</w:t>
            </w:r>
          </w:p>
        </w:tc>
        <w:tc>
          <w:tcPr>
            <w:tcW w:w="991" w:type="dxa"/>
            <w:tcBorders>
              <w:top w:val="nil"/>
              <w:left w:val="nil"/>
              <w:bottom w:val="single" w:sz="8" w:space="0" w:color="F4B083"/>
              <w:right w:val="single" w:sz="8" w:space="0" w:color="F4B083"/>
            </w:tcBorders>
            <w:shd w:val="clear" w:color="auto" w:fill="auto"/>
            <w:vAlign w:val="center"/>
            <w:hideMark/>
          </w:tcPr>
          <w:p>
            <w:pPr>
              <w:keepNext/>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788,199</w:t>
            </w:r>
          </w:p>
        </w:tc>
      </w:tr>
      <w:tr>
        <w:trPr>
          <w:cantSplit/>
          <w:trHeight w:val="315"/>
        </w:trPr>
        <w:tc>
          <w:tcPr>
            <w:tcW w:w="708" w:type="dxa"/>
            <w:tcBorders>
              <w:top w:val="nil"/>
              <w:left w:val="single" w:sz="8" w:space="0" w:color="F4B083"/>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Total</w:t>
            </w:r>
          </w:p>
        </w:tc>
        <w:tc>
          <w:tcPr>
            <w:tcW w:w="568"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2</w:t>
            </w:r>
          </w:p>
        </w:tc>
        <w:tc>
          <w:tcPr>
            <w:tcW w:w="709"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0</w:t>
            </w:r>
          </w:p>
        </w:tc>
        <w:tc>
          <w:tcPr>
            <w:tcW w:w="56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7</w:t>
            </w:r>
          </w:p>
        </w:tc>
        <w:tc>
          <w:tcPr>
            <w:tcW w:w="992"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117,595</w:t>
            </w:r>
          </w:p>
        </w:tc>
        <w:tc>
          <w:tcPr>
            <w:tcW w:w="56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1</w:t>
            </w:r>
          </w:p>
        </w:tc>
        <w:tc>
          <w:tcPr>
            <w:tcW w:w="851"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0</w:t>
            </w:r>
          </w:p>
        </w:tc>
        <w:tc>
          <w:tcPr>
            <w:tcW w:w="425" w:type="dxa"/>
            <w:tcBorders>
              <w:top w:val="nil"/>
              <w:left w:val="nil"/>
              <w:bottom w:val="single" w:sz="8" w:space="0" w:color="F4B083"/>
              <w:right w:val="nil"/>
            </w:tcBorders>
            <w:shd w:val="clear" w:color="000000" w:fill="FBE4D5"/>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49</w:t>
            </w:r>
          </w:p>
        </w:tc>
        <w:tc>
          <w:tcPr>
            <w:tcW w:w="1134" w:type="dxa"/>
            <w:tcBorders>
              <w:top w:val="nil"/>
              <w:left w:val="nil"/>
              <w:bottom w:val="single" w:sz="8" w:space="0" w:color="F4B083"/>
              <w:right w:val="nil"/>
            </w:tcBorders>
            <w:shd w:val="clear" w:color="000000" w:fill="FBE4D5"/>
            <w:vAlign w:val="center"/>
            <w:hideMark/>
          </w:tcPr>
          <w:p>
            <w:pPr>
              <w:keepNext/>
              <w:spacing w:after="0" w:line="240" w:lineRule="auto"/>
              <w:ind w:left="-108"/>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323,459</w:t>
            </w:r>
          </w:p>
        </w:tc>
        <w:tc>
          <w:tcPr>
            <w:tcW w:w="56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4</w:t>
            </w:r>
          </w:p>
        </w:tc>
        <w:tc>
          <w:tcPr>
            <w:tcW w:w="709" w:type="dxa"/>
            <w:tcBorders>
              <w:top w:val="nil"/>
              <w:left w:val="nil"/>
              <w:bottom w:val="single" w:sz="8" w:space="0" w:color="F4B083"/>
              <w:right w:val="nil"/>
            </w:tcBorders>
            <w:shd w:val="clear" w:color="000000" w:fill="FBE4D5"/>
            <w:noWrap/>
            <w:vAlign w:val="center"/>
            <w:hideMark/>
          </w:tcPr>
          <w:p>
            <w:pPr>
              <w:keepNext/>
              <w:spacing w:after="0" w:line="240" w:lineRule="auto"/>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0</w:t>
            </w:r>
          </w:p>
        </w:tc>
        <w:tc>
          <w:tcPr>
            <w:tcW w:w="567" w:type="dxa"/>
            <w:tcBorders>
              <w:top w:val="nil"/>
              <w:left w:val="nil"/>
              <w:bottom w:val="single" w:sz="8" w:space="0" w:color="F4B083"/>
              <w:right w:val="nil"/>
            </w:tcBorders>
            <w:shd w:val="clear" w:color="000000" w:fill="FBE4D5"/>
            <w:noWrap/>
            <w:vAlign w:val="center"/>
            <w:hideMark/>
          </w:tcPr>
          <w:p>
            <w:pPr>
              <w:keepNext/>
              <w:spacing w:after="0" w:line="240" w:lineRule="auto"/>
              <w:jc w:val="center"/>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33</w:t>
            </w:r>
          </w:p>
        </w:tc>
        <w:tc>
          <w:tcPr>
            <w:tcW w:w="991" w:type="dxa"/>
            <w:tcBorders>
              <w:top w:val="nil"/>
              <w:left w:val="nil"/>
              <w:bottom w:val="single" w:sz="8" w:space="0" w:color="F4B083"/>
              <w:right w:val="single" w:sz="8" w:space="0" w:color="F4B083"/>
            </w:tcBorders>
            <w:shd w:val="clear" w:color="000000" w:fill="FBE4D5"/>
            <w:vAlign w:val="center"/>
            <w:hideMark/>
          </w:tcPr>
          <w:p>
            <w:pPr>
              <w:keepNext/>
              <w:spacing w:after="0" w:line="240" w:lineRule="auto"/>
              <w:ind w:left="-111"/>
              <w:jc w:val="right"/>
              <w:rPr>
                <w:rFonts w:ascii="Times New Roman" w:eastAsia="Times New Roman" w:hAnsi="Times New Roman" w:cs="Times New Roman"/>
                <w:b/>
                <w:bCs/>
                <w:noProof/>
                <w:color w:val="000000"/>
                <w:sz w:val="20"/>
                <w:szCs w:val="20"/>
                <w:lang w:eastAsia="en-GB"/>
              </w:rPr>
            </w:pPr>
            <w:r>
              <w:rPr>
                <w:rFonts w:ascii="Times New Roman" w:eastAsia="Times New Roman" w:hAnsi="Times New Roman" w:cs="Times New Roman"/>
                <w:b/>
                <w:bCs/>
                <w:noProof/>
                <w:color w:val="000000"/>
                <w:sz w:val="20"/>
                <w:szCs w:val="20"/>
                <w:lang w:eastAsia="en-GB"/>
              </w:rPr>
              <w:t>1,368,841</w:t>
            </w:r>
          </w:p>
        </w:tc>
      </w:tr>
    </w:tbl>
    <w:p>
      <w:pPr>
        <w:rPr>
          <w:noProof/>
        </w:rPr>
      </w:pPr>
    </w:p>
    <w:p>
      <w:pPr>
        <w:pStyle w:val="Caption"/>
        <w:keepNext/>
        <w:rPr>
          <w:noProof/>
        </w:rPr>
      </w:pPr>
      <w:r>
        <w:rPr>
          <w:noProof/>
        </w:rPr>
        <w:t xml:space="preserve">Chart PA </w:t>
      </w:r>
      <w:r>
        <w:rPr>
          <w:noProof/>
        </w:rPr>
        <w:fldChar w:fldCharType="begin"/>
      </w:r>
      <w:r>
        <w:rPr>
          <w:noProof/>
        </w:rPr>
        <w:instrText xml:space="preserve"> SEQ Chart_PA \* ARABIC </w:instrText>
      </w:r>
      <w:r>
        <w:rPr>
          <w:noProof/>
        </w:rPr>
        <w:fldChar w:fldCharType="separate"/>
      </w:r>
      <w:r>
        <w:rPr>
          <w:noProof/>
        </w:rPr>
        <w:t>11</w:t>
      </w:r>
      <w:r>
        <w:rPr>
          <w:noProof/>
        </w:rPr>
        <w:fldChar w:fldCharType="end"/>
      </w:r>
    </w:p>
    <w:p>
      <w:pPr>
        <w:keepNext/>
        <w:rPr>
          <w:noProof/>
        </w:rPr>
      </w:pPr>
      <w:r>
        <w:rPr>
          <w:noProof/>
          <w:lang w:eastAsia="en-GB"/>
        </w:rPr>
        <w:drawing>
          <wp:inline distT="0" distB="0" distL="0" distR="0">
            <wp:extent cx="5586413" cy="2743200"/>
            <wp:effectExtent l="0" t="0" r="1460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keepNext/>
        <w:rPr>
          <w:noProof/>
        </w:rPr>
      </w:pPr>
    </w:p>
    <w:p>
      <w:pPr>
        <w:outlineLvl w:val="3"/>
        <w:rPr>
          <w:rFonts w:ascii="Times New Roman" w:hAnsi="Times New Roman" w:cs="Times New Roman"/>
          <w:i/>
          <w:noProof/>
          <w:sz w:val="24"/>
        </w:rPr>
      </w:pPr>
      <w:r>
        <w:rPr>
          <w:rFonts w:ascii="Times New Roman" w:hAnsi="Times New Roman" w:cs="Times New Roman"/>
          <w:i/>
          <w:noProof/>
          <w:sz w:val="24"/>
        </w:rPr>
        <w:t>5.3.4.4 Totals for each Pre-Accession Component by Country</w:t>
      </w:r>
    </w:p>
    <w:p>
      <w:pPr>
        <w:jc w:val="both"/>
        <w:rPr>
          <w:rFonts w:ascii="Times New Roman" w:hAnsi="Times New Roman" w:cs="Times New Roman"/>
          <w:noProof/>
          <w:sz w:val="24"/>
        </w:rPr>
      </w:pPr>
      <w:r>
        <w:rPr>
          <w:rFonts w:ascii="Times New Roman" w:hAnsi="Times New Roman" w:cs="Times New Roman"/>
          <w:noProof/>
          <w:sz w:val="24"/>
        </w:rPr>
        <w:t xml:space="preserve">This section provides the total number of irregularities reported and their financial amounts for each pre-accession component from its inception until 2019. </w:t>
      </w:r>
    </w:p>
    <w:p>
      <w:pPr>
        <w:jc w:val="both"/>
        <w:rPr>
          <w:rFonts w:ascii="Times New Roman" w:hAnsi="Times New Roman" w:cs="Times New Roman"/>
          <w:noProof/>
          <w:sz w:val="24"/>
        </w:rPr>
      </w:pPr>
      <w:r>
        <w:rPr>
          <w:rFonts w:ascii="Times New Roman" w:hAnsi="Times New Roman" w:cs="Times New Roman"/>
          <w:b/>
          <w:noProof/>
          <w:sz w:val="24"/>
        </w:rPr>
        <w:t xml:space="preserve">For PAA 2000-2006, the largest number of irregularities and the highest associated amounts were reported with regard to SAPARD. </w:t>
      </w:r>
      <w:r>
        <w:rPr>
          <w:rFonts w:ascii="Times New Roman" w:hAnsi="Times New Roman" w:cs="Times New Roman"/>
          <w:noProof/>
          <w:sz w:val="24"/>
        </w:rPr>
        <w:t>Romania reported the largest number of SAPARD-related irregularities and the highest associated amounts.</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15</w:t>
      </w:r>
      <w:r>
        <w:rPr>
          <w:noProof/>
        </w:rPr>
        <w:fldChar w:fldCharType="end"/>
      </w:r>
      <w:r>
        <w:rPr>
          <w:noProof/>
        </w:rPr>
        <w:t>: Total Irregularities reported under Pre-accession assistance 2000-2006 components</w:t>
      </w:r>
    </w:p>
    <w:tbl>
      <w:tblPr>
        <w:tblStyle w:val="ListTable4Accent2"/>
        <w:tblW w:w="9457" w:type="dxa"/>
        <w:tblLook w:val="04A0" w:firstRow="1" w:lastRow="0" w:firstColumn="1" w:lastColumn="0" w:noHBand="0" w:noVBand="1"/>
      </w:tblPr>
      <w:tblGrid>
        <w:gridCol w:w="675"/>
        <w:gridCol w:w="403"/>
        <w:gridCol w:w="736"/>
        <w:gridCol w:w="506"/>
        <w:gridCol w:w="1183"/>
        <w:gridCol w:w="506"/>
        <w:gridCol w:w="1087"/>
        <w:gridCol w:w="603"/>
        <w:gridCol w:w="1183"/>
        <w:gridCol w:w="442"/>
        <w:gridCol w:w="856"/>
        <w:gridCol w:w="421"/>
        <w:gridCol w:w="856"/>
      </w:tblGrid>
      <w:tr>
        <w:trPr>
          <w:cnfStyle w:val="100000000000" w:firstRow="1" w:lastRow="0" w:firstColumn="0" w:lastColumn="0" w:oddVBand="0" w:evenVBand="0" w:oddHBand="0"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jc w:val="center"/>
              <w:rPr>
                <w:rFonts w:ascii="Times New Roman" w:eastAsia="Times New Roman" w:hAnsi="Times New Roman" w:cs="Times New Roman"/>
                <w:noProof/>
                <w:color w:val="FFFFFF"/>
                <w:sz w:val="16"/>
                <w:szCs w:val="16"/>
                <w:lang w:eastAsia="en-GB"/>
              </w:rPr>
            </w:pPr>
          </w:p>
        </w:tc>
        <w:tc>
          <w:tcPr>
            <w:tcW w:w="1139" w:type="dxa"/>
            <w:gridSpan w:val="2"/>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CARDS</w:t>
            </w:r>
          </w:p>
        </w:tc>
        <w:tc>
          <w:tcPr>
            <w:tcW w:w="1689" w:type="dxa"/>
            <w:gridSpan w:val="2"/>
            <w:noWrap/>
            <w:hideMark/>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ISPA</w:t>
            </w:r>
          </w:p>
        </w:tc>
        <w:tc>
          <w:tcPr>
            <w:tcW w:w="1593" w:type="dxa"/>
            <w:gridSpan w:val="2"/>
            <w:noWrap/>
            <w:hideMark/>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PHARE</w:t>
            </w:r>
          </w:p>
        </w:tc>
        <w:tc>
          <w:tcPr>
            <w:tcW w:w="1786" w:type="dxa"/>
            <w:gridSpan w:val="2"/>
            <w:noWrap/>
            <w:hideMark/>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SAPARD</w:t>
            </w:r>
          </w:p>
        </w:tc>
        <w:tc>
          <w:tcPr>
            <w:tcW w:w="1298" w:type="dxa"/>
            <w:gridSpan w:val="2"/>
            <w:noWrap/>
            <w:hideMark/>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TIPAA</w:t>
            </w:r>
          </w:p>
        </w:tc>
        <w:tc>
          <w:tcPr>
            <w:tcW w:w="1277" w:type="dxa"/>
            <w:gridSpan w:val="2"/>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TF</w:t>
            </w:r>
          </w:p>
        </w:tc>
      </w:tr>
      <w:tr>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675" w:type="dxa"/>
            <w:shd w:val="clear" w:color="auto" w:fill="ED7D31" w:themeFill="accent2"/>
            <w:noWrap/>
            <w:hideMark/>
          </w:tcPr>
          <w:p>
            <w:pPr>
              <w:keepNext/>
              <w:jc w:val="right"/>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 </w:t>
            </w:r>
          </w:p>
        </w:tc>
        <w:tc>
          <w:tcPr>
            <w:tcW w:w="403" w:type="dxa"/>
            <w:shd w:val="clear" w:color="auto" w:fill="ED7D31" w:themeFill="accent2"/>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w:t>
            </w:r>
          </w:p>
        </w:tc>
        <w:tc>
          <w:tcPr>
            <w:tcW w:w="736" w:type="dxa"/>
            <w:shd w:val="clear" w:color="auto" w:fill="ED7D31" w:themeFill="accent2"/>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(EUR)</w:t>
            </w:r>
          </w:p>
        </w:tc>
        <w:tc>
          <w:tcPr>
            <w:tcW w:w="506" w:type="dxa"/>
            <w:shd w:val="clear" w:color="auto" w:fill="ED7D31" w:themeFill="accent2"/>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w:t>
            </w:r>
          </w:p>
        </w:tc>
        <w:tc>
          <w:tcPr>
            <w:tcW w:w="1183" w:type="dxa"/>
            <w:shd w:val="clear" w:color="auto" w:fill="ED7D31" w:themeFill="accent2"/>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(EUR)</w:t>
            </w:r>
          </w:p>
        </w:tc>
        <w:tc>
          <w:tcPr>
            <w:tcW w:w="506" w:type="dxa"/>
            <w:shd w:val="clear" w:color="auto" w:fill="ED7D31" w:themeFill="accent2"/>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w:t>
            </w:r>
          </w:p>
        </w:tc>
        <w:tc>
          <w:tcPr>
            <w:tcW w:w="1087" w:type="dxa"/>
            <w:shd w:val="clear" w:color="auto" w:fill="ED7D31" w:themeFill="accent2"/>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(EUR)</w:t>
            </w:r>
          </w:p>
        </w:tc>
        <w:tc>
          <w:tcPr>
            <w:tcW w:w="603" w:type="dxa"/>
            <w:shd w:val="clear" w:color="auto" w:fill="ED7D31" w:themeFill="accent2"/>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w:t>
            </w:r>
          </w:p>
        </w:tc>
        <w:tc>
          <w:tcPr>
            <w:tcW w:w="1183" w:type="dxa"/>
            <w:shd w:val="clear" w:color="auto" w:fill="ED7D31" w:themeFill="accent2"/>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(EUR)</w:t>
            </w:r>
          </w:p>
        </w:tc>
        <w:tc>
          <w:tcPr>
            <w:tcW w:w="442" w:type="dxa"/>
            <w:shd w:val="clear" w:color="auto" w:fill="ED7D31" w:themeFill="accent2"/>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w:t>
            </w:r>
          </w:p>
        </w:tc>
        <w:tc>
          <w:tcPr>
            <w:tcW w:w="856" w:type="dxa"/>
            <w:shd w:val="clear" w:color="auto" w:fill="ED7D31" w:themeFill="accent2"/>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(EUR)</w:t>
            </w:r>
          </w:p>
        </w:tc>
        <w:tc>
          <w:tcPr>
            <w:tcW w:w="421" w:type="dxa"/>
            <w:shd w:val="clear" w:color="auto" w:fill="ED7D31" w:themeFill="accent2"/>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w:t>
            </w:r>
          </w:p>
        </w:tc>
        <w:tc>
          <w:tcPr>
            <w:tcW w:w="856" w:type="dxa"/>
            <w:shd w:val="clear" w:color="auto" w:fill="ED7D31" w:themeFill="accent2"/>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16"/>
                <w:szCs w:val="16"/>
                <w:lang w:eastAsia="en-GB"/>
              </w:rPr>
            </w:pPr>
            <w:r>
              <w:rPr>
                <w:rFonts w:ascii="Times New Roman" w:eastAsia="Times New Roman" w:hAnsi="Times New Roman" w:cs="Times New Roman"/>
                <w:noProof/>
                <w:color w:val="FFFFFF"/>
                <w:sz w:val="16"/>
                <w:szCs w:val="16"/>
                <w:lang w:eastAsia="en-GB"/>
              </w:rPr>
              <w:t>(EUR)</w:t>
            </w:r>
          </w:p>
        </w:tc>
      </w:tr>
      <w:tr>
        <w:trPr>
          <w:cantSplit/>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BG</w:t>
            </w:r>
          </w:p>
        </w:tc>
        <w:tc>
          <w:tcPr>
            <w:tcW w:w="403"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73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57</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55,580,347</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278</w:t>
            </w:r>
          </w:p>
        </w:tc>
        <w:tc>
          <w:tcPr>
            <w:tcW w:w="1087"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22,966,994</w:t>
            </w:r>
          </w:p>
        </w:tc>
        <w:tc>
          <w:tcPr>
            <w:tcW w:w="60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318</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59,448,081</w:t>
            </w:r>
          </w:p>
        </w:tc>
        <w:tc>
          <w:tcPr>
            <w:tcW w:w="442"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21"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w:t>
            </w:r>
          </w:p>
        </w:tc>
        <w:tc>
          <w:tcPr>
            <w:tcW w:w="85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240,000</w:t>
            </w:r>
          </w:p>
        </w:tc>
      </w:tr>
      <w:tr>
        <w:trPr>
          <w:cnfStyle w:val="000000100000" w:firstRow="0" w:lastRow="0" w:firstColumn="0" w:lastColumn="0" w:oddVBand="0" w:evenVBand="0" w:oddHBand="1" w:evenHBand="0" w:firstRowFirstColumn="0" w:firstRowLastColumn="0" w:lastRowFirstColumn="0" w:lastRowLastColumn="0"/>
          <w:cantSplit/>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CY</w:t>
            </w:r>
          </w:p>
        </w:tc>
        <w:tc>
          <w:tcPr>
            <w:tcW w:w="403"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736"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11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w:t>
            </w:r>
          </w:p>
        </w:tc>
        <w:tc>
          <w:tcPr>
            <w:tcW w:w="1087"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23,807</w:t>
            </w:r>
          </w:p>
        </w:tc>
        <w:tc>
          <w:tcPr>
            <w:tcW w:w="603" w:type="dxa"/>
            <w:noWrap/>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1183" w:type="dxa"/>
            <w:noWrap/>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42"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21"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r>
      <w:tr>
        <w:trPr>
          <w:cantSplit/>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CZ</w:t>
            </w:r>
          </w:p>
        </w:tc>
        <w:tc>
          <w:tcPr>
            <w:tcW w:w="403"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73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830,283</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33</w:t>
            </w:r>
          </w:p>
        </w:tc>
        <w:tc>
          <w:tcPr>
            <w:tcW w:w="1087"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1,082,102</w:t>
            </w:r>
          </w:p>
        </w:tc>
        <w:tc>
          <w:tcPr>
            <w:tcW w:w="60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17</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8,320,142</w:t>
            </w:r>
          </w:p>
        </w:tc>
        <w:tc>
          <w:tcPr>
            <w:tcW w:w="442"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21"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r>
      <w:tr>
        <w:trPr>
          <w:cnfStyle w:val="000000100000" w:firstRow="0" w:lastRow="0" w:firstColumn="0" w:lastColumn="0" w:oddVBand="0" w:evenVBand="0" w:oddHBand="1" w:evenHBand="0" w:firstRowFirstColumn="0" w:firstRowLastColumn="0" w:lastRowFirstColumn="0" w:lastRowLastColumn="0"/>
          <w:cantSplit/>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EE</w:t>
            </w:r>
          </w:p>
        </w:tc>
        <w:tc>
          <w:tcPr>
            <w:tcW w:w="403"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736"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w:t>
            </w:r>
          </w:p>
        </w:tc>
        <w:tc>
          <w:tcPr>
            <w:tcW w:w="11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208,049</w:t>
            </w:r>
          </w:p>
        </w:tc>
        <w:tc>
          <w:tcPr>
            <w:tcW w:w="50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15</w:t>
            </w:r>
          </w:p>
        </w:tc>
        <w:tc>
          <w:tcPr>
            <w:tcW w:w="1087"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897,592</w:t>
            </w:r>
          </w:p>
        </w:tc>
        <w:tc>
          <w:tcPr>
            <w:tcW w:w="60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21</w:t>
            </w:r>
          </w:p>
        </w:tc>
        <w:tc>
          <w:tcPr>
            <w:tcW w:w="11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3,266,179</w:t>
            </w:r>
          </w:p>
        </w:tc>
        <w:tc>
          <w:tcPr>
            <w:tcW w:w="442"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21"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r>
      <w:tr>
        <w:trPr>
          <w:cantSplit/>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HR</w:t>
            </w:r>
          </w:p>
        </w:tc>
        <w:tc>
          <w:tcPr>
            <w:tcW w:w="403"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22</w:t>
            </w:r>
          </w:p>
        </w:tc>
        <w:tc>
          <w:tcPr>
            <w:tcW w:w="73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838,966</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5,388,432</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24</w:t>
            </w:r>
          </w:p>
        </w:tc>
        <w:tc>
          <w:tcPr>
            <w:tcW w:w="1087"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1,423,704</w:t>
            </w:r>
          </w:p>
        </w:tc>
        <w:tc>
          <w:tcPr>
            <w:tcW w:w="60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1,282,804</w:t>
            </w:r>
          </w:p>
        </w:tc>
        <w:tc>
          <w:tcPr>
            <w:tcW w:w="442"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21"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r>
      <w:tr>
        <w:trPr>
          <w:cnfStyle w:val="000000100000" w:firstRow="0" w:lastRow="0" w:firstColumn="0" w:lastColumn="0" w:oddVBand="0" w:evenVBand="0" w:oddHBand="1" w:evenHBand="0" w:firstRowFirstColumn="0" w:firstRowLastColumn="0" w:lastRowFirstColumn="0" w:lastRowLastColumn="0"/>
          <w:cantSplit/>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HU</w:t>
            </w:r>
          </w:p>
        </w:tc>
        <w:tc>
          <w:tcPr>
            <w:tcW w:w="403"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736"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11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47</w:t>
            </w:r>
          </w:p>
        </w:tc>
        <w:tc>
          <w:tcPr>
            <w:tcW w:w="1087"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2,200,681</w:t>
            </w:r>
          </w:p>
        </w:tc>
        <w:tc>
          <w:tcPr>
            <w:tcW w:w="60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62</w:t>
            </w:r>
          </w:p>
        </w:tc>
        <w:tc>
          <w:tcPr>
            <w:tcW w:w="11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3,989,752</w:t>
            </w:r>
          </w:p>
        </w:tc>
        <w:tc>
          <w:tcPr>
            <w:tcW w:w="442"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21"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r>
      <w:tr>
        <w:trPr>
          <w:cantSplit/>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LT</w:t>
            </w:r>
          </w:p>
        </w:tc>
        <w:tc>
          <w:tcPr>
            <w:tcW w:w="403"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73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7</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2,332</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22</w:t>
            </w:r>
          </w:p>
        </w:tc>
        <w:tc>
          <w:tcPr>
            <w:tcW w:w="1087"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690,871</w:t>
            </w:r>
          </w:p>
        </w:tc>
        <w:tc>
          <w:tcPr>
            <w:tcW w:w="60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17</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4,711,726</w:t>
            </w:r>
          </w:p>
        </w:tc>
        <w:tc>
          <w:tcPr>
            <w:tcW w:w="442"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21"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w:t>
            </w:r>
          </w:p>
        </w:tc>
        <w:tc>
          <w:tcPr>
            <w:tcW w:w="85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1,021,916</w:t>
            </w:r>
          </w:p>
        </w:tc>
      </w:tr>
      <w:tr>
        <w:trPr>
          <w:cnfStyle w:val="000000100000" w:firstRow="0" w:lastRow="0" w:firstColumn="0" w:lastColumn="0" w:oddVBand="0" w:evenVBand="0" w:oddHBand="1" w:evenHBand="0" w:firstRowFirstColumn="0" w:firstRowLastColumn="0" w:lastRowFirstColumn="0" w:lastRowLastColumn="0"/>
          <w:cantSplit/>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LV</w:t>
            </w:r>
          </w:p>
        </w:tc>
        <w:tc>
          <w:tcPr>
            <w:tcW w:w="403"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736"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11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19</w:t>
            </w:r>
          </w:p>
        </w:tc>
        <w:tc>
          <w:tcPr>
            <w:tcW w:w="1087"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1,796,910</w:t>
            </w:r>
          </w:p>
        </w:tc>
        <w:tc>
          <w:tcPr>
            <w:tcW w:w="60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w:t>
            </w:r>
          </w:p>
        </w:tc>
        <w:tc>
          <w:tcPr>
            <w:tcW w:w="11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859,979</w:t>
            </w:r>
          </w:p>
        </w:tc>
        <w:tc>
          <w:tcPr>
            <w:tcW w:w="442"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21"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w:t>
            </w:r>
          </w:p>
        </w:tc>
        <w:tc>
          <w:tcPr>
            <w:tcW w:w="856"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44,874</w:t>
            </w:r>
          </w:p>
        </w:tc>
      </w:tr>
      <w:tr>
        <w:trPr>
          <w:cantSplit/>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MT</w:t>
            </w:r>
          </w:p>
        </w:tc>
        <w:tc>
          <w:tcPr>
            <w:tcW w:w="403"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73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w:t>
            </w:r>
          </w:p>
        </w:tc>
        <w:tc>
          <w:tcPr>
            <w:tcW w:w="1087"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112,620</w:t>
            </w:r>
          </w:p>
        </w:tc>
        <w:tc>
          <w:tcPr>
            <w:tcW w:w="60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42"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21"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r>
      <w:tr>
        <w:trPr>
          <w:cnfStyle w:val="000000100000" w:firstRow="0" w:lastRow="0" w:firstColumn="0" w:lastColumn="0" w:oddVBand="0" w:evenVBand="0" w:oddHBand="1" w:evenHBand="0" w:firstRowFirstColumn="0" w:firstRowLastColumn="0" w:lastRowFirstColumn="0" w:lastRowLastColumn="0"/>
          <w:cantSplit/>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PL</w:t>
            </w:r>
          </w:p>
        </w:tc>
        <w:tc>
          <w:tcPr>
            <w:tcW w:w="403"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736"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12</w:t>
            </w:r>
          </w:p>
        </w:tc>
        <w:tc>
          <w:tcPr>
            <w:tcW w:w="11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83,073</w:t>
            </w:r>
          </w:p>
        </w:tc>
        <w:tc>
          <w:tcPr>
            <w:tcW w:w="50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85</w:t>
            </w:r>
          </w:p>
        </w:tc>
        <w:tc>
          <w:tcPr>
            <w:tcW w:w="1087"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3,227,299</w:t>
            </w:r>
          </w:p>
        </w:tc>
        <w:tc>
          <w:tcPr>
            <w:tcW w:w="60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279</w:t>
            </w:r>
          </w:p>
        </w:tc>
        <w:tc>
          <w:tcPr>
            <w:tcW w:w="11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5,951,108</w:t>
            </w:r>
          </w:p>
        </w:tc>
        <w:tc>
          <w:tcPr>
            <w:tcW w:w="442"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21"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w:t>
            </w:r>
          </w:p>
        </w:tc>
        <w:tc>
          <w:tcPr>
            <w:tcW w:w="856"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45,800</w:t>
            </w:r>
          </w:p>
        </w:tc>
      </w:tr>
      <w:tr>
        <w:trPr>
          <w:cantSplit/>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RO</w:t>
            </w:r>
          </w:p>
        </w:tc>
        <w:tc>
          <w:tcPr>
            <w:tcW w:w="403"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73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388</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85,547,739</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334</w:t>
            </w:r>
          </w:p>
        </w:tc>
        <w:tc>
          <w:tcPr>
            <w:tcW w:w="1087"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41,849,068</w:t>
            </w:r>
          </w:p>
        </w:tc>
        <w:tc>
          <w:tcPr>
            <w:tcW w:w="60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944</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117,908,207</w:t>
            </w:r>
          </w:p>
        </w:tc>
        <w:tc>
          <w:tcPr>
            <w:tcW w:w="442"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21"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r>
      <w:tr>
        <w:trPr>
          <w:cnfStyle w:val="000000100000" w:firstRow="0" w:lastRow="0" w:firstColumn="0" w:lastColumn="0" w:oddVBand="0" w:evenVBand="0" w:oddHBand="1" w:evenHBand="0" w:firstRowFirstColumn="0" w:firstRowLastColumn="0" w:lastRowFirstColumn="0" w:lastRowLastColumn="0"/>
          <w:cantSplit/>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SI</w:t>
            </w:r>
          </w:p>
        </w:tc>
        <w:tc>
          <w:tcPr>
            <w:tcW w:w="403"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736"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11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w:t>
            </w:r>
          </w:p>
        </w:tc>
        <w:tc>
          <w:tcPr>
            <w:tcW w:w="1087"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189,006</w:t>
            </w:r>
          </w:p>
        </w:tc>
        <w:tc>
          <w:tcPr>
            <w:tcW w:w="60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33</w:t>
            </w:r>
          </w:p>
        </w:tc>
        <w:tc>
          <w:tcPr>
            <w:tcW w:w="11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1,347,222</w:t>
            </w:r>
          </w:p>
        </w:tc>
        <w:tc>
          <w:tcPr>
            <w:tcW w:w="442"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21"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w:t>
            </w:r>
          </w:p>
        </w:tc>
        <w:tc>
          <w:tcPr>
            <w:tcW w:w="856"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60,000</w:t>
            </w:r>
          </w:p>
        </w:tc>
      </w:tr>
      <w:tr>
        <w:trPr>
          <w:cantSplit/>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SK</w:t>
            </w:r>
          </w:p>
        </w:tc>
        <w:tc>
          <w:tcPr>
            <w:tcW w:w="403"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73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49,054</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61</w:t>
            </w:r>
          </w:p>
        </w:tc>
        <w:tc>
          <w:tcPr>
            <w:tcW w:w="1087"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3,161,935</w:t>
            </w:r>
          </w:p>
        </w:tc>
        <w:tc>
          <w:tcPr>
            <w:tcW w:w="60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15</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2,144,607</w:t>
            </w:r>
          </w:p>
        </w:tc>
        <w:tc>
          <w:tcPr>
            <w:tcW w:w="442"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21"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85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r>
      <w:tr>
        <w:trPr>
          <w:cnfStyle w:val="000000100000" w:firstRow="0" w:lastRow="0" w:firstColumn="0" w:lastColumn="0" w:oddVBand="0" w:evenVBand="0" w:oddHBand="1" w:evenHBand="0" w:firstRowFirstColumn="0" w:firstRowLastColumn="0" w:lastRowFirstColumn="0" w:lastRowLastColumn="0"/>
          <w:cantSplit/>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TR</w:t>
            </w:r>
          </w:p>
        </w:tc>
        <w:tc>
          <w:tcPr>
            <w:tcW w:w="403"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736"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11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50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1087"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60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11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w:t>
            </w:r>
          </w:p>
        </w:tc>
        <w:tc>
          <w:tcPr>
            <w:tcW w:w="442"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95</w:t>
            </w:r>
          </w:p>
        </w:tc>
        <w:tc>
          <w:tcPr>
            <w:tcW w:w="856"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6,121,592</w:t>
            </w:r>
          </w:p>
        </w:tc>
        <w:tc>
          <w:tcPr>
            <w:tcW w:w="421"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p>
        </w:tc>
        <w:tc>
          <w:tcPr>
            <w:tcW w:w="856" w:type="dxa"/>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6"/>
                <w:lang w:eastAsia="en-GB"/>
              </w:rPr>
            </w:pPr>
          </w:p>
        </w:tc>
      </w:tr>
      <w:tr>
        <w:trPr>
          <w:cantSplit/>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keepNex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Total</w:t>
            </w:r>
          </w:p>
        </w:tc>
        <w:tc>
          <w:tcPr>
            <w:tcW w:w="403"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22</w:t>
            </w:r>
          </w:p>
        </w:tc>
        <w:tc>
          <w:tcPr>
            <w:tcW w:w="73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838,966</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476</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147,689,310</w:t>
            </w:r>
          </w:p>
        </w:tc>
        <w:tc>
          <w:tcPr>
            <w:tcW w:w="50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936</w:t>
            </w:r>
          </w:p>
        </w:tc>
        <w:tc>
          <w:tcPr>
            <w:tcW w:w="1087"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79,622,590</w:t>
            </w:r>
          </w:p>
        </w:tc>
        <w:tc>
          <w:tcPr>
            <w:tcW w:w="60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1,731</w:t>
            </w:r>
          </w:p>
        </w:tc>
        <w:tc>
          <w:tcPr>
            <w:tcW w:w="11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209,229,807</w:t>
            </w:r>
          </w:p>
        </w:tc>
        <w:tc>
          <w:tcPr>
            <w:tcW w:w="442"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95</w:t>
            </w:r>
          </w:p>
        </w:tc>
        <w:tc>
          <w:tcPr>
            <w:tcW w:w="856"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6,121,592</w:t>
            </w:r>
          </w:p>
        </w:tc>
        <w:tc>
          <w:tcPr>
            <w:tcW w:w="421"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9</w:t>
            </w:r>
          </w:p>
        </w:tc>
        <w:tc>
          <w:tcPr>
            <w:tcW w:w="856" w:type="dxa"/>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1,412,590</w:t>
            </w:r>
          </w:p>
        </w:tc>
      </w:tr>
    </w:tbl>
    <w:p>
      <w:pPr>
        <w:rPr>
          <w:noProof/>
        </w:rPr>
      </w:pPr>
    </w:p>
    <w:p>
      <w:pPr>
        <w:jc w:val="both"/>
        <w:rPr>
          <w:noProof/>
        </w:rPr>
      </w:pPr>
      <w:r>
        <w:rPr>
          <w:rFonts w:ascii="Times New Roman" w:hAnsi="Times New Roman" w:cs="Times New Roman"/>
          <w:b/>
          <w:noProof/>
          <w:sz w:val="24"/>
        </w:rPr>
        <w:t>For IPA I, the largest number of irregularities and the highest associated amounts were reported with regard to IPARD.</w:t>
      </w:r>
      <w:r>
        <w:rPr>
          <w:rFonts w:ascii="Times New Roman" w:hAnsi="Times New Roman" w:cs="Times New Roman"/>
          <w:noProof/>
          <w:sz w:val="24"/>
        </w:rPr>
        <w:t xml:space="preserve"> Turkey reported the largest number of IPARD-related irregularities and the highest associated amounts.</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16</w:t>
      </w:r>
      <w:r>
        <w:rPr>
          <w:noProof/>
        </w:rPr>
        <w:fldChar w:fldCharType="end"/>
      </w:r>
      <w:r>
        <w:rPr>
          <w:noProof/>
        </w:rPr>
        <w:t>: Total irregularities reported under IPA I components</w:t>
      </w:r>
    </w:p>
    <w:tbl>
      <w:tblPr>
        <w:tblStyle w:val="ListTable4Accent2"/>
        <w:tblW w:w="9321" w:type="dxa"/>
        <w:tblLayout w:type="fixed"/>
        <w:tblLook w:val="04A0" w:firstRow="1" w:lastRow="0" w:firstColumn="1" w:lastColumn="0" w:noHBand="0" w:noVBand="1"/>
      </w:tblPr>
      <w:tblGrid>
        <w:gridCol w:w="675"/>
        <w:gridCol w:w="708"/>
        <w:gridCol w:w="1134"/>
        <w:gridCol w:w="567"/>
        <w:gridCol w:w="1134"/>
        <w:gridCol w:w="567"/>
        <w:gridCol w:w="1134"/>
        <w:gridCol w:w="567"/>
        <w:gridCol w:w="1134"/>
        <w:gridCol w:w="567"/>
        <w:gridCol w:w="1134"/>
      </w:tblGrid>
      <w:tr>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5" w:type="dxa"/>
            <w:noWrap/>
            <w:hideMark/>
          </w:tcPr>
          <w:p>
            <w:pPr>
              <w:jc w:val="center"/>
              <w:rPr>
                <w:rFonts w:ascii="Times New Roman" w:eastAsia="Times New Roman" w:hAnsi="Times New Roman" w:cs="Times New Roman"/>
                <w:noProof/>
                <w:color w:val="FFFFFF"/>
                <w:sz w:val="20"/>
                <w:szCs w:val="20"/>
                <w:lang w:eastAsia="en-GB"/>
              </w:rPr>
            </w:pPr>
          </w:p>
        </w:tc>
        <w:tc>
          <w:tcPr>
            <w:tcW w:w="1842" w:type="dxa"/>
            <w:gridSpan w:val="2"/>
            <w:noWrap/>
            <w:hideMark/>
          </w:tcPr>
          <w:p>
            <w:pPr>
              <w:ind w:hanging="12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CBC-IPA</w:t>
            </w:r>
          </w:p>
        </w:tc>
        <w:tc>
          <w:tcPr>
            <w:tcW w:w="1701" w:type="dxa"/>
            <w:gridSpan w:val="2"/>
            <w:noWrap/>
            <w:hideMark/>
          </w:tcPr>
          <w:p>
            <w:pPr>
              <w:ind w:hanging="12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HRD</w:t>
            </w:r>
          </w:p>
        </w:tc>
        <w:tc>
          <w:tcPr>
            <w:tcW w:w="1701" w:type="dxa"/>
            <w:gridSpan w:val="2"/>
            <w:noWrap/>
            <w:hideMark/>
          </w:tcPr>
          <w:p>
            <w:pPr>
              <w:ind w:hanging="12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IPARD</w:t>
            </w:r>
          </w:p>
        </w:tc>
        <w:tc>
          <w:tcPr>
            <w:tcW w:w="1701" w:type="dxa"/>
            <w:gridSpan w:val="2"/>
            <w:hideMark/>
          </w:tcPr>
          <w:p>
            <w:pPr>
              <w:ind w:hanging="12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REGD</w:t>
            </w:r>
          </w:p>
        </w:tc>
        <w:tc>
          <w:tcPr>
            <w:tcW w:w="1701" w:type="dxa"/>
            <w:gridSpan w:val="2"/>
            <w:noWrap/>
            <w:hideMark/>
          </w:tcPr>
          <w:p>
            <w:pPr>
              <w:ind w:hanging="12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TAIB</w:t>
            </w:r>
          </w:p>
        </w:tc>
      </w:tr>
      <w:tr>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5" w:type="dxa"/>
            <w:shd w:val="clear" w:color="auto" w:fill="ED7D31" w:themeFill="accent2"/>
            <w:noWrap/>
            <w:hideMark/>
          </w:tcPr>
          <w:p>
            <w:pP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 </w:t>
            </w:r>
          </w:p>
        </w:tc>
        <w:tc>
          <w:tcPr>
            <w:tcW w:w="708" w:type="dxa"/>
            <w:shd w:val="clear" w:color="auto" w:fill="ED7D31" w:themeFill="accent2"/>
            <w:noWrap/>
            <w:hideMark/>
          </w:tcPr>
          <w:p>
            <w:pPr>
              <w:ind w:left="-34"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134" w:type="dxa"/>
            <w:shd w:val="clear" w:color="auto" w:fill="ED7D31" w:themeFill="accent2"/>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c>
          <w:tcPr>
            <w:tcW w:w="567" w:type="dxa"/>
            <w:shd w:val="clear" w:color="auto" w:fill="ED7D31" w:themeFill="accent2"/>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134" w:type="dxa"/>
            <w:shd w:val="clear" w:color="auto" w:fill="ED7D31" w:themeFill="accent2"/>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c>
          <w:tcPr>
            <w:tcW w:w="567" w:type="dxa"/>
            <w:shd w:val="clear" w:color="auto" w:fill="ED7D31" w:themeFill="accent2"/>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134" w:type="dxa"/>
            <w:shd w:val="clear" w:color="auto" w:fill="ED7D31" w:themeFill="accent2"/>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c>
          <w:tcPr>
            <w:tcW w:w="567" w:type="dxa"/>
            <w:shd w:val="clear" w:color="auto" w:fill="ED7D31" w:themeFill="accent2"/>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134" w:type="dxa"/>
            <w:shd w:val="clear" w:color="auto" w:fill="ED7D31" w:themeFill="accent2"/>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c>
          <w:tcPr>
            <w:tcW w:w="567" w:type="dxa"/>
            <w:shd w:val="clear" w:color="auto" w:fill="ED7D31" w:themeFill="accent2"/>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134" w:type="dxa"/>
            <w:shd w:val="clear" w:color="auto" w:fill="ED7D31" w:themeFill="accent2"/>
            <w:hideMark/>
          </w:tcPr>
          <w:p>
            <w:pPr>
              <w:ind w:hanging="12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r>
      <w:tr>
        <w:trPr>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AL</w:t>
            </w:r>
          </w:p>
        </w:tc>
        <w:tc>
          <w:tcPr>
            <w:tcW w:w="708"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0 </w:t>
            </w:r>
          </w:p>
        </w:tc>
      </w:tr>
      <w:tr>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BG</w:t>
            </w:r>
          </w:p>
        </w:tc>
        <w:tc>
          <w:tcPr>
            <w:tcW w:w="708"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114</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426,492</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GR</w:t>
            </w:r>
          </w:p>
        </w:tc>
        <w:tc>
          <w:tcPr>
            <w:tcW w:w="708"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190,045</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HR</w:t>
            </w:r>
          </w:p>
        </w:tc>
        <w:tc>
          <w:tcPr>
            <w:tcW w:w="708"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51</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228,972</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11</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423,444</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30</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1,809,307</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503,093</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9</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1,061,787</w:t>
            </w:r>
          </w:p>
        </w:tc>
      </w:tr>
      <w:tr>
        <w:trPr>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IT</w:t>
            </w:r>
          </w:p>
        </w:tc>
        <w:tc>
          <w:tcPr>
            <w:tcW w:w="708"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1,410,735</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ME</w:t>
            </w:r>
          </w:p>
        </w:tc>
        <w:tc>
          <w:tcPr>
            <w:tcW w:w="708"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21</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25,871</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20</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81,194</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MK</w:t>
            </w:r>
          </w:p>
        </w:tc>
        <w:tc>
          <w:tcPr>
            <w:tcW w:w="708"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215,793</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15</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215,055</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27,950</w:t>
            </w:r>
          </w:p>
        </w:tc>
      </w:tr>
      <w:tr>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RO</w:t>
            </w:r>
          </w:p>
        </w:tc>
        <w:tc>
          <w:tcPr>
            <w:tcW w:w="708"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720,832</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RS</w:t>
            </w:r>
          </w:p>
        </w:tc>
        <w:tc>
          <w:tcPr>
            <w:tcW w:w="708"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21</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168,206</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1,153,297</w:t>
            </w:r>
          </w:p>
        </w:tc>
      </w:tr>
      <w:tr>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TR</w:t>
            </w:r>
          </w:p>
        </w:tc>
        <w:tc>
          <w:tcPr>
            <w:tcW w:w="708"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12,533</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110</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5,577,131</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256</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37,739,762</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18</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5,968,424</w:t>
            </w:r>
          </w:p>
        </w:tc>
        <w:tc>
          <w:tcPr>
            <w:tcW w:w="567"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63</w:t>
            </w:r>
          </w:p>
        </w:tc>
        <w:tc>
          <w:tcPr>
            <w:tcW w:w="1134" w:type="dxa"/>
            <w:noWrap/>
            <w:hideMark/>
          </w:tcPr>
          <w:p>
            <w:pPr>
              <w:ind w:hanging="1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9,397,079 </w:t>
            </w:r>
          </w:p>
        </w:tc>
      </w:tr>
      <w:tr>
        <w:trPr>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pP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Total</w:t>
            </w:r>
          </w:p>
        </w:tc>
        <w:tc>
          <w:tcPr>
            <w:tcW w:w="708"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198</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3,157,815</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144</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6,242,240</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301</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39,764,124</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43</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6,552,711</w:t>
            </w:r>
          </w:p>
        </w:tc>
        <w:tc>
          <w:tcPr>
            <w:tcW w:w="567"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88</w:t>
            </w:r>
          </w:p>
        </w:tc>
        <w:tc>
          <w:tcPr>
            <w:tcW w:w="1134" w:type="dxa"/>
            <w:noWrap/>
            <w:hideMark/>
          </w:tcPr>
          <w:p>
            <w:pPr>
              <w:ind w:hanging="1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11,640,114</w:t>
            </w:r>
          </w:p>
        </w:tc>
      </w:tr>
    </w:tbl>
    <w:p>
      <w:pPr>
        <w:rPr>
          <w:rFonts w:ascii="Times New Roman" w:hAnsi="Times New Roman" w:cs="Times New Roman"/>
          <w:i/>
          <w:noProof/>
          <w:sz w:val="24"/>
        </w:rPr>
      </w:pPr>
    </w:p>
    <w:p>
      <w:pPr>
        <w:jc w:val="both"/>
        <w:rPr>
          <w:noProof/>
        </w:rPr>
      </w:pPr>
      <w:r>
        <w:rPr>
          <w:rFonts w:ascii="Times New Roman" w:hAnsi="Times New Roman" w:cs="Times New Roman"/>
          <w:b/>
          <w:noProof/>
          <w:sz w:val="24"/>
        </w:rPr>
        <w:t>For IPA II, the largest number of irregularities and the highest associated amounts were also reported with regard to IPARD.</w:t>
      </w:r>
      <w:r>
        <w:rPr>
          <w:rFonts w:ascii="Times New Roman" w:hAnsi="Times New Roman" w:cs="Times New Roman"/>
          <w:noProof/>
          <w:sz w:val="24"/>
        </w:rPr>
        <w:t xml:space="preserve"> Turkey again reported the largest number of IPARD-related irregularities and the highest associated amounts.</w:t>
      </w:r>
    </w:p>
    <w:p>
      <w:pPr>
        <w:pStyle w:val="Caption"/>
        <w:keepNext/>
        <w:rPr>
          <w:noProof/>
        </w:rPr>
      </w:pPr>
      <w:r>
        <w:rPr>
          <w:noProof/>
        </w:rPr>
        <w:t xml:space="preserve">Table PA </w:t>
      </w:r>
      <w:r>
        <w:rPr>
          <w:noProof/>
        </w:rPr>
        <w:fldChar w:fldCharType="begin"/>
      </w:r>
      <w:r>
        <w:rPr>
          <w:noProof/>
        </w:rPr>
        <w:instrText xml:space="preserve"> SEQ Table_PA \* ARABIC </w:instrText>
      </w:r>
      <w:r>
        <w:rPr>
          <w:noProof/>
        </w:rPr>
        <w:fldChar w:fldCharType="separate"/>
      </w:r>
      <w:r>
        <w:rPr>
          <w:noProof/>
        </w:rPr>
        <w:t>17</w:t>
      </w:r>
      <w:r>
        <w:rPr>
          <w:noProof/>
        </w:rPr>
        <w:fldChar w:fldCharType="end"/>
      </w:r>
      <w:r>
        <w:rPr>
          <w:noProof/>
        </w:rPr>
        <w:t>: Total irregularities reported under IPA II components</w:t>
      </w:r>
    </w:p>
    <w:tbl>
      <w:tblPr>
        <w:tblStyle w:val="ListTable4Accent2"/>
        <w:tblW w:w="7621" w:type="dxa"/>
        <w:tblLook w:val="04A0" w:firstRow="1" w:lastRow="0" w:firstColumn="1" w:lastColumn="0" w:noHBand="0" w:noVBand="1"/>
      </w:tblPr>
      <w:tblGrid>
        <w:gridCol w:w="960"/>
        <w:gridCol w:w="453"/>
        <w:gridCol w:w="1247"/>
        <w:gridCol w:w="450"/>
        <w:gridCol w:w="1109"/>
        <w:gridCol w:w="960"/>
        <w:gridCol w:w="883"/>
        <w:gridCol w:w="474"/>
        <w:gridCol w:w="1085"/>
      </w:tblGrid>
      <w:tr>
        <w:trPr>
          <w:cnfStyle w:val="100000000000" w:firstRow="1" w:lastRow="0" w:firstColumn="0" w:lastColumn="0" w:oddVBand="0" w:evenVBand="0" w:oddHBand="0"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pPr>
              <w:keepNext/>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 </w:t>
            </w:r>
          </w:p>
        </w:tc>
        <w:tc>
          <w:tcPr>
            <w:tcW w:w="1700" w:type="dxa"/>
            <w:gridSpan w:val="2"/>
            <w:noWrap/>
            <w:hideMark/>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CBC-IPA</w:t>
            </w:r>
          </w:p>
        </w:tc>
        <w:tc>
          <w:tcPr>
            <w:tcW w:w="1559" w:type="dxa"/>
            <w:gridSpan w:val="2"/>
            <w:noWrap/>
            <w:hideMark/>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IPARD</w:t>
            </w:r>
          </w:p>
        </w:tc>
        <w:tc>
          <w:tcPr>
            <w:tcW w:w="1843" w:type="dxa"/>
            <w:gridSpan w:val="2"/>
            <w:hideMark/>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REGD</w:t>
            </w:r>
          </w:p>
        </w:tc>
        <w:tc>
          <w:tcPr>
            <w:tcW w:w="1559" w:type="dxa"/>
            <w:gridSpan w:val="2"/>
            <w:noWrap/>
            <w:hideMark/>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TAIB</w:t>
            </w:r>
          </w:p>
        </w:tc>
      </w:tr>
      <w:tr>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60" w:type="dxa"/>
            <w:shd w:val="clear" w:color="auto" w:fill="ED7D31" w:themeFill="accent2"/>
            <w:noWrap/>
            <w:hideMark/>
          </w:tcPr>
          <w:p>
            <w:pPr>
              <w:keepNext/>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 </w:t>
            </w:r>
          </w:p>
        </w:tc>
        <w:tc>
          <w:tcPr>
            <w:tcW w:w="453" w:type="dxa"/>
            <w:shd w:val="clear" w:color="auto" w:fill="ED7D31" w:themeFill="accent2"/>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247" w:type="dxa"/>
            <w:shd w:val="clear" w:color="auto" w:fill="ED7D31" w:themeFill="accent2"/>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c>
          <w:tcPr>
            <w:tcW w:w="450" w:type="dxa"/>
            <w:shd w:val="clear" w:color="auto" w:fill="ED7D31" w:themeFill="accent2"/>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109" w:type="dxa"/>
            <w:shd w:val="clear" w:color="auto" w:fill="ED7D31" w:themeFill="accent2"/>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c>
          <w:tcPr>
            <w:tcW w:w="960" w:type="dxa"/>
            <w:shd w:val="clear" w:color="auto" w:fill="ED7D31" w:themeFill="accent2"/>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883" w:type="dxa"/>
            <w:shd w:val="clear" w:color="auto" w:fill="ED7D31" w:themeFill="accent2"/>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c>
          <w:tcPr>
            <w:tcW w:w="474" w:type="dxa"/>
            <w:shd w:val="clear" w:color="auto" w:fill="ED7D31" w:themeFill="accent2"/>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w:t>
            </w:r>
          </w:p>
        </w:tc>
        <w:tc>
          <w:tcPr>
            <w:tcW w:w="1085" w:type="dxa"/>
            <w:shd w:val="clear" w:color="auto" w:fill="ED7D31" w:themeFill="accent2"/>
            <w:hideMark/>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(EUR)</w:t>
            </w:r>
          </w:p>
        </w:tc>
      </w:tr>
      <w:tr>
        <w:trPr>
          <w:cantSplit/>
          <w:trHeight w:val="240"/>
        </w:trPr>
        <w:tc>
          <w:tcPr>
            <w:cnfStyle w:val="001000000000" w:firstRow="0" w:lastRow="0" w:firstColumn="1" w:lastColumn="0" w:oddVBand="0" w:evenVBand="0" w:oddHBand="0" w:evenHBand="0" w:firstRowFirstColumn="0" w:firstRowLastColumn="0" w:lastRowFirstColumn="0" w:lastRowLastColumn="0"/>
            <w:tcW w:w="960" w:type="dxa"/>
            <w:noWrap/>
            <w:hideMark/>
          </w:tcPr>
          <w:p>
            <w:pPr>
              <w:keepNex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AL</w:t>
            </w:r>
          </w:p>
        </w:tc>
        <w:tc>
          <w:tcPr>
            <w:tcW w:w="45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247"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50"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09"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60"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74"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w:t>
            </w:r>
          </w:p>
        </w:tc>
        <w:tc>
          <w:tcPr>
            <w:tcW w:w="1085"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nfStyle w:val="000000100000" w:firstRow="0" w:lastRow="0" w:firstColumn="0" w:lastColumn="0" w:oddVBand="0" w:evenVBand="0" w:oddHBand="1" w:evenHBand="0" w:firstRowFirstColumn="0" w:firstRowLastColumn="0" w:lastRowFirstColumn="0" w:lastRowLastColumn="0"/>
          <w:cantSplit/>
          <w:trHeight w:val="240"/>
        </w:trPr>
        <w:tc>
          <w:tcPr>
            <w:cnfStyle w:val="001000000000" w:firstRow="0" w:lastRow="0" w:firstColumn="1" w:lastColumn="0" w:oddVBand="0" w:evenVBand="0" w:oddHBand="0" w:evenHBand="0" w:firstRowFirstColumn="0" w:firstRowLastColumn="0" w:lastRowFirstColumn="0" w:lastRowLastColumn="0"/>
            <w:tcW w:w="960" w:type="dxa"/>
            <w:noWrap/>
            <w:hideMark/>
          </w:tcPr>
          <w:p>
            <w:pPr>
              <w:keepNex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BG</w:t>
            </w:r>
          </w:p>
        </w:tc>
        <w:tc>
          <w:tcPr>
            <w:tcW w:w="45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w:t>
            </w:r>
          </w:p>
        </w:tc>
        <w:tc>
          <w:tcPr>
            <w:tcW w:w="1247"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117,595</w:t>
            </w:r>
          </w:p>
        </w:tc>
        <w:tc>
          <w:tcPr>
            <w:tcW w:w="450"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09"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60"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74"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085"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antSplit/>
          <w:trHeight w:val="240"/>
        </w:trPr>
        <w:tc>
          <w:tcPr>
            <w:cnfStyle w:val="001000000000" w:firstRow="0" w:lastRow="0" w:firstColumn="1" w:lastColumn="0" w:oddVBand="0" w:evenVBand="0" w:oddHBand="0" w:evenHBand="0" w:firstRowFirstColumn="0" w:firstRowLastColumn="0" w:lastRowFirstColumn="0" w:lastRowLastColumn="0"/>
            <w:tcW w:w="960" w:type="dxa"/>
            <w:noWrap/>
            <w:hideMark/>
          </w:tcPr>
          <w:p>
            <w:pPr>
              <w:keepNex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ME</w:t>
            </w:r>
          </w:p>
        </w:tc>
        <w:tc>
          <w:tcPr>
            <w:tcW w:w="45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247"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50"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109"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60"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74"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1085"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nfStyle w:val="000000100000" w:firstRow="0" w:lastRow="0" w:firstColumn="0" w:lastColumn="0" w:oddVBand="0" w:evenVBand="0" w:oddHBand="1" w:evenHBand="0" w:firstRowFirstColumn="0" w:firstRowLastColumn="0" w:lastRowFirstColumn="0" w:lastRowLastColumn="0"/>
          <w:cantSplit/>
          <w:trHeight w:val="240"/>
        </w:trPr>
        <w:tc>
          <w:tcPr>
            <w:cnfStyle w:val="001000000000" w:firstRow="0" w:lastRow="0" w:firstColumn="1" w:lastColumn="0" w:oddVBand="0" w:evenVBand="0" w:oddHBand="0" w:evenHBand="0" w:firstRowFirstColumn="0" w:firstRowLastColumn="0" w:lastRowFirstColumn="0" w:lastRowLastColumn="0"/>
            <w:tcW w:w="960" w:type="dxa"/>
            <w:noWrap/>
            <w:hideMark/>
          </w:tcPr>
          <w:p>
            <w:pPr>
              <w:keepNex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MK</w:t>
            </w:r>
          </w:p>
        </w:tc>
        <w:tc>
          <w:tcPr>
            <w:tcW w:w="45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247"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50"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48</w:t>
            </w:r>
          </w:p>
        </w:tc>
        <w:tc>
          <w:tcPr>
            <w:tcW w:w="1109"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323,459</w:t>
            </w:r>
          </w:p>
        </w:tc>
        <w:tc>
          <w:tcPr>
            <w:tcW w:w="960"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8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74"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085"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antSplit/>
          <w:trHeight w:val="240"/>
        </w:trPr>
        <w:tc>
          <w:tcPr>
            <w:cnfStyle w:val="001000000000" w:firstRow="0" w:lastRow="0" w:firstColumn="1" w:lastColumn="0" w:oddVBand="0" w:evenVBand="0" w:oddHBand="0" w:evenHBand="0" w:firstRowFirstColumn="0" w:firstRowLastColumn="0" w:lastRowFirstColumn="0" w:lastRowLastColumn="0"/>
            <w:tcW w:w="960" w:type="dxa"/>
            <w:noWrap/>
            <w:hideMark/>
          </w:tcPr>
          <w:p>
            <w:pPr>
              <w:keepNex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RS</w:t>
            </w:r>
          </w:p>
        </w:tc>
        <w:tc>
          <w:tcPr>
            <w:tcW w:w="45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w:t>
            </w:r>
          </w:p>
        </w:tc>
        <w:tc>
          <w:tcPr>
            <w:tcW w:w="1247"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50"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1109"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960"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8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74"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085"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nfStyle w:val="000000100000" w:firstRow="0" w:lastRow="0" w:firstColumn="0" w:lastColumn="0" w:oddVBand="0" w:evenVBand="0" w:oddHBand="1" w:evenHBand="0" w:firstRowFirstColumn="0" w:firstRowLastColumn="0" w:lastRowFirstColumn="0" w:lastRowLastColumn="0"/>
          <w:cantSplit/>
          <w:trHeight w:val="240"/>
        </w:trPr>
        <w:tc>
          <w:tcPr>
            <w:cnfStyle w:val="001000000000" w:firstRow="0" w:lastRow="0" w:firstColumn="1" w:lastColumn="0" w:oddVBand="0" w:evenVBand="0" w:oddHBand="0" w:evenHBand="0" w:firstRowFirstColumn="0" w:firstRowLastColumn="0" w:lastRowFirstColumn="0" w:lastRowLastColumn="0"/>
            <w:tcW w:w="960" w:type="dxa"/>
            <w:noWrap/>
            <w:hideMark/>
          </w:tcPr>
          <w:p>
            <w:pPr>
              <w:keepNex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TR</w:t>
            </w:r>
          </w:p>
        </w:tc>
        <w:tc>
          <w:tcPr>
            <w:tcW w:w="45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247"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50"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32</w:t>
            </w:r>
          </w:p>
        </w:tc>
        <w:tc>
          <w:tcPr>
            <w:tcW w:w="1109"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1,368,841</w:t>
            </w:r>
          </w:p>
        </w:tc>
        <w:tc>
          <w:tcPr>
            <w:tcW w:w="960"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w:t>
            </w:r>
          </w:p>
        </w:tc>
        <w:tc>
          <w:tcPr>
            <w:tcW w:w="883"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474"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c>
          <w:tcPr>
            <w:tcW w:w="1085"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w:t>
            </w:r>
          </w:p>
        </w:tc>
      </w:tr>
      <w:tr>
        <w:trPr>
          <w:cantSplit/>
          <w:trHeight w:val="240"/>
        </w:trPr>
        <w:tc>
          <w:tcPr>
            <w:cnfStyle w:val="001000000000" w:firstRow="0" w:lastRow="0" w:firstColumn="1" w:lastColumn="0" w:oddVBand="0" w:evenVBand="0" w:oddHBand="0" w:evenHBand="0" w:firstRowFirstColumn="0" w:firstRowLastColumn="0" w:lastRowFirstColumn="0" w:lastRowLastColumn="0"/>
            <w:tcW w:w="960" w:type="dxa"/>
            <w:noWrap/>
            <w:hideMark/>
          </w:tcPr>
          <w:p>
            <w:pPr>
              <w:keepNex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Total</w:t>
            </w:r>
          </w:p>
        </w:tc>
        <w:tc>
          <w:tcPr>
            <w:tcW w:w="45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10</w:t>
            </w:r>
          </w:p>
        </w:tc>
        <w:tc>
          <w:tcPr>
            <w:tcW w:w="1247"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117,595</w:t>
            </w:r>
          </w:p>
        </w:tc>
        <w:tc>
          <w:tcPr>
            <w:tcW w:w="450"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81</w:t>
            </w:r>
          </w:p>
        </w:tc>
        <w:tc>
          <w:tcPr>
            <w:tcW w:w="1109"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1,692,300</w:t>
            </w:r>
          </w:p>
        </w:tc>
        <w:tc>
          <w:tcPr>
            <w:tcW w:w="960"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2</w:t>
            </w:r>
          </w:p>
        </w:tc>
        <w:tc>
          <w:tcPr>
            <w:tcW w:w="883"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0</w:t>
            </w:r>
          </w:p>
        </w:tc>
        <w:tc>
          <w:tcPr>
            <w:tcW w:w="474"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w:t>
            </w:r>
          </w:p>
        </w:tc>
        <w:tc>
          <w:tcPr>
            <w:tcW w:w="1085" w:type="dxa"/>
            <w:noWrap/>
            <w:hideMark/>
          </w:tcPr>
          <w:p>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0</w:t>
            </w:r>
          </w:p>
        </w:tc>
      </w:tr>
    </w:tbl>
    <w:p>
      <w:pPr>
        <w:rPr>
          <w:noProof/>
        </w:rPr>
      </w:pPr>
    </w:p>
    <w:p>
      <w:pPr>
        <w:pStyle w:val="ManualHeading3"/>
        <w:numPr>
          <w:ilvl w:val="2"/>
          <w:numId w:val="1"/>
        </w:numPr>
        <w:ind w:left="850" w:hanging="850"/>
        <w:rPr>
          <w:noProof/>
        </w:rPr>
      </w:pPr>
      <w:bookmarkStart w:id="41" w:name="_Toc45618000"/>
      <w:r>
        <w:rPr>
          <w:noProof/>
        </w:rPr>
        <w:t>Profiles of Persons Involved</w:t>
      </w:r>
      <w:bookmarkEnd w:id="41"/>
    </w:p>
    <w:p>
      <w:pPr>
        <w:pStyle w:val="Text1"/>
        <w:ind w:left="0"/>
        <w:rPr>
          <w:noProof/>
        </w:rPr>
      </w:pPr>
      <w:r>
        <w:rPr>
          <w:b/>
          <w:noProof/>
        </w:rPr>
        <w:t>For nearly half of the fraudulent irregularities reported, the “persons involved”</w:t>
      </w:r>
      <w:r>
        <w:rPr>
          <w:rStyle w:val="FooterChar"/>
          <w:b/>
          <w:noProof/>
        </w:rPr>
        <w:t xml:space="preserve"> </w:t>
      </w:r>
      <w:r>
        <w:rPr>
          <w:rStyle w:val="FootnoteReference"/>
          <w:b/>
          <w:noProof/>
        </w:rPr>
        <w:footnoteReference w:id="21"/>
      </w:r>
      <w:r>
        <w:rPr>
          <w:noProof/>
        </w:rPr>
        <w:t xml:space="preserve"> </w:t>
      </w:r>
      <w:r>
        <w:rPr>
          <w:b/>
          <w:noProof/>
        </w:rPr>
        <w:t xml:space="preserve"> are legal entities; for a significant one-third of cases they are natural persons.</w:t>
      </w:r>
      <w:r>
        <w:rPr>
          <w:noProof/>
        </w:rPr>
        <w:t xml:space="preserve"> This analysis concerns the 135 irregularities reported as fraudulent between 2015 and 2019 in relation to pre-accession funding. Findings are based on the characteristics of the entities (natural or legal persons) involved in the irregularities reported as fraudulent.</w:t>
      </w:r>
      <w:r>
        <w:rPr>
          <w:rStyle w:val="FootnoteReference"/>
          <w:noProof/>
        </w:rPr>
        <w:footnoteReference w:id="22"/>
      </w:r>
      <w:r>
        <w:rPr>
          <w:noProof/>
        </w:rPr>
        <w:t xml:space="preserve"> Chart PA12 shows their distribution in relation to the type of person involved. For nearly half of these cases (48%), the persons involved were all legal entities, while in one-third of them (33%) they were all natural persons. </w:t>
      </w:r>
    </w:p>
    <w:p>
      <w:pPr>
        <w:pStyle w:val="Caption"/>
        <w:keepNext/>
        <w:rPr>
          <w:noProof/>
        </w:rPr>
      </w:pPr>
      <w:r>
        <w:rPr>
          <w:noProof/>
        </w:rPr>
        <w:t xml:space="preserve">Chart PA </w:t>
      </w:r>
      <w:r>
        <w:rPr>
          <w:noProof/>
        </w:rPr>
        <w:fldChar w:fldCharType="begin"/>
      </w:r>
      <w:r>
        <w:rPr>
          <w:noProof/>
        </w:rPr>
        <w:instrText xml:space="preserve"> SEQ Chart_PA \* ARABIC </w:instrText>
      </w:r>
      <w:r>
        <w:rPr>
          <w:noProof/>
        </w:rPr>
        <w:fldChar w:fldCharType="separate"/>
      </w:r>
      <w:r>
        <w:rPr>
          <w:noProof/>
        </w:rPr>
        <w:t>12</w:t>
      </w:r>
      <w:r>
        <w:rPr>
          <w:noProof/>
        </w:rPr>
        <w:fldChar w:fldCharType="end"/>
      </w:r>
      <w:r>
        <w:rPr>
          <w:noProof/>
        </w:rPr>
        <w:t xml:space="preserve">: </w:t>
      </w:r>
      <w:r>
        <w:rPr>
          <w:rFonts w:ascii="Times New Roman" w:hAnsi="Times New Roman" w:cs="Times New Roman"/>
          <w:noProof/>
        </w:rPr>
        <w:t>Types of persons involved in irregularities reported as fraudulent – pre-accession funding (2015-2019)</w:t>
      </w:r>
    </w:p>
    <w:p>
      <w:pPr>
        <w:keepNext/>
        <w:rPr>
          <w:noProof/>
        </w:rPr>
      </w:pPr>
      <w:r>
        <w:rPr>
          <w:rFonts w:ascii="Times New Roman" w:hAnsi="Times New Roman" w:cs="Times New Roman"/>
          <w:noProof/>
          <w:sz w:val="24"/>
          <w:lang w:eastAsia="en-GB"/>
        </w:rPr>
        <w:drawing>
          <wp:inline distT="0" distB="0" distL="0" distR="0">
            <wp:extent cx="3872285" cy="20594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6864" cy="2061888"/>
                    </a:xfrm>
                    <a:prstGeom prst="rect">
                      <a:avLst/>
                    </a:prstGeom>
                    <a:noFill/>
                  </pic:spPr>
                </pic:pic>
              </a:graphicData>
            </a:graphic>
          </wp:inline>
        </w:drawing>
      </w:r>
    </w:p>
    <w:p>
      <w:pPr>
        <w:pStyle w:val="Text1"/>
        <w:ind w:left="0"/>
        <w:rPr>
          <w:b/>
          <w:noProof/>
        </w:rPr>
      </w:pPr>
    </w:p>
    <w:p>
      <w:pPr>
        <w:pStyle w:val="Text1"/>
        <w:ind w:left="0"/>
        <w:rPr>
          <w:noProof/>
          <w:szCs w:val="20"/>
        </w:rPr>
      </w:pPr>
      <w:r>
        <w:rPr>
          <w:b/>
          <w:noProof/>
        </w:rPr>
        <w:t>Most fraudulent irregularities report a single person involved.</w:t>
      </w:r>
      <w:r>
        <w:rPr>
          <w:noProof/>
        </w:rPr>
        <w:t xml:space="preserve"> Some 183 persons involved were associated to these 135 cases; most fraudulent irregularities report a single person involved, only ten report more than two. These 183 persons involved consist of 106 legal entities and 77 natural persons. This analysis does not attempt to correct for persons involved who are named in multiple cases and thus such parties would be counted once for every irregularity in which they are reported. As Chart </w:t>
      </w:r>
      <w:r>
        <w:rPr>
          <w:noProof/>
          <w:szCs w:val="20"/>
        </w:rPr>
        <w:t xml:space="preserve">PA13 indicates, the prevalence of single-company cases remains relatively steady around the 45% mark year-on-year, while the number of one-party </w:t>
      </w:r>
      <w:r>
        <w:rPr>
          <w:noProof/>
        </w:rPr>
        <w:t>cases</w:t>
      </w:r>
      <w:r>
        <w:rPr>
          <w:noProof/>
          <w:szCs w:val="20"/>
        </w:rPr>
        <w:t xml:space="preserve"> (i.e., single persons or companies) has been above 80% for the last three years. </w:t>
      </w:r>
    </w:p>
    <w:p>
      <w:pPr>
        <w:pStyle w:val="Caption"/>
        <w:keepNext/>
        <w:jc w:val="both"/>
        <w:rPr>
          <w:noProof/>
        </w:rPr>
      </w:pPr>
      <w:r>
        <w:rPr>
          <w:noProof/>
        </w:rPr>
        <w:t xml:space="preserve">Chart PA </w:t>
      </w:r>
      <w:r>
        <w:rPr>
          <w:noProof/>
        </w:rPr>
        <w:fldChar w:fldCharType="begin"/>
      </w:r>
      <w:r>
        <w:rPr>
          <w:noProof/>
        </w:rPr>
        <w:instrText xml:space="preserve"> SEQ Chart_PA \* ARABIC </w:instrText>
      </w:r>
      <w:r>
        <w:rPr>
          <w:noProof/>
        </w:rPr>
        <w:fldChar w:fldCharType="separate"/>
      </w:r>
      <w:r>
        <w:rPr>
          <w:noProof/>
        </w:rPr>
        <w:t>13</w:t>
      </w:r>
      <w:r>
        <w:rPr>
          <w:noProof/>
        </w:rPr>
        <w:fldChar w:fldCharType="end"/>
      </w:r>
    </w:p>
    <w:p>
      <w:pPr>
        <w:pStyle w:val="Text1"/>
        <w:keepNext/>
        <w:ind w:left="0"/>
        <w:rPr>
          <w:noProof/>
        </w:rPr>
      </w:pPr>
      <w:r>
        <w:rPr>
          <w:noProof/>
        </w:rPr>
        <w:drawing>
          <wp:inline distT="0" distB="0" distL="0" distR="0">
            <wp:extent cx="4373217" cy="2051436"/>
            <wp:effectExtent l="0" t="0" r="889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Text1"/>
        <w:ind w:left="0"/>
        <w:rPr>
          <w:noProof/>
        </w:rPr>
      </w:pPr>
    </w:p>
    <w:p>
      <w:pPr>
        <w:pStyle w:val="Text1"/>
        <w:ind w:left="0"/>
        <w:rPr>
          <w:noProof/>
        </w:rPr>
      </w:pPr>
      <w:r>
        <w:rPr>
          <w:noProof/>
        </w:rPr>
        <w:t>IMS does not provide structured information regarding the corporate form or legal status (‘</w:t>
      </w:r>
      <w:r>
        <w:rPr>
          <w:i/>
          <w:noProof/>
        </w:rPr>
        <w:t>organisational status</w:t>
      </w:r>
      <w:r>
        <w:rPr>
          <w:noProof/>
        </w:rPr>
        <w:t>’) of these legal entities. However, for the purpose of this analysis, their ‘</w:t>
      </w:r>
      <w:r>
        <w:rPr>
          <w:i/>
          <w:noProof/>
        </w:rPr>
        <w:t>organisational status</w:t>
      </w:r>
      <w:r>
        <w:rPr>
          <w:noProof/>
        </w:rPr>
        <w:t>’ has been surmised based on the examination of their names.</w:t>
      </w:r>
      <w:r>
        <w:rPr>
          <w:rStyle w:val="FootnoteReference"/>
          <w:noProof/>
        </w:rPr>
        <w:footnoteReference w:id="23"/>
      </w:r>
      <w:r>
        <w:rPr>
          <w:noProof/>
        </w:rPr>
        <w:t xml:space="preserve"> This made it possible to classify 91 (86%) of these legal entities. For purposes of this analysis, the following classification has been adopted: (1) ‘</w:t>
      </w:r>
      <w:r>
        <w:rPr>
          <w:i/>
          <w:noProof/>
        </w:rPr>
        <w:t>private companies</w:t>
      </w:r>
      <w:r>
        <w:rPr>
          <w:noProof/>
        </w:rPr>
        <w:t>’, (2) ‘</w:t>
      </w:r>
      <w:r>
        <w:rPr>
          <w:i/>
          <w:noProof/>
        </w:rPr>
        <w:t>public companies</w:t>
      </w:r>
      <w:r>
        <w:rPr>
          <w:noProof/>
        </w:rPr>
        <w:t>’, (3) ‘</w:t>
      </w:r>
      <w:r>
        <w:rPr>
          <w:i/>
          <w:noProof/>
        </w:rPr>
        <w:t>simple structures</w:t>
      </w:r>
      <w:r>
        <w:rPr>
          <w:noProof/>
        </w:rPr>
        <w:t>’, (4) ‘</w:t>
      </w:r>
      <w:r>
        <w:rPr>
          <w:i/>
          <w:noProof/>
        </w:rPr>
        <w:t>national governmental bodies’</w:t>
      </w:r>
      <w:r>
        <w:rPr>
          <w:noProof/>
        </w:rPr>
        <w:t xml:space="preserve">, (5) </w:t>
      </w:r>
      <w:r>
        <w:rPr>
          <w:i/>
          <w:noProof/>
        </w:rPr>
        <w:t>‘sub-national governmental bodies’</w:t>
      </w:r>
      <w:r>
        <w:rPr>
          <w:noProof/>
        </w:rPr>
        <w:t xml:space="preserve">, and (6) </w:t>
      </w:r>
      <w:r>
        <w:rPr>
          <w:i/>
          <w:noProof/>
        </w:rPr>
        <w:t>‘non-profits and cooperatives’.</w:t>
      </w:r>
      <w:r>
        <w:rPr>
          <w:noProof/>
        </w:rPr>
        <w:t xml:space="preserve"> ‘</w:t>
      </w:r>
      <w:r>
        <w:rPr>
          <w:i/>
          <w:noProof/>
        </w:rPr>
        <w:t>Private companies’</w:t>
      </w:r>
      <w:r>
        <w:rPr>
          <w:noProof/>
        </w:rPr>
        <w:t xml:space="preserve"> includes entities such as limited companies whose shares are not traded on the stock market. ‘</w:t>
      </w:r>
      <w:r>
        <w:rPr>
          <w:i/>
          <w:noProof/>
        </w:rPr>
        <w:t>Public companies’</w:t>
      </w:r>
      <w:r>
        <w:rPr>
          <w:noProof/>
        </w:rPr>
        <w:t xml:space="preserve"> includes entities such as limited companies whose shares are publicly traded. ‘</w:t>
      </w:r>
      <w:r>
        <w:rPr>
          <w:i/>
          <w:noProof/>
        </w:rPr>
        <w:t>Simple structures’</w:t>
      </w:r>
      <w:r>
        <w:rPr>
          <w:noProof/>
        </w:rPr>
        <w:t xml:space="preserve"> includes entities lacking legal distinction between the owner and the business entity such as sole proprietorships and partnerships. ‘</w:t>
      </w:r>
      <w:r>
        <w:rPr>
          <w:i/>
          <w:noProof/>
        </w:rPr>
        <w:t>National governmental bodies’</w:t>
      </w:r>
      <w:r>
        <w:rPr>
          <w:noProof/>
        </w:rPr>
        <w:t xml:space="preserve"> include any governmental entity operating at the national or central level (ministries, agencies, etc.). ‘</w:t>
      </w:r>
      <w:r>
        <w:rPr>
          <w:i/>
          <w:noProof/>
        </w:rPr>
        <w:t>Sub-national governmental bodies’</w:t>
      </w:r>
      <w:r>
        <w:rPr>
          <w:noProof/>
        </w:rPr>
        <w:t xml:space="preserve"> include all governmental entities operating below the national level (regional bodies, municipalities, local officials, etc.). ‘</w:t>
      </w:r>
      <w:r>
        <w:rPr>
          <w:i/>
          <w:noProof/>
        </w:rPr>
        <w:t>Non</w:t>
      </w:r>
      <w:r>
        <w:rPr>
          <w:i/>
          <w:noProof/>
        </w:rPr>
        <w:noBreakHyphen/>
        <w:t>profits and cooperatives’</w:t>
      </w:r>
      <w:r>
        <w:rPr>
          <w:noProof/>
        </w:rPr>
        <w:t xml:space="preserve"> is a catchall for entities such as associations, educational institutions, cooperatives and generally organisations whose primary goal is not the generation of income for members or shareholders. </w:t>
      </w:r>
    </w:p>
    <w:p>
      <w:pPr>
        <w:pStyle w:val="Text1"/>
        <w:ind w:left="0"/>
        <w:rPr>
          <w:noProof/>
        </w:rPr>
      </w:pPr>
      <w:r>
        <w:rPr>
          <w:b/>
          <w:noProof/>
        </w:rPr>
        <w:t>The majority of legal entities involved are private companies, followed by sub-national governmental bodies and ‘non-profits and cooperatives’.</w:t>
      </w:r>
      <w:r>
        <w:rPr>
          <w:noProof/>
        </w:rPr>
        <w:t xml:space="preserve"> Chart </w:t>
      </w:r>
      <w:r>
        <w:rPr>
          <w:noProof/>
          <w:szCs w:val="20"/>
        </w:rPr>
        <w:t xml:space="preserve">PA14 </w:t>
      </w:r>
      <w:r>
        <w:rPr>
          <w:noProof/>
        </w:rPr>
        <w:t xml:space="preserve">shows the distribution of the 91 legal entities based on this classification. The majority of them (54) were </w:t>
      </w:r>
      <w:r>
        <w:rPr>
          <w:i/>
          <w:noProof/>
        </w:rPr>
        <w:t>‘private companies’</w:t>
      </w:r>
      <w:r>
        <w:rPr>
          <w:noProof/>
        </w:rPr>
        <w:t>, while the second largest group was ‘</w:t>
      </w:r>
      <w:r>
        <w:rPr>
          <w:i/>
          <w:noProof/>
        </w:rPr>
        <w:t>sub-national governmental bodies’</w:t>
      </w:r>
      <w:r>
        <w:rPr>
          <w:noProof/>
        </w:rPr>
        <w:t xml:space="preserve"> (14) followed by ‘</w:t>
      </w:r>
      <w:r>
        <w:rPr>
          <w:i/>
          <w:noProof/>
        </w:rPr>
        <w:t>non-profit and cooperatives’</w:t>
      </w:r>
      <w:r>
        <w:rPr>
          <w:noProof/>
        </w:rPr>
        <w:t xml:space="preserve"> (13). </w:t>
      </w:r>
    </w:p>
    <w:p>
      <w:pPr>
        <w:pStyle w:val="Text1"/>
        <w:ind w:left="0"/>
        <w:rPr>
          <w:noProof/>
        </w:rPr>
      </w:pPr>
    </w:p>
    <w:p>
      <w:pPr>
        <w:pStyle w:val="Caption"/>
        <w:keepNext/>
        <w:spacing w:after="0"/>
        <w:rPr>
          <w:rFonts w:ascii="Times New Roman" w:hAnsi="Times New Roman" w:cs="Times New Roman"/>
          <w:i w:val="0"/>
          <w:noProof/>
          <w:lang w:eastAsia="en-GB"/>
        </w:rPr>
      </w:pPr>
      <w:r>
        <w:rPr>
          <w:noProof/>
        </w:rPr>
        <w:t xml:space="preserve">Chart PA </w:t>
      </w:r>
      <w:r>
        <w:rPr>
          <w:noProof/>
        </w:rPr>
        <w:fldChar w:fldCharType="begin"/>
      </w:r>
      <w:r>
        <w:rPr>
          <w:noProof/>
        </w:rPr>
        <w:instrText xml:space="preserve"> SEQ Chart_PA \* ARABIC </w:instrText>
      </w:r>
      <w:r>
        <w:rPr>
          <w:noProof/>
        </w:rPr>
        <w:fldChar w:fldCharType="separate"/>
      </w:r>
      <w:r>
        <w:rPr>
          <w:noProof/>
        </w:rPr>
        <w:t>14</w:t>
      </w:r>
      <w:r>
        <w:rPr>
          <w:noProof/>
        </w:rPr>
        <w:fldChar w:fldCharType="end"/>
      </w:r>
      <w:r>
        <w:rPr>
          <w:noProof/>
        </w:rPr>
        <w:t xml:space="preserve">: </w:t>
      </w:r>
      <w:r>
        <w:rPr>
          <w:rFonts w:ascii="Times New Roman" w:hAnsi="Times New Roman" w:cs="Times New Roman"/>
          <w:noProof/>
        </w:rPr>
        <w:t>Legal entities involved in irregularities reported as fraudulent – pre-accession funding (2015-2019)</w:t>
      </w:r>
    </w:p>
    <w:p>
      <w:pPr>
        <w:keepNext/>
        <w:rPr>
          <w:noProof/>
        </w:rPr>
      </w:pPr>
      <w:r>
        <w:rPr>
          <w:noProof/>
          <w:lang w:eastAsia="en-GB"/>
        </w:rPr>
        <w:drawing>
          <wp:inline distT="0" distB="0" distL="0" distR="0">
            <wp:extent cx="3776870" cy="2417197"/>
            <wp:effectExtent l="0" t="0" r="14605" b="25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keepNext/>
        <w:rPr>
          <w:noProof/>
        </w:rPr>
      </w:pPr>
      <w:r>
        <w:rPr>
          <w:noProof/>
        </w:rPr>
        <w:br w:type="page"/>
      </w:r>
    </w:p>
    <w:p>
      <w:pPr>
        <w:pStyle w:val="ManualHeading1"/>
        <w:numPr>
          <w:ilvl w:val="0"/>
          <w:numId w:val="1"/>
        </w:numPr>
        <w:ind w:left="850" w:hanging="850"/>
        <w:rPr>
          <w:noProof/>
        </w:rPr>
      </w:pPr>
      <w:bookmarkStart w:id="42" w:name="_Toc13153268"/>
      <w:bookmarkStart w:id="43" w:name="_Toc45618001"/>
      <w:r>
        <w:rPr>
          <w:noProof/>
        </w:rPr>
        <w:t>Direct Management</w:t>
      </w:r>
      <w:bookmarkEnd w:id="42"/>
      <w:bookmarkEnd w:id="43"/>
    </w:p>
    <w:p>
      <w:pPr>
        <w:pStyle w:val="ManualHeading2"/>
        <w:numPr>
          <w:ilvl w:val="1"/>
          <w:numId w:val="1"/>
        </w:numPr>
        <w:ind w:left="850" w:hanging="850"/>
        <w:rPr>
          <w:noProof/>
        </w:rPr>
      </w:pPr>
      <w:bookmarkStart w:id="44" w:name="_Toc424911604"/>
      <w:bookmarkStart w:id="45" w:name="_Toc453345623"/>
      <w:bookmarkStart w:id="46" w:name="_Toc485146225"/>
      <w:bookmarkStart w:id="47" w:name="_Toc485146532"/>
      <w:bookmarkStart w:id="48" w:name="_Toc486928878"/>
      <w:bookmarkStart w:id="49" w:name="_Toc45618002"/>
      <w:r>
        <w:rPr>
          <w:noProof/>
        </w:rPr>
        <w:t>Introduction</w:t>
      </w:r>
      <w:bookmarkEnd w:id="44"/>
      <w:bookmarkEnd w:id="45"/>
      <w:bookmarkEnd w:id="46"/>
      <w:bookmarkEnd w:id="47"/>
      <w:bookmarkEnd w:id="48"/>
      <w:bookmarkEnd w:id="49"/>
    </w:p>
    <w:p>
      <w:pPr>
        <w:pStyle w:val="Text1"/>
        <w:ind w:left="0"/>
        <w:rPr>
          <w:noProof/>
        </w:rPr>
      </w:pPr>
      <w:r>
        <w:rPr>
          <w:noProof/>
        </w:rPr>
        <w:t>This section contains a descriptive analysis of the data on recovery orders issued by the Commission services in relation to expenditures managed under ‘direct management’ mode, which is one of the three implementation modes the Commission can use to implement the budget.</w:t>
      </w:r>
    </w:p>
    <w:p>
      <w:pPr>
        <w:pStyle w:val="Text1"/>
        <w:ind w:left="0"/>
        <w:rPr>
          <w:noProof/>
        </w:rPr>
      </w:pPr>
      <w:r>
        <w:rPr>
          <w:noProof/>
        </w:rPr>
        <w:t>According to the Financial Regulation, the Commission implements the budget directly (‘direct management’) as set out in Articles 125 to 153, by its departments, including its staff in the Union delegations under the authority of their respective Head of delegation, in accordance with Article 60(2), or through executive agencies as referred to in Article 69;</w:t>
      </w:r>
      <w:r>
        <w:rPr>
          <w:rStyle w:val="FootnoteReference"/>
          <w:noProof/>
        </w:rPr>
        <w:t xml:space="preserve"> </w:t>
      </w:r>
      <w:r>
        <w:rPr>
          <w:rStyle w:val="FootnoteReference"/>
          <w:noProof/>
        </w:rPr>
        <w:footnoteReference w:id="24"/>
      </w:r>
    </w:p>
    <w:p>
      <w:pPr>
        <w:pStyle w:val="Text1"/>
        <w:ind w:left="0"/>
        <w:rPr>
          <w:noProof/>
        </w:rPr>
      </w:pPr>
      <w:r>
        <w:rPr>
          <w:noProof/>
        </w:rPr>
        <w:t>For financial year 2019, a total of EUR 20,630 million</w:t>
      </w:r>
      <w:r>
        <w:rPr>
          <w:rStyle w:val="FootnoteReference"/>
          <w:noProof/>
        </w:rPr>
        <w:footnoteReference w:id="25"/>
      </w:r>
      <w:r>
        <w:rPr>
          <w:noProof/>
        </w:rPr>
        <w:t xml:space="preserve"> has been effectively disbursed under the ‘direct management’ mode. Table DM1 presents the actual payments made in financial year 2019 for the policy areas under ‘direct management’.</w:t>
      </w:r>
    </w:p>
    <w:p>
      <w:pPr>
        <w:pStyle w:val="Text1"/>
        <w:keepNext/>
        <w:rPr>
          <w:i/>
          <w:noProof/>
        </w:rPr>
      </w:pPr>
      <w:r>
        <w:rPr>
          <w:i/>
          <w:noProof/>
        </w:rPr>
        <w:t>Table DM1 – Payments made in financial year 2019 per policy area</w:t>
      </w:r>
    </w:p>
    <w:p>
      <w:pPr>
        <w:pStyle w:val="Text1"/>
        <w:rPr>
          <w:i/>
          <w:noProof/>
        </w:rPr>
      </w:pPr>
      <w:r>
        <w:rPr>
          <w:noProof/>
        </w:rPr>
        <w:drawing>
          <wp:inline distT="0" distB="0" distL="0" distR="0">
            <wp:extent cx="4073363" cy="4110824"/>
            <wp:effectExtent l="0" t="0" r="3810" b="4445"/>
            <wp:docPr id="2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2756" cy="4120303"/>
                    </a:xfrm>
                    <a:prstGeom prst="rect">
                      <a:avLst/>
                    </a:prstGeom>
                    <a:noFill/>
                    <a:extLst/>
                  </pic:spPr>
                </pic:pic>
              </a:graphicData>
            </a:graphic>
          </wp:inline>
        </w:drawing>
      </w:r>
    </w:p>
    <w:p>
      <w:pPr>
        <w:pStyle w:val="ManualHeading3"/>
        <w:numPr>
          <w:ilvl w:val="2"/>
          <w:numId w:val="1"/>
        </w:numPr>
        <w:ind w:left="850" w:hanging="850"/>
        <w:rPr>
          <w:noProof/>
        </w:rPr>
      </w:pPr>
      <w:bookmarkStart w:id="50" w:name="_Toc424911605"/>
      <w:bookmarkStart w:id="51" w:name="_Toc453345624"/>
      <w:bookmarkStart w:id="52" w:name="_Toc485146226"/>
      <w:bookmarkStart w:id="53" w:name="_Toc485146533"/>
      <w:bookmarkStart w:id="54" w:name="_Toc486928879"/>
      <w:bookmarkStart w:id="55" w:name="_Toc45618003"/>
      <w:r>
        <w:rPr>
          <w:noProof/>
        </w:rPr>
        <w:t>General analysis</w:t>
      </w:r>
      <w:bookmarkEnd w:id="50"/>
      <w:bookmarkEnd w:id="51"/>
      <w:bookmarkEnd w:id="52"/>
      <w:bookmarkEnd w:id="53"/>
      <w:bookmarkEnd w:id="54"/>
      <w:bookmarkEnd w:id="55"/>
    </w:p>
    <w:p>
      <w:pPr>
        <w:pStyle w:val="Text1"/>
        <w:ind w:left="0"/>
        <w:rPr>
          <w:noProof/>
        </w:rPr>
      </w:pPr>
      <w:r>
        <w:rPr>
          <w:noProof/>
        </w:rPr>
        <w:t>For the financial year 2019, the Commission services registered 1,815 recovery items</w:t>
      </w:r>
      <w:r>
        <w:rPr>
          <w:rStyle w:val="FootnoteReference"/>
          <w:noProof/>
        </w:rPr>
        <w:footnoteReference w:id="26"/>
      </w:r>
      <w:r>
        <w:rPr>
          <w:noProof/>
        </w:rPr>
        <w:t xml:space="preserve"> in its accounting system (ABAC) that were qualified as irregularities for a total financial value of EUR 65.92 million. Among these recovery items, 37 have been reported as fraudulent, involving irregular amounts totalling EUR 10.57 million.</w:t>
      </w:r>
    </w:p>
    <w:p>
      <w:pPr>
        <w:pStyle w:val="Text1"/>
        <w:ind w:left="0"/>
        <w:rPr>
          <w:noProof/>
        </w:rPr>
      </w:pPr>
      <w:r>
        <w:rPr>
          <w:noProof/>
        </w:rPr>
        <w:t>However, it has to be underlined that qualifications attributed to recovery items may change over the years: cases of irregularities may arouse suspicions of fraud or the other way round, suspicions of fraud may be reclassified as non-fraudulent irregularities upon the closure of the European Anti-Fraud Office (OLAF) investigation. As a consequence, no direct conclusion can be drawn from the data with regard to the general trend of irregularities or fraud in this budget area.</w:t>
      </w:r>
    </w:p>
    <w:p>
      <w:pPr>
        <w:pStyle w:val="ManualHeading3"/>
        <w:numPr>
          <w:ilvl w:val="2"/>
          <w:numId w:val="1"/>
        </w:numPr>
        <w:ind w:left="850" w:hanging="850"/>
        <w:rPr>
          <w:noProof/>
        </w:rPr>
      </w:pPr>
      <w:bookmarkStart w:id="56" w:name="_Toc424911606"/>
      <w:bookmarkStart w:id="57" w:name="_Toc453345625"/>
      <w:bookmarkStart w:id="58" w:name="_Toc485146227"/>
      <w:bookmarkStart w:id="59" w:name="_Toc485146534"/>
      <w:bookmarkStart w:id="60" w:name="_Toc486928880"/>
      <w:bookmarkStart w:id="61" w:name="_Toc45618004"/>
      <w:r>
        <w:rPr>
          <w:noProof/>
        </w:rPr>
        <w:t>Five year analysis 2015-</w:t>
      </w:r>
      <w:bookmarkEnd w:id="56"/>
      <w:bookmarkEnd w:id="57"/>
      <w:r>
        <w:rPr>
          <w:noProof/>
        </w:rPr>
        <w:t>2019</w:t>
      </w:r>
      <w:bookmarkEnd w:id="58"/>
      <w:bookmarkEnd w:id="59"/>
      <w:bookmarkEnd w:id="60"/>
      <w:bookmarkEnd w:id="61"/>
    </w:p>
    <w:p>
      <w:pPr>
        <w:pStyle w:val="Text1"/>
        <w:ind w:left="0"/>
        <w:rPr>
          <w:noProof/>
        </w:rPr>
      </w:pPr>
      <w:r>
        <w:rPr>
          <w:noProof/>
        </w:rPr>
        <w:t>The below analysis gives an overview of recovery data recorded in the ABAC system over the past five years. Between 2015 and 2019, the average number of recovery items qualified as ‘irregularities reported as fraudulent’</w:t>
      </w:r>
      <w:r>
        <w:rPr>
          <w:rStyle w:val="FootnoteReference"/>
          <w:noProof/>
        </w:rPr>
        <w:footnoteReference w:id="27"/>
      </w:r>
      <w:r>
        <w:rPr>
          <w:noProof/>
        </w:rPr>
        <w:t xml:space="preserve"> was 51 per year. The lowest number of recoveries and the lowest corresponding recovery amounts were reported in 2015. The ratio between the amounts related to ‘irregularities reported as fraudulent’ and relative expenditure is close to zero (0.039%) throughout the five-year period. This ratio has been stable for many years now. Figures are presented in Table DM2 below.</w:t>
      </w:r>
    </w:p>
    <w:p>
      <w:pPr>
        <w:pStyle w:val="Text1"/>
        <w:keepNext/>
        <w:rPr>
          <w:i/>
          <w:noProof/>
          <w:lang w:eastAsia="de-DE"/>
        </w:rPr>
      </w:pPr>
      <w:r>
        <w:rPr>
          <w:i/>
          <w:noProof/>
        </w:rPr>
        <w:t>Table DM2 – Irregularities reported as fraudulent and related amounts, financial years 2015-2019</w:t>
      </w:r>
    </w:p>
    <w:p>
      <w:pPr>
        <w:pStyle w:val="Text1"/>
        <w:jc w:val="center"/>
        <w:rPr>
          <w:noProof/>
        </w:rPr>
      </w:pPr>
      <w:r>
        <w:rPr>
          <w:noProof/>
        </w:rPr>
        <w:drawing>
          <wp:inline distT="0" distB="0" distL="0" distR="0">
            <wp:extent cx="3586038" cy="1610688"/>
            <wp:effectExtent l="0" t="0" r="0" b="8890"/>
            <wp:docPr id="2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6671" cy="1615464"/>
                    </a:xfrm>
                    <a:prstGeom prst="rect">
                      <a:avLst/>
                    </a:prstGeom>
                    <a:noFill/>
                    <a:extLst/>
                  </pic:spPr>
                </pic:pic>
              </a:graphicData>
            </a:graphic>
          </wp:inline>
        </w:drawing>
      </w:r>
    </w:p>
    <w:p>
      <w:pPr>
        <w:pStyle w:val="Text1"/>
        <w:ind w:left="0"/>
        <w:rPr>
          <w:noProof/>
        </w:rPr>
      </w:pPr>
      <w:r>
        <w:rPr>
          <w:noProof/>
        </w:rPr>
        <w:t>With regard to ‘irregularities not reported as fraudulent’, the average number of recovery items registered per year is 1,740. The figure for 2019 fits to the longer trend, as is demonstrated by table DM3, below.</w:t>
      </w:r>
    </w:p>
    <w:p>
      <w:pPr>
        <w:pStyle w:val="Text1"/>
        <w:keepNext/>
        <w:rPr>
          <w:i/>
          <w:noProof/>
        </w:rPr>
      </w:pPr>
      <w:r>
        <w:rPr>
          <w:i/>
          <w:noProof/>
        </w:rPr>
        <w:t>Table DM3 – Irregularities not reported as fraudulent and related amounts, financial years 2015-2019</w:t>
      </w:r>
    </w:p>
    <w:p>
      <w:pPr>
        <w:pStyle w:val="Text1"/>
        <w:jc w:val="center"/>
        <w:rPr>
          <w:noProof/>
        </w:rPr>
      </w:pPr>
      <w:r>
        <w:rPr>
          <w:noProof/>
        </w:rPr>
        <w:drawing>
          <wp:inline distT="0" distB="0" distL="0" distR="0">
            <wp:extent cx="3753015" cy="1675007"/>
            <wp:effectExtent l="0" t="0" r="0" b="1905"/>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8679" cy="1681998"/>
                    </a:xfrm>
                    <a:prstGeom prst="rect">
                      <a:avLst/>
                    </a:prstGeom>
                    <a:noFill/>
                    <a:extLst/>
                  </pic:spPr>
                </pic:pic>
              </a:graphicData>
            </a:graphic>
          </wp:inline>
        </w:drawing>
      </w:r>
    </w:p>
    <w:p>
      <w:pPr>
        <w:pStyle w:val="Text1"/>
        <w:ind w:left="0"/>
        <w:rPr>
          <w:noProof/>
        </w:rPr>
      </w:pPr>
      <w:r>
        <w:rPr>
          <w:noProof/>
        </w:rPr>
        <w:t>Between 2015 and 2019, there were all together 8,701 registered recovery items qualified as ‘irregularities not reported as fraudulent’ with the aggregate recovery amount of EUR 373.06 million.</w:t>
      </w:r>
    </w:p>
    <w:p>
      <w:pPr>
        <w:pStyle w:val="Text1"/>
        <w:ind w:left="0"/>
        <w:rPr>
          <w:noProof/>
        </w:rPr>
      </w:pPr>
      <w:r>
        <w:rPr>
          <w:noProof/>
        </w:rPr>
        <w:t>The ratio between the aggregate irregular amounts corresponding to the recovery items (classified as ‘irregularities not reported as fraudulent’ between 2015 and 2019) and the reference figure of the related expenditure is about half a percent (0.385%). This ratio has been stable for many years now around 0.3-0.4% with an exceptional year (2015) with higher value.</w:t>
      </w:r>
    </w:p>
    <w:p>
      <w:pPr>
        <w:pStyle w:val="Text1"/>
        <w:ind w:left="0"/>
        <w:rPr>
          <w:noProof/>
        </w:rPr>
      </w:pPr>
      <w:r>
        <w:rPr>
          <w:noProof/>
        </w:rPr>
        <w:t>All these figures have to be interpreted in positive terms; they demonstrate the efficiency of the irregularity detection and recovery mechanisms in place.</w:t>
      </w:r>
    </w:p>
    <w:p>
      <w:pPr>
        <w:pStyle w:val="ManualHeading2"/>
        <w:numPr>
          <w:ilvl w:val="1"/>
          <w:numId w:val="1"/>
        </w:numPr>
        <w:ind w:left="850" w:hanging="850"/>
        <w:rPr>
          <w:noProof/>
        </w:rPr>
      </w:pPr>
      <w:bookmarkStart w:id="62" w:name="_Toc424911607"/>
      <w:bookmarkStart w:id="63" w:name="_Toc453345626"/>
      <w:bookmarkStart w:id="64" w:name="_Toc485146228"/>
      <w:bookmarkStart w:id="65" w:name="_Toc485146535"/>
      <w:bookmarkStart w:id="66" w:name="_Toc486928881"/>
      <w:bookmarkStart w:id="67" w:name="_Toc45618005"/>
      <w:r>
        <w:rPr>
          <w:noProof/>
        </w:rPr>
        <w:t>Specific analysis</w:t>
      </w:r>
      <w:bookmarkEnd w:id="62"/>
      <w:bookmarkEnd w:id="63"/>
      <w:bookmarkEnd w:id="64"/>
      <w:bookmarkEnd w:id="65"/>
      <w:bookmarkEnd w:id="66"/>
      <w:bookmarkEnd w:id="67"/>
    </w:p>
    <w:p>
      <w:pPr>
        <w:pStyle w:val="ManualHeading3"/>
        <w:numPr>
          <w:ilvl w:val="2"/>
          <w:numId w:val="1"/>
        </w:numPr>
        <w:ind w:left="850" w:hanging="850"/>
        <w:rPr>
          <w:noProof/>
        </w:rPr>
      </w:pPr>
      <w:bookmarkStart w:id="68" w:name="_Toc424911608"/>
      <w:bookmarkStart w:id="69" w:name="_Toc453345627"/>
      <w:bookmarkStart w:id="70" w:name="_Toc485146229"/>
      <w:bookmarkStart w:id="71" w:name="_Toc485146536"/>
      <w:bookmarkStart w:id="72" w:name="_Toc486928882"/>
      <w:bookmarkStart w:id="73" w:name="_Toc45618006"/>
      <w:r>
        <w:rPr>
          <w:noProof/>
        </w:rPr>
        <w:t>Recoveries according policy areas</w:t>
      </w:r>
      <w:bookmarkEnd w:id="68"/>
      <w:bookmarkEnd w:id="69"/>
      <w:bookmarkEnd w:id="70"/>
      <w:bookmarkEnd w:id="71"/>
      <w:bookmarkEnd w:id="72"/>
      <w:bookmarkEnd w:id="73"/>
    </w:p>
    <w:p>
      <w:pPr>
        <w:pStyle w:val="Text1"/>
        <w:ind w:left="0"/>
        <w:rPr>
          <w:noProof/>
        </w:rPr>
      </w:pPr>
      <w:r>
        <w:rPr>
          <w:noProof/>
        </w:rPr>
        <w:t>Table DM4 provides an overview of irregularity statistics by policy area for 2019.</w:t>
      </w:r>
    </w:p>
    <w:p>
      <w:pPr>
        <w:pStyle w:val="Text1"/>
        <w:ind w:left="0"/>
        <w:rPr>
          <w:noProof/>
        </w:rPr>
      </w:pPr>
    </w:p>
    <w:p>
      <w:pPr>
        <w:pStyle w:val="Text1"/>
        <w:keepNext/>
        <w:rPr>
          <w:i/>
          <w:noProof/>
        </w:rPr>
      </w:pPr>
      <w:r>
        <w:rPr>
          <w:i/>
          <w:noProof/>
        </w:rPr>
        <w:t>Table DM4 – Irregularities reported by policy areas and related amounts, 2019</w:t>
      </w:r>
    </w:p>
    <w:p>
      <w:pPr>
        <w:pStyle w:val="Text1"/>
        <w:rPr>
          <w:noProof/>
        </w:rPr>
      </w:pPr>
      <w:r>
        <w:rPr>
          <w:noProof/>
        </w:rPr>
        <w:drawing>
          <wp:inline distT="0" distB="0" distL="0" distR="0">
            <wp:extent cx="5225871" cy="3444949"/>
            <wp:effectExtent l="0" t="0" r="0" b="3175"/>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0013" cy="3447680"/>
                    </a:xfrm>
                    <a:prstGeom prst="rect">
                      <a:avLst/>
                    </a:prstGeom>
                    <a:noFill/>
                    <a:extLst/>
                  </pic:spPr>
                </pic:pic>
              </a:graphicData>
            </a:graphic>
          </wp:inline>
        </w:drawing>
      </w:r>
    </w:p>
    <w:p>
      <w:pPr>
        <w:pStyle w:val="Text1"/>
        <w:ind w:left="0"/>
        <w:rPr>
          <w:noProof/>
        </w:rPr>
      </w:pPr>
      <w:r>
        <w:rPr>
          <w:noProof/>
        </w:rPr>
        <w:t xml:space="preserve">In the financial year 2019, the highest numbers of recovery items qualified as 'irregularities not reported as fraudulent' were recorded in the policy area ‘Research and innovation’ (718), as were the highest irregular amounts (EUR 18.14 million). The second highest number of recovery items and related financial amounts were recorded in the policy area ‘Communications networks, content and technology’ (with 276 recovery items and EUR 9.26 million in related financial amounts). The third highest number of recovery items and related financial amounts were recorded in the policy area: ‘International cooperation and development' (EUR 7.1 million).These three policy areas account for 62% of the overall irregular recovery amounts for the year 2019. </w:t>
      </w:r>
    </w:p>
    <w:p>
      <w:pPr>
        <w:pStyle w:val="Text1"/>
        <w:ind w:left="0"/>
        <w:rPr>
          <w:noProof/>
        </w:rPr>
      </w:pPr>
      <w:r>
        <w:rPr>
          <w:noProof/>
        </w:rPr>
        <w:t>In 2019, 37 recovery items were registered as ‘irregularities reported as fraudulent’. The three policy areas with the highest number of irregularities reported were ‘Communications networks, content and technology’ (10 items), ‘Research and innovation’ (10 items) and ‘Internal market’ (7 items).</w:t>
      </w:r>
    </w:p>
    <w:p>
      <w:pPr>
        <w:pStyle w:val="Text1"/>
        <w:ind w:left="0"/>
        <w:rPr>
          <w:noProof/>
        </w:rPr>
      </w:pPr>
      <w:r>
        <w:rPr>
          <w:noProof/>
        </w:rPr>
        <w:t>The total related irregular amounts in 2019 were EUR 10.57 million, out of which the policy area ‘International cooperation and development’ alone accounts for 42% (EUR 4.4 million).</w:t>
      </w:r>
    </w:p>
    <w:p>
      <w:pPr>
        <w:pStyle w:val="Text1"/>
        <w:ind w:left="0"/>
        <w:rPr>
          <w:noProof/>
        </w:rPr>
      </w:pPr>
      <w:r>
        <w:rPr>
          <w:noProof/>
        </w:rPr>
        <w:t>Table DM5 presents an overview of irregularity statistics by policy area for the past five years.</w:t>
      </w:r>
    </w:p>
    <w:p>
      <w:pPr>
        <w:pStyle w:val="Text1"/>
        <w:keepNext/>
        <w:rPr>
          <w:i/>
          <w:noProof/>
        </w:rPr>
      </w:pPr>
      <w:r>
        <w:rPr>
          <w:i/>
          <w:noProof/>
        </w:rPr>
        <w:t>Table DM5 – Irregularities reported by policy areas and related amounts, financial years 2015-2019</w:t>
      </w:r>
    </w:p>
    <w:p>
      <w:pPr>
        <w:pStyle w:val="Text1"/>
        <w:rPr>
          <w:noProof/>
        </w:rPr>
      </w:pPr>
      <w:r>
        <w:rPr>
          <w:noProof/>
        </w:rPr>
        <w:drawing>
          <wp:inline distT="0" distB="0" distL="0" distR="0">
            <wp:extent cx="5218691" cy="3147237"/>
            <wp:effectExtent l="0" t="0" r="1270" b="0"/>
            <wp:docPr id="22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9123" cy="3153528"/>
                    </a:xfrm>
                    <a:prstGeom prst="rect">
                      <a:avLst/>
                    </a:prstGeom>
                    <a:noFill/>
                    <a:extLst/>
                  </pic:spPr>
                </pic:pic>
              </a:graphicData>
            </a:graphic>
          </wp:inline>
        </w:drawing>
      </w:r>
    </w:p>
    <w:p>
      <w:pPr>
        <w:pStyle w:val="Text1"/>
        <w:ind w:left="0"/>
        <w:rPr>
          <w:noProof/>
        </w:rPr>
      </w:pPr>
      <w:r>
        <w:rPr>
          <w:noProof/>
        </w:rPr>
        <w:t>Over a five year period, it is in the policy area ‘Communications networks, content and technology’ where the highest aggregate recovery amounts (EUR 18.37 million – representing about half of the total amounts) were recorded in relation to ‘irregularities reported as fraudulent’. This is followed at a distance by the policy areas ‘International cooperation and development’ (EUR 6.09 million), ‘Education and culture’ (EUR 3.86 million) and ‘Research and innovation’ (EUR 3.80 million).</w:t>
      </w:r>
    </w:p>
    <w:p>
      <w:pPr>
        <w:pStyle w:val="Text1"/>
        <w:ind w:left="0"/>
        <w:rPr>
          <w:noProof/>
        </w:rPr>
      </w:pPr>
      <w:r>
        <w:rPr>
          <w:noProof/>
        </w:rPr>
        <w:t>Regarding ‘irregularities not reported as fraudulent’, the highest aggregate recovery amounts over the past five years were recorded in the policy area ‘Research and innovation’ (EUR 86.10 million). This is followed by the policy areas ‘Mobility and transport’ (EUR 69.07 million) and then ‘Communications networks, content and technology’ (EUR 49.61 million). These three account for more than half (55%) of the total recovery amounts related to ‘irregularities not reported as fraudulent’ over the past five years. Compared to the overall payments made during the past five years for all fields, the irregularity detection rate remains low, on average 0.42% (0.385%+0.039%).</w:t>
      </w:r>
    </w:p>
    <w:p>
      <w:pPr>
        <w:pStyle w:val="ManualHeading3"/>
        <w:numPr>
          <w:ilvl w:val="2"/>
          <w:numId w:val="1"/>
        </w:numPr>
        <w:ind w:left="850" w:hanging="850"/>
        <w:rPr>
          <w:noProof/>
        </w:rPr>
      </w:pPr>
      <w:bookmarkStart w:id="74" w:name="_Toc424911609"/>
      <w:bookmarkStart w:id="75" w:name="_Toc453345628"/>
      <w:bookmarkStart w:id="76" w:name="_Toc485146230"/>
      <w:bookmarkStart w:id="77" w:name="_Toc485146537"/>
      <w:bookmarkStart w:id="78" w:name="_Toc486928883"/>
      <w:bookmarkStart w:id="79" w:name="_Toc45618007"/>
      <w:r>
        <w:rPr>
          <w:noProof/>
        </w:rPr>
        <w:t>Recoveries according to legal entity residence</w:t>
      </w:r>
      <w:bookmarkEnd w:id="74"/>
      <w:bookmarkEnd w:id="75"/>
      <w:bookmarkEnd w:id="76"/>
      <w:bookmarkEnd w:id="77"/>
      <w:bookmarkEnd w:id="78"/>
      <w:bookmarkEnd w:id="79"/>
    </w:p>
    <w:p>
      <w:pPr>
        <w:pStyle w:val="Text1"/>
        <w:ind w:left="0"/>
        <w:rPr>
          <w:noProof/>
        </w:rPr>
      </w:pPr>
      <w:r>
        <w:rPr>
          <w:noProof/>
        </w:rPr>
        <w:t>During the past five years, 87% of the recovery items reported as ‘irregularities not reported as fraudulent’ (and 85% of the corresponding recovery amounts) concerned legal entities that are registered in the European Union. It should be noted however, that the place of registration of a legal entity is not necessarily the same as that of the main beneficiary. Nevertheless, in 75% of these irregularities and 74% of the corresponding amounts, the main beneficiary was also registered in an EU Member State. In case of ‘irregularities reported as fraudulent’, these ratios are somewhat higher: 92% of the total number of recovery items and 95% if the corresponding recovery amounts concerned a legal entity registered in an EU Member State, and in 82% of these cases and 76% of the amounts concerned a final beneficiary that was also registered in an EU Member State.</w:t>
      </w:r>
    </w:p>
    <w:p>
      <w:pPr>
        <w:pStyle w:val="Text1"/>
        <w:keepNext/>
        <w:rPr>
          <w:i/>
          <w:noProof/>
        </w:rPr>
      </w:pPr>
      <w:r>
        <w:rPr>
          <w:i/>
          <w:noProof/>
        </w:rPr>
        <w:t>Table DM6 – Recoveries per country of residence of the legal entity, 2015-2019</w:t>
      </w:r>
    </w:p>
    <w:p>
      <w:pPr>
        <w:pStyle w:val="Text1"/>
        <w:rPr>
          <w:noProof/>
        </w:rPr>
      </w:pPr>
      <w:r>
        <w:rPr>
          <w:noProof/>
        </w:rPr>
        <w:drawing>
          <wp:inline distT="0" distB="0" distL="0" distR="0">
            <wp:extent cx="5230960" cy="5869172"/>
            <wp:effectExtent l="0" t="0" r="8255" b="0"/>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9693" cy="5878970"/>
                    </a:xfrm>
                    <a:prstGeom prst="rect">
                      <a:avLst/>
                    </a:prstGeom>
                    <a:noFill/>
                    <a:extLst/>
                  </pic:spPr>
                </pic:pic>
              </a:graphicData>
            </a:graphic>
          </wp:inline>
        </w:drawing>
      </w:r>
    </w:p>
    <w:p>
      <w:pPr>
        <w:pStyle w:val="Text1"/>
        <w:ind w:left="0"/>
        <w:rPr>
          <w:noProof/>
        </w:rPr>
      </w:pPr>
      <w:r>
        <w:rPr>
          <w:noProof/>
        </w:rPr>
        <w:t>Table DM6 above summarises the total recoveries made in the past five years by country of registration of the legal entity to which the payment was unduly disbursed.</w:t>
      </w:r>
    </w:p>
    <w:p>
      <w:pPr>
        <w:pStyle w:val="ManualHeading3"/>
        <w:numPr>
          <w:ilvl w:val="2"/>
          <w:numId w:val="1"/>
        </w:numPr>
        <w:ind w:left="850" w:hanging="850"/>
        <w:rPr>
          <w:noProof/>
        </w:rPr>
      </w:pPr>
      <w:bookmarkStart w:id="80" w:name="_Toc424911610"/>
      <w:bookmarkStart w:id="81" w:name="_Toc453345629"/>
      <w:bookmarkStart w:id="82" w:name="_Toc485146231"/>
      <w:bookmarkStart w:id="83" w:name="_Toc485146538"/>
      <w:bookmarkStart w:id="84" w:name="_Toc486928884"/>
      <w:bookmarkStart w:id="85" w:name="_Toc45618008"/>
      <w:r>
        <w:rPr>
          <w:noProof/>
        </w:rPr>
        <w:t>Method of detection</w:t>
      </w:r>
      <w:bookmarkEnd w:id="80"/>
      <w:bookmarkEnd w:id="81"/>
      <w:bookmarkEnd w:id="82"/>
      <w:bookmarkEnd w:id="83"/>
      <w:bookmarkEnd w:id="84"/>
      <w:bookmarkEnd w:id="85"/>
    </w:p>
    <w:p>
      <w:pPr>
        <w:pStyle w:val="Text1"/>
        <w:ind w:left="0"/>
        <w:rPr>
          <w:noProof/>
        </w:rPr>
      </w:pPr>
      <w:r>
        <w:rPr>
          <w:noProof/>
        </w:rPr>
        <w:t>For each recovery item, the Commission service that issued the recovery order has to indicate how the irregularity was detected. Six different categories are pre-defined for this purpose, two of which fall under the direct responsibility of the European Commission: ‘Ex-ante controls’ and ‘Ex-post controls’. Table DM7 provides a breakdown of the recoveries by source of detection and by qualification in the past five years.</w:t>
      </w:r>
    </w:p>
    <w:p>
      <w:pPr>
        <w:pStyle w:val="Text1"/>
        <w:keepNext/>
        <w:rPr>
          <w:i/>
          <w:noProof/>
        </w:rPr>
      </w:pPr>
      <w:r>
        <w:rPr>
          <w:i/>
          <w:noProof/>
        </w:rPr>
        <w:t xml:space="preserve">Table DM7 – Irregularities reported </w:t>
      </w:r>
      <w:r>
        <w:rPr>
          <w:i/>
          <w:iCs/>
          <w:noProof/>
        </w:rPr>
        <w:t>by source of detection and by qualification, 2015-2019</w:t>
      </w:r>
    </w:p>
    <w:p>
      <w:pPr>
        <w:pStyle w:val="Text1"/>
        <w:jc w:val="center"/>
        <w:rPr>
          <w:noProof/>
        </w:rPr>
      </w:pPr>
      <w:r>
        <w:rPr>
          <w:noProof/>
        </w:rPr>
        <w:drawing>
          <wp:inline distT="0" distB="0" distL="0" distR="0">
            <wp:extent cx="5231219" cy="1822896"/>
            <wp:effectExtent l="0" t="0" r="7620" b="6350"/>
            <wp:docPr id="2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5132" cy="1827744"/>
                    </a:xfrm>
                    <a:prstGeom prst="rect">
                      <a:avLst/>
                    </a:prstGeom>
                    <a:noFill/>
                    <a:extLst/>
                  </pic:spPr>
                </pic:pic>
              </a:graphicData>
            </a:graphic>
          </wp:inline>
        </w:drawing>
      </w:r>
    </w:p>
    <w:p>
      <w:pPr>
        <w:pStyle w:val="Text1"/>
        <w:ind w:left="0"/>
        <w:rPr>
          <w:noProof/>
        </w:rPr>
      </w:pPr>
      <w:r>
        <w:rPr>
          <w:noProof/>
        </w:rPr>
        <w:t>Regarding the ‘irregularities reported as fraudulent’, ‘OLAF’ has been marked as the source of detection for 73% of recovery items corresponding to 90% of total recovery amounts. ‘Ex-post controls’ was the source of detection of 24% of ‘irregularities reported as fraudulent’, corresponding to another 8% of recovery amounts.</w:t>
      </w:r>
    </w:p>
    <w:p>
      <w:pPr>
        <w:pStyle w:val="Text1"/>
        <w:ind w:left="0"/>
        <w:rPr>
          <w:noProof/>
        </w:rPr>
      </w:pPr>
      <w:r>
        <w:rPr>
          <w:noProof/>
        </w:rPr>
        <w:t>The 90% of ‘irregularities not reported as fraudulent’ were detected through Commission controls (</w:t>
      </w:r>
      <w:r>
        <w:rPr>
          <w:i/>
          <w:noProof/>
        </w:rPr>
        <w:t>ex-ante</w:t>
      </w:r>
      <w:r>
        <w:rPr>
          <w:noProof/>
        </w:rPr>
        <w:t xml:space="preserve"> and </w:t>
      </w:r>
      <w:r>
        <w:rPr>
          <w:i/>
          <w:noProof/>
        </w:rPr>
        <w:t>ex-post</w:t>
      </w:r>
      <w:r>
        <w:rPr>
          <w:noProof/>
        </w:rPr>
        <w:t xml:space="preserve"> controls).</w:t>
      </w:r>
    </w:p>
    <w:p>
      <w:pPr>
        <w:pStyle w:val="ManualHeading3"/>
        <w:numPr>
          <w:ilvl w:val="2"/>
          <w:numId w:val="1"/>
        </w:numPr>
        <w:ind w:left="850" w:hanging="850"/>
        <w:rPr>
          <w:noProof/>
        </w:rPr>
      </w:pPr>
      <w:bookmarkStart w:id="86" w:name="_Toc424911611"/>
      <w:bookmarkStart w:id="87" w:name="_Toc453345630"/>
      <w:bookmarkStart w:id="88" w:name="_Toc485146232"/>
      <w:bookmarkStart w:id="89" w:name="_Toc485146539"/>
      <w:bookmarkStart w:id="90" w:name="_Toc486928885"/>
      <w:bookmarkStart w:id="91" w:name="_Toc45618009"/>
      <w:r>
        <w:rPr>
          <w:noProof/>
        </w:rPr>
        <w:t xml:space="preserve">Types of </w:t>
      </w:r>
      <w:bookmarkEnd w:id="86"/>
      <w:r>
        <w:rPr>
          <w:noProof/>
        </w:rPr>
        <w:t>irregularity</w:t>
      </w:r>
      <w:bookmarkEnd w:id="87"/>
      <w:bookmarkEnd w:id="88"/>
      <w:bookmarkEnd w:id="89"/>
      <w:bookmarkEnd w:id="90"/>
      <w:bookmarkEnd w:id="91"/>
    </w:p>
    <w:p>
      <w:pPr>
        <w:pStyle w:val="Text1"/>
        <w:ind w:left="0"/>
        <w:rPr>
          <w:noProof/>
        </w:rPr>
      </w:pPr>
      <w:r>
        <w:rPr>
          <w:noProof/>
        </w:rPr>
        <w:t xml:space="preserve">The Commission services are required to indicate the type of irregularity in the recovery context for the respective recovery item in question. Several such types can be attributed to a single recovery item. When it comes to ‘irregularities reported as fraudulent’, the most frequently reported irregularity type over the past five years is ‘Amount ineligible’, followed by ‘Documents missing’. In relation to ‘irregularities not reported as fraudulent’, the most frequently reported irregularity type is ‘Amount ineligible’, followed by ‘Under-performance/Non-performance’ and then ‘Documents missing’. Table DM8 provides the full picture regarding the frequency of occurrence of each type over the past five years. </w:t>
      </w:r>
    </w:p>
    <w:p>
      <w:pPr>
        <w:pStyle w:val="Text1"/>
        <w:keepNext/>
        <w:rPr>
          <w:i/>
          <w:noProof/>
        </w:rPr>
      </w:pPr>
      <w:r>
        <w:rPr>
          <w:i/>
          <w:noProof/>
        </w:rPr>
        <w:t>Table DM8 – Types of irregularity</w:t>
      </w:r>
      <w:r>
        <w:rPr>
          <w:i/>
          <w:iCs/>
          <w:noProof/>
        </w:rPr>
        <w:t>, 2015-2019</w:t>
      </w:r>
    </w:p>
    <w:p>
      <w:pPr>
        <w:pStyle w:val="Text1"/>
        <w:jc w:val="center"/>
        <w:rPr>
          <w:noProof/>
        </w:rPr>
      </w:pPr>
      <w:r>
        <w:rPr>
          <w:noProof/>
        </w:rPr>
        <w:drawing>
          <wp:inline distT="0" distB="0" distL="0" distR="0">
            <wp:extent cx="5199321" cy="2191378"/>
            <wp:effectExtent l="0" t="0" r="1905" b="0"/>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0288" cy="2191786"/>
                    </a:xfrm>
                    <a:prstGeom prst="rect">
                      <a:avLst/>
                    </a:prstGeom>
                    <a:noFill/>
                    <a:extLst/>
                  </pic:spPr>
                </pic:pic>
              </a:graphicData>
            </a:graphic>
          </wp:inline>
        </w:drawing>
      </w:r>
    </w:p>
    <w:p>
      <w:pPr>
        <w:pStyle w:val="Text1"/>
        <w:ind w:left="0"/>
        <w:rPr>
          <w:noProof/>
        </w:rPr>
      </w:pPr>
      <w:r>
        <w:rPr>
          <w:noProof/>
        </w:rPr>
        <w:t>The figures for irregularity type frequency are stable and have been providing the same pattern since many years.</w:t>
      </w:r>
    </w:p>
    <w:p>
      <w:pPr>
        <w:pStyle w:val="ManualHeading3"/>
        <w:numPr>
          <w:ilvl w:val="2"/>
          <w:numId w:val="1"/>
        </w:numPr>
        <w:ind w:left="850" w:hanging="850"/>
        <w:rPr>
          <w:noProof/>
        </w:rPr>
      </w:pPr>
      <w:bookmarkStart w:id="92" w:name="_Toc424911613"/>
      <w:bookmarkStart w:id="93" w:name="_Toc453345632"/>
      <w:bookmarkStart w:id="94" w:name="_Toc485146234"/>
      <w:bookmarkStart w:id="95" w:name="_Toc485146541"/>
      <w:bookmarkStart w:id="96" w:name="_Toc486928887"/>
      <w:bookmarkStart w:id="97" w:name="_Toc45618010"/>
      <w:r>
        <w:rPr>
          <w:noProof/>
        </w:rPr>
        <w:t>Recovery</w:t>
      </w:r>
      <w:bookmarkEnd w:id="92"/>
      <w:bookmarkEnd w:id="93"/>
      <w:bookmarkEnd w:id="94"/>
      <w:bookmarkEnd w:id="95"/>
      <w:bookmarkEnd w:id="96"/>
      <w:bookmarkEnd w:id="97"/>
    </w:p>
    <w:p>
      <w:pPr>
        <w:pStyle w:val="Text1"/>
        <w:ind w:left="0"/>
        <w:rPr>
          <w:noProof/>
        </w:rPr>
      </w:pPr>
      <w:r>
        <w:rPr>
          <w:noProof/>
        </w:rPr>
        <w:t>Once a recovery order is issued, the beneficiary is requested to pay back the amount unduly received or the amount is offset from remaining payments to the beneficiary.</w:t>
      </w:r>
    </w:p>
    <w:p>
      <w:pPr>
        <w:pStyle w:val="Text1"/>
        <w:ind w:left="0"/>
        <w:rPr>
          <w:b/>
          <w:noProof/>
          <w:sz w:val="32"/>
        </w:rPr>
      </w:pPr>
      <w:r>
        <w:rPr>
          <w:noProof/>
        </w:rPr>
        <w:t>For the recovery orders issued between 2015 and 2019, 56% of the total irregular amounts have been recovered. There are differences between the recovery rates depending on the qualification: the recovery rate for ‘irregularities reported as fraudulent’ (26%) remains well below the one calculated for ‘irregularities not reported as fraudulent’ (59%).</w:t>
      </w:r>
    </w:p>
    <w:p>
      <w:pPr>
        <w:pStyle w:val="Text1"/>
        <w:rPr>
          <w:noProof/>
        </w:rPr>
      </w:pPr>
      <w:r>
        <w:rPr>
          <w:noProof/>
        </w:rPr>
        <w:br w:type="page"/>
      </w:r>
    </w:p>
    <w:p>
      <w:pPr>
        <w:pStyle w:val="ManualHeading1"/>
        <w:jc w:val="center"/>
        <w:rPr>
          <w:noProof/>
        </w:rPr>
      </w:pPr>
      <w:bookmarkStart w:id="98" w:name="_Toc45618011"/>
      <w:bookmarkStart w:id="99" w:name="_Toc424911614"/>
      <w:bookmarkStart w:id="100" w:name="_Toc453345634"/>
      <w:bookmarkStart w:id="101" w:name="_Toc485146235"/>
      <w:bookmarkStart w:id="102" w:name="_Toc485146542"/>
      <w:bookmarkStart w:id="103" w:name="_Toc486928888"/>
      <w:bookmarkStart w:id="104" w:name="_Toc519075310"/>
      <w:bookmarkStart w:id="105" w:name="_Toc13153278"/>
      <w:r>
        <w:rPr>
          <w:noProof/>
        </w:rPr>
        <w:t>TABLE of ABBREVIATIONS</w:t>
      </w:r>
      <w:bookmarkEnd w:id="98"/>
    </w:p>
    <w:p>
      <w:pPr>
        <w:pStyle w:val="Text1"/>
        <w:rPr>
          <w:noProof/>
        </w:rPr>
      </w:pPr>
    </w:p>
    <w:tbl>
      <w:tblPr>
        <w:tblStyle w:val="TableGrid"/>
        <w:tblW w:w="0" w:type="auto"/>
        <w:tblLook w:val="04A0" w:firstRow="1" w:lastRow="0" w:firstColumn="1" w:lastColumn="0" w:noHBand="0" w:noVBand="1"/>
      </w:tblPr>
      <w:tblGrid>
        <w:gridCol w:w="1526"/>
        <w:gridCol w:w="7716"/>
      </w:tblGrid>
      <w:tr>
        <w:tc>
          <w:tcPr>
            <w:tcW w:w="1526" w:type="dxa"/>
            <w:vAlign w:val="center"/>
          </w:tcPr>
          <w:p>
            <w:pPr>
              <w:rPr>
                <w:noProof/>
                <w:sz w:val="20"/>
                <w:szCs w:val="20"/>
              </w:rPr>
            </w:pPr>
            <w:r>
              <w:rPr>
                <w:noProof/>
                <w:sz w:val="20"/>
                <w:szCs w:val="20"/>
              </w:rPr>
              <w:t>ABAC</w:t>
            </w:r>
          </w:p>
        </w:tc>
        <w:tc>
          <w:tcPr>
            <w:tcW w:w="7716" w:type="dxa"/>
            <w:vAlign w:val="center"/>
          </w:tcPr>
          <w:p>
            <w:pPr>
              <w:rPr>
                <w:noProof/>
                <w:sz w:val="20"/>
                <w:szCs w:val="20"/>
              </w:rPr>
            </w:pPr>
            <w:r>
              <w:rPr>
                <w:noProof/>
                <w:sz w:val="20"/>
                <w:szCs w:val="20"/>
              </w:rPr>
              <w:t>Accrual</w:t>
            </w:r>
            <w:r>
              <w:rPr>
                <w:noProof/>
                <w:sz w:val="20"/>
                <w:szCs w:val="20"/>
              </w:rPr>
              <w:noBreakHyphen/>
              <w:t>Based Accounting System</w:t>
            </w:r>
          </w:p>
        </w:tc>
      </w:tr>
      <w:tr>
        <w:tc>
          <w:tcPr>
            <w:tcW w:w="1526" w:type="dxa"/>
            <w:vAlign w:val="center"/>
          </w:tcPr>
          <w:p>
            <w:pPr>
              <w:rPr>
                <w:rFonts w:eastAsia="Arial Unicode MS"/>
                <w:noProof/>
                <w:sz w:val="20"/>
                <w:szCs w:val="20"/>
              </w:rPr>
            </w:pPr>
            <w:r>
              <w:rPr>
                <w:rFonts w:eastAsia="Arial Unicode MS"/>
                <w:noProof/>
                <w:sz w:val="20"/>
                <w:szCs w:val="20"/>
              </w:rPr>
              <w:t>AEOs</w:t>
            </w:r>
          </w:p>
        </w:tc>
        <w:tc>
          <w:tcPr>
            <w:tcW w:w="7716" w:type="dxa"/>
            <w:vAlign w:val="center"/>
          </w:tcPr>
          <w:p>
            <w:pPr>
              <w:rPr>
                <w:noProof/>
                <w:sz w:val="20"/>
                <w:szCs w:val="20"/>
              </w:rPr>
            </w:pPr>
            <w:r>
              <w:rPr>
                <w:rFonts w:eastAsia="Arial Unicode MS"/>
                <w:noProof/>
                <w:sz w:val="20"/>
                <w:szCs w:val="20"/>
              </w:rPr>
              <w:t xml:space="preserve">Authorized Economic Operators </w:t>
            </w:r>
          </w:p>
        </w:tc>
      </w:tr>
      <w:tr>
        <w:tc>
          <w:tcPr>
            <w:tcW w:w="1526" w:type="dxa"/>
            <w:vAlign w:val="center"/>
          </w:tcPr>
          <w:p>
            <w:pPr>
              <w:rPr>
                <w:noProof/>
                <w:sz w:val="20"/>
                <w:szCs w:val="20"/>
              </w:rPr>
            </w:pPr>
            <w:r>
              <w:rPr>
                <w:noProof/>
                <w:sz w:val="20"/>
                <w:szCs w:val="20"/>
              </w:rPr>
              <w:t>AFA</w:t>
            </w:r>
          </w:p>
        </w:tc>
        <w:tc>
          <w:tcPr>
            <w:tcW w:w="7716" w:type="dxa"/>
            <w:vAlign w:val="center"/>
          </w:tcPr>
          <w:p>
            <w:pPr>
              <w:rPr>
                <w:noProof/>
                <w:sz w:val="20"/>
                <w:szCs w:val="20"/>
              </w:rPr>
            </w:pPr>
            <w:r>
              <w:rPr>
                <w:noProof/>
                <w:sz w:val="20"/>
                <w:szCs w:val="20"/>
              </w:rPr>
              <w:t>Average Financial Amount</w:t>
            </w:r>
          </w:p>
        </w:tc>
      </w:tr>
      <w:tr>
        <w:tc>
          <w:tcPr>
            <w:tcW w:w="1526" w:type="dxa"/>
            <w:vAlign w:val="center"/>
          </w:tcPr>
          <w:p>
            <w:pPr>
              <w:rPr>
                <w:noProof/>
                <w:sz w:val="20"/>
                <w:szCs w:val="20"/>
              </w:rPr>
            </w:pPr>
            <w:r>
              <w:rPr>
                <w:noProof/>
                <w:sz w:val="20"/>
                <w:szCs w:val="20"/>
              </w:rPr>
              <w:t>AFCOS</w:t>
            </w:r>
          </w:p>
        </w:tc>
        <w:tc>
          <w:tcPr>
            <w:tcW w:w="7716" w:type="dxa"/>
            <w:vAlign w:val="center"/>
          </w:tcPr>
          <w:p>
            <w:pPr>
              <w:rPr>
                <w:noProof/>
                <w:sz w:val="20"/>
                <w:szCs w:val="20"/>
              </w:rPr>
            </w:pPr>
            <w:r>
              <w:rPr>
                <w:noProof/>
                <w:sz w:val="20"/>
                <w:szCs w:val="20"/>
              </w:rPr>
              <w:t>Anti-Fraud Coordination Services</w:t>
            </w:r>
          </w:p>
        </w:tc>
      </w:tr>
      <w:tr>
        <w:tc>
          <w:tcPr>
            <w:tcW w:w="1526" w:type="dxa"/>
            <w:vAlign w:val="center"/>
          </w:tcPr>
          <w:p>
            <w:pPr>
              <w:rPr>
                <w:noProof/>
                <w:sz w:val="20"/>
                <w:szCs w:val="20"/>
              </w:rPr>
            </w:pPr>
            <w:bookmarkStart w:id="106" w:name="_Toc42625160"/>
            <w:r>
              <w:rPr>
                <w:noProof/>
                <w:sz w:val="20"/>
                <w:szCs w:val="20"/>
              </w:rPr>
              <w:t>AFIS</w:t>
            </w:r>
            <w:bookmarkEnd w:id="106"/>
          </w:p>
        </w:tc>
        <w:tc>
          <w:tcPr>
            <w:tcW w:w="7716" w:type="dxa"/>
            <w:vAlign w:val="center"/>
          </w:tcPr>
          <w:p>
            <w:pPr>
              <w:rPr>
                <w:noProof/>
                <w:sz w:val="20"/>
                <w:szCs w:val="20"/>
              </w:rPr>
            </w:pPr>
            <w:r>
              <w:rPr>
                <w:noProof/>
                <w:sz w:val="20"/>
                <w:szCs w:val="20"/>
              </w:rPr>
              <w:t>Anti-Fraud Information System</w:t>
            </w:r>
          </w:p>
        </w:tc>
      </w:tr>
      <w:tr>
        <w:tc>
          <w:tcPr>
            <w:tcW w:w="1526" w:type="dxa"/>
            <w:vAlign w:val="center"/>
          </w:tcPr>
          <w:p>
            <w:pPr>
              <w:rPr>
                <w:noProof/>
                <w:sz w:val="20"/>
                <w:szCs w:val="20"/>
              </w:rPr>
            </w:pPr>
            <w:r>
              <w:rPr>
                <w:noProof/>
                <w:sz w:val="20"/>
                <w:szCs w:val="20"/>
              </w:rPr>
              <w:t>AL</w:t>
            </w:r>
          </w:p>
        </w:tc>
        <w:tc>
          <w:tcPr>
            <w:tcW w:w="7716" w:type="dxa"/>
            <w:vAlign w:val="center"/>
          </w:tcPr>
          <w:p>
            <w:pPr>
              <w:rPr>
                <w:noProof/>
                <w:sz w:val="20"/>
                <w:szCs w:val="20"/>
              </w:rPr>
            </w:pPr>
            <w:r>
              <w:rPr>
                <w:noProof/>
                <w:sz w:val="20"/>
                <w:szCs w:val="20"/>
              </w:rPr>
              <w:t>Albania</w:t>
            </w:r>
          </w:p>
        </w:tc>
      </w:tr>
      <w:tr>
        <w:tc>
          <w:tcPr>
            <w:tcW w:w="1526" w:type="dxa"/>
            <w:vAlign w:val="center"/>
          </w:tcPr>
          <w:p>
            <w:pPr>
              <w:rPr>
                <w:bCs/>
                <w:noProof/>
                <w:sz w:val="20"/>
                <w:szCs w:val="20"/>
              </w:rPr>
            </w:pPr>
            <w:r>
              <w:rPr>
                <w:bCs/>
                <w:noProof/>
                <w:sz w:val="20"/>
                <w:szCs w:val="20"/>
              </w:rPr>
              <w:t>AMIF</w:t>
            </w:r>
          </w:p>
        </w:tc>
        <w:tc>
          <w:tcPr>
            <w:tcW w:w="7716" w:type="dxa"/>
            <w:vAlign w:val="center"/>
          </w:tcPr>
          <w:p>
            <w:pPr>
              <w:rPr>
                <w:bCs/>
                <w:noProof/>
                <w:sz w:val="20"/>
                <w:szCs w:val="20"/>
              </w:rPr>
            </w:pPr>
            <w:r>
              <w:rPr>
                <w:bCs/>
                <w:noProof/>
                <w:sz w:val="20"/>
                <w:szCs w:val="20"/>
              </w:rPr>
              <w:t>Asylum, Migration and Integration Fund</w:t>
            </w:r>
          </w:p>
        </w:tc>
      </w:tr>
      <w:tr>
        <w:tc>
          <w:tcPr>
            <w:tcW w:w="1526" w:type="dxa"/>
            <w:vAlign w:val="center"/>
          </w:tcPr>
          <w:p>
            <w:pPr>
              <w:rPr>
                <w:bCs/>
                <w:noProof/>
                <w:sz w:val="20"/>
                <w:szCs w:val="20"/>
              </w:rPr>
            </w:pPr>
            <w:r>
              <w:rPr>
                <w:bCs/>
                <w:noProof/>
                <w:sz w:val="20"/>
                <w:szCs w:val="20"/>
              </w:rPr>
              <w:t>AT</w:t>
            </w:r>
          </w:p>
        </w:tc>
        <w:tc>
          <w:tcPr>
            <w:tcW w:w="7716" w:type="dxa"/>
            <w:vAlign w:val="center"/>
          </w:tcPr>
          <w:p>
            <w:pPr>
              <w:rPr>
                <w:bCs/>
                <w:noProof/>
                <w:sz w:val="20"/>
                <w:szCs w:val="20"/>
              </w:rPr>
            </w:pPr>
            <w:r>
              <w:rPr>
                <w:bCs/>
                <w:noProof/>
                <w:sz w:val="20"/>
                <w:szCs w:val="20"/>
              </w:rPr>
              <w:t>Austria</w:t>
            </w:r>
          </w:p>
        </w:tc>
      </w:tr>
      <w:tr>
        <w:tc>
          <w:tcPr>
            <w:tcW w:w="1526" w:type="dxa"/>
            <w:vAlign w:val="center"/>
          </w:tcPr>
          <w:p>
            <w:pPr>
              <w:rPr>
                <w:bCs/>
                <w:noProof/>
                <w:sz w:val="20"/>
                <w:szCs w:val="20"/>
              </w:rPr>
            </w:pPr>
            <w:r>
              <w:rPr>
                <w:bCs/>
                <w:noProof/>
                <w:sz w:val="20"/>
                <w:szCs w:val="20"/>
              </w:rPr>
              <w:t>A-TIS</w:t>
            </w:r>
          </w:p>
        </w:tc>
        <w:tc>
          <w:tcPr>
            <w:tcW w:w="7716" w:type="dxa"/>
            <w:vAlign w:val="center"/>
          </w:tcPr>
          <w:p>
            <w:pPr>
              <w:rPr>
                <w:bCs/>
                <w:noProof/>
                <w:sz w:val="20"/>
                <w:szCs w:val="20"/>
              </w:rPr>
            </w:pPr>
            <w:r>
              <w:rPr>
                <w:bCs/>
                <w:noProof/>
                <w:sz w:val="20"/>
                <w:szCs w:val="20"/>
              </w:rPr>
              <w:t>Anti-Fraud Transit Information System</w:t>
            </w:r>
          </w:p>
        </w:tc>
      </w:tr>
      <w:tr>
        <w:tc>
          <w:tcPr>
            <w:tcW w:w="1526" w:type="dxa"/>
            <w:vAlign w:val="center"/>
          </w:tcPr>
          <w:p>
            <w:pPr>
              <w:rPr>
                <w:bCs/>
                <w:noProof/>
                <w:sz w:val="20"/>
                <w:szCs w:val="20"/>
              </w:rPr>
            </w:pPr>
            <w:r>
              <w:rPr>
                <w:bCs/>
                <w:noProof/>
                <w:sz w:val="20"/>
                <w:szCs w:val="20"/>
              </w:rPr>
              <w:t>BE</w:t>
            </w:r>
          </w:p>
        </w:tc>
        <w:tc>
          <w:tcPr>
            <w:tcW w:w="7716" w:type="dxa"/>
            <w:vAlign w:val="center"/>
          </w:tcPr>
          <w:p>
            <w:pPr>
              <w:rPr>
                <w:bCs/>
                <w:noProof/>
                <w:sz w:val="20"/>
                <w:szCs w:val="20"/>
              </w:rPr>
            </w:pPr>
            <w:r>
              <w:rPr>
                <w:bCs/>
                <w:noProof/>
                <w:sz w:val="20"/>
                <w:szCs w:val="20"/>
              </w:rPr>
              <w:t>Belgium</w:t>
            </w:r>
          </w:p>
        </w:tc>
      </w:tr>
      <w:tr>
        <w:tc>
          <w:tcPr>
            <w:tcW w:w="1526" w:type="dxa"/>
            <w:vAlign w:val="center"/>
          </w:tcPr>
          <w:p>
            <w:pPr>
              <w:rPr>
                <w:bCs/>
                <w:noProof/>
                <w:sz w:val="20"/>
                <w:szCs w:val="20"/>
              </w:rPr>
            </w:pPr>
            <w:r>
              <w:rPr>
                <w:bCs/>
                <w:noProof/>
                <w:sz w:val="20"/>
                <w:szCs w:val="20"/>
              </w:rPr>
              <w:t>BG</w:t>
            </w:r>
          </w:p>
        </w:tc>
        <w:tc>
          <w:tcPr>
            <w:tcW w:w="7716" w:type="dxa"/>
            <w:vAlign w:val="center"/>
          </w:tcPr>
          <w:p>
            <w:pPr>
              <w:rPr>
                <w:bCs/>
                <w:noProof/>
                <w:sz w:val="20"/>
                <w:szCs w:val="20"/>
              </w:rPr>
            </w:pPr>
            <w:r>
              <w:rPr>
                <w:bCs/>
                <w:noProof/>
                <w:sz w:val="20"/>
                <w:szCs w:val="20"/>
              </w:rPr>
              <w:t>Bulgaria</w:t>
            </w:r>
          </w:p>
        </w:tc>
      </w:tr>
      <w:tr>
        <w:tc>
          <w:tcPr>
            <w:tcW w:w="1526" w:type="dxa"/>
            <w:vAlign w:val="center"/>
          </w:tcPr>
          <w:p>
            <w:pPr>
              <w:rPr>
                <w:rFonts w:eastAsia="Calibri"/>
                <w:noProof/>
                <w:sz w:val="20"/>
                <w:szCs w:val="20"/>
              </w:rPr>
            </w:pPr>
            <w:r>
              <w:rPr>
                <w:rFonts w:eastAsia="Calibri"/>
                <w:noProof/>
                <w:sz w:val="20"/>
                <w:szCs w:val="20"/>
              </w:rPr>
              <w:t>CAFS</w:t>
            </w:r>
          </w:p>
        </w:tc>
        <w:tc>
          <w:tcPr>
            <w:tcW w:w="7716" w:type="dxa"/>
            <w:vAlign w:val="center"/>
          </w:tcPr>
          <w:p>
            <w:pPr>
              <w:rPr>
                <w:rFonts w:eastAsia="Calibri"/>
                <w:noProof/>
                <w:sz w:val="20"/>
                <w:szCs w:val="20"/>
              </w:rPr>
            </w:pPr>
            <w:r>
              <w:rPr>
                <w:rFonts w:eastAsia="Calibri"/>
                <w:noProof/>
                <w:sz w:val="20"/>
                <w:szCs w:val="20"/>
              </w:rPr>
              <w:t>Commission anti</w:t>
            </w:r>
            <w:r>
              <w:rPr>
                <w:rFonts w:eastAsia="Calibri"/>
                <w:noProof/>
                <w:sz w:val="20"/>
                <w:szCs w:val="20"/>
              </w:rPr>
              <w:noBreakHyphen/>
              <w:t>fraud strategy</w:t>
            </w:r>
          </w:p>
        </w:tc>
      </w:tr>
      <w:tr>
        <w:tc>
          <w:tcPr>
            <w:tcW w:w="1526" w:type="dxa"/>
            <w:vAlign w:val="center"/>
          </w:tcPr>
          <w:p>
            <w:pPr>
              <w:rPr>
                <w:noProof/>
                <w:sz w:val="20"/>
                <w:szCs w:val="20"/>
              </w:rPr>
            </w:pPr>
            <w:r>
              <w:rPr>
                <w:noProof/>
                <w:sz w:val="20"/>
                <w:szCs w:val="20"/>
              </w:rPr>
              <w:t>CAP</w:t>
            </w:r>
          </w:p>
        </w:tc>
        <w:tc>
          <w:tcPr>
            <w:tcW w:w="7716" w:type="dxa"/>
            <w:vAlign w:val="center"/>
          </w:tcPr>
          <w:p>
            <w:pPr>
              <w:rPr>
                <w:noProof/>
                <w:sz w:val="20"/>
                <w:szCs w:val="20"/>
              </w:rPr>
            </w:pPr>
            <w:r>
              <w:rPr>
                <w:noProof/>
                <w:sz w:val="20"/>
                <w:szCs w:val="20"/>
              </w:rPr>
              <w:t>Common Agricultural Policy</w:t>
            </w:r>
          </w:p>
        </w:tc>
      </w:tr>
      <w:tr>
        <w:tc>
          <w:tcPr>
            <w:tcW w:w="1526" w:type="dxa"/>
            <w:vAlign w:val="center"/>
          </w:tcPr>
          <w:p>
            <w:pPr>
              <w:rPr>
                <w:noProof/>
                <w:sz w:val="20"/>
                <w:szCs w:val="20"/>
              </w:rPr>
            </w:pPr>
            <w:r>
              <w:rPr>
                <w:noProof/>
                <w:sz w:val="20"/>
                <w:szCs w:val="20"/>
              </w:rPr>
              <w:t>CARDS</w:t>
            </w:r>
          </w:p>
        </w:tc>
        <w:tc>
          <w:tcPr>
            <w:tcW w:w="7716" w:type="dxa"/>
            <w:vAlign w:val="center"/>
          </w:tcPr>
          <w:p>
            <w:pPr>
              <w:rPr>
                <w:noProof/>
                <w:sz w:val="20"/>
                <w:szCs w:val="20"/>
              </w:rPr>
            </w:pPr>
            <w:r>
              <w:rPr>
                <w:noProof/>
                <w:sz w:val="20"/>
                <w:szCs w:val="20"/>
              </w:rPr>
              <w:t>Community Assistance for Reconstruction, Development and Stabilisation</w:t>
            </w:r>
          </w:p>
        </w:tc>
      </w:tr>
      <w:tr>
        <w:tc>
          <w:tcPr>
            <w:tcW w:w="1526" w:type="dxa"/>
            <w:vAlign w:val="center"/>
          </w:tcPr>
          <w:p>
            <w:pPr>
              <w:rPr>
                <w:bCs/>
                <w:noProof/>
                <w:sz w:val="20"/>
                <w:szCs w:val="20"/>
              </w:rPr>
            </w:pPr>
            <w:r>
              <w:rPr>
                <w:noProof/>
                <w:sz w:val="20"/>
                <w:szCs w:val="20"/>
              </w:rPr>
              <w:t>CBC</w:t>
            </w:r>
          </w:p>
        </w:tc>
        <w:tc>
          <w:tcPr>
            <w:tcW w:w="7716" w:type="dxa"/>
            <w:vAlign w:val="center"/>
          </w:tcPr>
          <w:p>
            <w:pPr>
              <w:rPr>
                <w:noProof/>
                <w:sz w:val="20"/>
                <w:szCs w:val="20"/>
              </w:rPr>
            </w:pPr>
            <w:r>
              <w:rPr>
                <w:noProof/>
                <w:sz w:val="20"/>
                <w:szCs w:val="20"/>
              </w:rPr>
              <w:t>Cross-Border Cooperation</w:t>
            </w:r>
          </w:p>
        </w:tc>
      </w:tr>
      <w:tr>
        <w:tc>
          <w:tcPr>
            <w:tcW w:w="1526" w:type="dxa"/>
            <w:vAlign w:val="center"/>
          </w:tcPr>
          <w:p>
            <w:pPr>
              <w:rPr>
                <w:bCs/>
                <w:noProof/>
                <w:sz w:val="20"/>
                <w:szCs w:val="20"/>
              </w:rPr>
            </w:pPr>
            <w:r>
              <w:rPr>
                <w:bCs/>
                <w:noProof/>
                <w:sz w:val="20"/>
                <w:szCs w:val="20"/>
              </w:rPr>
              <w:t>CELBET</w:t>
            </w:r>
          </w:p>
        </w:tc>
        <w:tc>
          <w:tcPr>
            <w:tcW w:w="7716" w:type="dxa"/>
            <w:vAlign w:val="center"/>
          </w:tcPr>
          <w:p>
            <w:pPr>
              <w:rPr>
                <w:bCs/>
                <w:noProof/>
                <w:sz w:val="20"/>
                <w:szCs w:val="20"/>
              </w:rPr>
            </w:pPr>
            <w:r>
              <w:rPr>
                <w:bCs/>
                <w:noProof/>
                <w:sz w:val="20"/>
                <w:szCs w:val="20"/>
              </w:rPr>
              <w:t>Customs Eastern and South Eastern Land Border Expert Team</w:t>
            </w:r>
          </w:p>
        </w:tc>
      </w:tr>
      <w:tr>
        <w:tc>
          <w:tcPr>
            <w:tcW w:w="1526" w:type="dxa"/>
            <w:vAlign w:val="center"/>
          </w:tcPr>
          <w:p>
            <w:pPr>
              <w:rPr>
                <w:bCs/>
                <w:noProof/>
                <w:sz w:val="20"/>
                <w:szCs w:val="20"/>
              </w:rPr>
            </w:pPr>
            <w:r>
              <w:rPr>
                <w:bCs/>
                <w:noProof/>
                <w:sz w:val="20"/>
                <w:szCs w:val="20"/>
              </w:rPr>
              <w:t>CF</w:t>
            </w:r>
          </w:p>
        </w:tc>
        <w:tc>
          <w:tcPr>
            <w:tcW w:w="7716" w:type="dxa"/>
            <w:vAlign w:val="center"/>
          </w:tcPr>
          <w:p>
            <w:pPr>
              <w:rPr>
                <w:bCs/>
                <w:noProof/>
                <w:sz w:val="20"/>
                <w:szCs w:val="20"/>
              </w:rPr>
            </w:pPr>
            <w:r>
              <w:rPr>
                <w:bCs/>
                <w:noProof/>
                <w:sz w:val="20"/>
                <w:szCs w:val="20"/>
              </w:rPr>
              <w:t>Cohesion Fund</w:t>
            </w:r>
          </w:p>
        </w:tc>
      </w:tr>
      <w:tr>
        <w:tc>
          <w:tcPr>
            <w:tcW w:w="1526" w:type="dxa"/>
            <w:vAlign w:val="center"/>
          </w:tcPr>
          <w:p>
            <w:pPr>
              <w:rPr>
                <w:bCs/>
                <w:noProof/>
                <w:sz w:val="20"/>
                <w:szCs w:val="20"/>
              </w:rPr>
            </w:pPr>
            <w:r>
              <w:rPr>
                <w:bCs/>
                <w:noProof/>
                <w:sz w:val="20"/>
                <w:szCs w:val="20"/>
              </w:rPr>
              <w:t>CIS+</w:t>
            </w:r>
          </w:p>
        </w:tc>
        <w:tc>
          <w:tcPr>
            <w:tcW w:w="7716" w:type="dxa"/>
            <w:vAlign w:val="center"/>
          </w:tcPr>
          <w:p>
            <w:pPr>
              <w:rPr>
                <w:bCs/>
                <w:noProof/>
                <w:sz w:val="20"/>
                <w:szCs w:val="20"/>
              </w:rPr>
            </w:pPr>
            <w:r>
              <w:rPr>
                <w:bCs/>
                <w:noProof/>
                <w:sz w:val="20"/>
                <w:szCs w:val="20"/>
              </w:rPr>
              <w:t>Customs Information System</w:t>
            </w:r>
          </w:p>
        </w:tc>
      </w:tr>
      <w:tr>
        <w:tc>
          <w:tcPr>
            <w:tcW w:w="1526" w:type="dxa"/>
            <w:vAlign w:val="center"/>
          </w:tcPr>
          <w:p>
            <w:pPr>
              <w:rPr>
                <w:noProof/>
                <w:sz w:val="20"/>
                <w:szCs w:val="20"/>
              </w:rPr>
            </w:pPr>
            <w:r>
              <w:rPr>
                <w:noProof/>
                <w:sz w:val="20"/>
                <w:szCs w:val="20"/>
              </w:rPr>
              <w:t>CJEU</w:t>
            </w:r>
          </w:p>
        </w:tc>
        <w:tc>
          <w:tcPr>
            <w:tcW w:w="7716" w:type="dxa"/>
            <w:vAlign w:val="center"/>
          </w:tcPr>
          <w:p>
            <w:pPr>
              <w:rPr>
                <w:noProof/>
                <w:sz w:val="20"/>
                <w:szCs w:val="20"/>
              </w:rPr>
            </w:pPr>
            <w:r>
              <w:rPr>
                <w:noProof/>
                <w:sz w:val="20"/>
                <w:szCs w:val="20"/>
              </w:rPr>
              <w:t>Court of Justice of the European Union</w:t>
            </w:r>
          </w:p>
        </w:tc>
      </w:tr>
      <w:tr>
        <w:tc>
          <w:tcPr>
            <w:tcW w:w="1526" w:type="dxa"/>
            <w:vAlign w:val="center"/>
          </w:tcPr>
          <w:p>
            <w:pPr>
              <w:rPr>
                <w:bCs/>
                <w:iCs/>
                <w:noProof/>
                <w:sz w:val="20"/>
                <w:szCs w:val="20"/>
                <w:lang w:eastAsia="en-GB"/>
              </w:rPr>
            </w:pPr>
            <w:r>
              <w:rPr>
                <w:bCs/>
                <w:iCs/>
                <w:noProof/>
                <w:sz w:val="20"/>
                <w:szCs w:val="20"/>
                <w:lang w:eastAsia="en-GB"/>
              </w:rPr>
              <w:t>COCOLAF</w:t>
            </w:r>
          </w:p>
        </w:tc>
        <w:tc>
          <w:tcPr>
            <w:tcW w:w="7716" w:type="dxa"/>
            <w:vAlign w:val="center"/>
          </w:tcPr>
          <w:p>
            <w:pPr>
              <w:rPr>
                <w:bCs/>
                <w:iCs/>
                <w:noProof/>
                <w:sz w:val="20"/>
                <w:szCs w:val="20"/>
                <w:lang w:eastAsia="en-GB"/>
              </w:rPr>
            </w:pPr>
            <w:r>
              <w:rPr>
                <w:bCs/>
                <w:iCs/>
                <w:noProof/>
                <w:sz w:val="20"/>
                <w:szCs w:val="20"/>
                <w:lang w:eastAsia="en-GB"/>
              </w:rPr>
              <w:t>Advisory Committee for Coordination of Fraud Prevention</w:t>
            </w:r>
          </w:p>
        </w:tc>
      </w:tr>
      <w:tr>
        <w:tc>
          <w:tcPr>
            <w:tcW w:w="1526" w:type="dxa"/>
            <w:vAlign w:val="center"/>
          </w:tcPr>
          <w:p>
            <w:pPr>
              <w:rPr>
                <w:bCs/>
                <w:noProof/>
                <w:sz w:val="20"/>
                <w:szCs w:val="20"/>
              </w:rPr>
            </w:pPr>
            <w:r>
              <w:rPr>
                <w:bCs/>
                <w:noProof/>
                <w:sz w:val="20"/>
                <w:szCs w:val="20"/>
              </w:rPr>
              <w:t>CRMF</w:t>
            </w:r>
          </w:p>
        </w:tc>
        <w:tc>
          <w:tcPr>
            <w:tcW w:w="7716" w:type="dxa"/>
            <w:vAlign w:val="center"/>
          </w:tcPr>
          <w:p>
            <w:pPr>
              <w:rPr>
                <w:bCs/>
                <w:noProof/>
                <w:sz w:val="20"/>
                <w:szCs w:val="20"/>
              </w:rPr>
            </w:pPr>
            <w:r>
              <w:rPr>
                <w:bCs/>
                <w:noProof/>
                <w:sz w:val="20"/>
                <w:szCs w:val="20"/>
              </w:rPr>
              <w:t>Customs Risk Management Framework</w:t>
            </w:r>
          </w:p>
        </w:tc>
      </w:tr>
      <w:tr>
        <w:tc>
          <w:tcPr>
            <w:tcW w:w="1526" w:type="dxa"/>
            <w:vAlign w:val="center"/>
          </w:tcPr>
          <w:p>
            <w:pPr>
              <w:rPr>
                <w:bCs/>
                <w:noProof/>
                <w:sz w:val="20"/>
                <w:szCs w:val="20"/>
              </w:rPr>
            </w:pPr>
            <w:r>
              <w:rPr>
                <w:bCs/>
                <w:noProof/>
                <w:sz w:val="20"/>
                <w:szCs w:val="20"/>
              </w:rPr>
              <w:t>CRMS</w:t>
            </w:r>
          </w:p>
        </w:tc>
        <w:tc>
          <w:tcPr>
            <w:tcW w:w="7716" w:type="dxa"/>
            <w:vAlign w:val="center"/>
          </w:tcPr>
          <w:p>
            <w:pPr>
              <w:rPr>
                <w:bCs/>
                <w:noProof/>
                <w:sz w:val="20"/>
                <w:szCs w:val="20"/>
              </w:rPr>
            </w:pPr>
            <w:r>
              <w:rPr>
                <w:bCs/>
                <w:noProof/>
                <w:sz w:val="20"/>
                <w:szCs w:val="20"/>
              </w:rPr>
              <w:t>Common Customs Risk Management System</w:t>
            </w:r>
          </w:p>
        </w:tc>
      </w:tr>
      <w:tr>
        <w:tc>
          <w:tcPr>
            <w:tcW w:w="1526" w:type="dxa"/>
            <w:vAlign w:val="center"/>
          </w:tcPr>
          <w:p>
            <w:pPr>
              <w:rPr>
                <w:bCs/>
                <w:noProof/>
                <w:sz w:val="20"/>
                <w:szCs w:val="20"/>
              </w:rPr>
            </w:pPr>
            <w:r>
              <w:rPr>
                <w:bCs/>
                <w:noProof/>
                <w:sz w:val="20"/>
                <w:szCs w:val="20"/>
              </w:rPr>
              <w:t>CSM</w:t>
            </w:r>
          </w:p>
        </w:tc>
        <w:tc>
          <w:tcPr>
            <w:tcW w:w="7716" w:type="dxa"/>
            <w:vAlign w:val="center"/>
          </w:tcPr>
          <w:p>
            <w:pPr>
              <w:rPr>
                <w:bCs/>
                <w:noProof/>
                <w:sz w:val="20"/>
                <w:szCs w:val="20"/>
              </w:rPr>
            </w:pPr>
            <w:r>
              <w:rPr>
                <w:bCs/>
                <w:noProof/>
                <w:sz w:val="20"/>
                <w:szCs w:val="20"/>
              </w:rPr>
              <w:t>Container Status Message directory</w:t>
            </w:r>
          </w:p>
        </w:tc>
      </w:tr>
      <w:tr>
        <w:tc>
          <w:tcPr>
            <w:tcW w:w="1526" w:type="dxa"/>
            <w:vAlign w:val="center"/>
          </w:tcPr>
          <w:p>
            <w:pPr>
              <w:rPr>
                <w:noProof/>
                <w:sz w:val="20"/>
                <w:szCs w:val="20"/>
              </w:rPr>
            </w:pPr>
            <w:r>
              <w:rPr>
                <w:noProof/>
                <w:sz w:val="20"/>
                <w:szCs w:val="20"/>
              </w:rPr>
              <w:t>CVM</w:t>
            </w:r>
          </w:p>
        </w:tc>
        <w:tc>
          <w:tcPr>
            <w:tcW w:w="7716" w:type="dxa"/>
            <w:vAlign w:val="center"/>
          </w:tcPr>
          <w:p>
            <w:pPr>
              <w:rPr>
                <w:noProof/>
                <w:sz w:val="20"/>
                <w:szCs w:val="20"/>
              </w:rPr>
            </w:pPr>
            <w:r>
              <w:rPr>
                <w:noProof/>
                <w:sz w:val="20"/>
                <w:szCs w:val="20"/>
              </w:rPr>
              <w:t>Cooperation and Verification Mechanism</w:t>
            </w:r>
          </w:p>
        </w:tc>
      </w:tr>
      <w:tr>
        <w:tc>
          <w:tcPr>
            <w:tcW w:w="1526" w:type="dxa"/>
            <w:vAlign w:val="center"/>
          </w:tcPr>
          <w:p>
            <w:pPr>
              <w:rPr>
                <w:bCs/>
                <w:noProof/>
                <w:sz w:val="20"/>
                <w:szCs w:val="20"/>
              </w:rPr>
            </w:pPr>
            <w:r>
              <w:rPr>
                <w:bCs/>
                <w:noProof/>
                <w:sz w:val="20"/>
                <w:szCs w:val="20"/>
              </w:rPr>
              <w:t>CY</w:t>
            </w:r>
          </w:p>
        </w:tc>
        <w:tc>
          <w:tcPr>
            <w:tcW w:w="7716" w:type="dxa"/>
            <w:vAlign w:val="center"/>
          </w:tcPr>
          <w:p>
            <w:pPr>
              <w:rPr>
                <w:bCs/>
                <w:noProof/>
                <w:sz w:val="20"/>
                <w:szCs w:val="20"/>
              </w:rPr>
            </w:pPr>
            <w:r>
              <w:rPr>
                <w:bCs/>
                <w:noProof/>
                <w:sz w:val="20"/>
                <w:szCs w:val="20"/>
              </w:rPr>
              <w:t>Cyprus</w:t>
            </w:r>
          </w:p>
        </w:tc>
      </w:tr>
      <w:tr>
        <w:tc>
          <w:tcPr>
            <w:tcW w:w="1526" w:type="dxa"/>
            <w:vAlign w:val="center"/>
          </w:tcPr>
          <w:p>
            <w:pPr>
              <w:rPr>
                <w:bCs/>
                <w:noProof/>
                <w:sz w:val="20"/>
                <w:szCs w:val="20"/>
              </w:rPr>
            </w:pPr>
            <w:r>
              <w:rPr>
                <w:bCs/>
                <w:noProof/>
                <w:sz w:val="20"/>
                <w:szCs w:val="20"/>
              </w:rPr>
              <w:t>CZ</w:t>
            </w:r>
          </w:p>
        </w:tc>
        <w:tc>
          <w:tcPr>
            <w:tcW w:w="7716" w:type="dxa"/>
            <w:vAlign w:val="center"/>
          </w:tcPr>
          <w:p>
            <w:pPr>
              <w:rPr>
                <w:bCs/>
                <w:noProof/>
                <w:sz w:val="20"/>
                <w:szCs w:val="20"/>
              </w:rPr>
            </w:pPr>
            <w:r>
              <w:rPr>
                <w:bCs/>
                <w:noProof/>
                <w:sz w:val="20"/>
                <w:szCs w:val="20"/>
              </w:rPr>
              <w:t>Czechia</w:t>
            </w:r>
          </w:p>
        </w:tc>
      </w:tr>
      <w:tr>
        <w:tc>
          <w:tcPr>
            <w:tcW w:w="1526" w:type="dxa"/>
            <w:vAlign w:val="center"/>
          </w:tcPr>
          <w:p>
            <w:pPr>
              <w:rPr>
                <w:noProof/>
                <w:sz w:val="20"/>
                <w:szCs w:val="20"/>
              </w:rPr>
            </w:pPr>
            <w:r>
              <w:rPr>
                <w:noProof/>
                <w:sz w:val="20"/>
                <w:szCs w:val="20"/>
              </w:rPr>
              <w:t>DA</w:t>
            </w:r>
          </w:p>
        </w:tc>
        <w:tc>
          <w:tcPr>
            <w:tcW w:w="7716" w:type="dxa"/>
            <w:vAlign w:val="center"/>
          </w:tcPr>
          <w:p>
            <w:pPr>
              <w:rPr>
                <w:noProof/>
                <w:sz w:val="20"/>
                <w:szCs w:val="20"/>
              </w:rPr>
            </w:pPr>
            <w:r>
              <w:rPr>
                <w:noProof/>
                <w:sz w:val="20"/>
                <w:szCs w:val="20"/>
              </w:rPr>
              <w:t>Direct payments to farmers</w:t>
            </w:r>
          </w:p>
        </w:tc>
      </w:tr>
      <w:tr>
        <w:tc>
          <w:tcPr>
            <w:tcW w:w="1526" w:type="dxa"/>
            <w:vAlign w:val="center"/>
          </w:tcPr>
          <w:p>
            <w:pPr>
              <w:rPr>
                <w:bCs/>
                <w:noProof/>
                <w:sz w:val="20"/>
                <w:szCs w:val="20"/>
              </w:rPr>
            </w:pPr>
            <w:r>
              <w:rPr>
                <w:bCs/>
                <w:noProof/>
                <w:sz w:val="20"/>
                <w:szCs w:val="20"/>
              </w:rPr>
              <w:t>DE</w:t>
            </w:r>
          </w:p>
        </w:tc>
        <w:tc>
          <w:tcPr>
            <w:tcW w:w="7716" w:type="dxa"/>
            <w:vAlign w:val="center"/>
          </w:tcPr>
          <w:p>
            <w:pPr>
              <w:rPr>
                <w:bCs/>
                <w:noProof/>
                <w:sz w:val="20"/>
                <w:szCs w:val="20"/>
              </w:rPr>
            </w:pPr>
            <w:r>
              <w:rPr>
                <w:bCs/>
                <w:noProof/>
                <w:sz w:val="20"/>
                <w:szCs w:val="20"/>
              </w:rPr>
              <w:t>Germany</w:t>
            </w:r>
          </w:p>
        </w:tc>
      </w:tr>
      <w:tr>
        <w:tc>
          <w:tcPr>
            <w:tcW w:w="1526" w:type="dxa"/>
            <w:vAlign w:val="center"/>
          </w:tcPr>
          <w:p>
            <w:pPr>
              <w:rPr>
                <w:noProof/>
                <w:color w:val="222222"/>
                <w:sz w:val="20"/>
                <w:szCs w:val="20"/>
              </w:rPr>
            </w:pPr>
            <w:r>
              <w:rPr>
                <w:noProof/>
                <w:color w:val="222222"/>
                <w:sz w:val="20"/>
                <w:szCs w:val="20"/>
              </w:rPr>
              <w:t>DG BUDG</w:t>
            </w:r>
          </w:p>
        </w:tc>
        <w:tc>
          <w:tcPr>
            <w:tcW w:w="7716" w:type="dxa"/>
            <w:vAlign w:val="center"/>
          </w:tcPr>
          <w:p>
            <w:pPr>
              <w:rPr>
                <w:noProof/>
                <w:color w:val="222222"/>
                <w:sz w:val="20"/>
                <w:szCs w:val="20"/>
              </w:rPr>
            </w:pPr>
            <w:r>
              <w:rPr>
                <w:noProof/>
                <w:color w:val="222222"/>
                <w:sz w:val="20"/>
                <w:szCs w:val="20"/>
              </w:rPr>
              <w:t>Directorate-General for Budget</w:t>
            </w:r>
          </w:p>
        </w:tc>
      </w:tr>
      <w:tr>
        <w:tc>
          <w:tcPr>
            <w:tcW w:w="1526" w:type="dxa"/>
            <w:vAlign w:val="center"/>
          </w:tcPr>
          <w:p>
            <w:pPr>
              <w:rPr>
                <w:bCs/>
                <w:noProof/>
                <w:sz w:val="20"/>
                <w:szCs w:val="20"/>
              </w:rPr>
            </w:pPr>
            <w:r>
              <w:rPr>
                <w:noProof/>
                <w:sz w:val="20"/>
                <w:szCs w:val="20"/>
              </w:rPr>
              <w:t>DG NEAR</w:t>
            </w:r>
          </w:p>
        </w:tc>
        <w:tc>
          <w:tcPr>
            <w:tcW w:w="7716" w:type="dxa"/>
            <w:vAlign w:val="center"/>
          </w:tcPr>
          <w:p>
            <w:pPr>
              <w:rPr>
                <w:noProof/>
                <w:sz w:val="20"/>
                <w:szCs w:val="20"/>
              </w:rPr>
            </w:pPr>
            <w:r>
              <w:rPr>
                <w:noProof/>
                <w:sz w:val="20"/>
                <w:szCs w:val="20"/>
              </w:rPr>
              <w:t>Directorate-General for Neighbourhood &amp; Enlargement Negotiations</w:t>
            </w:r>
          </w:p>
        </w:tc>
      </w:tr>
      <w:tr>
        <w:tc>
          <w:tcPr>
            <w:tcW w:w="1526" w:type="dxa"/>
            <w:vAlign w:val="center"/>
          </w:tcPr>
          <w:p>
            <w:pPr>
              <w:rPr>
                <w:bCs/>
                <w:noProof/>
                <w:sz w:val="20"/>
                <w:szCs w:val="20"/>
              </w:rPr>
            </w:pPr>
            <w:r>
              <w:rPr>
                <w:noProof/>
                <w:sz w:val="20"/>
                <w:szCs w:val="20"/>
              </w:rPr>
              <w:t>DG REGIO</w:t>
            </w:r>
          </w:p>
        </w:tc>
        <w:tc>
          <w:tcPr>
            <w:tcW w:w="7716" w:type="dxa"/>
            <w:vAlign w:val="center"/>
          </w:tcPr>
          <w:p>
            <w:pPr>
              <w:rPr>
                <w:noProof/>
                <w:sz w:val="20"/>
                <w:szCs w:val="20"/>
              </w:rPr>
            </w:pPr>
            <w:r>
              <w:rPr>
                <w:noProof/>
                <w:sz w:val="20"/>
                <w:szCs w:val="20"/>
              </w:rPr>
              <w:t>Directorate-General for Regional and Urban Policy</w:t>
            </w:r>
          </w:p>
        </w:tc>
      </w:tr>
      <w:tr>
        <w:tc>
          <w:tcPr>
            <w:tcW w:w="1526" w:type="dxa"/>
            <w:vAlign w:val="center"/>
          </w:tcPr>
          <w:p>
            <w:pPr>
              <w:rPr>
                <w:bCs/>
                <w:noProof/>
                <w:sz w:val="20"/>
                <w:szCs w:val="20"/>
              </w:rPr>
            </w:pPr>
            <w:r>
              <w:rPr>
                <w:bCs/>
                <w:noProof/>
                <w:sz w:val="20"/>
                <w:szCs w:val="20"/>
              </w:rPr>
              <w:t>DG TAXUD</w:t>
            </w:r>
          </w:p>
        </w:tc>
        <w:tc>
          <w:tcPr>
            <w:tcW w:w="7716" w:type="dxa"/>
            <w:vAlign w:val="center"/>
          </w:tcPr>
          <w:p>
            <w:pPr>
              <w:rPr>
                <w:bCs/>
                <w:noProof/>
                <w:sz w:val="20"/>
                <w:szCs w:val="20"/>
              </w:rPr>
            </w:pPr>
            <w:r>
              <w:rPr>
                <w:bCs/>
                <w:noProof/>
                <w:sz w:val="20"/>
                <w:szCs w:val="20"/>
              </w:rPr>
              <w:t>Directorate-General for Taxation and Customs Union</w:t>
            </w:r>
          </w:p>
        </w:tc>
      </w:tr>
      <w:tr>
        <w:tc>
          <w:tcPr>
            <w:tcW w:w="1526" w:type="dxa"/>
            <w:vAlign w:val="center"/>
          </w:tcPr>
          <w:p>
            <w:pPr>
              <w:rPr>
                <w:bCs/>
                <w:noProof/>
                <w:sz w:val="20"/>
                <w:szCs w:val="20"/>
              </w:rPr>
            </w:pPr>
            <w:r>
              <w:rPr>
                <w:bCs/>
                <w:noProof/>
                <w:sz w:val="20"/>
                <w:szCs w:val="20"/>
              </w:rPr>
              <w:t>DK</w:t>
            </w:r>
          </w:p>
        </w:tc>
        <w:tc>
          <w:tcPr>
            <w:tcW w:w="7716" w:type="dxa"/>
            <w:vAlign w:val="center"/>
          </w:tcPr>
          <w:p>
            <w:pPr>
              <w:rPr>
                <w:bCs/>
                <w:noProof/>
                <w:sz w:val="20"/>
                <w:szCs w:val="20"/>
              </w:rPr>
            </w:pPr>
            <w:r>
              <w:rPr>
                <w:bCs/>
                <w:noProof/>
                <w:sz w:val="20"/>
                <w:szCs w:val="20"/>
              </w:rPr>
              <w:t>Denmark</w:t>
            </w:r>
          </w:p>
        </w:tc>
      </w:tr>
      <w:tr>
        <w:tc>
          <w:tcPr>
            <w:tcW w:w="1526" w:type="dxa"/>
            <w:vAlign w:val="center"/>
          </w:tcPr>
          <w:p>
            <w:pPr>
              <w:rPr>
                <w:bCs/>
                <w:noProof/>
                <w:sz w:val="20"/>
                <w:szCs w:val="20"/>
              </w:rPr>
            </w:pPr>
            <w:r>
              <w:rPr>
                <w:noProof/>
                <w:sz w:val="20"/>
                <w:szCs w:val="20"/>
              </w:rPr>
              <w:t>EAFRD</w:t>
            </w:r>
          </w:p>
        </w:tc>
        <w:tc>
          <w:tcPr>
            <w:tcW w:w="7716" w:type="dxa"/>
            <w:vAlign w:val="center"/>
          </w:tcPr>
          <w:p>
            <w:pPr>
              <w:rPr>
                <w:bCs/>
                <w:noProof/>
                <w:sz w:val="20"/>
                <w:szCs w:val="20"/>
              </w:rPr>
            </w:pPr>
            <w:r>
              <w:rPr>
                <w:noProof/>
                <w:sz w:val="20"/>
                <w:szCs w:val="20"/>
              </w:rPr>
              <w:t>European Agricultural Fund for Rural Development</w:t>
            </w:r>
          </w:p>
        </w:tc>
      </w:tr>
      <w:tr>
        <w:tc>
          <w:tcPr>
            <w:tcW w:w="1526" w:type="dxa"/>
            <w:vAlign w:val="center"/>
          </w:tcPr>
          <w:p>
            <w:pPr>
              <w:rPr>
                <w:noProof/>
                <w:sz w:val="20"/>
                <w:szCs w:val="20"/>
              </w:rPr>
            </w:pPr>
            <w:r>
              <w:rPr>
                <w:noProof/>
                <w:sz w:val="20"/>
                <w:szCs w:val="20"/>
              </w:rPr>
              <w:t>EAGF</w:t>
            </w:r>
          </w:p>
        </w:tc>
        <w:tc>
          <w:tcPr>
            <w:tcW w:w="7716" w:type="dxa"/>
            <w:vAlign w:val="center"/>
          </w:tcPr>
          <w:p>
            <w:pPr>
              <w:rPr>
                <w:noProof/>
                <w:sz w:val="20"/>
                <w:szCs w:val="20"/>
              </w:rPr>
            </w:pPr>
            <w:r>
              <w:rPr>
                <w:noProof/>
                <w:sz w:val="20"/>
                <w:szCs w:val="20"/>
              </w:rPr>
              <w:t>European agricultural guarantee fund</w:t>
            </w:r>
          </w:p>
        </w:tc>
      </w:tr>
      <w:tr>
        <w:tc>
          <w:tcPr>
            <w:tcW w:w="1526" w:type="dxa"/>
            <w:vAlign w:val="center"/>
          </w:tcPr>
          <w:p>
            <w:pPr>
              <w:rPr>
                <w:bCs/>
                <w:noProof/>
                <w:sz w:val="20"/>
                <w:szCs w:val="20"/>
              </w:rPr>
            </w:pPr>
            <w:r>
              <w:rPr>
                <w:bCs/>
                <w:noProof/>
                <w:sz w:val="20"/>
                <w:szCs w:val="20"/>
              </w:rPr>
              <w:t>EAGGF</w:t>
            </w:r>
          </w:p>
        </w:tc>
        <w:tc>
          <w:tcPr>
            <w:tcW w:w="7716" w:type="dxa"/>
            <w:vAlign w:val="center"/>
          </w:tcPr>
          <w:p>
            <w:pPr>
              <w:rPr>
                <w:bCs/>
                <w:noProof/>
                <w:sz w:val="20"/>
                <w:szCs w:val="20"/>
              </w:rPr>
            </w:pPr>
            <w:r>
              <w:rPr>
                <w:bCs/>
                <w:noProof/>
                <w:sz w:val="20"/>
                <w:szCs w:val="20"/>
              </w:rPr>
              <w:t>European Agricultural Guidance and Guarantee Fund</w:t>
            </w:r>
          </w:p>
        </w:tc>
      </w:tr>
      <w:tr>
        <w:trPr>
          <w:trHeight w:val="141"/>
        </w:trPr>
        <w:tc>
          <w:tcPr>
            <w:tcW w:w="1526" w:type="dxa"/>
            <w:vAlign w:val="center"/>
          </w:tcPr>
          <w:p>
            <w:pPr>
              <w:rPr>
                <w:noProof/>
                <w:sz w:val="20"/>
                <w:szCs w:val="20"/>
              </w:rPr>
            </w:pPr>
            <w:r>
              <w:rPr>
                <w:noProof/>
                <w:sz w:val="20"/>
                <w:szCs w:val="20"/>
              </w:rPr>
              <w:t>ECA</w:t>
            </w:r>
          </w:p>
        </w:tc>
        <w:tc>
          <w:tcPr>
            <w:tcW w:w="7716" w:type="dxa"/>
            <w:vAlign w:val="center"/>
          </w:tcPr>
          <w:p>
            <w:pPr>
              <w:rPr>
                <w:noProof/>
                <w:sz w:val="20"/>
                <w:szCs w:val="20"/>
              </w:rPr>
            </w:pPr>
            <w:r>
              <w:rPr>
                <w:noProof/>
                <w:sz w:val="20"/>
                <w:szCs w:val="20"/>
              </w:rPr>
              <w:t>European Court of Auditors</w:t>
            </w:r>
          </w:p>
        </w:tc>
      </w:tr>
      <w:tr>
        <w:tc>
          <w:tcPr>
            <w:tcW w:w="1526" w:type="dxa"/>
            <w:vAlign w:val="center"/>
          </w:tcPr>
          <w:p>
            <w:pPr>
              <w:rPr>
                <w:bCs/>
                <w:iCs/>
                <w:noProof/>
                <w:sz w:val="20"/>
                <w:szCs w:val="20"/>
                <w:lang w:eastAsia="en-GB"/>
              </w:rPr>
            </w:pPr>
            <w:bookmarkStart w:id="107" w:name="_Toc42625195"/>
            <w:r>
              <w:rPr>
                <w:bCs/>
                <w:iCs/>
                <w:noProof/>
                <w:sz w:val="20"/>
                <w:szCs w:val="20"/>
                <w:lang w:eastAsia="en-GB"/>
              </w:rPr>
              <w:t>EDES</w:t>
            </w:r>
            <w:bookmarkEnd w:id="107"/>
          </w:p>
        </w:tc>
        <w:tc>
          <w:tcPr>
            <w:tcW w:w="7716" w:type="dxa"/>
            <w:vAlign w:val="center"/>
          </w:tcPr>
          <w:p>
            <w:pPr>
              <w:rPr>
                <w:bCs/>
                <w:iCs/>
                <w:noProof/>
                <w:sz w:val="20"/>
                <w:szCs w:val="20"/>
                <w:lang w:eastAsia="en-GB"/>
              </w:rPr>
            </w:pPr>
            <w:bookmarkStart w:id="108" w:name="_Ref11927795"/>
            <w:bookmarkStart w:id="109" w:name="_Ref11927800"/>
            <w:bookmarkStart w:id="110" w:name="_Ref11927814"/>
            <w:r>
              <w:rPr>
                <w:bCs/>
                <w:iCs/>
                <w:noProof/>
                <w:sz w:val="20"/>
                <w:szCs w:val="20"/>
                <w:lang w:eastAsia="en-GB"/>
              </w:rPr>
              <w:t>Early detection and exclusion system</w:t>
            </w:r>
            <w:bookmarkEnd w:id="108"/>
            <w:bookmarkEnd w:id="109"/>
            <w:bookmarkEnd w:id="110"/>
          </w:p>
        </w:tc>
      </w:tr>
      <w:tr>
        <w:tc>
          <w:tcPr>
            <w:tcW w:w="1526" w:type="dxa"/>
            <w:vAlign w:val="center"/>
          </w:tcPr>
          <w:p>
            <w:pPr>
              <w:rPr>
                <w:bCs/>
                <w:noProof/>
                <w:sz w:val="20"/>
                <w:szCs w:val="20"/>
              </w:rPr>
            </w:pPr>
            <w:r>
              <w:rPr>
                <w:bCs/>
                <w:noProof/>
                <w:sz w:val="20"/>
                <w:szCs w:val="20"/>
              </w:rPr>
              <w:t>EE</w:t>
            </w:r>
          </w:p>
        </w:tc>
        <w:tc>
          <w:tcPr>
            <w:tcW w:w="7716" w:type="dxa"/>
            <w:vAlign w:val="center"/>
          </w:tcPr>
          <w:p>
            <w:pPr>
              <w:rPr>
                <w:bCs/>
                <w:noProof/>
                <w:sz w:val="20"/>
                <w:szCs w:val="20"/>
              </w:rPr>
            </w:pPr>
            <w:r>
              <w:rPr>
                <w:bCs/>
                <w:noProof/>
                <w:sz w:val="20"/>
                <w:szCs w:val="20"/>
              </w:rPr>
              <w:t>Estonia</w:t>
            </w:r>
          </w:p>
        </w:tc>
      </w:tr>
      <w:tr>
        <w:tc>
          <w:tcPr>
            <w:tcW w:w="1526" w:type="dxa"/>
            <w:vAlign w:val="center"/>
          </w:tcPr>
          <w:p>
            <w:pPr>
              <w:rPr>
                <w:bCs/>
                <w:noProof/>
                <w:sz w:val="20"/>
                <w:szCs w:val="20"/>
              </w:rPr>
            </w:pPr>
            <w:r>
              <w:rPr>
                <w:noProof/>
                <w:sz w:val="20"/>
                <w:szCs w:val="20"/>
              </w:rPr>
              <w:t>EFF</w:t>
            </w:r>
          </w:p>
        </w:tc>
        <w:tc>
          <w:tcPr>
            <w:tcW w:w="7716" w:type="dxa"/>
            <w:vAlign w:val="center"/>
          </w:tcPr>
          <w:p>
            <w:pPr>
              <w:rPr>
                <w:bCs/>
                <w:noProof/>
                <w:sz w:val="20"/>
                <w:szCs w:val="20"/>
              </w:rPr>
            </w:pPr>
            <w:r>
              <w:rPr>
                <w:noProof/>
                <w:sz w:val="20"/>
                <w:szCs w:val="20"/>
              </w:rPr>
              <w:t>European Fisheries Fund</w:t>
            </w:r>
          </w:p>
        </w:tc>
      </w:tr>
      <w:tr>
        <w:tc>
          <w:tcPr>
            <w:tcW w:w="1526" w:type="dxa"/>
            <w:vAlign w:val="center"/>
          </w:tcPr>
          <w:p>
            <w:pPr>
              <w:rPr>
                <w:bCs/>
                <w:noProof/>
                <w:sz w:val="20"/>
                <w:szCs w:val="20"/>
              </w:rPr>
            </w:pPr>
            <w:r>
              <w:rPr>
                <w:noProof/>
                <w:sz w:val="20"/>
                <w:szCs w:val="20"/>
              </w:rPr>
              <w:t>EGF</w:t>
            </w:r>
          </w:p>
        </w:tc>
        <w:tc>
          <w:tcPr>
            <w:tcW w:w="7716" w:type="dxa"/>
            <w:vAlign w:val="center"/>
          </w:tcPr>
          <w:p>
            <w:pPr>
              <w:rPr>
                <w:bCs/>
                <w:noProof/>
                <w:sz w:val="20"/>
                <w:szCs w:val="20"/>
              </w:rPr>
            </w:pPr>
            <w:r>
              <w:rPr>
                <w:noProof/>
                <w:sz w:val="20"/>
                <w:szCs w:val="20"/>
              </w:rPr>
              <w:t>European Globalisation Adjustment Fund</w:t>
            </w:r>
          </w:p>
        </w:tc>
      </w:tr>
      <w:tr>
        <w:tc>
          <w:tcPr>
            <w:tcW w:w="1526" w:type="dxa"/>
            <w:vAlign w:val="center"/>
          </w:tcPr>
          <w:p>
            <w:pPr>
              <w:rPr>
                <w:bCs/>
                <w:noProof/>
                <w:sz w:val="20"/>
                <w:szCs w:val="20"/>
              </w:rPr>
            </w:pPr>
            <w:r>
              <w:rPr>
                <w:noProof/>
                <w:sz w:val="20"/>
                <w:szCs w:val="20"/>
              </w:rPr>
              <w:t>EMFF</w:t>
            </w:r>
          </w:p>
        </w:tc>
        <w:tc>
          <w:tcPr>
            <w:tcW w:w="7716" w:type="dxa"/>
            <w:vAlign w:val="center"/>
          </w:tcPr>
          <w:p>
            <w:pPr>
              <w:rPr>
                <w:bCs/>
                <w:noProof/>
                <w:sz w:val="20"/>
                <w:szCs w:val="20"/>
              </w:rPr>
            </w:pPr>
            <w:r>
              <w:rPr>
                <w:noProof/>
                <w:sz w:val="20"/>
                <w:szCs w:val="20"/>
              </w:rPr>
              <w:t>European Maritime and Fisheries Fund</w:t>
            </w:r>
          </w:p>
        </w:tc>
      </w:tr>
      <w:tr>
        <w:tc>
          <w:tcPr>
            <w:tcW w:w="1526" w:type="dxa"/>
            <w:vAlign w:val="center"/>
          </w:tcPr>
          <w:p>
            <w:pPr>
              <w:rPr>
                <w:bCs/>
                <w:noProof/>
                <w:sz w:val="20"/>
                <w:szCs w:val="20"/>
              </w:rPr>
            </w:pPr>
            <w:r>
              <w:rPr>
                <w:bCs/>
                <w:noProof/>
                <w:sz w:val="20"/>
                <w:szCs w:val="20"/>
              </w:rPr>
              <w:t>ERDF</w:t>
            </w:r>
          </w:p>
        </w:tc>
        <w:tc>
          <w:tcPr>
            <w:tcW w:w="7716" w:type="dxa"/>
            <w:vAlign w:val="center"/>
          </w:tcPr>
          <w:p>
            <w:pPr>
              <w:rPr>
                <w:bCs/>
                <w:noProof/>
                <w:sz w:val="20"/>
                <w:szCs w:val="20"/>
              </w:rPr>
            </w:pPr>
            <w:r>
              <w:rPr>
                <w:bCs/>
                <w:noProof/>
                <w:sz w:val="20"/>
                <w:szCs w:val="20"/>
              </w:rPr>
              <w:t>European Regional Development Fund</w:t>
            </w:r>
          </w:p>
        </w:tc>
      </w:tr>
      <w:tr>
        <w:tc>
          <w:tcPr>
            <w:tcW w:w="1526" w:type="dxa"/>
            <w:vAlign w:val="center"/>
          </w:tcPr>
          <w:p>
            <w:pPr>
              <w:rPr>
                <w:bCs/>
                <w:noProof/>
                <w:sz w:val="20"/>
                <w:szCs w:val="20"/>
              </w:rPr>
            </w:pPr>
            <w:r>
              <w:rPr>
                <w:bCs/>
                <w:noProof/>
                <w:sz w:val="20"/>
                <w:szCs w:val="20"/>
              </w:rPr>
              <w:t>ES</w:t>
            </w:r>
          </w:p>
        </w:tc>
        <w:tc>
          <w:tcPr>
            <w:tcW w:w="7716" w:type="dxa"/>
            <w:vAlign w:val="center"/>
          </w:tcPr>
          <w:p>
            <w:pPr>
              <w:rPr>
                <w:bCs/>
                <w:noProof/>
                <w:sz w:val="20"/>
                <w:szCs w:val="20"/>
              </w:rPr>
            </w:pPr>
            <w:r>
              <w:rPr>
                <w:bCs/>
                <w:noProof/>
                <w:sz w:val="20"/>
                <w:szCs w:val="20"/>
              </w:rPr>
              <w:t>Spain</w:t>
            </w:r>
          </w:p>
        </w:tc>
      </w:tr>
      <w:tr>
        <w:tc>
          <w:tcPr>
            <w:tcW w:w="1526" w:type="dxa"/>
            <w:vAlign w:val="center"/>
          </w:tcPr>
          <w:p>
            <w:pPr>
              <w:rPr>
                <w:bCs/>
                <w:noProof/>
                <w:sz w:val="20"/>
                <w:szCs w:val="20"/>
              </w:rPr>
            </w:pPr>
            <w:r>
              <w:rPr>
                <w:bCs/>
                <w:noProof/>
                <w:sz w:val="20"/>
                <w:szCs w:val="20"/>
              </w:rPr>
              <w:t>ESF</w:t>
            </w:r>
          </w:p>
        </w:tc>
        <w:tc>
          <w:tcPr>
            <w:tcW w:w="7716" w:type="dxa"/>
            <w:vAlign w:val="center"/>
          </w:tcPr>
          <w:p>
            <w:pPr>
              <w:rPr>
                <w:bCs/>
                <w:noProof/>
                <w:sz w:val="20"/>
                <w:szCs w:val="20"/>
              </w:rPr>
            </w:pPr>
            <w:r>
              <w:rPr>
                <w:bCs/>
                <w:noProof/>
                <w:sz w:val="20"/>
                <w:szCs w:val="20"/>
              </w:rPr>
              <w:t>European Social Fund</w:t>
            </w:r>
          </w:p>
        </w:tc>
      </w:tr>
      <w:tr>
        <w:tc>
          <w:tcPr>
            <w:tcW w:w="1526" w:type="dxa"/>
            <w:vAlign w:val="center"/>
          </w:tcPr>
          <w:p>
            <w:pPr>
              <w:rPr>
                <w:bCs/>
                <w:noProof/>
                <w:sz w:val="20"/>
                <w:szCs w:val="20"/>
              </w:rPr>
            </w:pPr>
            <w:r>
              <w:rPr>
                <w:noProof/>
                <w:sz w:val="20"/>
                <w:szCs w:val="20"/>
              </w:rPr>
              <w:t>ESIF</w:t>
            </w:r>
          </w:p>
        </w:tc>
        <w:tc>
          <w:tcPr>
            <w:tcW w:w="7716" w:type="dxa"/>
            <w:vAlign w:val="center"/>
          </w:tcPr>
          <w:p>
            <w:pPr>
              <w:rPr>
                <w:bCs/>
                <w:noProof/>
                <w:sz w:val="20"/>
                <w:szCs w:val="20"/>
              </w:rPr>
            </w:pPr>
            <w:r>
              <w:rPr>
                <w:noProof/>
                <w:sz w:val="20"/>
                <w:szCs w:val="20"/>
              </w:rPr>
              <w:t>European Structural and Investment Funds</w:t>
            </w:r>
          </w:p>
        </w:tc>
      </w:tr>
      <w:tr>
        <w:tc>
          <w:tcPr>
            <w:tcW w:w="1526" w:type="dxa"/>
            <w:vAlign w:val="center"/>
          </w:tcPr>
          <w:p>
            <w:pPr>
              <w:rPr>
                <w:noProof/>
                <w:sz w:val="20"/>
                <w:szCs w:val="20"/>
              </w:rPr>
            </w:pPr>
            <w:r>
              <w:rPr>
                <w:noProof/>
                <w:sz w:val="20"/>
                <w:szCs w:val="20"/>
              </w:rPr>
              <w:t>EU</w:t>
            </w:r>
          </w:p>
        </w:tc>
        <w:tc>
          <w:tcPr>
            <w:tcW w:w="7716" w:type="dxa"/>
            <w:vAlign w:val="center"/>
          </w:tcPr>
          <w:p>
            <w:pPr>
              <w:rPr>
                <w:noProof/>
                <w:sz w:val="20"/>
                <w:szCs w:val="20"/>
              </w:rPr>
            </w:pPr>
            <w:r>
              <w:rPr>
                <w:noProof/>
                <w:sz w:val="20"/>
                <w:szCs w:val="20"/>
              </w:rPr>
              <w:t>European Union</w:t>
            </w:r>
          </w:p>
        </w:tc>
      </w:tr>
      <w:tr>
        <w:tc>
          <w:tcPr>
            <w:tcW w:w="1526" w:type="dxa"/>
            <w:vAlign w:val="center"/>
          </w:tcPr>
          <w:p>
            <w:pPr>
              <w:rPr>
                <w:bCs/>
                <w:noProof/>
                <w:sz w:val="20"/>
                <w:szCs w:val="20"/>
              </w:rPr>
            </w:pPr>
            <w:r>
              <w:rPr>
                <w:bCs/>
                <w:noProof/>
                <w:sz w:val="20"/>
                <w:szCs w:val="20"/>
              </w:rPr>
              <w:t>EUBAM</w:t>
            </w:r>
          </w:p>
        </w:tc>
        <w:tc>
          <w:tcPr>
            <w:tcW w:w="7716" w:type="dxa"/>
            <w:vAlign w:val="center"/>
          </w:tcPr>
          <w:p>
            <w:pPr>
              <w:rPr>
                <w:bCs/>
                <w:noProof/>
                <w:sz w:val="20"/>
                <w:szCs w:val="20"/>
              </w:rPr>
            </w:pPr>
            <w:r>
              <w:rPr>
                <w:bCs/>
                <w:noProof/>
                <w:sz w:val="20"/>
                <w:szCs w:val="20"/>
              </w:rPr>
              <w:t>European Union Border Assistance Mission to Moldova and Ukraine</w:t>
            </w:r>
          </w:p>
        </w:tc>
      </w:tr>
      <w:tr>
        <w:tc>
          <w:tcPr>
            <w:tcW w:w="1526" w:type="dxa"/>
            <w:vAlign w:val="center"/>
          </w:tcPr>
          <w:p>
            <w:pPr>
              <w:rPr>
                <w:bCs/>
                <w:noProof/>
                <w:sz w:val="20"/>
                <w:szCs w:val="20"/>
              </w:rPr>
            </w:pPr>
            <w:r>
              <w:rPr>
                <w:bCs/>
                <w:noProof/>
                <w:sz w:val="20"/>
                <w:szCs w:val="20"/>
              </w:rPr>
              <w:t>EUR</w:t>
            </w:r>
          </w:p>
        </w:tc>
        <w:tc>
          <w:tcPr>
            <w:tcW w:w="7716" w:type="dxa"/>
            <w:vAlign w:val="center"/>
          </w:tcPr>
          <w:p>
            <w:pPr>
              <w:rPr>
                <w:bCs/>
                <w:noProof/>
                <w:sz w:val="20"/>
                <w:szCs w:val="20"/>
              </w:rPr>
            </w:pPr>
            <w:r>
              <w:rPr>
                <w:bCs/>
                <w:noProof/>
                <w:sz w:val="20"/>
                <w:szCs w:val="20"/>
              </w:rPr>
              <w:t>Euro</w:t>
            </w:r>
          </w:p>
        </w:tc>
      </w:tr>
      <w:tr>
        <w:tc>
          <w:tcPr>
            <w:tcW w:w="1526" w:type="dxa"/>
            <w:vAlign w:val="center"/>
          </w:tcPr>
          <w:p>
            <w:pPr>
              <w:rPr>
                <w:bCs/>
                <w:noProof/>
                <w:sz w:val="20"/>
                <w:szCs w:val="20"/>
              </w:rPr>
            </w:pPr>
            <w:r>
              <w:rPr>
                <w:bCs/>
                <w:noProof/>
                <w:sz w:val="20"/>
                <w:szCs w:val="20"/>
              </w:rPr>
              <w:t>FAL</w:t>
            </w:r>
          </w:p>
        </w:tc>
        <w:tc>
          <w:tcPr>
            <w:tcW w:w="7716" w:type="dxa"/>
            <w:vAlign w:val="center"/>
          </w:tcPr>
          <w:p>
            <w:pPr>
              <w:rPr>
                <w:bCs/>
                <w:noProof/>
                <w:sz w:val="20"/>
                <w:szCs w:val="20"/>
              </w:rPr>
            </w:pPr>
            <w:r>
              <w:rPr>
                <w:bCs/>
                <w:noProof/>
                <w:sz w:val="20"/>
                <w:szCs w:val="20"/>
              </w:rPr>
              <w:t>Fraud Amount Level</w:t>
            </w:r>
          </w:p>
        </w:tc>
      </w:tr>
      <w:tr>
        <w:tc>
          <w:tcPr>
            <w:tcW w:w="1526" w:type="dxa"/>
            <w:vAlign w:val="center"/>
          </w:tcPr>
          <w:p>
            <w:pPr>
              <w:rPr>
                <w:noProof/>
                <w:sz w:val="20"/>
                <w:szCs w:val="20"/>
              </w:rPr>
            </w:pPr>
            <w:r>
              <w:rPr>
                <w:noProof/>
                <w:sz w:val="20"/>
                <w:szCs w:val="20"/>
              </w:rPr>
              <w:t>FDR</w:t>
            </w:r>
          </w:p>
        </w:tc>
        <w:tc>
          <w:tcPr>
            <w:tcW w:w="7716" w:type="dxa"/>
            <w:vAlign w:val="center"/>
          </w:tcPr>
          <w:p>
            <w:pPr>
              <w:rPr>
                <w:noProof/>
                <w:sz w:val="20"/>
                <w:szCs w:val="20"/>
              </w:rPr>
            </w:pPr>
            <w:r>
              <w:rPr>
                <w:noProof/>
                <w:sz w:val="20"/>
                <w:szCs w:val="20"/>
              </w:rPr>
              <w:t>Fraud Detection Rate</w:t>
            </w:r>
          </w:p>
        </w:tc>
      </w:tr>
      <w:tr>
        <w:tc>
          <w:tcPr>
            <w:tcW w:w="1526" w:type="dxa"/>
            <w:vAlign w:val="center"/>
          </w:tcPr>
          <w:p>
            <w:pPr>
              <w:rPr>
                <w:bCs/>
                <w:noProof/>
                <w:sz w:val="20"/>
                <w:szCs w:val="20"/>
              </w:rPr>
            </w:pPr>
            <w:r>
              <w:rPr>
                <w:noProof/>
                <w:sz w:val="20"/>
                <w:szCs w:val="20"/>
              </w:rPr>
              <w:t>FEAD</w:t>
            </w:r>
          </w:p>
        </w:tc>
        <w:tc>
          <w:tcPr>
            <w:tcW w:w="7716" w:type="dxa"/>
            <w:vAlign w:val="center"/>
          </w:tcPr>
          <w:p>
            <w:pPr>
              <w:rPr>
                <w:bCs/>
                <w:noProof/>
                <w:sz w:val="20"/>
                <w:szCs w:val="20"/>
              </w:rPr>
            </w:pPr>
            <w:r>
              <w:rPr>
                <w:noProof/>
                <w:sz w:val="20"/>
                <w:szCs w:val="20"/>
              </w:rPr>
              <w:t>Fund for European Aid to the Most Deprived</w:t>
            </w:r>
          </w:p>
        </w:tc>
      </w:tr>
      <w:tr>
        <w:tc>
          <w:tcPr>
            <w:tcW w:w="1526" w:type="dxa"/>
            <w:vAlign w:val="center"/>
          </w:tcPr>
          <w:p>
            <w:pPr>
              <w:rPr>
                <w:bCs/>
                <w:noProof/>
                <w:sz w:val="20"/>
                <w:szCs w:val="20"/>
              </w:rPr>
            </w:pPr>
            <w:r>
              <w:rPr>
                <w:bCs/>
                <w:noProof/>
                <w:sz w:val="20"/>
                <w:szCs w:val="20"/>
              </w:rPr>
              <w:t>FFL</w:t>
            </w:r>
          </w:p>
        </w:tc>
        <w:tc>
          <w:tcPr>
            <w:tcW w:w="7716" w:type="dxa"/>
            <w:vAlign w:val="center"/>
          </w:tcPr>
          <w:p>
            <w:pPr>
              <w:rPr>
                <w:bCs/>
                <w:noProof/>
                <w:sz w:val="20"/>
                <w:szCs w:val="20"/>
              </w:rPr>
            </w:pPr>
            <w:r>
              <w:rPr>
                <w:bCs/>
                <w:noProof/>
                <w:sz w:val="20"/>
                <w:szCs w:val="20"/>
              </w:rPr>
              <w:t>Fraud Frequency Level</w:t>
            </w:r>
          </w:p>
        </w:tc>
      </w:tr>
      <w:tr>
        <w:tc>
          <w:tcPr>
            <w:tcW w:w="1526" w:type="dxa"/>
            <w:vAlign w:val="center"/>
          </w:tcPr>
          <w:p>
            <w:pPr>
              <w:rPr>
                <w:bCs/>
                <w:noProof/>
                <w:sz w:val="20"/>
                <w:szCs w:val="20"/>
              </w:rPr>
            </w:pPr>
            <w:r>
              <w:rPr>
                <w:bCs/>
                <w:noProof/>
                <w:sz w:val="20"/>
                <w:szCs w:val="20"/>
              </w:rPr>
              <w:t>FI</w:t>
            </w:r>
          </w:p>
        </w:tc>
        <w:tc>
          <w:tcPr>
            <w:tcW w:w="7716" w:type="dxa"/>
            <w:vAlign w:val="center"/>
          </w:tcPr>
          <w:p>
            <w:pPr>
              <w:rPr>
                <w:bCs/>
                <w:noProof/>
                <w:sz w:val="20"/>
                <w:szCs w:val="20"/>
              </w:rPr>
            </w:pPr>
            <w:r>
              <w:rPr>
                <w:bCs/>
                <w:noProof/>
                <w:sz w:val="20"/>
                <w:szCs w:val="20"/>
              </w:rPr>
              <w:t>Finland</w:t>
            </w:r>
          </w:p>
        </w:tc>
      </w:tr>
      <w:tr>
        <w:tc>
          <w:tcPr>
            <w:tcW w:w="1526" w:type="dxa"/>
            <w:vAlign w:val="center"/>
          </w:tcPr>
          <w:p>
            <w:pPr>
              <w:rPr>
                <w:bCs/>
                <w:noProof/>
                <w:sz w:val="20"/>
                <w:szCs w:val="20"/>
              </w:rPr>
            </w:pPr>
            <w:r>
              <w:rPr>
                <w:bCs/>
                <w:noProof/>
                <w:sz w:val="20"/>
                <w:szCs w:val="20"/>
              </w:rPr>
              <w:t>FIDE</w:t>
            </w:r>
          </w:p>
        </w:tc>
        <w:tc>
          <w:tcPr>
            <w:tcW w:w="7716" w:type="dxa"/>
            <w:vAlign w:val="center"/>
          </w:tcPr>
          <w:p>
            <w:pPr>
              <w:rPr>
                <w:bCs/>
                <w:noProof/>
                <w:sz w:val="20"/>
                <w:szCs w:val="20"/>
              </w:rPr>
            </w:pPr>
            <w:r>
              <w:rPr>
                <w:bCs/>
                <w:noProof/>
                <w:sz w:val="20"/>
                <w:szCs w:val="20"/>
              </w:rPr>
              <w:t>Customs Investigation Files Identification Database</w:t>
            </w:r>
          </w:p>
        </w:tc>
      </w:tr>
      <w:tr>
        <w:tc>
          <w:tcPr>
            <w:tcW w:w="1526" w:type="dxa"/>
            <w:vAlign w:val="center"/>
          </w:tcPr>
          <w:p>
            <w:pPr>
              <w:rPr>
                <w:noProof/>
                <w:sz w:val="20"/>
                <w:szCs w:val="20"/>
                <w:lang w:eastAsia="en-GB"/>
              </w:rPr>
            </w:pPr>
            <w:r>
              <w:rPr>
                <w:noProof/>
                <w:sz w:val="20"/>
                <w:szCs w:val="20"/>
                <w:lang w:eastAsia="en-GB"/>
              </w:rPr>
              <w:t>FPDNet</w:t>
            </w:r>
          </w:p>
        </w:tc>
        <w:tc>
          <w:tcPr>
            <w:tcW w:w="7716" w:type="dxa"/>
            <w:vAlign w:val="center"/>
          </w:tcPr>
          <w:p>
            <w:pPr>
              <w:rPr>
                <w:noProof/>
                <w:sz w:val="20"/>
                <w:szCs w:val="20"/>
                <w:lang w:eastAsia="en-GB"/>
              </w:rPr>
            </w:pPr>
            <w:r>
              <w:rPr>
                <w:noProof/>
                <w:sz w:val="20"/>
                <w:szCs w:val="20"/>
                <w:lang w:eastAsia="en-GB"/>
              </w:rPr>
              <w:t>Fraud Prevention and Detection Network</w:t>
            </w:r>
          </w:p>
        </w:tc>
      </w:tr>
      <w:tr>
        <w:tc>
          <w:tcPr>
            <w:tcW w:w="1526" w:type="dxa"/>
            <w:vAlign w:val="center"/>
          </w:tcPr>
          <w:p>
            <w:pPr>
              <w:rPr>
                <w:bCs/>
                <w:noProof/>
                <w:sz w:val="20"/>
                <w:szCs w:val="20"/>
              </w:rPr>
            </w:pPr>
            <w:r>
              <w:rPr>
                <w:bCs/>
                <w:noProof/>
                <w:sz w:val="20"/>
                <w:szCs w:val="20"/>
              </w:rPr>
              <w:t>FR</w:t>
            </w:r>
          </w:p>
        </w:tc>
        <w:tc>
          <w:tcPr>
            <w:tcW w:w="7716" w:type="dxa"/>
            <w:vAlign w:val="center"/>
          </w:tcPr>
          <w:p>
            <w:pPr>
              <w:rPr>
                <w:bCs/>
                <w:noProof/>
                <w:sz w:val="20"/>
                <w:szCs w:val="20"/>
              </w:rPr>
            </w:pPr>
            <w:r>
              <w:rPr>
                <w:bCs/>
                <w:noProof/>
                <w:sz w:val="20"/>
                <w:szCs w:val="20"/>
              </w:rPr>
              <w:t>France</w:t>
            </w:r>
          </w:p>
        </w:tc>
      </w:tr>
      <w:tr>
        <w:tc>
          <w:tcPr>
            <w:tcW w:w="1526" w:type="dxa"/>
            <w:vAlign w:val="center"/>
          </w:tcPr>
          <w:p>
            <w:pPr>
              <w:rPr>
                <w:bCs/>
                <w:noProof/>
                <w:sz w:val="20"/>
                <w:szCs w:val="20"/>
              </w:rPr>
            </w:pPr>
            <w:r>
              <w:rPr>
                <w:bCs/>
                <w:noProof/>
                <w:sz w:val="20"/>
                <w:szCs w:val="20"/>
              </w:rPr>
              <w:t>FRC</w:t>
            </w:r>
          </w:p>
        </w:tc>
        <w:tc>
          <w:tcPr>
            <w:tcW w:w="7716" w:type="dxa"/>
            <w:vAlign w:val="center"/>
          </w:tcPr>
          <w:p>
            <w:pPr>
              <w:rPr>
                <w:bCs/>
                <w:noProof/>
                <w:sz w:val="20"/>
                <w:szCs w:val="20"/>
              </w:rPr>
            </w:pPr>
            <w:r>
              <w:rPr>
                <w:bCs/>
                <w:noProof/>
                <w:sz w:val="20"/>
                <w:szCs w:val="20"/>
              </w:rPr>
              <w:t>Financial Risk Criteria and Standards</w:t>
            </w:r>
          </w:p>
        </w:tc>
      </w:tr>
      <w:tr>
        <w:tc>
          <w:tcPr>
            <w:tcW w:w="1526" w:type="dxa"/>
            <w:vAlign w:val="center"/>
          </w:tcPr>
          <w:p>
            <w:pPr>
              <w:rPr>
                <w:noProof/>
                <w:color w:val="222222"/>
                <w:sz w:val="20"/>
                <w:szCs w:val="20"/>
              </w:rPr>
            </w:pPr>
            <w:r>
              <w:rPr>
                <w:noProof/>
                <w:sz w:val="20"/>
                <w:szCs w:val="20"/>
              </w:rPr>
              <w:t>GAF</w:t>
            </w:r>
          </w:p>
        </w:tc>
        <w:tc>
          <w:tcPr>
            <w:tcW w:w="7716" w:type="dxa"/>
            <w:vAlign w:val="center"/>
          </w:tcPr>
          <w:p>
            <w:pPr>
              <w:rPr>
                <w:noProof/>
                <w:sz w:val="20"/>
                <w:szCs w:val="20"/>
              </w:rPr>
            </w:pPr>
            <w:r>
              <w:rPr>
                <w:noProof/>
                <w:sz w:val="20"/>
                <w:szCs w:val="20"/>
              </w:rPr>
              <w:t>Council Working Party on Combating Fraud</w:t>
            </w:r>
          </w:p>
        </w:tc>
      </w:tr>
      <w:tr>
        <w:tc>
          <w:tcPr>
            <w:tcW w:w="1526" w:type="dxa"/>
            <w:vAlign w:val="center"/>
          </w:tcPr>
          <w:p>
            <w:pPr>
              <w:rPr>
                <w:noProof/>
                <w:color w:val="222222"/>
                <w:sz w:val="20"/>
                <w:szCs w:val="20"/>
              </w:rPr>
            </w:pPr>
            <w:r>
              <w:rPr>
                <w:noProof/>
                <w:color w:val="222222"/>
                <w:sz w:val="20"/>
                <w:szCs w:val="20"/>
              </w:rPr>
              <w:t>GIP</w:t>
            </w:r>
          </w:p>
        </w:tc>
        <w:tc>
          <w:tcPr>
            <w:tcW w:w="7716" w:type="dxa"/>
            <w:vAlign w:val="center"/>
          </w:tcPr>
          <w:p>
            <w:pPr>
              <w:rPr>
                <w:noProof/>
                <w:color w:val="222222"/>
                <w:sz w:val="20"/>
                <w:szCs w:val="20"/>
              </w:rPr>
            </w:pPr>
            <w:r>
              <w:rPr>
                <w:noProof/>
                <w:color w:val="222222"/>
                <w:sz w:val="20"/>
                <w:szCs w:val="20"/>
              </w:rPr>
              <w:t>OLAF Guidelines on Investigation Procedures for Staff</w:t>
            </w:r>
          </w:p>
        </w:tc>
      </w:tr>
      <w:tr>
        <w:tc>
          <w:tcPr>
            <w:tcW w:w="1526" w:type="dxa"/>
            <w:vAlign w:val="center"/>
          </w:tcPr>
          <w:p>
            <w:pPr>
              <w:rPr>
                <w:bCs/>
                <w:noProof/>
                <w:sz w:val="20"/>
                <w:szCs w:val="20"/>
              </w:rPr>
            </w:pPr>
            <w:r>
              <w:rPr>
                <w:bCs/>
                <w:noProof/>
                <w:sz w:val="20"/>
                <w:szCs w:val="20"/>
              </w:rPr>
              <w:t>GNI</w:t>
            </w:r>
          </w:p>
        </w:tc>
        <w:tc>
          <w:tcPr>
            <w:tcW w:w="7716" w:type="dxa"/>
            <w:vAlign w:val="center"/>
          </w:tcPr>
          <w:p>
            <w:pPr>
              <w:rPr>
                <w:bCs/>
                <w:noProof/>
                <w:sz w:val="20"/>
                <w:szCs w:val="20"/>
              </w:rPr>
            </w:pPr>
            <w:r>
              <w:rPr>
                <w:bCs/>
                <w:noProof/>
                <w:sz w:val="20"/>
                <w:szCs w:val="20"/>
              </w:rPr>
              <w:t>Gross National Income</w:t>
            </w:r>
          </w:p>
        </w:tc>
      </w:tr>
      <w:tr>
        <w:tc>
          <w:tcPr>
            <w:tcW w:w="1526" w:type="dxa"/>
            <w:vAlign w:val="center"/>
          </w:tcPr>
          <w:p>
            <w:pPr>
              <w:rPr>
                <w:bCs/>
                <w:noProof/>
                <w:sz w:val="20"/>
                <w:szCs w:val="20"/>
              </w:rPr>
            </w:pPr>
            <w:r>
              <w:rPr>
                <w:bCs/>
                <w:noProof/>
                <w:sz w:val="20"/>
                <w:szCs w:val="20"/>
              </w:rPr>
              <w:t>GR</w:t>
            </w:r>
          </w:p>
        </w:tc>
        <w:tc>
          <w:tcPr>
            <w:tcW w:w="7716" w:type="dxa"/>
            <w:vAlign w:val="center"/>
          </w:tcPr>
          <w:p>
            <w:pPr>
              <w:rPr>
                <w:bCs/>
                <w:noProof/>
                <w:sz w:val="20"/>
                <w:szCs w:val="20"/>
              </w:rPr>
            </w:pPr>
            <w:r>
              <w:rPr>
                <w:bCs/>
                <w:noProof/>
                <w:sz w:val="20"/>
                <w:szCs w:val="20"/>
              </w:rPr>
              <w:t>Greece</w:t>
            </w:r>
          </w:p>
        </w:tc>
      </w:tr>
      <w:tr>
        <w:tc>
          <w:tcPr>
            <w:tcW w:w="1526" w:type="dxa"/>
            <w:vAlign w:val="center"/>
          </w:tcPr>
          <w:p>
            <w:pPr>
              <w:rPr>
                <w:noProof/>
                <w:sz w:val="20"/>
                <w:szCs w:val="20"/>
              </w:rPr>
            </w:pPr>
            <w:r>
              <w:rPr>
                <w:noProof/>
                <w:sz w:val="20"/>
                <w:szCs w:val="20"/>
              </w:rPr>
              <w:t>GRECO</w:t>
            </w:r>
          </w:p>
        </w:tc>
        <w:tc>
          <w:tcPr>
            <w:tcW w:w="7716" w:type="dxa"/>
            <w:vAlign w:val="center"/>
          </w:tcPr>
          <w:p>
            <w:pPr>
              <w:rPr>
                <w:noProof/>
                <w:sz w:val="20"/>
                <w:szCs w:val="20"/>
              </w:rPr>
            </w:pPr>
            <w:r>
              <w:rPr>
                <w:noProof/>
                <w:sz w:val="20"/>
                <w:szCs w:val="20"/>
              </w:rPr>
              <w:t>Group of States Against Corruption</w:t>
            </w:r>
          </w:p>
        </w:tc>
      </w:tr>
      <w:tr>
        <w:tc>
          <w:tcPr>
            <w:tcW w:w="1526" w:type="dxa"/>
            <w:vAlign w:val="center"/>
          </w:tcPr>
          <w:p>
            <w:pPr>
              <w:rPr>
                <w:bCs/>
                <w:noProof/>
                <w:sz w:val="20"/>
                <w:szCs w:val="20"/>
              </w:rPr>
            </w:pPr>
            <w:r>
              <w:rPr>
                <w:bCs/>
                <w:noProof/>
                <w:sz w:val="20"/>
                <w:szCs w:val="20"/>
              </w:rPr>
              <w:t>HR</w:t>
            </w:r>
          </w:p>
        </w:tc>
        <w:tc>
          <w:tcPr>
            <w:tcW w:w="7716" w:type="dxa"/>
            <w:vAlign w:val="center"/>
          </w:tcPr>
          <w:p>
            <w:pPr>
              <w:rPr>
                <w:bCs/>
                <w:noProof/>
                <w:sz w:val="20"/>
                <w:szCs w:val="20"/>
              </w:rPr>
            </w:pPr>
            <w:r>
              <w:rPr>
                <w:bCs/>
                <w:noProof/>
                <w:sz w:val="20"/>
                <w:szCs w:val="20"/>
              </w:rPr>
              <w:t>Croatia</w:t>
            </w:r>
          </w:p>
        </w:tc>
      </w:tr>
      <w:tr>
        <w:tc>
          <w:tcPr>
            <w:tcW w:w="1526" w:type="dxa"/>
            <w:vAlign w:val="center"/>
          </w:tcPr>
          <w:p>
            <w:pPr>
              <w:rPr>
                <w:bCs/>
                <w:noProof/>
                <w:sz w:val="20"/>
                <w:szCs w:val="20"/>
              </w:rPr>
            </w:pPr>
            <w:r>
              <w:rPr>
                <w:noProof/>
                <w:sz w:val="20"/>
                <w:szCs w:val="20"/>
              </w:rPr>
              <w:t>HRD</w:t>
            </w:r>
          </w:p>
        </w:tc>
        <w:tc>
          <w:tcPr>
            <w:tcW w:w="7716" w:type="dxa"/>
            <w:vAlign w:val="center"/>
          </w:tcPr>
          <w:p>
            <w:pPr>
              <w:rPr>
                <w:noProof/>
                <w:sz w:val="20"/>
                <w:szCs w:val="20"/>
              </w:rPr>
            </w:pPr>
            <w:r>
              <w:rPr>
                <w:noProof/>
                <w:sz w:val="20"/>
                <w:szCs w:val="20"/>
              </w:rPr>
              <w:t>Human Resources Development</w:t>
            </w:r>
          </w:p>
        </w:tc>
      </w:tr>
      <w:tr>
        <w:tc>
          <w:tcPr>
            <w:tcW w:w="1526" w:type="dxa"/>
            <w:vAlign w:val="center"/>
          </w:tcPr>
          <w:p>
            <w:pPr>
              <w:rPr>
                <w:bCs/>
                <w:noProof/>
                <w:sz w:val="20"/>
                <w:szCs w:val="20"/>
              </w:rPr>
            </w:pPr>
            <w:r>
              <w:rPr>
                <w:bCs/>
                <w:noProof/>
                <w:sz w:val="20"/>
                <w:szCs w:val="20"/>
              </w:rPr>
              <w:t>HU</w:t>
            </w:r>
          </w:p>
        </w:tc>
        <w:tc>
          <w:tcPr>
            <w:tcW w:w="7716" w:type="dxa"/>
            <w:vAlign w:val="center"/>
          </w:tcPr>
          <w:p>
            <w:pPr>
              <w:rPr>
                <w:bCs/>
                <w:noProof/>
                <w:sz w:val="20"/>
                <w:szCs w:val="20"/>
              </w:rPr>
            </w:pPr>
            <w:r>
              <w:rPr>
                <w:bCs/>
                <w:noProof/>
                <w:sz w:val="20"/>
                <w:szCs w:val="20"/>
              </w:rPr>
              <w:t>Hungary</w:t>
            </w:r>
          </w:p>
        </w:tc>
      </w:tr>
      <w:tr>
        <w:tc>
          <w:tcPr>
            <w:tcW w:w="1526" w:type="dxa"/>
            <w:vAlign w:val="center"/>
          </w:tcPr>
          <w:p>
            <w:pPr>
              <w:rPr>
                <w:bCs/>
                <w:noProof/>
                <w:sz w:val="20"/>
                <w:szCs w:val="20"/>
              </w:rPr>
            </w:pPr>
            <w:r>
              <w:rPr>
                <w:noProof/>
                <w:sz w:val="20"/>
                <w:szCs w:val="20"/>
              </w:rPr>
              <w:t>IACS</w:t>
            </w:r>
          </w:p>
        </w:tc>
        <w:tc>
          <w:tcPr>
            <w:tcW w:w="7716" w:type="dxa"/>
            <w:vAlign w:val="center"/>
          </w:tcPr>
          <w:p>
            <w:pPr>
              <w:rPr>
                <w:bCs/>
                <w:noProof/>
                <w:sz w:val="20"/>
                <w:szCs w:val="20"/>
              </w:rPr>
            </w:pPr>
            <w:r>
              <w:rPr>
                <w:noProof/>
                <w:sz w:val="20"/>
                <w:szCs w:val="20"/>
              </w:rPr>
              <w:t>Integrated Administration and Control System</w:t>
            </w:r>
          </w:p>
        </w:tc>
      </w:tr>
      <w:tr>
        <w:tc>
          <w:tcPr>
            <w:tcW w:w="1526" w:type="dxa"/>
            <w:vAlign w:val="center"/>
          </w:tcPr>
          <w:p>
            <w:pPr>
              <w:rPr>
                <w:noProof/>
                <w:sz w:val="20"/>
                <w:szCs w:val="20"/>
              </w:rPr>
            </w:pPr>
            <w:r>
              <w:rPr>
                <w:noProof/>
                <w:sz w:val="20"/>
                <w:szCs w:val="20"/>
              </w:rPr>
              <w:t>IDR</w:t>
            </w:r>
          </w:p>
        </w:tc>
        <w:tc>
          <w:tcPr>
            <w:tcW w:w="7716" w:type="dxa"/>
            <w:vAlign w:val="center"/>
          </w:tcPr>
          <w:p>
            <w:pPr>
              <w:rPr>
                <w:noProof/>
                <w:sz w:val="20"/>
                <w:szCs w:val="20"/>
              </w:rPr>
            </w:pPr>
            <w:r>
              <w:rPr>
                <w:noProof/>
                <w:sz w:val="20"/>
                <w:szCs w:val="20"/>
              </w:rPr>
              <w:t>Irregularities Detection Rate</w:t>
            </w:r>
          </w:p>
        </w:tc>
      </w:tr>
      <w:tr>
        <w:tc>
          <w:tcPr>
            <w:tcW w:w="1526" w:type="dxa"/>
            <w:vAlign w:val="center"/>
          </w:tcPr>
          <w:p>
            <w:pPr>
              <w:rPr>
                <w:bCs/>
                <w:noProof/>
                <w:sz w:val="20"/>
                <w:szCs w:val="20"/>
              </w:rPr>
            </w:pPr>
            <w:r>
              <w:rPr>
                <w:bCs/>
                <w:noProof/>
                <w:sz w:val="20"/>
                <w:szCs w:val="20"/>
              </w:rPr>
              <w:t>IE</w:t>
            </w:r>
          </w:p>
        </w:tc>
        <w:tc>
          <w:tcPr>
            <w:tcW w:w="7716" w:type="dxa"/>
            <w:vAlign w:val="center"/>
          </w:tcPr>
          <w:p>
            <w:pPr>
              <w:rPr>
                <w:bCs/>
                <w:noProof/>
                <w:sz w:val="20"/>
                <w:szCs w:val="20"/>
              </w:rPr>
            </w:pPr>
            <w:r>
              <w:rPr>
                <w:bCs/>
                <w:noProof/>
                <w:sz w:val="20"/>
                <w:szCs w:val="20"/>
              </w:rPr>
              <w:t>Ireland</w:t>
            </w:r>
          </w:p>
        </w:tc>
      </w:tr>
      <w:tr>
        <w:tc>
          <w:tcPr>
            <w:tcW w:w="1526" w:type="dxa"/>
            <w:vAlign w:val="center"/>
          </w:tcPr>
          <w:p>
            <w:pPr>
              <w:rPr>
                <w:bCs/>
                <w:noProof/>
                <w:sz w:val="20"/>
                <w:szCs w:val="20"/>
              </w:rPr>
            </w:pPr>
            <w:r>
              <w:rPr>
                <w:bCs/>
                <w:noProof/>
                <w:sz w:val="20"/>
                <w:szCs w:val="20"/>
              </w:rPr>
              <w:t>IET</w:t>
            </w:r>
          </w:p>
        </w:tc>
        <w:tc>
          <w:tcPr>
            <w:tcW w:w="7716" w:type="dxa"/>
            <w:vAlign w:val="center"/>
          </w:tcPr>
          <w:p>
            <w:pPr>
              <w:rPr>
                <w:bCs/>
                <w:noProof/>
                <w:sz w:val="20"/>
                <w:szCs w:val="20"/>
              </w:rPr>
            </w:pPr>
            <w:r>
              <w:rPr>
                <w:bCs/>
                <w:noProof/>
                <w:sz w:val="20"/>
                <w:szCs w:val="20"/>
              </w:rPr>
              <w:t>Import, Export and Transit directory</w:t>
            </w:r>
          </w:p>
        </w:tc>
      </w:tr>
      <w:tr>
        <w:tc>
          <w:tcPr>
            <w:tcW w:w="1526" w:type="dxa"/>
            <w:vAlign w:val="center"/>
          </w:tcPr>
          <w:p>
            <w:pPr>
              <w:rPr>
                <w:bCs/>
                <w:noProof/>
                <w:sz w:val="20"/>
                <w:szCs w:val="20"/>
              </w:rPr>
            </w:pPr>
            <w:r>
              <w:rPr>
                <w:bCs/>
                <w:noProof/>
                <w:sz w:val="20"/>
                <w:szCs w:val="20"/>
              </w:rPr>
              <w:t>IMS</w:t>
            </w:r>
          </w:p>
        </w:tc>
        <w:tc>
          <w:tcPr>
            <w:tcW w:w="7716" w:type="dxa"/>
            <w:vAlign w:val="center"/>
          </w:tcPr>
          <w:p>
            <w:pPr>
              <w:rPr>
                <w:bCs/>
                <w:noProof/>
                <w:sz w:val="20"/>
                <w:szCs w:val="20"/>
              </w:rPr>
            </w:pPr>
            <w:r>
              <w:rPr>
                <w:bCs/>
                <w:noProof/>
                <w:sz w:val="20"/>
                <w:szCs w:val="20"/>
              </w:rPr>
              <w:t>Irregularities Management System</w:t>
            </w:r>
          </w:p>
        </w:tc>
      </w:tr>
      <w:tr>
        <w:tc>
          <w:tcPr>
            <w:tcW w:w="1526" w:type="dxa"/>
            <w:vAlign w:val="center"/>
          </w:tcPr>
          <w:p>
            <w:pPr>
              <w:rPr>
                <w:bCs/>
                <w:noProof/>
                <w:sz w:val="20"/>
                <w:szCs w:val="20"/>
              </w:rPr>
            </w:pPr>
            <w:r>
              <w:rPr>
                <w:noProof/>
                <w:sz w:val="20"/>
                <w:szCs w:val="20"/>
              </w:rPr>
              <w:t>IPA I</w:t>
            </w:r>
          </w:p>
        </w:tc>
        <w:tc>
          <w:tcPr>
            <w:tcW w:w="7716" w:type="dxa"/>
            <w:vAlign w:val="center"/>
          </w:tcPr>
          <w:p>
            <w:pPr>
              <w:rPr>
                <w:noProof/>
                <w:sz w:val="20"/>
                <w:szCs w:val="20"/>
              </w:rPr>
            </w:pPr>
            <w:r>
              <w:rPr>
                <w:noProof/>
                <w:sz w:val="20"/>
                <w:szCs w:val="20"/>
              </w:rPr>
              <w:t>Instrument for Pre-accession Assistance 2007-2013</w:t>
            </w:r>
          </w:p>
        </w:tc>
      </w:tr>
      <w:tr>
        <w:tc>
          <w:tcPr>
            <w:tcW w:w="1526" w:type="dxa"/>
            <w:vAlign w:val="center"/>
          </w:tcPr>
          <w:p>
            <w:pPr>
              <w:rPr>
                <w:bCs/>
                <w:noProof/>
                <w:sz w:val="20"/>
                <w:szCs w:val="20"/>
              </w:rPr>
            </w:pPr>
            <w:r>
              <w:rPr>
                <w:noProof/>
                <w:sz w:val="20"/>
                <w:szCs w:val="20"/>
              </w:rPr>
              <w:t>IPA II</w:t>
            </w:r>
          </w:p>
        </w:tc>
        <w:tc>
          <w:tcPr>
            <w:tcW w:w="7716" w:type="dxa"/>
            <w:vAlign w:val="center"/>
          </w:tcPr>
          <w:p>
            <w:pPr>
              <w:rPr>
                <w:noProof/>
                <w:sz w:val="20"/>
                <w:szCs w:val="20"/>
              </w:rPr>
            </w:pPr>
            <w:r>
              <w:rPr>
                <w:noProof/>
                <w:sz w:val="20"/>
                <w:szCs w:val="20"/>
              </w:rPr>
              <w:t>Instrument for Pre-accession Assistance 2014-2020</w:t>
            </w:r>
          </w:p>
        </w:tc>
      </w:tr>
      <w:tr>
        <w:tc>
          <w:tcPr>
            <w:tcW w:w="1526" w:type="dxa"/>
            <w:vAlign w:val="center"/>
          </w:tcPr>
          <w:p>
            <w:pPr>
              <w:rPr>
                <w:bCs/>
                <w:noProof/>
                <w:sz w:val="20"/>
                <w:szCs w:val="20"/>
              </w:rPr>
            </w:pPr>
            <w:r>
              <w:rPr>
                <w:noProof/>
                <w:sz w:val="20"/>
                <w:szCs w:val="20"/>
              </w:rPr>
              <w:t>IPARD</w:t>
            </w:r>
          </w:p>
        </w:tc>
        <w:tc>
          <w:tcPr>
            <w:tcW w:w="7716" w:type="dxa"/>
            <w:vAlign w:val="center"/>
          </w:tcPr>
          <w:p>
            <w:pPr>
              <w:rPr>
                <w:noProof/>
                <w:sz w:val="20"/>
                <w:szCs w:val="20"/>
              </w:rPr>
            </w:pPr>
            <w:r>
              <w:rPr>
                <w:noProof/>
                <w:sz w:val="20"/>
                <w:szCs w:val="20"/>
              </w:rPr>
              <w:t>Instrument for Pre-Accession Assistance for Rural Development</w:t>
            </w:r>
          </w:p>
        </w:tc>
      </w:tr>
      <w:tr>
        <w:tc>
          <w:tcPr>
            <w:tcW w:w="1526" w:type="dxa"/>
            <w:vAlign w:val="center"/>
          </w:tcPr>
          <w:p>
            <w:pPr>
              <w:rPr>
                <w:bCs/>
                <w:noProof/>
                <w:sz w:val="20"/>
                <w:szCs w:val="20"/>
              </w:rPr>
            </w:pPr>
            <w:r>
              <w:rPr>
                <w:noProof/>
                <w:sz w:val="20"/>
                <w:szCs w:val="20"/>
              </w:rPr>
              <w:t>ISF</w:t>
            </w:r>
          </w:p>
        </w:tc>
        <w:tc>
          <w:tcPr>
            <w:tcW w:w="7716" w:type="dxa"/>
            <w:vAlign w:val="center"/>
          </w:tcPr>
          <w:p>
            <w:pPr>
              <w:rPr>
                <w:bCs/>
                <w:noProof/>
                <w:sz w:val="20"/>
                <w:szCs w:val="20"/>
              </w:rPr>
            </w:pPr>
            <w:r>
              <w:rPr>
                <w:noProof/>
                <w:sz w:val="20"/>
                <w:szCs w:val="20"/>
              </w:rPr>
              <w:t>Internal Security Fund</w:t>
            </w:r>
          </w:p>
        </w:tc>
      </w:tr>
      <w:tr>
        <w:tc>
          <w:tcPr>
            <w:tcW w:w="1526" w:type="dxa"/>
            <w:vAlign w:val="center"/>
          </w:tcPr>
          <w:p>
            <w:pPr>
              <w:rPr>
                <w:bCs/>
                <w:noProof/>
                <w:sz w:val="20"/>
                <w:szCs w:val="20"/>
              </w:rPr>
            </w:pPr>
            <w:r>
              <w:rPr>
                <w:bCs/>
                <w:noProof/>
                <w:sz w:val="20"/>
                <w:szCs w:val="20"/>
              </w:rPr>
              <w:t>ISF Police</w:t>
            </w:r>
          </w:p>
        </w:tc>
        <w:tc>
          <w:tcPr>
            <w:tcW w:w="7716" w:type="dxa"/>
            <w:vAlign w:val="center"/>
          </w:tcPr>
          <w:p>
            <w:pPr>
              <w:rPr>
                <w:bCs/>
                <w:noProof/>
                <w:sz w:val="20"/>
                <w:szCs w:val="20"/>
              </w:rPr>
            </w:pPr>
            <w:r>
              <w:rPr>
                <w:bCs/>
                <w:noProof/>
                <w:sz w:val="20"/>
                <w:szCs w:val="20"/>
              </w:rPr>
              <w:t>Instrument for Financial Support for Police Cooperation, Preventing and Combating Crime, and Crisis Management</w:t>
            </w:r>
          </w:p>
        </w:tc>
      </w:tr>
      <w:tr>
        <w:tc>
          <w:tcPr>
            <w:tcW w:w="1526" w:type="dxa"/>
            <w:vAlign w:val="center"/>
          </w:tcPr>
          <w:p>
            <w:pPr>
              <w:rPr>
                <w:bCs/>
                <w:noProof/>
                <w:sz w:val="20"/>
                <w:szCs w:val="20"/>
              </w:rPr>
            </w:pPr>
            <w:r>
              <w:rPr>
                <w:noProof/>
                <w:sz w:val="20"/>
                <w:szCs w:val="20"/>
              </w:rPr>
              <w:t>ISPA</w:t>
            </w:r>
          </w:p>
        </w:tc>
        <w:tc>
          <w:tcPr>
            <w:tcW w:w="7716" w:type="dxa"/>
            <w:vAlign w:val="center"/>
          </w:tcPr>
          <w:p>
            <w:pPr>
              <w:rPr>
                <w:noProof/>
                <w:sz w:val="20"/>
                <w:szCs w:val="20"/>
              </w:rPr>
            </w:pPr>
            <w:r>
              <w:rPr>
                <w:noProof/>
                <w:sz w:val="20"/>
                <w:szCs w:val="20"/>
              </w:rPr>
              <w:t>Instrument for Structural Policies for Pre-Accession</w:t>
            </w:r>
          </w:p>
        </w:tc>
      </w:tr>
      <w:tr>
        <w:tc>
          <w:tcPr>
            <w:tcW w:w="1526" w:type="dxa"/>
            <w:vAlign w:val="center"/>
          </w:tcPr>
          <w:p>
            <w:pPr>
              <w:rPr>
                <w:noProof/>
                <w:sz w:val="20"/>
                <w:szCs w:val="20"/>
              </w:rPr>
            </w:pPr>
            <w:r>
              <w:rPr>
                <w:noProof/>
                <w:sz w:val="20"/>
                <w:szCs w:val="20"/>
              </w:rPr>
              <w:t>ISSG</w:t>
            </w:r>
          </w:p>
        </w:tc>
        <w:tc>
          <w:tcPr>
            <w:tcW w:w="7716" w:type="dxa"/>
            <w:vAlign w:val="center"/>
          </w:tcPr>
          <w:p>
            <w:pPr>
              <w:rPr>
                <w:noProof/>
                <w:sz w:val="20"/>
                <w:szCs w:val="20"/>
              </w:rPr>
            </w:pPr>
            <w:r>
              <w:rPr>
                <w:noProof/>
                <w:sz w:val="20"/>
                <w:szCs w:val="20"/>
              </w:rPr>
              <w:t>Inter-Service Steering Group</w:t>
            </w:r>
          </w:p>
        </w:tc>
      </w:tr>
      <w:tr>
        <w:tc>
          <w:tcPr>
            <w:tcW w:w="1526" w:type="dxa"/>
            <w:vAlign w:val="center"/>
          </w:tcPr>
          <w:p>
            <w:pPr>
              <w:rPr>
                <w:bCs/>
                <w:noProof/>
                <w:sz w:val="20"/>
                <w:szCs w:val="20"/>
              </w:rPr>
            </w:pPr>
            <w:r>
              <w:rPr>
                <w:bCs/>
                <w:noProof/>
                <w:sz w:val="20"/>
                <w:szCs w:val="20"/>
              </w:rPr>
              <w:t xml:space="preserve">IT </w:t>
            </w:r>
          </w:p>
        </w:tc>
        <w:tc>
          <w:tcPr>
            <w:tcW w:w="7716" w:type="dxa"/>
            <w:vAlign w:val="center"/>
          </w:tcPr>
          <w:p>
            <w:pPr>
              <w:rPr>
                <w:bCs/>
                <w:noProof/>
                <w:sz w:val="20"/>
                <w:szCs w:val="20"/>
              </w:rPr>
            </w:pPr>
            <w:r>
              <w:rPr>
                <w:bCs/>
                <w:noProof/>
                <w:sz w:val="20"/>
                <w:szCs w:val="20"/>
              </w:rPr>
              <w:t>Information Technology or Italy (context-dependent)</w:t>
            </w:r>
          </w:p>
        </w:tc>
      </w:tr>
      <w:tr>
        <w:tc>
          <w:tcPr>
            <w:tcW w:w="1526" w:type="dxa"/>
            <w:vAlign w:val="center"/>
          </w:tcPr>
          <w:p>
            <w:pPr>
              <w:rPr>
                <w:noProof/>
                <w:sz w:val="20"/>
                <w:szCs w:val="20"/>
              </w:rPr>
            </w:pPr>
            <w:r>
              <w:rPr>
                <w:noProof/>
                <w:sz w:val="20"/>
                <w:szCs w:val="20"/>
              </w:rPr>
              <w:t>JAC</w:t>
            </w:r>
          </w:p>
        </w:tc>
        <w:tc>
          <w:tcPr>
            <w:tcW w:w="7716" w:type="dxa"/>
            <w:vAlign w:val="center"/>
          </w:tcPr>
          <w:p>
            <w:pPr>
              <w:rPr>
                <w:noProof/>
                <w:sz w:val="20"/>
                <w:szCs w:val="20"/>
              </w:rPr>
            </w:pPr>
            <w:r>
              <w:rPr>
                <w:noProof/>
                <w:sz w:val="20"/>
                <w:szCs w:val="20"/>
              </w:rPr>
              <w:t>EU Joint Analytics Capabilities</w:t>
            </w:r>
          </w:p>
        </w:tc>
      </w:tr>
      <w:tr>
        <w:tc>
          <w:tcPr>
            <w:tcW w:w="1526" w:type="dxa"/>
            <w:vAlign w:val="center"/>
          </w:tcPr>
          <w:p>
            <w:pPr>
              <w:rPr>
                <w:bCs/>
                <w:noProof/>
                <w:sz w:val="20"/>
                <w:szCs w:val="20"/>
              </w:rPr>
            </w:pPr>
            <w:bookmarkStart w:id="111" w:name="_Toc42625161"/>
            <w:r>
              <w:rPr>
                <w:bCs/>
                <w:noProof/>
                <w:sz w:val="20"/>
                <w:szCs w:val="20"/>
              </w:rPr>
              <w:t>JCO</w:t>
            </w:r>
            <w:bookmarkEnd w:id="111"/>
          </w:p>
        </w:tc>
        <w:tc>
          <w:tcPr>
            <w:tcW w:w="7716" w:type="dxa"/>
            <w:vAlign w:val="center"/>
          </w:tcPr>
          <w:p>
            <w:pPr>
              <w:rPr>
                <w:bCs/>
                <w:noProof/>
                <w:sz w:val="20"/>
                <w:szCs w:val="20"/>
              </w:rPr>
            </w:pPr>
            <w:r>
              <w:rPr>
                <w:bCs/>
                <w:noProof/>
                <w:sz w:val="20"/>
                <w:szCs w:val="20"/>
              </w:rPr>
              <w:t>Joint customs operations</w:t>
            </w:r>
          </w:p>
        </w:tc>
      </w:tr>
      <w:tr>
        <w:tc>
          <w:tcPr>
            <w:tcW w:w="1526" w:type="dxa"/>
            <w:vAlign w:val="center"/>
          </w:tcPr>
          <w:p>
            <w:pPr>
              <w:rPr>
                <w:bCs/>
                <w:noProof/>
                <w:sz w:val="20"/>
                <w:szCs w:val="20"/>
              </w:rPr>
            </w:pPr>
            <w:r>
              <w:rPr>
                <w:noProof/>
                <w:sz w:val="20"/>
                <w:szCs w:val="20"/>
              </w:rPr>
              <w:t>LPIS</w:t>
            </w:r>
          </w:p>
        </w:tc>
        <w:tc>
          <w:tcPr>
            <w:tcW w:w="7716" w:type="dxa"/>
            <w:vAlign w:val="center"/>
          </w:tcPr>
          <w:p>
            <w:pPr>
              <w:rPr>
                <w:bCs/>
                <w:noProof/>
                <w:sz w:val="20"/>
                <w:szCs w:val="20"/>
              </w:rPr>
            </w:pPr>
            <w:r>
              <w:rPr>
                <w:noProof/>
                <w:sz w:val="20"/>
                <w:szCs w:val="20"/>
              </w:rPr>
              <w:t>Land Parcel Identification System</w:t>
            </w:r>
          </w:p>
        </w:tc>
      </w:tr>
      <w:tr>
        <w:tc>
          <w:tcPr>
            <w:tcW w:w="1526" w:type="dxa"/>
            <w:vAlign w:val="center"/>
          </w:tcPr>
          <w:p>
            <w:pPr>
              <w:rPr>
                <w:bCs/>
                <w:noProof/>
                <w:sz w:val="20"/>
                <w:szCs w:val="20"/>
              </w:rPr>
            </w:pPr>
            <w:r>
              <w:rPr>
                <w:bCs/>
                <w:noProof/>
                <w:sz w:val="20"/>
                <w:szCs w:val="20"/>
              </w:rPr>
              <w:t>LT</w:t>
            </w:r>
          </w:p>
        </w:tc>
        <w:tc>
          <w:tcPr>
            <w:tcW w:w="7716" w:type="dxa"/>
            <w:vAlign w:val="center"/>
          </w:tcPr>
          <w:p>
            <w:pPr>
              <w:rPr>
                <w:bCs/>
                <w:noProof/>
                <w:sz w:val="20"/>
                <w:szCs w:val="20"/>
              </w:rPr>
            </w:pPr>
            <w:r>
              <w:rPr>
                <w:bCs/>
                <w:noProof/>
                <w:sz w:val="20"/>
                <w:szCs w:val="20"/>
              </w:rPr>
              <w:t>Lithuania</w:t>
            </w:r>
          </w:p>
        </w:tc>
      </w:tr>
      <w:tr>
        <w:tc>
          <w:tcPr>
            <w:tcW w:w="1526" w:type="dxa"/>
            <w:vAlign w:val="center"/>
          </w:tcPr>
          <w:p>
            <w:pPr>
              <w:rPr>
                <w:bCs/>
                <w:noProof/>
                <w:sz w:val="20"/>
                <w:szCs w:val="20"/>
              </w:rPr>
            </w:pPr>
            <w:r>
              <w:rPr>
                <w:bCs/>
                <w:noProof/>
                <w:sz w:val="20"/>
                <w:szCs w:val="20"/>
              </w:rPr>
              <w:t>LU</w:t>
            </w:r>
          </w:p>
        </w:tc>
        <w:tc>
          <w:tcPr>
            <w:tcW w:w="7716" w:type="dxa"/>
            <w:vAlign w:val="center"/>
          </w:tcPr>
          <w:p>
            <w:pPr>
              <w:rPr>
                <w:bCs/>
                <w:noProof/>
                <w:sz w:val="20"/>
                <w:szCs w:val="20"/>
              </w:rPr>
            </w:pPr>
            <w:r>
              <w:rPr>
                <w:bCs/>
                <w:noProof/>
                <w:sz w:val="20"/>
                <w:szCs w:val="20"/>
              </w:rPr>
              <w:t>Luxembourg</w:t>
            </w:r>
          </w:p>
        </w:tc>
      </w:tr>
      <w:tr>
        <w:tc>
          <w:tcPr>
            <w:tcW w:w="1526" w:type="dxa"/>
            <w:vAlign w:val="center"/>
          </w:tcPr>
          <w:p>
            <w:pPr>
              <w:rPr>
                <w:bCs/>
                <w:noProof/>
                <w:sz w:val="20"/>
                <w:szCs w:val="20"/>
              </w:rPr>
            </w:pPr>
            <w:r>
              <w:rPr>
                <w:bCs/>
                <w:noProof/>
                <w:sz w:val="20"/>
                <w:szCs w:val="20"/>
              </w:rPr>
              <w:t>LV</w:t>
            </w:r>
          </w:p>
        </w:tc>
        <w:tc>
          <w:tcPr>
            <w:tcW w:w="7716" w:type="dxa"/>
            <w:vAlign w:val="center"/>
          </w:tcPr>
          <w:p>
            <w:pPr>
              <w:rPr>
                <w:bCs/>
                <w:noProof/>
                <w:sz w:val="20"/>
                <w:szCs w:val="20"/>
              </w:rPr>
            </w:pPr>
            <w:r>
              <w:rPr>
                <w:bCs/>
                <w:noProof/>
                <w:sz w:val="20"/>
                <w:szCs w:val="20"/>
              </w:rPr>
              <w:t>Latvia</w:t>
            </w:r>
          </w:p>
        </w:tc>
      </w:tr>
      <w:tr>
        <w:tc>
          <w:tcPr>
            <w:tcW w:w="1526" w:type="dxa"/>
            <w:vAlign w:val="center"/>
          </w:tcPr>
          <w:p>
            <w:pPr>
              <w:rPr>
                <w:rFonts w:eastAsia="Arial Unicode MS"/>
                <w:noProof/>
                <w:sz w:val="20"/>
                <w:szCs w:val="20"/>
              </w:rPr>
            </w:pPr>
            <w:r>
              <w:rPr>
                <w:noProof/>
                <w:sz w:val="20"/>
                <w:szCs w:val="20"/>
              </w:rPr>
              <w:t>LVCR</w:t>
            </w:r>
          </w:p>
        </w:tc>
        <w:tc>
          <w:tcPr>
            <w:tcW w:w="7716" w:type="dxa"/>
            <w:vAlign w:val="center"/>
          </w:tcPr>
          <w:p>
            <w:pPr>
              <w:rPr>
                <w:noProof/>
                <w:sz w:val="20"/>
                <w:szCs w:val="20"/>
              </w:rPr>
            </w:pPr>
            <w:r>
              <w:rPr>
                <w:noProof/>
                <w:sz w:val="20"/>
                <w:szCs w:val="20"/>
              </w:rPr>
              <w:t>Low-Value Consignments Reliefs</w:t>
            </w:r>
          </w:p>
        </w:tc>
      </w:tr>
      <w:tr>
        <w:tc>
          <w:tcPr>
            <w:tcW w:w="1526" w:type="dxa"/>
            <w:vAlign w:val="center"/>
          </w:tcPr>
          <w:p>
            <w:pPr>
              <w:rPr>
                <w:bCs/>
                <w:noProof/>
                <w:sz w:val="20"/>
                <w:szCs w:val="20"/>
              </w:rPr>
            </w:pPr>
            <w:r>
              <w:rPr>
                <w:bCs/>
                <w:noProof/>
                <w:sz w:val="20"/>
                <w:szCs w:val="20"/>
              </w:rPr>
              <w:t>MAA</w:t>
            </w:r>
          </w:p>
        </w:tc>
        <w:tc>
          <w:tcPr>
            <w:tcW w:w="7716" w:type="dxa"/>
            <w:vAlign w:val="center"/>
          </w:tcPr>
          <w:p>
            <w:pPr>
              <w:rPr>
                <w:bCs/>
                <w:noProof/>
                <w:sz w:val="20"/>
                <w:szCs w:val="20"/>
              </w:rPr>
            </w:pPr>
            <w:r>
              <w:rPr>
                <w:bCs/>
                <w:noProof/>
                <w:sz w:val="20"/>
                <w:szCs w:val="20"/>
              </w:rPr>
              <w:t>Mutual Administrative Assistance</w:t>
            </w:r>
          </w:p>
        </w:tc>
      </w:tr>
      <w:tr>
        <w:tc>
          <w:tcPr>
            <w:tcW w:w="1526" w:type="dxa"/>
            <w:vAlign w:val="center"/>
          </w:tcPr>
          <w:p>
            <w:pPr>
              <w:rPr>
                <w:noProof/>
                <w:sz w:val="20"/>
                <w:szCs w:val="20"/>
              </w:rPr>
            </w:pPr>
            <w:r>
              <w:rPr>
                <w:noProof/>
                <w:sz w:val="20"/>
                <w:szCs w:val="20"/>
              </w:rPr>
              <w:t>ME</w:t>
            </w:r>
          </w:p>
        </w:tc>
        <w:tc>
          <w:tcPr>
            <w:tcW w:w="7716" w:type="dxa"/>
            <w:vAlign w:val="center"/>
          </w:tcPr>
          <w:p>
            <w:pPr>
              <w:rPr>
                <w:noProof/>
                <w:sz w:val="20"/>
                <w:szCs w:val="20"/>
              </w:rPr>
            </w:pPr>
            <w:r>
              <w:rPr>
                <w:noProof/>
                <w:sz w:val="20"/>
                <w:szCs w:val="20"/>
              </w:rPr>
              <w:t>Montenegro</w:t>
            </w:r>
          </w:p>
        </w:tc>
      </w:tr>
      <w:tr>
        <w:tc>
          <w:tcPr>
            <w:tcW w:w="1526" w:type="dxa"/>
            <w:vAlign w:val="center"/>
          </w:tcPr>
          <w:p>
            <w:pPr>
              <w:rPr>
                <w:noProof/>
                <w:sz w:val="20"/>
                <w:szCs w:val="20"/>
              </w:rPr>
            </w:pPr>
            <w:r>
              <w:rPr>
                <w:noProof/>
                <w:sz w:val="20"/>
                <w:szCs w:val="20"/>
              </w:rPr>
              <w:t>MK</w:t>
            </w:r>
          </w:p>
        </w:tc>
        <w:tc>
          <w:tcPr>
            <w:tcW w:w="7716" w:type="dxa"/>
            <w:vAlign w:val="center"/>
          </w:tcPr>
          <w:p>
            <w:pPr>
              <w:rPr>
                <w:noProof/>
                <w:sz w:val="20"/>
                <w:szCs w:val="20"/>
              </w:rPr>
            </w:pPr>
            <w:r>
              <w:rPr>
                <w:noProof/>
                <w:sz w:val="20"/>
                <w:szCs w:val="20"/>
              </w:rPr>
              <w:t>North Macedonia</w:t>
            </w:r>
          </w:p>
        </w:tc>
      </w:tr>
      <w:tr>
        <w:tc>
          <w:tcPr>
            <w:tcW w:w="1526" w:type="dxa"/>
            <w:vAlign w:val="center"/>
          </w:tcPr>
          <w:p>
            <w:pPr>
              <w:rPr>
                <w:noProof/>
                <w:sz w:val="20"/>
                <w:szCs w:val="20"/>
              </w:rPr>
            </w:pPr>
            <w:r>
              <w:rPr>
                <w:noProof/>
                <w:sz w:val="20"/>
                <w:szCs w:val="20"/>
              </w:rPr>
              <w:t>MM</w:t>
            </w:r>
          </w:p>
        </w:tc>
        <w:tc>
          <w:tcPr>
            <w:tcW w:w="7716" w:type="dxa"/>
            <w:vAlign w:val="center"/>
          </w:tcPr>
          <w:p>
            <w:pPr>
              <w:rPr>
                <w:noProof/>
                <w:sz w:val="20"/>
                <w:szCs w:val="20"/>
              </w:rPr>
            </w:pPr>
            <w:r>
              <w:rPr>
                <w:noProof/>
                <w:sz w:val="20"/>
                <w:szCs w:val="20"/>
              </w:rPr>
              <w:t>Market Support Measures</w:t>
            </w:r>
          </w:p>
        </w:tc>
      </w:tr>
      <w:tr>
        <w:tc>
          <w:tcPr>
            <w:tcW w:w="1526" w:type="dxa"/>
            <w:vAlign w:val="center"/>
          </w:tcPr>
          <w:p>
            <w:pPr>
              <w:rPr>
                <w:bCs/>
                <w:noProof/>
                <w:sz w:val="20"/>
                <w:szCs w:val="20"/>
              </w:rPr>
            </w:pPr>
            <w:r>
              <w:rPr>
                <w:bCs/>
                <w:noProof/>
                <w:sz w:val="20"/>
                <w:szCs w:val="20"/>
              </w:rPr>
              <w:t>MT</w:t>
            </w:r>
          </w:p>
        </w:tc>
        <w:tc>
          <w:tcPr>
            <w:tcW w:w="7716" w:type="dxa"/>
            <w:vAlign w:val="center"/>
          </w:tcPr>
          <w:p>
            <w:pPr>
              <w:rPr>
                <w:bCs/>
                <w:noProof/>
                <w:sz w:val="20"/>
                <w:szCs w:val="20"/>
              </w:rPr>
            </w:pPr>
            <w:r>
              <w:rPr>
                <w:bCs/>
                <w:noProof/>
                <w:sz w:val="20"/>
                <w:szCs w:val="20"/>
              </w:rPr>
              <w:t>Malta</w:t>
            </w:r>
          </w:p>
        </w:tc>
      </w:tr>
      <w:tr>
        <w:tc>
          <w:tcPr>
            <w:tcW w:w="1526" w:type="dxa"/>
            <w:vAlign w:val="center"/>
          </w:tcPr>
          <w:p>
            <w:pPr>
              <w:rPr>
                <w:noProof/>
                <w:sz w:val="20"/>
                <w:szCs w:val="20"/>
              </w:rPr>
            </w:pPr>
            <w:r>
              <w:rPr>
                <w:noProof/>
                <w:sz w:val="20"/>
                <w:szCs w:val="20"/>
              </w:rPr>
              <w:t>NAFS</w:t>
            </w:r>
          </w:p>
        </w:tc>
        <w:tc>
          <w:tcPr>
            <w:tcW w:w="7716" w:type="dxa"/>
            <w:vAlign w:val="center"/>
          </w:tcPr>
          <w:p>
            <w:pPr>
              <w:rPr>
                <w:noProof/>
                <w:sz w:val="20"/>
                <w:szCs w:val="20"/>
              </w:rPr>
            </w:pPr>
            <w:r>
              <w:rPr>
                <w:noProof/>
                <w:sz w:val="20"/>
                <w:szCs w:val="20"/>
              </w:rPr>
              <w:t>National Anti-Fraud Strategy</w:t>
            </w:r>
          </w:p>
        </w:tc>
      </w:tr>
      <w:tr>
        <w:tc>
          <w:tcPr>
            <w:tcW w:w="1526" w:type="dxa"/>
            <w:vAlign w:val="center"/>
          </w:tcPr>
          <w:p>
            <w:pPr>
              <w:rPr>
                <w:bCs/>
                <w:noProof/>
                <w:sz w:val="20"/>
                <w:szCs w:val="20"/>
              </w:rPr>
            </w:pPr>
            <w:r>
              <w:rPr>
                <w:noProof/>
                <w:sz w:val="20"/>
                <w:szCs w:val="20"/>
              </w:rPr>
              <w:t>NEETs</w:t>
            </w:r>
          </w:p>
        </w:tc>
        <w:tc>
          <w:tcPr>
            <w:tcW w:w="7716" w:type="dxa"/>
            <w:vAlign w:val="center"/>
          </w:tcPr>
          <w:p>
            <w:pPr>
              <w:rPr>
                <w:noProof/>
                <w:sz w:val="20"/>
                <w:szCs w:val="20"/>
              </w:rPr>
            </w:pPr>
            <w:r>
              <w:rPr>
                <w:noProof/>
                <w:sz w:val="20"/>
                <w:szCs w:val="20"/>
              </w:rPr>
              <w:t>Young people who are Not in Education, Employment or Training</w:t>
            </w:r>
          </w:p>
        </w:tc>
      </w:tr>
      <w:tr>
        <w:tc>
          <w:tcPr>
            <w:tcW w:w="1526" w:type="dxa"/>
            <w:vAlign w:val="center"/>
          </w:tcPr>
          <w:p>
            <w:pPr>
              <w:rPr>
                <w:bCs/>
                <w:noProof/>
                <w:sz w:val="20"/>
                <w:szCs w:val="20"/>
              </w:rPr>
            </w:pPr>
            <w:r>
              <w:rPr>
                <w:bCs/>
                <w:noProof/>
                <w:sz w:val="20"/>
                <w:szCs w:val="20"/>
              </w:rPr>
              <w:t>NL</w:t>
            </w:r>
          </w:p>
        </w:tc>
        <w:tc>
          <w:tcPr>
            <w:tcW w:w="7716" w:type="dxa"/>
            <w:vAlign w:val="center"/>
          </w:tcPr>
          <w:p>
            <w:pPr>
              <w:rPr>
                <w:bCs/>
                <w:noProof/>
                <w:sz w:val="20"/>
                <w:szCs w:val="20"/>
              </w:rPr>
            </w:pPr>
            <w:r>
              <w:rPr>
                <w:bCs/>
                <w:noProof/>
                <w:sz w:val="20"/>
                <w:szCs w:val="20"/>
              </w:rPr>
              <w:t>Netherlands</w:t>
            </w:r>
          </w:p>
        </w:tc>
      </w:tr>
      <w:tr>
        <w:tc>
          <w:tcPr>
            <w:tcW w:w="1526" w:type="dxa"/>
            <w:vAlign w:val="center"/>
          </w:tcPr>
          <w:p>
            <w:pPr>
              <w:rPr>
                <w:bCs/>
                <w:iCs/>
                <w:noProof/>
                <w:sz w:val="20"/>
                <w:szCs w:val="20"/>
                <w:lang w:eastAsia="en-GB"/>
              </w:rPr>
            </w:pPr>
            <w:r>
              <w:rPr>
                <w:bCs/>
                <w:iCs/>
                <w:noProof/>
                <w:sz w:val="20"/>
                <w:szCs w:val="20"/>
                <w:lang w:eastAsia="en-GB"/>
              </w:rPr>
              <w:t>OAFCN</w:t>
            </w:r>
          </w:p>
        </w:tc>
        <w:tc>
          <w:tcPr>
            <w:tcW w:w="7716" w:type="dxa"/>
            <w:vAlign w:val="center"/>
          </w:tcPr>
          <w:p>
            <w:pPr>
              <w:rPr>
                <w:bCs/>
                <w:iCs/>
                <w:noProof/>
                <w:sz w:val="20"/>
                <w:szCs w:val="20"/>
                <w:lang w:eastAsia="en-GB"/>
              </w:rPr>
            </w:pPr>
            <w:r>
              <w:rPr>
                <w:bCs/>
                <w:iCs/>
                <w:noProof/>
                <w:sz w:val="20"/>
                <w:szCs w:val="20"/>
                <w:lang w:eastAsia="en-GB"/>
              </w:rPr>
              <w:t>OLAF Anti</w:t>
            </w:r>
            <w:r>
              <w:rPr>
                <w:bCs/>
                <w:iCs/>
                <w:noProof/>
                <w:sz w:val="20"/>
                <w:szCs w:val="20"/>
                <w:lang w:eastAsia="en-GB"/>
              </w:rPr>
              <w:noBreakHyphen/>
              <w:t>Fraud Communicators’ Network</w:t>
            </w:r>
          </w:p>
        </w:tc>
      </w:tr>
      <w:tr>
        <w:trPr>
          <w:trHeight w:val="153"/>
        </w:trPr>
        <w:tc>
          <w:tcPr>
            <w:tcW w:w="1526" w:type="dxa"/>
            <w:vAlign w:val="center"/>
          </w:tcPr>
          <w:p>
            <w:pPr>
              <w:rPr>
                <w:noProof/>
                <w:sz w:val="20"/>
                <w:szCs w:val="20"/>
              </w:rPr>
            </w:pPr>
            <w:r>
              <w:rPr>
                <w:noProof/>
                <w:sz w:val="20"/>
                <w:szCs w:val="20"/>
              </w:rPr>
              <w:t>OLAF</w:t>
            </w:r>
          </w:p>
        </w:tc>
        <w:tc>
          <w:tcPr>
            <w:tcW w:w="7716" w:type="dxa"/>
            <w:vAlign w:val="center"/>
          </w:tcPr>
          <w:p>
            <w:pPr>
              <w:rPr>
                <w:noProof/>
                <w:sz w:val="20"/>
                <w:szCs w:val="20"/>
              </w:rPr>
            </w:pPr>
            <w:r>
              <w:rPr>
                <w:noProof/>
                <w:sz w:val="20"/>
                <w:szCs w:val="20"/>
              </w:rPr>
              <w:t>European Anti-Fraud Office</w:t>
            </w:r>
          </w:p>
        </w:tc>
      </w:tr>
      <w:tr>
        <w:tc>
          <w:tcPr>
            <w:tcW w:w="1526" w:type="dxa"/>
            <w:vAlign w:val="center"/>
          </w:tcPr>
          <w:p>
            <w:pPr>
              <w:rPr>
                <w:bCs/>
                <w:noProof/>
                <w:sz w:val="20"/>
                <w:szCs w:val="20"/>
              </w:rPr>
            </w:pPr>
            <w:r>
              <w:rPr>
                <w:noProof/>
                <w:sz w:val="20"/>
                <w:szCs w:val="20"/>
              </w:rPr>
              <w:t>PAA</w:t>
            </w:r>
          </w:p>
        </w:tc>
        <w:tc>
          <w:tcPr>
            <w:tcW w:w="7716" w:type="dxa"/>
            <w:vAlign w:val="center"/>
          </w:tcPr>
          <w:p>
            <w:pPr>
              <w:rPr>
                <w:noProof/>
                <w:sz w:val="20"/>
                <w:szCs w:val="20"/>
              </w:rPr>
            </w:pPr>
            <w:r>
              <w:rPr>
                <w:noProof/>
                <w:sz w:val="20"/>
                <w:szCs w:val="20"/>
              </w:rPr>
              <w:t>Pre-Accession Assistance 2000-2006</w:t>
            </w:r>
          </w:p>
        </w:tc>
      </w:tr>
      <w:tr>
        <w:tc>
          <w:tcPr>
            <w:tcW w:w="1526" w:type="dxa"/>
            <w:vAlign w:val="center"/>
          </w:tcPr>
          <w:p>
            <w:pPr>
              <w:rPr>
                <w:noProof/>
                <w:sz w:val="20"/>
                <w:szCs w:val="20"/>
              </w:rPr>
            </w:pPr>
            <w:r>
              <w:rPr>
                <w:noProof/>
                <w:sz w:val="20"/>
                <w:szCs w:val="20"/>
              </w:rPr>
              <w:t>PIF Convention</w:t>
            </w:r>
          </w:p>
        </w:tc>
        <w:tc>
          <w:tcPr>
            <w:tcW w:w="7716" w:type="dxa"/>
            <w:vAlign w:val="center"/>
          </w:tcPr>
          <w:p>
            <w:pPr>
              <w:rPr>
                <w:noProof/>
                <w:sz w:val="20"/>
                <w:szCs w:val="20"/>
              </w:rPr>
            </w:pPr>
            <w:r>
              <w:rPr>
                <w:noProof/>
                <w:sz w:val="20"/>
                <w:szCs w:val="20"/>
              </w:rPr>
              <w:t>1995 Convention on the protection of the European Communities’ financial interests and its protocols</w:t>
            </w:r>
          </w:p>
        </w:tc>
      </w:tr>
      <w:tr>
        <w:tc>
          <w:tcPr>
            <w:tcW w:w="1526" w:type="dxa"/>
            <w:vAlign w:val="center"/>
          </w:tcPr>
          <w:p>
            <w:pPr>
              <w:rPr>
                <w:noProof/>
                <w:sz w:val="20"/>
                <w:szCs w:val="20"/>
              </w:rPr>
            </w:pPr>
            <w:r>
              <w:rPr>
                <w:noProof/>
                <w:sz w:val="20"/>
                <w:szCs w:val="20"/>
              </w:rPr>
              <w:t>PIF Directive</w:t>
            </w:r>
          </w:p>
        </w:tc>
        <w:tc>
          <w:tcPr>
            <w:tcW w:w="7716" w:type="dxa"/>
            <w:vAlign w:val="center"/>
          </w:tcPr>
          <w:p>
            <w:pPr>
              <w:rPr>
                <w:noProof/>
                <w:sz w:val="20"/>
                <w:szCs w:val="20"/>
              </w:rPr>
            </w:pPr>
            <w:r>
              <w:rPr>
                <w:noProof/>
                <w:sz w:val="20"/>
                <w:szCs w:val="20"/>
              </w:rPr>
              <w:t>Directive EU 2017/1371 on the fight against fraud to the Union’s financial interests by means of criminal law</w:t>
            </w:r>
          </w:p>
        </w:tc>
      </w:tr>
      <w:tr>
        <w:tc>
          <w:tcPr>
            <w:tcW w:w="1526" w:type="dxa"/>
            <w:vAlign w:val="center"/>
          </w:tcPr>
          <w:p>
            <w:pPr>
              <w:rPr>
                <w:rFonts w:eastAsia="Calibri"/>
                <w:noProof/>
                <w:sz w:val="20"/>
                <w:szCs w:val="20"/>
              </w:rPr>
            </w:pPr>
            <w:r>
              <w:rPr>
                <w:rFonts w:eastAsia="Calibri"/>
                <w:noProof/>
                <w:sz w:val="20"/>
                <w:szCs w:val="20"/>
              </w:rPr>
              <w:t>PIF Report</w:t>
            </w:r>
          </w:p>
        </w:tc>
        <w:tc>
          <w:tcPr>
            <w:tcW w:w="7716" w:type="dxa"/>
            <w:vAlign w:val="center"/>
          </w:tcPr>
          <w:p>
            <w:pPr>
              <w:rPr>
                <w:rFonts w:eastAsia="Calibri"/>
                <w:noProof/>
                <w:sz w:val="20"/>
                <w:szCs w:val="20"/>
              </w:rPr>
            </w:pPr>
            <w:r>
              <w:rPr>
                <w:rFonts w:eastAsia="Calibri"/>
                <w:noProof/>
                <w:sz w:val="20"/>
                <w:szCs w:val="20"/>
              </w:rPr>
              <w:t>Annual Report on the protection of the EU's financial interests and the fight against fraud</w:t>
            </w:r>
          </w:p>
        </w:tc>
      </w:tr>
      <w:tr>
        <w:tc>
          <w:tcPr>
            <w:tcW w:w="1526" w:type="dxa"/>
            <w:vAlign w:val="center"/>
          </w:tcPr>
          <w:p>
            <w:pPr>
              <w:rPr>
                <w:bCs/>
                <w:noProof/>
                <w:sz w:val="20"/>
                <w:szCs w:val="20"/>
              </w:rPr>
            </w:pPr>
            <w:r>
              <w:rPr>
                <w:bCs/>
                <w:noProof/>
                <w:sz w:val="20"/>
                <w:szCs w:val="20"/>
              </w:rPr>
              <w:t>PL</w:t>
            </w:r>
          </w:p>
        </w:tc>
        <w:tc>
          <w:tcPr>
            <w:tcW w:w="7716" w:type="dxa"/>
            <w:vAlign w:val="center"/>
          </w:tcPr>
          <w:p>
            <w:pPr>
              <w:rPr>
                <w:bCs/>
                <w:noProof/>
                <w:sz w:val="20"/>
                <w:szCs w:val="20"/>
              </w:rPr>
            </w:pPr>
            <w:r>
              <w:rPr>
                <w:bCs/>
                <w:noProof/>
                <w:sz w:val="20"/>
                <w:szCs w:val="20"/>
              </w:rPr>
              <w:t>Poland</w:t>
            </w:r>
          </w:p>
        </w:tc>
      </w:tr>
      <w:tr>
        <w:tc>
          <w:tcPr>
            <w:tcW w:w="1526" w:type="dxa"/>
            <w:vAlign w:val="center"/>
          </w:tcPr>
          <w:p>
            <w:pPr>
              <w:rPr>
                <w:noProof/>
                <w:sz w:val="20"/>
                <w:szCs w:val="20"/>
              </w:rPr>
            </w:pPr>
            <w:r>
              <w:rPr>
                <w:noProof/>
                <w:sz w:val="20"/>
                <w:szCs w:val="20"/>
              </w:rPr>
              <w:t>PP</w:t>
            </w:r>
          </w:p>
        </w:tc>
        <w:tc>
          <w:tcPr>
            <w:tcW w:w="7716" w:type="dxa"/>
            <w:vAlign w:val="center"/>
          </w:tcPr>
          <w:p>
            <w:pPr>
              <w:rPr>
                <w:noProof/>
                <w:sz w:val="20"/>
                <w:szCs w:val="20"/>
              </w:rPr>
            </w:pPr>
            <w:r>
              <w:rPr>
                <w:noProof/>
                <w:sz w:val="20"/>
                <w:szCs w:val="20"/>
              </w:rPr>
              <w:t>Programming period</w:t>
            </w:r>
          </w:p>
        </w:tc>
      </w:tr>
      <w:tr>
        <w:tc>
          <w:tcPr>
            <w:tcW w:w="1526" w:type="dxa"/>
            <w:vAlign w:val="center"/>
          </w:tcPr>
          <w:p>
            <w:pPr>
              <w:rPr>
                <w:bCs/>
                <w:noProof/>
                <w:sz w:val="20"/>
                <w:szCs w:val="20"/>
              </w:rPr>
            </w:pPr>
            <w:r>
              <w:rPr>
                <w:bCs/>
                <w:noProof/>
                <w:sz w:val="20"/>
                <w:szCs w:val="20"/>
              </w:rPr>
              <w:t>PT</w:t>
            </w:r>
          </w:p>
        </w:tc>
        <w:tc>
          <w:tcPr>
            <w:tcW w:w="7716" w:type="dxa"/>
            <w:vAlign w:val="center"/>
          </w:tcPr>
          <w:p>
            <w:pPr>
              <w:rPr>
                <w:bCs/>
                <w:noProof/>
                <w:sz w:val="20"/>
                <w:szCs w:val="20"/>
              </w:rPr>
            </w:pPr>
            <w:r>
              <w:rPr>
                <w:bCs/>
                <w:noProof/>
                <w:sz w:val="20"/>
                <w:szCs w:val="20"/>
              </w:rPr>
              <w:t>Portugal</w:t>
            </w:r>
          </w:p>
        </w:tc>
      </w:tr>
      <w:tr>
        <w:tc>
          <w:tcPr>
            <w:tcW w:w="1526" w:type="dxa"/>
            <w:vAlign w:val="center"/>
          </w:tcPr>
          <w:p>
            <w:pPr>
              <w:rPr>
                <w:noProof/>
                <w:sz w:val="20"/>
                <w:szCs w:val="20"/>
              </w:rPr>
            </w:pPr>
            <w:r>
              <w:rPr>
                <w:noProof/>
                <w:sz w:val="20"/>
                <w:szCs w:val="20"/>
              </w:rPr>
              <w:t>RD</w:t>
            </w:r>
          </w:p>
        </w:tc>
        <w:tc>
          <w:tcPr>
            <w:tcW w:w="7716" w:type="dxa"/>
            <w:vAlign w:val="center"/>
          </w:tcPr>
          <w:p>
            <w:pPr>
              <w:rPr>
                <w:noProof/>
                <w:sz w:val="20"/>
                <w:szCs w:val="20"/>
              </w:rPr>
            </w:pPr>
            <w:r>
              <w:rPr>
                <w:noProof/>
                <w:sz w:val="20"/>
                <w:szCs w:val="20"/>
              </w:rPr>
              <w:t>Rural Development</w:t>
            </w:r>
          </w:p>
        </w:tc>
      </w:tr>
      <w:tr>
        <w:tc>
          <w:tcPr>
            <w:tcW w:w="1526" w:type="dxa"/>
            <w:vAlign w:val="center"/>
          </w:tcPr>
          <w:p>
            <w:pPr>
              <w:rPr>
                <w:bCs/>
                <w:noProof/>
                <w:sz w:val="20"/>
                <w:szCs w:val="20"/>
              </w:rPr>
            </w:pPr>
            <w:r>
              <w:rPr>
                <w:bCs/>
                <w:noProof/>
                <w:sz w:val="20"/>
                <w:szCs w:val="20"/>
              </w:rPr>
              <w:t>RIF</w:t>
            </w:r>
          </w:p>
        </w:tc>
        <w:tc>
          <w:tcPr>
            <w:tcW w:w="7716" w:type="dxa"/>
            <w:vAlign w:val="center"/>
          </w:tcPr>
          <w:p>
            <w:pPr>
              <w:rPr>
                <w:bCs/>
                <w:noProof/>
                <w:sz w:val="20"/>
                <w:szCs w:val="20"/>
              </w:rPr>
            </w:pPr>
            <w:r>
              <w:rPr>
                <w:bCs/>
                <w:noProof/>
                <w:sz w:val="20"/>
                <w:szCs w:val="20"/>
              </w:rPr>
              <w:t>Risk Information Form</w:t>
            </w:r>
          </w:p>
        </w:tc>
      </w:tr>
      <w:tr>
        <w:tc>
          <w:tcPr>
            <w:tcW w:w="1526" w:type="dxa"/>
            <w:vAlign w:val="center"/>
          </w:tcPr>
          <w:p>
            <w:pPr>
              <w:rPr>
                <w:bCs/>
                <w:noProof/>
                <w:sz w:val="20"/>
                <w:szCs w:val="20"/>
              </w:rPr>
            </w:pPr>
            <w:r>
              <w:rPr>
                <w:bCs/>
                <w:noProof/>
                <w:sz w:val="20"/>
                <w:szCs w:val="20"/>
              </w:rPr>
              <w:t>RO</w:t>
            </w:r>
          </w:p>
        </w:tc>
        <w:tc>
          <w:tcPr>
            <w:tcW w:w="7716" w:type="dxa"/>
            <w:vAlign w:val="center"/>
          </w:tcPr>
          <w:p>
            <w:pPr>
              <w:rPr>
                <w:bCs/>
                <w:noProof/>
                <w:sz w:val="20"/>
                <w:szCs w:val="20"/>
              </w:rPr>
            </w:pPr>
            <w:r>
              <w:rPr>
                <w:bCs/>
                <w:noProof/>
                <w:sz w:val="20"/>
                <w:szCs w:val="20"/>
              </w:rPr>
              <w:t>Romania</w:t>
            </w:r>
          </w:p>
        </w:tc>
      </w:tr>
      <w:tr>
        <w:tc>
          <w:tcPr>
            <w:tcW w:w="1526" w:type="dxa"/>
            <w:vAlign w:val="center"/>
          </w:tcPr>
          <w:p>
            <w:pPr>
              <w:rPr>
                <w:noProof/>
                <w:sz w:val="20"/>
                <w:szCs w:val="20"/>
              </w:rPr>
            </w:pPr>
            <w:r>
              <w:rPr>
                <w:noProof/>
                <w:sz w:val="20"/>
                <w:szCs w:val="20"/>
              </w:rPr>
              <w:t>RS</w:t>
            </w:r>
          </w:p>
        </w:tc>
        <w:tc>
          <w:tcPr>
            <w:tcW w:w="7716" w:type="dxa"/>
            <w:vAlign w:val="center"/>
          </w:tcPr>
          <w:p>
            <w:pPr>
              <w:rPr>
                <w:noProof/>
                <w:sz w:val="20"/>
                <w:szCs w:val="20"/>
              </w:rPr>
            </w:pPr>
            <w:r>
              <w:rPr>
                <w:noProof/>
                <w:sz w:val="20"/>
                <w:szCs w:val="20"/>
              </w:rPr>
              <w:t>Serbia</w:t>
            </w:r>
          </w:p>
        </w:tc>
      </w:tr>
      <w:tr>
        <w:tc>
          <w:tcPr>
            <w:tcW w:w="1526" w:type="dxa"/>
            <w:vAlign w:val="center"/>
          </w:tcPr>
          <w:p>
            <w:pPr>
              <w:rPr>
                <w:bCs/>
                <w:noProof/>
                <w:sz w:val="20"/>
                <w:szCs w:val="20"/>
              </w:rPr>
            </w:pPr>
            <w:r>
              <w:rPr>
                <w:bCs/>
                <w:noProof/>
                <w:sz w:val="20"/>
                <w:szCs w:val="20"/>
              </w:rPr>
              <w:t>RTD</w:t>
            </w:r>
          </w:p>
        </w:tc>
        <w:tc>
          <w:tcPr>
            <w:tcW w:w="7716" w:type="dxa"/>
            <w:vAlign w:val="center"/>
          </w:tcPr>
          <w:p>
            <w:pPr>
              <w:rPr>
                <w:bCs/>
                <w:noProof/>
                <w:sz w:val="20"/>
                <w:szCs w:val="20"/>
              </w:rPr>
            </w:pPr>
            <w:r>
              <w:rPr>
                <w:bCs/>
                <w:noProof/>
                <w:sz w:val="20"/>
                <w:szCs w:val="20"/>
              </w:rPr>
              <w:t>Research and Technological Development, innovation and entrepreneurship</w:t>
            </w:r>
          </w:p>
        </w:tc>
      </w:tr>
      <w:tr>
        <w:tc>
          <w:tcPr>
            <w:tcW w:w="1526" w:type="dxa"/>
            <w:vAlign w:val="center"/>
          </w:tcPr>
          <w:p>
            <w:pPr>
              <w:rPr>
                <w:noProof/>
                <w:sz w:val="20"/>
                <w:szCs w:val="20"/>
              </w:rPr>
            </w:pPr>
            <w:r>
              <w:rPr>
                <w:noProof/>
                <w:sz w:val="20"/>
                <w:szCs w:val="20"/>
              </w:rPr>
              <w:t>SA</w:t>
            </w:r>
          </w:p>
        </w:tc>
        <w:tc>
          <w:tcPr>
            <w:tcW w:w="7716" w:type="dxa"/>
            <w:vAlign w:val="center"/>
          </w:tcPr>
          <w:p>
            <w:pPr>
              <w:rPr>
                <w:noProof/>
                <w:sz w:val="20"/>
                <w:szCs w:val="20"/>
              </w:rPr>
            </w:pPr>
            <w:r>
              <w:rPr>
                <w:noProof/>
                <w:sz w:val="20"/>
                <w:szCs w:val="20"/>
              </w:rPr>
              <w:t>Direct Support to Agriculture</w:t>
            </w:r>
          </w:p>
        </w:tc>
      </w:tr>
      <w:tr>
        <w:tc>
          <w:tcPr>
            <w:tcW w:w="1526" w:type="dxa"/>
            <w:vAlign w:val="center"/>
          </w:tcPr>
          <w:p>
            <w:pPr>
              <w:rPr>
                <w:bCs/>
                <w:noProof/>
                <w:sz w:val="20"/>
                <w:szCs w:val="20"/>
              </w:rPr>
            </w:pPr>
            <w:r>
              <w:rPr>
                <w:noProof/>
                <w:sz w:val="20"/>
                <w:szCs w:val="20"/>
              </w:rPr>
              <w:t>SAPARD</w:t>
            </w:r>
          </w:p>
        </w:tc>
        <w:tc>
          <w:tcPr>
            <w:tcW w:w="7716" w:type="dxa"/>
            <w:vAlign w:val="center"/>
          </w:tcPr>
          <w:p>
            <w:pPr>
              <w:rPr>
                <w:noProof/>
                <w:sz w:val="20"/>
                <w:szCs w:val="20"/>
              </w:rPr>
            </w:pPr>
            <w:r>
              <w:rPr>
                <w:noProof/>
                <w:sz w:val="20"/>
                <w:szCs w:val="20"/>
              </w:rPr>
              <w:t>Special Accession Programme for Agricultural and Rural Development</w:t>
            </w:r>
          </w:p>
        </w:tc>
      </w:tr>
      <w:tr>
        <w:tc>
          <w:tcPr>
            <w:tcW w:w="1526" w:type="dxa"/>
            <w:vAlign w:val="center"/>
          </w:tcPr>
          <w:p>
            <w:pPr>
              <w:rPr>
                <w:noProof/>
                <w:sz w:val="20"/>
                <w:szCs w:val="20"/>
              </w:rPr>
            </w:pPr>
            <w:r>
              <w:rPr>
                <w:noProof/>
                <w:sz w:val="20"/>
                <w:szCs w:val="20"/>
              </w:rPr>
              <w:t>SCO</w:t>
            </w:r>
          </w:p>
        </w:tc>
        <w:tc>
          <w:tcPr>
            <w:tcW w:w="7716" w:type="dxa"/>
            <w:vAlign w:val="center"/>
          </w:tcPr>
          <w:p>
            <w:pPr>
              <w:rPr>
                <w:noProof/>
                <w:sz w:val="20"/>
                <w:szCs w:val="20"/>
              </w:rPr>
            </w:pPr>
            <w:r>
              <w:rPr>
                <w:noProof/>
                <w:sz w:val="20"/>
                <w:szCs w:val="20"/>
              </w:rPr>
              <w:t>Simplified Cost Option</w:t>
            </w:r>
          </w:p>
        </w:tc>
      </w:tr>
      <w:tr>
        <w:tc>
          <w:tcPr>
            <w:tcW w:w="1526" w:type="dxa"/>
            <w:vAlign w:val="center"/>
          </w:tcPr>
          <w:p>
            <w:pPr>
              <w:rPr>
                <w:bCs/>
                <w:noProof/>
                <w:sz w:val="20"/>
                <w:szCs w:val="20"/>
              </w:rPr>
            </w:pPr>
            <w:r>
              <w:rPr>
                <w:bCs/>
                <w:noProof/>
                <w:sz w:val="20"/>
                <w:szCs w:val="20"/>
              </w:rPr>
              <w:t>SE</w:t>
            </w:r>
          </w:p>
        </w:tc>
        <w:tc>
          <w:tcPr>
            <w:tcW w:w="7716" w:type="dxa"/>
            <w:vAlign w:val="center"/>
          </w:tcPr>
          <w:p>
            <w:pPr>
              <w:rPr>
                <w:bCs/>
                <w:noProof/>
                <w:sz w:val="20"/>
                <w:szCs w:val="20"/>
              </w:rPr>
            </w:pPr>
            <w:r>
              <w:rPr>
                <w:bCs/>
                <w:noProof/>
                <w:sz w:val="20"/>
                <w:szCs w:val="20"/>
              </w:rPr>
              <w:t>Sweden</w:t>
            </w:r>
          </w:p>
        </w:tc>
      </w:tr>
      <w:tr>
        <w:tc>
          <w:tcPr>
            <w:tcW w:w="1526" w:type="dxa"/>
            <w:vAlign w:val="center"/>
          </w:tcPr>
          <w:p>
            <w:pPr>
              <w:rPr>
                <w:bCs/>
                <w:noProof/>
                <w:sz w:val="20"/>
                <w:szCs w:val="20"/>
              </w:rPr>
            </w:pPr>
            <w:r>
              <w:rPr>
                <w:bCs/>
                <w:noProof/>
                <w:sz w:val="20"/>
                <w:szCs w:val="20"/>
              </w:rPr>
              <w:t>SI</w:t>
            </w:r>
          </w:p>
        </w:tc>
        <w:tc>
          <w:tcPr>
            <w:tcW w:w="7716" w:type="dxa"/>
            <w:vAlign w:val="center"/>
          </w:tcPr>
          <w:p>
            <w:pPr>
              <w:rPr>
                <w:bCs/>
                <w:noProof/>
                <w:sz w:val="20"/>
                <w:szCs w:val="20"/>
              </w:rPr>
            </w:pPr>
            <w:r>
              <w:rPr>
                <w:bCs/>
                <w:noProof/>
                <w:sz w:val="20"/>
                <w:szCs w:val="20"/>
              </w:rPr>
              <w:t>Slovenia</w:t>
            </w:r>
          </w:p>
        </w:tc>
      </w:tr>
      <w:tr>
        <w:tc>
          <w:tcPr>
            <w:tcW w:w="1526" w:type="dxa"/>
            <w:vAlign w:val="center"/>
          </w:tcPr>
          <w:p>
            <w:pPr>
              <w:rPr>
                <w:bCs/>
                <w:noProof/>
                <w:sz w:val="20"/>
                <w:szCs w:val="20"/>
              </w:rPr>
            </w:pPr>
            <w:r>
              <w:rPr>
                <w:bCs/>
                <w:noProof/>
                <w:sz w:val="20"/>
                <w:szCs w:val="20"/>
              </w:rPr>
              <w:t>SK</w:t>
            </w:r>
          </w:p>
        </w:tc>
        <w:tc>
          <w:tcPr>
            <w:tcW w:w="7716" w:type="dxa"/>
            <w:vAlign w:val="center"/>
          </w:tcPr>
          <w:p>
            <w:pPr>
              <w:rPr>
                <w:bCs/>
                <w:noProof/>
                <w:sz w:val="20"/>
                <w:szCs w:val="20"/>
              </w:rPr>
            </w:pPr>
            <w:r>
              <w:rPr>
                <w:bCs/>
                <w:noProof/>
                <w:sz w:val="20"/>
                <w:szCs w:val="20"/>
              </w:rPr>
              <w:t>Slovakia</w:t>
            </w:r>
          </w:p>
        </w:tc>
      </w:tr>
      <w:tr>
        <w:tc>
          <w:tcPr>
            <w:tcW w:w="1526" w:type="dxa"/>
            <w:vAlign w:val="center"/>
          </w:tcPr>
          <w:p>
            <w:pPr>
              <w:rPr>
                <w:rFonts w:eastAsia="Calibri"/>
                <w:noProof/>
                <w:sz w:val="20"/>
                <w:szCs w:val="20"/>
              </w:rPr>
            </w:pPr>
            <w:r>
              <w:rPr>
                <w:rFonts w:eastAsia="Calibri"/>
                <w:noProof/>
                <w:sz w:val="20"/>
                <w:szCs w:val="20"/>
              </w:rPr>
              <w:t>SWD</w:t>
            </w:r>
          </w:p>
        </w:tc>
        <w:tc>
          <w:tcPr>
            <w:tcW w:w="7716" w:type="dxa"/>
            <w:vAlign w:val="center"/>
          </w:tcPr>
          <w:p>
            <w:pPr>
              <w:rPr>
                <w:rFonts w:eastAsia="Calibri"/>
                <w:noProof/>
                <w:sz w:val="20"/>
                <w:szCs w:val="20"/>
              </w:rPr>
            </w:pPr>
            <w:r>
              <w:rPr>
                <w:rFonts w:eastAsia="Calibri"/>
                <w:noProof/>
                <w:sz w:val="20"/>
                <w:szCs w:val="20"/>
              </w:rPr>
              <w:t>Staff Working Document</w:t>
            </w:r>
          </w:p>
        </w:tc>
      </w:tr>
      <w:tr>
        <w:tc>
          <w:tcPr>
            <w:tcW w:w="1526" w:type="dxa"/>
            <w:vAlign w:val="center"/>
          </w:tcPr>
          <w:p>
            <w:pPr>
              <w:rPr>
                <w:bCs/>
                <w:noProof/>
                <w:sz w:val="20"/>
                <w:szCs w:val="20"/>
              </w:rPr>
            </w:pPr>
            <w:r>
              <w:rPr>
                <w:noProof/>
                <w:sz w:val="20"/>
                <w:szCs w:val="20"/>
              </w:rPr>
              <w:t>TAIB</w:t>
            </w:r>
          </w:p>
        </w:tc>
        <w:tc>
          <w:tcPr>
            <w:tcW w:w="7716" w:type="dxa"/>
            <w:vAlign w:val="center"/>
          </w:tcPr>
          <w:p>
            <w:pPr>
              <w:rPr>
                <w:noProof/>
                <w:sz w:val="20"/>
                <w:szCs w:val="20"/>
              </w:rPr>
            </w:pPr>
            <w:r>
              <w:rPr>
                <w:noProof/>
                <w:sz w:val="20"/>
                <w:szCs w:val="20"/>
              </w:rPr>
              <w:t>Transition Assistance and Institution Building</w:t>
            </w:r>
          </w:p>
        </w:tc>
      </w:tr>
      <w:tr>
        <w:tc>
          <w:tcPr>
            <w:tcW w:w="1526" w:type="dxa"/>
            <w:vAlign w:val="center"/>
          </w:tcPr>
          <w:p>
            <w:pPr>
              <w:rPr>
                <w:bCs/>
                <w:iCs/>
                <w:noProof/>
                <w:sz w:val="20"/>
                <w:szCs w:val="20"/>
                <w:lang w:eastAsia="en-GB"/>
              </w:rPr>
            </w:pPr>
            <w:r>
              <w:rPr>
                <w:bCs/>
                <w:iCs/>
                <w:noProof/>
                <w:sz w:val="20"/>
                <w:szCs w:val="20"/>
                <w:lang w:eastAsia="en-GB"/>
              </w:rPr>
              <w:t>TFEU</w:t>
            </w:r>
          </w:p>
        </w:tc>
        <w:tc>
          <w:tcPr>
            <w:tcW w:w="7716" w:type="dxa"/>
            <w:vAlign w:val="center"/>
          </w:tcPr>
          <w:p>
            <w:pPr>
              <w:rPr>
                <w:bCs/>
                <w:iCs/>
                <w:noProof/>
                <w:sz w:val="20"/>
                <w:szCs w:val="20"/>
                <w:lang w:eastAsia="en-GB"/>
              </w:rPr>
            </w:pPr>
            <w:r>
              <w:rPr>
                <w:bCs/>
                <w:iCs/>
                <w:noProof/>
                <w:sz w:val="20"/>
                <w:szCs w:val="20"/>
                <w:lang w:eastAsia="en-GB"/>
              </w:rPr>
              <w:t>Treaty on the Functioning of the European Union</w:t>
            </w:r>
          </w:p>
        </w:tc>
      </w:tr>
      <w:tr>
        <w:tc>
          <w:tcPr>
            <w:tcW w:w="1526" w:type="dxa"/>
            <w:vAlign w:val="center"/>
          </w:tcPr>
          <w:p>
            <w:pPr>
              <w:rPr>
                <w:bCs/>
                <w:noProof/>
                <w:sz w:val="20"/>
                <w:szCs w:val="20"/>
              </w:rPr>
            </w:pPr>
            <w:r>
              <w:rPr>
                <w:noProof/>
                <w:sz w:val="20"/>
                <w:szCs w:val="20"/>
              </w:rPr>
              <w:t>TIPAA</w:t>
            </w:r>
          </w:p>
        </w:tc>
        <w:tc>
          <w:tcPr>
            <w:tcW w:w="7716" w:type="dxa"/>
            <w:vAlign w:val="center"/>
          </w:tcPr>
          <w:p>
            <w:pPr>
              <w:rPr>
                <w:noProof/>
                <w:sz w:val="20"/>
                <w:szCs w:val="20"/>
              </w:rPr>
            </w:pPr>
            <w:r>
              <w:rPr>
                <w:noProof/>
                <w:sz w:val="20"/>
                <w:szCs w:val="20"/>
              </w:rPr>
              <w:t>Turkey Instrument for Pre-accession Assistance</w:t>
            </w:r>
          </w:p>
        </w:tc>
      </w:tr>
      <w:tr>
        <w:tc>
          <w:tcPr>
            <w:tcW w:w="1526" w:type="dxa"/>
            <w:vAlign w:val="center"/>
          </w:tcPr>
          <w:p>
            <w:pPr>
              <w:rPr>
                <w:noProof/>
                <w:color w:val="222222"/>
                <w:sz w:val="20"/>
                <w:szCs w:val="20"/>
              </w:rPr>
            </w:pPr>
            <w:r>
              <w:rPr>
                <w:noProof/>
                <w:color w:val="222222"/>
                <w:sz w:val="20"/>
                <w:szCs w:val="20"/>
              </w:rPr>
              <w:t>TOR</w:t>
            </w:r>
          </w:p>
        </w:tc>
        <w:tc>
          <w:tcPr>
            <w:tcW w:w="7716" w:type="dxa"/>
            <w:vAlign w:val="center"/>
          </w:tcPr>
          <w:p>
            <w:pPr>
              <w:rPr>
                <w:noProof/>
                <w:color w:val="222222"/>
                <w:sz w:val="20"/>
                <w:szCs w:val="20"/>
              </w:rPr>
            </w:pPr>
            <w:r>
              <w:rPr>
                <w:noProof/>
                <w:color w:val="222222"/>
                <w:sz w:val="20"/>
                <w:szCs w:val="20"/>
              </w:rPr>
              <w:t>Traditional Own Resources</w:t>
            </w:r>
          </w:p>
        </w:tc>
      </w:tr>
      <w:tr>
        <w:tc>
          <w:tcPr>
            <w:tcW w:w="1526" w:type="dxa"/>
            <w:vAlign w:val="center"/>
          </w:tcPr>
          <w:p>
            <w:pPr>
              <w:rPr>
                <w:bCs/>
                <w:noProof/>
                <w:sz w:val="20"/>
                <w:szCs w:val="20"/>
              </w:rPr>
            </w:pPr>
            <w:r>
              <w:rPr>
                <w:bCs/>
                <w:noProof/>
                <w:sz w:val="20"/>
                <w:szCs w:val="20"/>
              </w:rPr>
              <w:t>ToSMA</w:t>
            </w:r>
          </w:p>
        </w:tc>
        <w:tc>
          <w:tcPr>
            <w:tcW w:w="7716" w:type="dxa"/>
            <w:vAlign w:val="center"/>
          </w:tcPr>
          <w:p>
            <w:pPr>
              <w:rPr>
                <w:bCs/>
                <w:noProof/>
                <w:sz w:val="20"/>
                <w:szCs w:val="20"/>
              </w:rPr>
            </w:pPr>
            <w:r>
              <w:rPr>
                <w:bCs/>
                <w:noProof/>
                <w:sz w:val="20"/>
                <w:szCs w:val="20"/>
              </w:rPr>
              <w:t>Tobacco Seizures Management Application</w:t>
            </w:r>
          </w:p>
        </w:tc>
      </w:tr>
      <w:tr>
        <w:tc>
          <w:tcPr>
            <w:tcW w:w="1526" w:type="dxa"/>
            <w:vAlign w:val="center"/>
          </w:tcPr>
          <w:p>
            <w:pPr>
              <w:rPr>
                <w:noProof/>
                <w:sz w:val="20"/>
                <w:szCs w:val="20"/>
              </w:rPr>
            </w:pPr>
            <w:r>
              <w:rPr>
                <w:noProof/>
                <w:sz w:val="20"/>
                <w:szCs w:val="20"/>
              </w:rPr>
              <w:t>TR</w:t>
            </w:r>
          </w:p>
        </w:tc>
        <w:tc>
          <w:tcPr>
            <w:tcW w:w="7716" w:type="dxa"/>
            <w:vAlign w:val="center"/>
          </w:tcPr>
          <w:p>
            <w:pPr>
              <w:rPr>
                <w:noProof/>
                <w:sz w:val="20"/>
                <w:szCs w:val="20"/>
              </w:rPr>
            </w:pPr>
            <w:r>
              <w:rPr>
                <w:noProof/>
                <w:sz w:val="20"/>
                <w:szCs w:val="20"/>
              </w:rPr>
              <w:t>Turkey</w:t>
            </w:r>
          </w:p>
        </w:tc>
      </w:tr>
      <w:tr>
        <w:tc>
          <w:tcPr>
            <w:tcW w:w="1526" w:type="dxa"/>
            <w:vAlign w:val="center"/>
          </w:tcPr>
          <w:p>
            <w:pPr>
              <w:rPr>
                <w:bCs/>
                <w:noProof/>
                <w:sz w:val="20"/>
                <w:szCs w:val="20"/>
              </w:rPr>
            </w:pPr>
            <w:r>
              <w:rPr>
                <w:bCs/>
                <w:noProof/>
                <w:sz w:val="20"/>
                <w:szCs w:val="20"/>
              </w:rPr>
              <w:t>UK</w:t>
            </w:r>
          </w:p>
        </w:tc>
        <w:tc>
          <w:tcPr>
            <w:tcW w:w="7716" w:type="dxa"/>
            <w:vAlign w:val="center"/>
          </w:tcPr>
          <w:p>
            <w:pPr>
              <w:rPr>
                <w:bCs/>
                <w:noProof/>
                <w:sz w:val="20"/>
                <w:szCs w:val="20"/>
              </w:rPr>
            </w:pPr>
            <w:r>
              <w:rPr>
                <w:bCs/>
                <w:noProof/>
                <w:sz w:val="20"/>
                <w:szCs w:val="20"/>
              </w:rPr>
              <w:t>United Kingdom</w:t>
            </w:r>
          </w:p>
        </w:tc>
      </w:tr>
      <w:tr>
        <w:tc>
          <w:tcPr>
            <w:tcW w:w="1526" w:type="dxa"/>
            <w:vAlign w:val="center"/>
          </w:tcPr>
          <w:p>
            <w:pPr>
              <w:rPr>
                <w:noProof/>
                <w:sz w:val="20"/>
                <w:szCs w:val="20"/>
              </w:rPr>
            </w:pPr>
            <w:r>
              <w:rPr>
                <w:noProof/>
                <w:sz w:val="20"/>
                <w:szCs w:val="20"/>
              </w:rPr>
              <w:t>VAT</w:t>
            </w:r>
          </w:p>
        </w:tc>
        <w:tc>
          <w:tcPr>
            <w:tcW w:w="7716" w:type="dxa"/>
            <w:vAlign w:val="center"/>
          </w:tcPr>
          <w:p>
            <w:pPr>
              <w:rPr>
                <w:noProof/>
                <w:sz w:val="20"/>
                <w:szCs w:val="20"/>
              </w:rPr>
            </w:pPr>
            <w:r>
              <w:rPr>
                <w:noProof/>
                <w:sz w:val="20"/>
                <w:szCs w:val="20"/>
              </w:rPr>
              <w:t>Value-Added Tax</w:t>
            </w:r>
          </w:p>
        </w:tc>
      </w:tr>
      <w:tr>
        <w:tc>
          <w:tcPr>
            <w:tcW w:w="1526" w:type="dxa"/>
            <w:vAlign w:val="center"/>
          </w:tcPr>
          <w:p>
            <w:pPr>
              <w:rPr>
                <w:bCs/>
                <w:noProof/>
                <w:sz w:val="20"/>
                <w:szCs w:val="20"/>
              </w:rPr>
            </w:pPr>
            <w:r>
              <w:rPr>
                <w:bCs/>
                <w:noProof/>
                <w:sz w:val="20"/>
                <w:szCs w:val="20"/>
              </w:rPr>
              <w:t>VOCU</w:t>
            </w:r>
          </w:p>
        </w:tc>
        <w:tc>
          <w:tcPr>
            <w:tcW w:w="7716" w:type="dxa"/>
            <w:vAlign w:val="center"/>
          </w:tcPr>
          <w:p>
            <w:pPr>
              <w:rPr>
                <w:bCs/>
                <w:noProof/>
                <w:sz w:val="20"/>
                <w:szCs w:val="20"/>
              </w:rPr>
            </w:pPr>
            <w:r>
              <w:rPr>
                <w:bCs/>
                <w:noProof/>
                <w:sz w:val="20"/>
                <w:szCs w:val="20"/>
              </w:rPr>
              <w:t>Virtual Operations Coordination Unit</w:t>
            </w:r>
          </w:p>
        </w:tc>
      </w:tr>
      <w:tr>
        <w:tc>
          <w:tcPr>
            <w:tcW w:w="1526" w:type="dxa"/>
            <w:vAlign w:val="center"/>
          </w:tcPr>
          <w:p>
            <w:pPr>
              <w:rPr>
                <w:bCs/>
                <w:noProof/>
                <w:sz w:val="20"/>
                <w:szCs w:val="20"/>
              </w:rPr>
            </w:pPr>
            <w:r>
              <w:rPr>
                <w:noProof/>
                <w:sz w:val="20"/>
                <w:szCs w:val="20"/>
              </w:rPr>
              <w:t>YEI</w:t>
            </w:r>
          </w:p>
        </w:tc>
        <w:tc>
          <w:tcPr>
            <w:tcW w:w="7716" w:type="dxa"/>
            <w:vAlign w:val="center"/>
          </w:tcPr>
          <w:p>
            <w:pPr>
              <w:rPr>
                <w:noProof/>
                <w:sz w:val="20"/>
                <w:szCs w:val="20"/>
              </w:rPr>
            </w:pPr>
            <w:r>
              <w:rPr>
                <w:noProof/>
                <w:sz w:val="20"/>
                <w:szCs w:val="20"/>
              </w:rPr>
              <w:t>Youth Employment Initiative</w:t>
            </w:r>
          </w:p>
        </w:tc>
      </w:tr>
    </w:tbl>
    <w:p>
      <w:pPr>
        <w:pStyle w:val="Text1"/>
        <w:rPr>
          <w:noProof/>
        </w:rPr>
      </w:pPr>
      <w:r>
        <w:rPr>
          <w:noProof/>
        </w:rPr>
        <w:br w:type="page"/>
      </w:r>
    </w:p>
    <w:p>
      <w:pPr>
        <w:pStyle w:val="ManualHeading1"/>
        <w:jc w:val="center"/>
        <w:rPr>
          <w:noProof/>
        </w:rPr>
      </w:pPr>
      <w:bookmarkStart w:id="112" w:name="_Toc45618012"/>
      <w:r>
        <w:rPr>
          <w:noProof/>
        </w:rPr>
        <w:t>COUNTRY FACTSHEETS</w:t>
      </w:r>
      <w:bookmarkEnd w:id="99"/>
      <w:bookmarkEnd w:id="100"/>
      <w:bookmarkEnd w:id="101"/>
      <w:bookmarkEnd w:id="102"/>
      <w:bookmarkEnd w:id="103"/>
      <w:bookmarkEnd w:id="104"/>
      <w:bookmarkEnd w:id="105"/>
      <w:bookmarkEnd w:id="112"/>
    </w:p>
    <w:p>
      <w:pPr>
        <w:pStyle w:val="ManualHeading2"/>
        <w:spacing w:before="240" w:after="0"/>
        <w:rPr>
          <w:noProof/>
        </w:rPr>
      </w:pPr>
      <w:bookmarkStart w:id="113" w:name="_Toc424911615"/>
      <w:bookmarkStart w:id="114" w:name="_Toc453345635"/>
      <w:bookmarkStart w:id="115" w:name="_Toc486928889"/>
      <w:bookmarkStart w:id="116" w:name="_Toc519075311"/>
      <w:bookmarkStart w:id="117" w:name="_Toc13153279"/>
      <w:bookmarkStart w:id="118" w:name="_Toc45618013"/>
      <w:r>
        <w:rPr>
          <w:noProof/>
        </w:rPr>
        <w:t>Belgium</w:t>
      </w:r>
      <w:bookmarkEnd w:id="113"/>
      <w:bookmarkEnd w:id="114"/>
      <w:r>
        <w:rPr>
          <w:noProof/>
        </w:rPr>
        <w:t xml:space="preserve"> - Belgique/België</w:t>
      </w:r>
      <w:bookmarkEnd w:id="115"/>
      <w:bookmarkEnd w:id="116"/>
      <w:bookmarkEnd w:id="117"/>
      <w:bookmarkEnd w:id="118"/>
    </w:p>
    <w:p>
      <w:pPr>
        <w:spacing w:before="240" w:after="0"/>
        <w:rPr>
          <w:noProof/>
        </w:rPr>
      </w:pPr>
      <w:r>
        <w:rPr>
          <w:noProof/>
          <w:lang w:eastAsia="en-GB"/>
        </w:rPr>
        <w:drawing>
          <wp:inline distT="0" distB="0" distL="0" distR="0">
            <wp:extent cx="5724672" cy="620202"/>
            <wp:effectExtent l="0" t="0" r="0" b="889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3284" cy="627635"/>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28611" cy="1812898"/>
            <wp:effectExtent l="0" t="0" r="5715"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2913" cy="1820589"/>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28901" cy="2393342"/>
            <wp:effectExtent l="0" t="0" r="5715" b="698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7587" cy="2401148"/>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119388"/>
            <wp:effectExtent l="0" t="0" r="2540" b="508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119388"/>
                    </a:xfrm>
                    <a:prstGeom prst="rect">
                      <a:avLst/>
                    </a:prstGeom>
                    <a:noFill/>
                    <a:ln>
                      <a:noFill/>
                    </a:ln>
                  </pic:spPr>
                </pic:pic>
              </a:graphicData>
            </a:graphic>
          </wp:inline>
        </w:drawing>
      </w:r>
    </w:p>
    <w:p>
      <w:pPr>
        <w:spacing w:before="240" w:after="0"/>
        <w:rPr>
          <w:noProof/>
        </w:rPr>
      </w:pPr>
    </w:p>
    <w:p>
      <w:pPr>
        <w:rPr>
          <w:noProof/>
        </w:rPr>
      </w:pPr>
    </w:p>
    <w:p>
      <w:pPr>
        <w:rPr>
          <w:noProof/>
        </w:rPr>
      </w:pPr>
    </w:p>
    <w:p>
      <w:pPr>
        <w:rPr>
          <w:noProof/>
        </w:rPr>
      </w:pPr>
    </w:p>
    <w:p>
      <w:pPr>
        <w:pStyle w:val="ManualHeading2"/>
        <w:spacing w:before="240" w:after="0"/>
        <w:rPr>
          <w:noProof/>
        </w:rPr>
      </w:pPr>
      <w:bookmarkStart w:id="119" w:name="_Toc486928890"/>
      <w:bookmarkStart w:id="120" w:name="_Toc519075312"/>
      <w:bookmarkStart w:id="121" w:name="_Toc13153280"/>
      <w:bookmarkStart w:id="122" w:name="_Toc45618014"/>
      <w:r>
        <w:rPr>
          <w:noProof/>
        </w:rPr>
        <w:t>Bulgaria - България</w:t>
      </w:r>
      <w:bookmarkEnd w:id="119"/>
      <w:bookmarkEnd w:id="120"/>
      <w:bookmarkEnd w:id="121"/>
      <w:bookmarkEnd w:id="122"/>
    </w:p>
    <w:p>
      <w:pPr>
        <w:spacing w:before="240" w:after="0"/>
        <w:rPr>
          <w:noProof/>
        </w:rPr>
      </w:pPr>
      <w:r>
        <w:rPr>
          <w:noProof/>
          <w:lang w:eastAsia="en-GB"/>
        </w:rPr>
        <w:drawing>
          <wp:inline distT="0" distB="0" distL="0" distR="0">
            <wp:extent cx="5731510" cy="686846"/>
            <wp:effectExtent l="0" t="0" r="254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838683"/>
            <wp:effectExtent l="0" t="0" r="2540"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1838683"/>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3005077"/>
            <wp:effectExtent l="0" t="0" r="2540" b="508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005077"/>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152445" cy="1409665"/>
            <wp:effectExtent l="0" t="0" r="0" b="63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2861" cy="1417987"/>
                    </a:xfrm>
                    <a:prstGeom prst="rect">
                      <a:avLst/>
                    </a:prstGeom>
                    <a:noFill/>
                    <a:ln>
                      <a:noFill/>
                    </a:ln>
                  </pic:spPr>
                </pic:pic>
              </a:graphicData>
            </a:graphic>
          </wp:inline>
        </w:drawing>
      </w:r>
    </w:p>
    <w:p>
      <w:pPr>
        <w:spacing w:before="240" w:after="0"/>
        <w:rPr>
          <w:noProof/>
        </w:rPr>
      </w:pPr>
    </w:p>
    <w:p>
      <w:pPr>
        <w:rPr>
          <w:noProof/>
        </w:rPr>
      </w:pPr>
    </w:p>
    <w:p>
      <w:pPr>
        <w:rPr>
          <w:noProof/>
        </w:rPr>
      </w:pPr>
    </w:p>
    <w:p>
      <w:pPr>
        <w:pStyle w:val="ManualHeading2"/>
        <w:spacing w:before="240" w:after="0"/>
        <w:rPr>
          <w:noProof/>
        </w:rPr>
      </w:pPr>
      <w:bookmarkStart w:id="123" w:name="_Toc424911617"/>
      <w:bookmarkStart w:id="124" w:name="_Toc453345637"/>
      <w:bookmarkStart w:id="125" w:name="_Toc486928891"/>
      <w:bookmarkStart w:id="126" w:name="_Toc519075313"/>
      <w:bookmarkStart w:id="127" w:name="_Toc13153281"/>
      <w:bookmarkStart w:id="128" w:name="_Toc45618015"/>
      <w:r>
        <w:rPr>
          <w:noProof/>
        </w:rPr>
        <w:t>Czech Republic</w:t>
      </w:r>
      <w:bookmarkEnd w:id="123"/>
      <w:bookmarkEnd w:id="124"/>
      <w:r>
        <w:rPr>
          <w:noProof/>
        </w:rPr>
        <w:t xml:space="preserve"> - Česká republika</w:t>
      </w:r>
      <w:bookmarkEnd w:id="125"/>
      <w:bookmarkEnd w:id="126"/>
      <w:bookmarkEnd w:id="127"/>
      <w:bookmarkEnd w:id="128"/>
    </w:p>
    <w:p>
      <w:pPr>
        <w:spacing w:before="240" w:after="0"/>
        <w:rPr>
          <w:noProof/>
        </w:rPr>
      </w:pPr>
      <w:r>
        <w:rPr>
          <w:noProof/>
          <w:lang w:eastAsia="en-GB"/>
        </w:rPr>
        <w:drawing>
          <wp:inline distT="0" distB="0" distL="0" distR="0">
            <wp:extent cx="5731510" cy="686846"/>
            <wp:effectExtent l="0" t="0" r="254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735953"/>
            <wp:effectExtent l="0" t="0" r="254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1735953"/>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3409633"/>
            <wp:effectExtent l="0" t="0" r="2540" b="63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409633"/>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273238" cy="1439187"/>
            <wp:effectExtent l="0" t="0" r="3810" b="889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8079" cy="1448696"/>
                    </a:xfrm>
                    <a:prstGeom prst="rect">
                      <a:avLst/>
                    </a:prstGeom>
                    <a:noFill/>
                    <a:ln>
                      <a:noFill/>
                    </a:ln>
                  </pic:spPr>
                </pic:pic>
              </a:graphicData>
            </a:graphic>
          </wp:inline>
        </w:drawing>
      </w:r>
    </w:p>
    <w:p>
      <w:pPr>
        <w:spacing w:before="240" w:after="0"/>
        <w:rPr>
          <w:noProof/>
        </w:rPr>
      </w:pPr>
    </w:p>
    <w:p>
      <w:pPr>
        <w:rPr>
          <w:noProof/>
        </w:rPr>
      </w:pPr>
    </w:p>
    <w:p>
      <w:pPr>
        <w:rPr>
          <w:noProof/>
        </w:rPr>
      </w:pPr>
    </w:p>
    <w:p>
      <w:pPr>
        <w:rPr>
          <w:noProof/>
        </w:rPr>
      </w:pPr>
    </w:p>
    <w:p>
      <w:pPr>
        <w:pStyle w:val="ManualHeading2"/>
        <w:spacing w:before="240" w:after="0"/>
        <w:rPr>
          <w:noProof/>
        </w:rPr>
      </w:pPr>
      <w:bookmarkStart w:id="129" w:name="_Toc424911618"/>
      <w:bookmarkStart w:id="130" w:name="_Toc453345638"/>
      <w:bookmarkStart w:id="131" w:name="_Toc486928892"/>
      <w:bookmarkStart w:id="132" w:name="_Toc519075314"/>
      <w:bookmarkStart w:id="133" w:name="_Toc13153282"/>
      <w:bookmarkStart w:id="134" w:name="_Toc45618016"/>
      <w:r>
        <w:rPr>
          <w:noProof/>
        </w:rPr>
        <w:t>Denmark</w:t>
      </w:r>
      <w:bookmarkEnd w:id="129"/>
      <w:bookmarkEnd w:id="130"/>
      <w:r>
        <w:rPr>
          <w:noProof/>
        </w:rPr>
        <w:t xml:space="preserve"> - Danmark</w:t>
      </w:r>
      <w:bookmarkEnd w:id="131"/>
      <w:bookmarkEnd w:id="132"/>
      <w:bookmarkEnd w:id="133"/>
      <w:bookmarkEnd w:id="134"/>
    </w:p>
    <w:p>
      <w:pPr>
        <w:spacing w:before="240" w:after="0"/>
        <w:rPr>
          <w:noProof/>
        </w:rPr>
      </w:pPr>
      <w:r>
        <w:rPr>
          <w:noProof/>
          <w:lang w:eastAsia="en-GB"/>
        </w:rPr>
        <w:drawing>
          <wp:inline distT="0" distB="0" distL="0" distR="0">
            <wp:extent cx="5731510" cy="686846"/>
            <wp:effectExtent l="0" t="0" r="254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85004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1850047"/>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2493245"/>
            <wp:effectExtent l="0" t="0" r="2540" b="254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493245"/>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072932" cy="1394744"/>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05357" cy="1403659"/>
                    </a:xfrm>
                    <a:prstGeom prst="rect">
                      <a:avLst/>
                    </a:prstGeom>
                    <a:noFill/>
                    <a:ln>
                      <a:noFill/>
                    </a:ln>
                  </pic:spPr>
                </pic:pic>
              </a:graphicData>
            </a:graphic>
          </wp:inline>
        </w:drawing>
      </w:r>
    </w:p>
    <w:p>
      <w:pPr>
        <w:spacing w:before="240" w:after="0"/>
        <w:rPr>
          <w:noProof/>
        </w:rPr>
      </w:pPr>
    </w:p>
    <w:p>
      <w:pPr>
        <w:rPr>
          <w:noProof/>
        </w:rPr>
      </w:pPr>
    </w:p>
    <w:p>
      <w:pPr>
        <w:rPr>
          <w:noProof/>
        </w:rPr>
      </w:pPr>
    </w:p>
    <w:p>
      <w:pPr>
        <w:pStyle w:val="ManualHeading2"/>
        <w:spacing w:before="240" w:after="0"/>
        <w:rPr>
          <w:noProof/>
        </w:rPr>
      </w:pPr>
      <w:bookmarkStart w:id="135" w:name="_Toc424911619"/>
      <w:bookmarkStart w:id="136" w:name="_Toc453345639"/>
      <w:bookmarkStart w:id="137" w:name="_Toc486928893"/>
      <w:bookmarkStart w:id="138" w:name="_Toc519075315"/>
      <w:bookmarkStart w:id="139" w:name="_Toc13153283"/>
      <w:bookmarkStart w:id="140" w:name="_Toc45618017"/>
      <w:r>
        <w:rPr>
          <w:noProof/>
        </w:rPr>
        <w:t>Germany</w:t>
      </w:r>
      <w:bookmarkEnd w:id="135"/>
      <w:bookmarkEnd w:id="136"/>
      <w:r>
        <w:rPr>
          <w:noProof/>
        </w:rPr>
        <w:t xml:space="preserve"> - Deutschland</w:t>
      </w:r>
      <w:bookmarkEnd w:id="137"/>
      <w:bookmarkEnd w:id="138"/>
      <w:bookmarkEnd w:id="139"/>
      <w:bookmarkEnd w:id="140"/>
    </w:p>
    <w:p>
      <w:pPr>
        <w:spacing w:before="240" w:after="0"/>
        <w:rPr>
          <w:noProof/>
        </w:rPr>
      </w:pPr>
      <w:r>
        <w:rPr>
          <w:noProof/>
          <w:lang w:eastAsia="en-GB"/>
        </w:rPr>
        <w:drawing>
          <wp:inline distT="0" distB="0" distL="0" distR="0">
            <wp:extent cx="5731510" cy="547140"/>
            <wp:effectExtent l="0" t="0" r="2540" b="571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547140"/>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889594"/>
            <wp:effectExtent l="0" t="0" r="254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1889594"/>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2845982"/>
            <wp:effectExtent l="0" t="0" r="254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2845982"/>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112689" cy="1407337"/>
            <wp:effectExtent l="0" t="0" r="0" b="254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68239" cy="1422628"/>
                    </a:xfrm>
                    <a:prstGeom prst="rect">
                      <a:avLst/>
                    </a:prstGeom>
                    <a:noFill/>
                    <a:ln>
                      <a:noFill/>
                    </a:ln>
                  </pic:spPr>
                </pic:pic>
              </a:graphicData>
            </a:graphic>
          </wp:inline>
        </w:drawing>
      </w:r>
    </w:p>
    <w:p>
      <w:pPr>
        <w:contextualSpacing/>
        <w:rPr>
          <w:noProof/>
        </w:rPr>
      </w:pPr>
    </w:p>
    <w:p>
      <w:pPr>
        <w:contextualSpacing/>
        <w:rPr>
          <w:noProof/>
        </w:rPr>
      </w:pPr>
    </w:p>
    <w:p>
      <w:pPr>
        <w:contextualSpacing/>
        <w:rPr>
          <w:noProof/>
        </w:rPr>
      </w:pPr>
    </w:p>
    <w:p>
      <w:pPr>
        <w:contextualSpacing/>
        <w:rPr>
          <w:noProof/>
        </w:rPr>
      </w:pPr>
    </w:p>
    <w:p>
      <w:pPr>
        <w:contextualSpacing/>
        <w:rPr>
          <w:noProof/>
        </w:rPr>
      </w:pPr>
    </w:p>
    <w:p>
      <w:pPr>
        <w:contextualSpacing/>
        <w:rPr>
          <w:noProof/>
        </w:rPr>
      </w:pPr>
    </w:p>
    <w:p>
      <w:pPr>
        <w:pStyle w:val="ManualHeading2"/>
        <w:spacing w:before="240" w:after="0"/>
        <w:rPr>
          <w:noProof/>
        </w:rPr>
      </w:pPr>
      <w:bookmarkStart w:id="141" w:name="_Toc424911620"/>
      <w:bookmarkStart w:id="142" w:name="_Toc453345640"/>
      <w:bookmarkStart w:id="143" w:name="_Toc486928894"/>
      <w:bookmarkStart w:id="144" w:name="_Toc519075316"/>
      <w:bookmarkStart w:id="145" w:name="_Toc13153284"/>
      <w:bookmarkStart w:id="146" w:name="_Toc45618018"/>
      <w:r>
        <w:rPr>
          <w:noProof/>
        </w:rPr>
        <w:t>Estonia</w:t>
      </w:r>
      <w:bookmarkEnd w:id="141"/>
      <w:bookmarkEnd w:id="142"/>
      <w:r>
        <w:rPr>
          <w:noProof/>
        </w:rPr>
        <w:t xml:space="preserve"> - Eesti</w:t>
      </w:r>
      <w:bookmarkEnd w:id="143"/>
      <w:bookmarkEnd w:id="144"/>
      <w:bookmarkEnd w:id="145"/>
      <w:bookmarkEnd w:id="146"/>
    </w:p>
    <w:p>
      <w:pPr>
        <w:spacing w:before="240" w:after="0"/>
        <w:rPr>
          <w:noProof/>
        </w:rPr>
      </w:pPr>
      <w:r>
        <w:rPr>
          <w:noProof/>
          <w:lang w:eastAsia="en-GB"/>
        </w:rPr>
        <w:drawing>
          <wp:inline distT="0" distB="0" distL="0" distR="0">
            <wp:extent cx="5731510" cy="686846"/>
            <wp:effectExtent l="0" t="0" r="254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542312"/>
            <wp:effectExtent l="0" t="0" r="2540" b="127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1542312"/>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3278720"/>
            <wp:effectExtent l="0" t="0" r="254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3278720"/>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001370" cy="1353346"/>
            <wp:effectExtent l="0" t="0" r="889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4374" cy="1359571"/>
                    </a:xfrm>
                    <a:prstGeom prst="rect">
                      <a:avLst/>
                    </a:prstGeom>
                    <a:noFill/>
                    <a:ln>
                      <a:noFill/>
                    </a:ln>
                  </pic:spPr>
                </pic:pic>
              </a:graphicData>
            </a:graphic>
          </wp:inline>
        </w:drawing>
      </w:r>
    </w:p>
    <w:p>
      <w:pPr>
        <w:contextualSpacing/>
        <w:rPr>
          <w:noProof/>
        </w:rPr>
      </w:pPr>
    </w:p>
    <w:p>
      <w:pPr>
        <w:contextualSpacing/>
        <w:rPr>
          <w:noProof/>
        </w:rPr>
      </w:pPr>
    </w:p>
    <w:p>
      <w:pPr>
        <w:contextualSpacing/>
        <w:rPr>
          <w:noProof/>
        </w:rPr>
      </w:pPr>
    </w:p>
    <w:p>
      <w:pPr>
        <w:contextualSpacing/>
        <w:rPr>
          <w:noProof/>
        </w:rPr>
      </w:pPr>
    </w:p>
    <w:p>
      <w:pPr>
        <w:contextualSpacing/>
        <w:rPr>
          <w:noProof/>
        </w:rPr>
      </w:pPr>
    </w:p>
    <w:p>
      <w:pPr>
        <w:pStyle w:val="ManualHeading2"/>
        <w:spacing w:before="240" w:after="0"/>
        <w:rPr>
          <w:noProof/>
        </w:rPr>
      </w:pPr>
      <w:bookmarkStart w:id="147" w:name="_Toc486928895"/>
      <w:bookmarkStart w:id="148" w:name="_Toc519075317"/>
      <w:bookmarkStart w:id="149" w:name="_Toc13153285"/>
      <w:bookmarkStart w:id="150" w:name="_Toc45618019"/>
      <w:r>
        <w:rPr>
          <w:noProof/>
        </w:rPr>
        <w:t>Ireland - Éire</w:t>
      </w:r>
      <w:bookmarkEnd w:id="147"/>
      <w:bookmarkEnd w:id="148"/>
      <w:bookmarkEnd w:id="149"/>
      <w:bookmarkEnd w:id="150"/>
    </w:p>
    <w:p>
      <w:pPr>
        <w:spacing w:before="240" w:after="0"/>
        <w:rPr>
          <w:noProof/>
        </w:rPr>
      </w:pPr>
      <w:r>
        <w:rPr>
          <w:noProof/>
          <w:lang w:eastAsia="en-GB"/>
        </w:rPr>
        <w:drawing>
          <wp:inline distT="0" distB="0" distL="0" distR="0">
            <wp:extent cx="5731510" cy="686846"/>
            <wp:effectExtent l="0" t="0" r="254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724589"/>
            <wp:effectExtent l="0" t="0" r="2540"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1724589"/>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2225511"/>
            <wp:effectExtent l="0" t="0" r="2540" b="381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2225511"/>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4961614" cy="1352418"/>
            <wp:effectExtent l="0" t="0" r="0" b="63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80819" cy="1357653"/>
                    </a:xfrm>
                    <a:prstGeom prst="rect">
                      <a:avLst/>
                    </a:prstGeom>
                    <a:noFill/>
                    <a:ln>
                      <a:noFill/>
                    </a:ln>
                  </pic:spPr>
                </pic:pic>
              </a:graphicData>
            </a:graphic>
          </wp:inline>
        </w:drawing>
      </w:r>
    </w:p>
    <w:p>
      <w:pPr>
        <w:spacing w:before="240" w:after="0"/>
        <w:rPr>
          <w:noProof/>
        </w:rPr>
      </w:pPr>
    </w:p>
    <w:p>
      <w:pPr>
        <w:spacing w:before="240" w:after="0"/>
        <w:rPr>
          <w:noProof/>
        </w:rPr>
      </w:pPr>
    </w:p>
    <w:p>
      <w:pPr>
        <w:contextualSpacing/>
        <w:rPr>
          <w:noProof/>
        </w:rPr>
      </w:pPr>
    </w:p>
    <w:p>
      <w:pPr>
        <w:contextualSpacing/>
        <w:rPr>
          <w:noProof/>
        </w:rPr>
      </w:pPr>
    </w:p>
    <w:p>
      <w:pPr>
        <w:contextualSpacing/>
        <w:rPr>
          <w:noProof/>
        </w:rPr>
      </w:pPr>
    </w:p>
    <w:p>
      <w:pPr>
        <w:contextualSpacing/>
        <w:rPr>
          <w:noProof/>
        </w:rPr>
      </w:pPr>
    </w:p>
    <w:p>
      <w:pPr>
        <w:contextualSpacing/>
        <w:rPr>
          <w:noProof/>
        </w:rPr>
      </w:pPr>
    </w:p>
    <w:p>
      <w:pPr>
        <w:contextualSpacing/>
        <w:rPr>
          <w:noProof/>
        </w:rPr>
      </w:pPr>
    </w:p>
    <w:p>
      <w:pPr>
        <w:pStyle w:val="ManualHeading2"/>
        <w:spacing w:before="240" w:after="0"/>
        <w:rPr>
          <w:noProof/>
        </w:rPr>
      </w:pPr>
      <w:bookmarkStart w:id="151" w:name="_Toc424911622"/>
      <w:bookmarkStart w:id="152" w:name="_Toc453345642"/>
      <w:bookmarkStart w:id="153" w:name="_Toc486928896"/>
      <w:bookmarkStart w:id="154" w:name="_Toc519075318"/>
      <w:bookmarkStart w:id="155" w:name="_Toc13153286"/>
      <w:bookmarkStart w:id="156" w:name="_Toc45618020"/>
      <w:r>
        <w:rPr>
          <w:noProof/>
        </w:rPr>
        <w:t>Greece</w:t>
      </w:r>
      <w:bookmarkEnd w:id="151"/>
      <w:bookmarkEnd w:id="152"/>
      <w:r>
        <w:rPr>
          <w:noProof/>
        </w:rPr>
        <w:t xml:space="preserve"> - Ελλάδα</w:t>
      </w:r>
      <w:bookmarkEnd w:id="153"/>
      <w:bookmarkEnd w:id="154"/>
      <w:bookmarkEnd w:id="155"/>
      <w:bookmarkEnd w:id="156"/>
    </w:p>
    <w:p>
      <w:pPr>
        <w:spacing w:before="240" w:after="0"/>
        <w:rPr>
          <w:noProof/>
        </w:rPr>
      </w:pPr>
      <w:r>
        <w:rPr>
          <w:noProof/>
          <w:lang w:eastAsia="en-GB"/>
        </w:rPr>
        <w:drawing>
          <wp:inline distT="0" distB="0" distL="0" distR="0">
            <wp:extent cx="5731510" cy="68684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85004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1850047"/>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2766434"/>
            <wp:effectExtent l="0" t="0" r="254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2766434"/>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4858247" cy="1329175"/>
            <wp:effectExtent l="0" t="0" r="0" b="444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93559" cy="1338836"/>
                    </a:xfrm>
                    <a:prstGeom prst="rect">
                      <a:avLst/>
                    </a:prstGeom>
                    <a:noFill/>
                    <a:ln>
                      <a:noFill/>
                    </a:ln>
                  </pic:spPr>
                </pic:pic>
              </a:graphicData>
            </a:graphic>
          </wp:inline>
        </w:drawing>
      </w:r>
    </w:p>
    <w:p>
      <w:pPr>
        <w:spacing w:before="240" w:after="0"/>
        <w:rPr>
          <w:noProof/>
        </w:rPr>
      </w:pPr>
    </w:p>
    <w:p>
      <w:pPr>
        <w:contextualSpacing/>
        <w:rPr>
          <w:noProof/>
        </w:rPr>
      </w:pPr>
    </w:p>
    <w:p>
      <w:pPr>
        <w:contextualSpacing/>
        <w:rPr>
          <w:noProof/>
        </w:rPr>
      </w:pPr>
    </w:p>
    <w:p>
      <w:pPr>
        <w:contextualSpacing/>
        <w:rPr>
          <w:noProof/>
        </w:rPr>
      </w:pPr>
    </w:p>
    <w:p>
      <w:pPr>
        <w:contextualSpacing/>
        <w:rPr>
          <w:noProof/>
        </w:rPr>
      </w:pPr>
    </w:p>
    <w:p>
      <w:pPr>
        <w:rPr>
          <w:noProof/>
        </w:rPr>
      </w:pPr>
    </w:p>
    <w:p>
      <w:pPr>
        <w:pStyle w:val="ManualHeading2"/>
        <w:spacing w:before="240" w:after="0"/>
        <w:rPr>
          <w:noProof/>
        </w:rPr>
      </w:pPr>
      <w:bookmarkStart w:id="157" w:name="_Toc486928897"/>
      <w:bookmarkStart w:id="158" w:name="_Toc519075319"/>
      <w:bookmarkStart w:id="159" w:name="_Toc13153287"/>
      <w:bookmarkStart w:id="160" w:name="_Toc45618021"/>
      <w:r>
        <w:rPr>
          <w:noProof/>
        </w:rPr>
        <w:t>Spain - España</w:t>
      </w:r>
      <w:bookmarkEnd w:id="157"/>
      <w:bookmarkEnd w:id="158"/>
      <w:bookmarkEnd w:id="159"/>
      <w:bookmarkEnd w:id="160"/>
    </w:p>
    <w:p>
      <w:pPr>
        <w:spacing w:before="240" w:after="0"/>
        <w:rPr>
          <w:noProof/>
        </w:rPr>
      </w:pPr>
      <w:r>
        <w:rPr>
          <w:noProof/>
          <w:lang w:eastAsia="en-GB"/>
        </w:rPr>
        <w:drawing>
          <wp:inline distT="0" distB="0" distL="0" distR="0">
            <wp:extent cx="5731510" cy="686846"/>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98641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1986414"/>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2441881"/>
            <wp:effectExtent l="0" t="0" r="254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2441881"/>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136543" cy="1405314"/>
            <wp:effectExtent l="0" t="0" r="6985" b="444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49271" cy="1408796"/>
                    </a:xfrm>
                    <a:prstGeom prst="rect">
                      <a:avLst/>
                    </a:prstGeom>
                    <a:noFill/>
                    <a:ln>
                      <a:noFill/>
                    </a:ln>
                  </pic:spPr>
                </pic:pic>
              </a:graphicData>
            </a:graphic>
          </wp:inline>
        </w:drawing>
      </w:r>
    </w:p>
    <w:p>
      <w:pPr>
        <w:spacing w:before="240" w:after="0"/>
        <w:rPr>
          <w:noProof/>
        </w:rPr>
      </w:pPr>
    </w:p>
    <w:p>
      <w:pPr>
        <w:rPr>
          <w:noProof/>
        </w:rPr>
      </w:pPr>
    </w:p>
    <w:p>
      <w:pPr>
        <w:rPr>
          <w:noProof/>
        </w:rPr>
      </w:pPr>
    </w:p>
    <w:p>
      <w:pPr>
        <w:rPr>
          <w:noProof/>
        </w:rPr>
      </w:pPr>
    </w:p>
    <w:p>
      <w:pPr>
        <w:pStyle w:val="ManualHeading2"/>
        <w:spacing w:before="240" w:after="0"/>
        <w:rPr>
          <w:noProof/>
        </w:rPr>
      </w:pPr>
      <w:bookmarkStart w:id="161" w:name="_Toc486928898"/>
      <w:bookmarkStart w:id="162" w:name="_Toc519075320"/>
      <w:bookmarkStart w:id="163" w:name="_Toc13153288"/>
      <w:bookmarkStart w:id="164" w:name="_Toc45618022"/>
      <w:r>
        <w:rPr>
          <w:noProof/>
        </w:rPr>
        <w:t>France</w:t>
      </w:r>
      <w:bookmarkEnd w:id="161"/>
      <w:bookmarkEnd w:id="162"/>
      <w:bookmarkEnd w:id="163"/>
      <w:bookmarkEnd w:id="164"/>
    </w:p>
    <w:p>
      <w:pPr>
        <w:spacing w:before="240" w:after="0"/>
        <w:rPr>
          <w:noProof/>
        </w:rPr>
      </w:pPr>
      <w:r>
        <w:rPr>
          <w:noProof/>
          <w:lang w:eastAsia="en-GB"/>
        </w:rPr>
        <w:drawing>
          <wp:inline distT="0" distB="0" distL="0" distR="0">
            <wp:extent cx="5731510" cy="686846"/>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730499"/>
            <wp:effectExtent l="0" t="0" r="2540" b="3175"/>
            <wp:docPr id="1092789" name="Picture 109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1730499"/>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281189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2811890"/>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169303" cy="1407381"/>
            <wp:effectExtent l="0" t="0" r="0" b="254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92424" cy="1413676"/>
                    </a:xfrm>
                    <a:prstGeom prst="rect">
                      <a:avLst/>
                    </a:prstGeom>
                    <a:noFill/>
                    <a:ln>
                      <a:noFill/>
                    </a:ln>
                  </pic:spPr>
                </pic:pic>
              </a:graphicData>
            </a:graphic>
          </wp:inline>
        </w:drawing>
      </w:r>
    </w:p>
    <w:p>
      <w:pPr>
        <w:spacing w:before="240" w:after="0"/>
        <w:rPr>
          <w:noProof/>
        </w:rPr>
      </w:pPr>
    </w:p>
    <w:p>
      <w:pPr>
        <w:rPr>
          <w:noProof/>
        </w:rPr>
      </w:pPr>
    </w:p>
    <w:p>
      <w:pPr>
        <w:rPr>
          <w:noProof/>
        </w:rPr>
      </w:pPr>
    </w:p>
    <w:p>
      <w:pPr>
        <w:rPr>
          <w:noProof/>
        </w:rPr>
      </w:pPr>
    </w:p>
    <w:p>
      <w:pPr>
        <w:pStyle w:val="ManualHeading2"/>
        <w:spacing w:before="240" w:after="0"/>
        <w:rPr>
          <w:noProof/>
        </w:rPr>
      </w:pPr>
      <w:bookmarkStart w:id="165" w:name="_Toc424911625"/>
      <w:bookmarkStart w:id="166" w:name="_Toc453345645"/>
      <w:bookmarkStart w:id="167" w:name="_Toc486928899"/>
      <w:bookmarkStart w:id="168" w:name="_Toc519075321"/>
      <w:bookmarkStart w:id="169" w:name="_Toc13153289"/>
      <w:bookmarkStart w:id="170" w:name="_Toc45618023"/>
      <w:r>
        <w:rPr>
          <w:noProof/>
        </w:rPr>
        <w:t>Croatia</w:t>
      </w:r>
      <w:bookmarkEnd w:id="165"/>
      <w:bookmarkEnd w:id="166"/>
      <w:r>
        <w:rPr>
          <w:noProof/>
        </w:rPr>
        <w:t xml:space="preserve"> - Hrvatska</w:t>
      </w:r>
      <w:bookmarkEnd w:id="167"/>
      <w:bookmarkEnd w:id="168"/>
      <w:bookmarkEnd w:id="169"/>
      <w:bookmarkEnd w:id="170"/>
    </w:p>
    <w:p>
      <w:pPr>
        <w:spacing w:before="240" w:after="0"/>
        <w:rPr>
          <w:noProof/>
        </w:rPr>
      </w:pPr>
      <w:r>
        <w:rPr>
          <w:noProof/>
          <w:lang w:eastAsia="en-GB"/>
        </w:rPr>
        <w:drawing>
          <wp:inline distT="0" distB="0" distL="0" distR="0">
            <wp:extent cx="5731510" cy="686846"/>
            <wp:effectExtent l="0" t="0" r="2540" b="0"/>
            <wp:docPr id="1092790" name="Picture 109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730499"/>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1730499"/>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3175990"/>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3175990"/>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4953663" cy="1348671"/>
            <wp:effectExtent l="0" t="0" r="0" b="444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82732" cy="1356585"/>
                    </a:xfrm>
                    <a:prstGeom prst="rect">
                      <a:avLst/>
                    </a:prstGeom>
                    <a:noFill/>
                    <a:ln>
                      <a:noFill/>
                    </a:ln>
                  </pic:spPr>
                </pic:pic>
              </a:graphicData>
            </a:graphic>
          </wp:inline>
        </w:drawing>
      </w:r>
    </w:p>
    <w:p>
      <w:pPr>
        <w:spacing w:before="240" w:after="0"/>
        <w:rPr>
          <w:noProof/>
        </w:rPr>
      </w:pPr>
    </w:p>
    <w:p>
      <w:pPr>
        <w:rPr>
          <w:noProof/>
        </w:rPr>
      </w:pPr>
    </w:p>
    <w:p>
      <w:pPr>
        <w:rPr>
          <w:noProof/>
        </w:rPr>
      </w:pPr>
    </w:p>
    <w:p>
      <w:pPr>
        <w:pStyle w:val="ManualHeading2"/>
        <w:spacing w:before="240" w:after="0"/>
        <w:rPr>
          <w:noProof/>
        </w:rPr>
      </w:pPr>
      <w:bookmarkStart w:id="171" w:name="_Toc424911626"/>
      <w:bookmarkStart w:id="172" w:name="_Toc453345646"/>
      <w:bookmarkStart w:id="173" w:name="_Toc486928900"/>
      <w:bookmarkStart w:id="174" w:name="_Toc519075322"/>
      <w:bookmarkStart w:id="175" w:name="_Toc13153290"/>
      <w:bookmarkStart w:id="176" w:name="_Toc45618024"/>
      <w:r>
        <w:rPr>
          <w:noProof/>
        </w:rPr>
        <w:t>Italy</w:t>
      </w:r>
      <w:bookmarkEnd w:id="171"/>
      <w:bookmarkEnd w:id="172"/>
      <w:r>
        <w:rPr>
          <w:noProof/>
        </w:rPr>
        <w:t xml:space="preserve"> - Italia</w:t>
      </w:r>
      <w:bookmarkEnd w:id="173"/>
      <w:bookmarkEnd w:id="174"/>
      <w:bookmarkEnd w:id="175"/>
      <w:bookmarkEnd w:id="176"/>
    </w:p>
    <w:p>
      <w:pPr>
        <w:spacing w:before="240" w:after="0"/>
        <w:rPr>
          <w:noProof/>
        </w:rPr>
      </w:pPr>
      <w:r>
        <w:rPr>
          <w:noProof/>
          <w:lang w:eastAsia="en-GB"/>
        </w:rPr>
        <w:drawing>
          <wp:inline distT="0" distB="0" distL="0" distR="0">
            <wp:extent cx="5731510" cy="68684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889594"/>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1889594"/>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2709160"/>
            <wp:effectExtent l="0" t="0" r="2540" b="0"/>
            <wp:docPr id="1092768" name="Picture 109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2709160"/>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033176" cy="1371925"/>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61417" cy="1379623"/>
                    </a:xfrm>
                    <a:prstGeom prst="rect">
                      <a:avLst/>
                    </a:prstGeom>
                    <a:noFill/>
                    <a:ln>
                      <a:noFill/>
                    </a:ln>
                  </pic:spPr>
                </pic:pic>
              </a:graphicData>
            </a:graphic>
          </wp:inline>
        </w:drawing>
      </w:r>
    </w:p>
    <w:p>
      <w:pPr>
        <w:spacing w:before="240" w:after="0"/>
        <w:rPr>
          <w:noProof/>
        </w:rPr>
      </w:pPr>
    </w:p>
    <w:p>
      <w:pPr>
        <w:rPr>
          <w:noProof/>
        </w:rPr>
      </w:pPr>
    </w:p>
    <w:p>
      <w:pPr>
        <w:rPr>
          <w:noProof/>
        </w:rPr>
      </w:pPr>
    </w:p>
    <w:p>
      <w:pPr>
        <w:rPr>
          <w:noProof/>
        </w:rPr>
      </w:pPr>
    </w:p>
    <w:p>
      <w:pPr>
        <w:pStyle w:val="ManualHeading2"/>
        <w:spacing w:before="240" w:after="0"/>
        <w:rPr>
          <w:noProof/>
        </w:rPr>
      </w:pPr>
      <w:bookmarkStart w:id="177" w:name="_Toc424911627"/>
      <w:bookmarkStart w:id="178" w:name="_Toc453345647"/>
      <w:bookmarkStart w:id="179" w:name="_Toc486928901"/>
      <w:bookmarkStart w:id="180" w:name="_Toc519075323"/>
      <w:bookmarkStart w:id="181" w:name="_Toc13153291"/>
      <w:bookmarkStart w:id="182" w:name="_Toc45618025"/>
      <w:r>
        <w:rPr>
          <w:noProof/>
        </w:rPr>
        <w:t>Cyprus</w:t>
      </w:r>
      <w:bookmarkEnd w:id="177"/>
      <w:bookmarkEnd w:id="178"/>
      <w:r>
        <w:rPr>
          <w:noProof/>
        </w:rPr>
        <w:t xml:space="preserve"> - Κύπρος</w:t>
      </w:r>
      <w:bookmarkEnd w:id="179"/>
      <w:bookmarkEnd w:id="180"/>
      <w:bookmarkEnd w:id="181"/>
      <w:bookmarkEnd w:id="182"/>
    </w:p>
    <w:p>
      <w:pPr>
        <w:spacing w:before="240" w:after="0"/>
        <w:rPr>
          <w:noProof/>
        </w:rPr>
      </w:pPr>
      <w:r>
        <w:rPr>
          <w:noProof/>
          <w:lang w:eastAsia="en-GB"/>
        </w:rPr>
        <w:drawing>
          <wp:inline distT="0" distB="0" distL="0" distR="0">
            <wp:extent cx="5731510" cy="686846"/>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735953"/>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1735953"/>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2789162"/>
            <wp:effectExtent l="0" t="0" r="2540" b="0"/>
            <wp:docPr id="1092773" name="Picture 109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2789162"/>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216056" cy="1425253"/>
            <wp:effectExtent l="0" t="0" r="3810" b="381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40109" cy="1431825"/>
                    </a:xfrm>
                    <a:prstGeom prst="rect">
                      <a:avLst/>
                    </a:prstGeom>
                    <a:noFill/>
                    <a:ln>
                      <a:noFill/>
                    </a:ln>
                  </pic:spPr>
                </pic:pic>
              </a:graphicData>
            </a:graphic>
          </wp:inline>
        </w:drawing>
      </w:r>
    </w:p>
    <w:p>
      <w:pPr>
        <w:spacing w:before="240" w:after="0"/>
        <w:rPr>
          <w:noProof/>
        </w:rPr>
      </w:pPr>
    </w:p>
    <w:p>
      <w:pPr>
        <w:rPr>
          <w:noProof/>
        </w:rPr>
      </w:pPr>
    </w:p>
    <w:p>
      <w:pPr>
        <w:rPr>
          <w:noProof/>
        </w:rPr>
      </w:pPr>
    </w:p>
    <w:p>
      <w:pPr>
        <w:rPr>
          <w:noProof/>
        </w:rPr>
      </w:pPr>
    </w:p>
    <w:p>
      <w:pPr>
        <w:pStyle w:val="ManualHeading2"/>
        <w:spacing w:before="240" w:after="0"/>
        <w:rPr>
          <w:noProof/>
        </w:rPr>
      </w:pPr>
      <w:bookmarkStart w:id="183" w:name="_Toc486928902"/>
      <w:bookmarkStart w:id="184" w:name="_Toc519075324"/>
      <w:bookmarkStart w:id="185" w:name="_Toc13153292"/>
      <w:bookmarkStart w:id="186" w:name="_Toc45618026"/>
      <w:r>
        <w:rPr>
          <w:noProof/>
        </w:rPr>
        <w:t>Latvia - Latvija</w:t>
      </w:r>
      <w:bookmarkEnd w:id="183"/>
      <w:bookmarkEnd w:id="184"/>
      <w:bookmarkEnd w:id="185"/>
      <w:bookmarkEnd w:id="186"/>
    </w:p>
    <w:p>
      <w:pPr>
        <w:spacing w:before="240" w:after="0"/>
        <w:rPr>
          <w:noProof/>
        </w:rPr>
      </w:pPr>
      <w:r>
        <w:rPr>
          <w:noProof/>
          <w:lang w:eastAsia="en-GB"/>
        </w:rPr>
        <w:drawing>
          <wp:inline distT="0" distB="0" distL="0" distR="0">
            <wp:extent cx="5731510" cy="686846"/>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855502"/>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1855502"/>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3261447"/>
            <wp:effectExtent l="0" t="0" r="2540" b="0"/>
            <wp:docPr id="1092776" name="Picture 109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3261447"/>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096786" cy="1392663"/>
            <wp:effectExtent l="0" t="0" r="889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29752" cy="1401671"/>
                    </a:xfrm>
                    <a:prstGeom prst="rect">
                      <a:avLst/>
                    </a:prstGeom>
                    <a:noFill/>
                    <a:ln>
                      <a:noFill/>
                    </a:ln>
                  </pic:spPr>
                </pic:pic>
              </a:graphicData>
            </a:graphic>
          </wp:inline>
        </w:drawing>
      </w:r>
    </w:p>
    <w:p>
      <w:pPr>
        <w:spacing w:before="240" w:after="0"/>
        <w:rPr>
          <w:noProof/>
        </w:rPr>
      </w:pPr>
    </w:p>
    <w:p>
      <w:pPr>
        <w:rPr>
          <w:noProof/>
        </w:rPr>
      </w:pPr>
    </w:p>
    <w:p>
      <w:pPr>
        <w:pStyle w:val="ManualHeading2"/>
        <w:spacing w:before="240" w:after="0"/>
        <w:rPr>
          <w:noProof/>
        </w:rPr>
      </w:pPr>
      <w:bookmarkStart w:id="187" w:name="_Toc424911629"/>
      <w:bookmarkStart w:id="188" w:name="_Toc453345649"/>
      <w:bookmarkStart w:id="189" w:name="_Toc486928903"/>
      <w:bookmarkStart w:id="190" w:name="_Toc519075325"/>
      <w:bookmarkStart w:id="191" w:name="_Toc13153293"/>
      <w:bookmarkStart w:id="192" w:name="_Toc45618027"/>
      <w:r>
        <w:rPr>
          <w:noProof/>
        </w:rPr>
        <w:t>Lithuania</w:t>
      </w:r>
      <w:bookmarkEnd w:id="187"/>
      <w:bookmarkEnd w:id="188"/>
      <w:r>
        <w:rPr>
          <w:noProof/>
        </w:rPr>
        <w:t xml:space="preserve"> - Lietuva</w:t>
      </w:r>
      <w:bookmarkEnd w:id="189"/>
      <w:bookmarkEnd w:id="190"/>
      <w:bookmarkEnd w:id="191"/>
      <w:bookmarkEnd w:id="192"/>
    </w:p>
    <w:p>
      <w:pPr>
        <w:spacing w:before="240" w:after="0"/>
        <w:rPr>
          <w:noProof/>
        </w:rPr>
      </w:pPr>
      <w:r>
        <w:rPr>
          <w:noProof/>
          <w:lang w:eastAsia="en-GB"/>
        </w:rPr>
        <w:drawing>
          <wp:inline distT="0" distB="0" distL="0" distR="0">
            <wp:extent cx="5731510" cy="686846"/>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889594"/>
            <wp:effectExtent l="0" t="0" r="2540" b="0"/>
            <wp:docPr id="1092769" name="Picture 109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1889594"/>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3090533"/>
            <wp:effectExtent l="0" t="0" r="2540" b="0"/>
            <wp:docPr id="1092782" name="Picture 109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3090533"/>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4874150" cy="1317389"/>
            <wp:effectExtent l="0" t="0" r="317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02374" cy="1325017"/>
                    </a:xfrm>
                    <a:prstGeom prst="rect">
                      <a:avLst/>
                    </a:prstGeom>
                    <a:noFill/>
                    <a:ln>
                      <a:noFill/>
                    </a:ln>
                  </pic:spPr>
                </pic:pic>
              </a:graphicData>
            </a:graphic>
          </wp:inline>
        </w:drawing>
      </w:r>
    </w:p>
    <w:p>
      <w:pPr>
        <w:spacing w:before="240" w:after="0"/>
        <w:rPr>
          <w:noProof/>
        </w:rPr>
      </w:pPr>
    </w:p>
    <w:p>
      <w:pPr>
        <w:rPr>
          <w:noProof/>
        </w:rPr>
      </w:pPr>
    </w:p>
    <w:p>
      <w:pPr>
        <w:rPr>
          <w:noProof/>
        </w:rPr>
      </w:pPr>
    </w:p>
    <w:p>
      <w:pPr>
        <w:pStyle w:val="ManualHeading2"/>
        <w:spacing w:before="240" w:after="0"/>
        <w:rPr>
          <w:noProof/>
        </w:rPr>
      </w:pPr>
      <w:bookmarkStart w:id="193" w:name="_Toc424911630"/>
      <w:bookmarkStart w:id="194" w:name="_Toc453345650"/>
      <w:bookmarkStart w:id="195" w:name="_Toc486928904"/>
      <w:bookmarkStart w:id="196" w:name="_Toc519075326"/>
      <w:bookmarkStart w:id="197" w:name="_Toc13153294"/>
      <w:bookmarkStart w:id="198" w:name="_Toc45618028"/>
      <w:r>
        <w:rPr>
          <w:noProof/>
        </w:rPr>
        <w:t>Luxembourg</w:t>
      </w:r>
      <w:bookmarkEnd w:id="193"/>
      <w:bookmarkEnd w:id="194"/>
      <w:bookmarkEnd w:id="195"/>
      <w:bookmarkEnd w:id="196"/>
      <w:bookmarkEnd w:id="197"/>
      <w:bookmarkEnd w:id="198"/>
    </w:p>
    <w:p>
      <w:pPr>
        <w:spacing w:before="240" w:after="0"/>
        <w:rPr>
          <w:noProof/>
        </w:rPr>
      </w:pPr>
      <w:r>
        <w:rPr>
          <w:noProof/>
          <w:lang w:eastAsia="en-GB"/>
        </w:rPr>
        <w:drawing>
          <wp:inline distT="0" distB="0" distL="0" distR="0">
            <wp:extent cx="5731510" cy="686846"/>
            <wp:effectExtent l="0" t="0" r="2540" b="0"/>
            <wp:docPr id="1092770" name="Picture 109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610950"/>
            <wp:effectExtent l="0" t="0" r="2540" b="8890"/>
            <wp:docPr id="1092771" name="Picture 109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1610950"/>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923685"/>
            <wp:effectExtent l="0" t="0" r="2540" b="635"/>
            <wp:docPr id="1092784" name="Picture 109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1923685"/>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271715" cy="1416243"/>
            <wp:effectExtent l="0" t="0" r="5715"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13199" cy="1427388"/>
                    </a:xfrm>
                    <a:prstGeom prst="rect">
                      <a:avLst/>
                    </a:prstGeom>
                    <a:noFill/>
                    <a:ln>
                      <a:noFill/>
                    </a:ln>
                  </pic:spPr>
                </pic:pic>
              </a:graphicData>
            </a:graphic>
          </wp:inline>
        </w:drawing>
      </w:r>
    </w:p>
    <w:p>
      <w:pPr>
        <w:spacing w:before="240" w:after="0"/>
        <w:rPr>
          <w:noProof/>
        </w:rPr>
      </w:pPr>
    </w:p>
    <w:p>
      <w:pPr>
        <w:rPr>
          <w:noProof/>
        </w:rPr>
      </w:pPr>
    </w:p>
    <w:p>
      <w:pPr>
        <w:rPr>
          <w:noProof/>
        </w:rPr>
      </w:pPr>
    </w:p>
    <w:p>
      <w:pPr>
        <w:rPr>
          <w:noProof/>
        </w:rPr>
      </w:pPr>
    </w:p>
    <w:p>
      <w:pPr>
        <w:rPr>
          <w:noProof/>
        </w:rPr>
      </w:pPr>
    </w:p>
    <w:p>
      <w:pPr>
        <w:rPr>
          <w:noProof/>
        </w:rPr>
      </w:pPr>
    </w:p>
    <w:p>
      <w:pPr>
        <w:rPr>
          <w:noProof/>
        </w:rPr>
      </w:pPr>
    </w:p>
    <w:p>
      <w:pPr>
        <w:pStyle w:val="ManualHeading2"/>
        <w:spacing w:before="240" w:after="0"/>
        <w:rPr>
          <w:noProof/>
        </w:rPr>
      </w:pPr>
      <w:bookmarkStart w:id="199" w:name="_Toc424911631"/>
      <w:bookmarkStart w:id="200" w:name="_Toc453345651"/>
      <w:bookmarkStart w:id="201" w:name="_Toc486928905"/>
      <w:bookmarkStart w:id="202" w:name="_Toc519075327"/>
      <w:bookmarkStart w:id="203" w:name="_Toc13153295"/>
      <w:bookmarkStart w:id="204" w:name="_Toc45618029"/>
      <w:r>
        <w:rPr>
          <w:noProof/>
        </w:rPr>
        <w:t>Hungary</w:t>
      </w:r>
      <w:bookmarkEnd w:id="199"/>
      <w:bookmarkEnd w:id="200"/>
      <w:r>
        <w:rPr>
          <w:noProof/>
        </w:rPr>
        <w:t xml:space="preserve"> - Magyarország</w:t>
      </w:r>
      <w:bookmarkEnd w:id="201"/>
      <w:bookmarkEnd w:id="202"/>
      <w:bookmarkEnd w:id="203"/>
      <w:bookmarkEnd w:id="204"/>
    </w:p>
    <w:p>
      <w:pPr>
        <w:spacing w:before="240" w:after="0"/>
        <w:rPr>
          <w:noProof/>
        </w:rPr>
      </w:pPr>
      <w:r>
        <w:rPr>
          <w:noProof/>
          <w:lang w:eastAsia="en-GB"/>
        </w:rPr>
        <w:drawing>
          <wp:inline distT="0" distB="0" distL="0" distR="0">
            <wp:extent cx="5731510" cy="686846"/>
            <wp:effectExtent l="0" t="0" r="2540" b="0"/>
            <wp:docPr id="1092772" name="Picture 109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735953"/>
            <wp:effectExtent l="0" t="0" r="2540" b="0"/>
            <wp:docPr id="1092774" name="Picture 109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1735953"/>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2914165"/>
            <wp:effectExtent l="0" t="0" r="2540" b="635"/>
            <wp:docPr id="1092792" name="Picture 109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1510" cy="2914165"/>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4977517" cy="1351870"/>
            <wp:effectExtent l="0" t="0" r="0" b="127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05427" cy="1359450"/>
                    </a:xfrm>
                    <a:prstGeom prst="rect">
                      <a:avLst/>
                    </a:prstGeom>
                    <a:noFill/>
                    <a:ln>
                      <a:noFill/>
                    </a:ln>
                  </pic:spPr>
                </pic:pic>
              </a:graphicData>
            </a:graphic>
          </wp:inline>
        </w:drawing>
      </w:r>
    </w:p>
    <w:p>
      <w:pPr>
        <w:spacing w:before="240" w:after="0"/>
        <w:rPr>
          <w:noProof/>
        </w:rPr>
      </w:pPr>
    </w:p>
    <w:p>
      <w:pPr>
        <w:rPr>
          <w:noProof/>
        </w:rPr>
      </w:pPr>
    </w:p>
    <w:p>
      <w:pPr>
        <w:rPr>
          <w:noProof/>
        </w:rPr>
      </w:pPr>
    </w:p>
    <w:p>
      <w:pPr>
        <w:rPr>
          <w:noProof/>
        </w:rPr>
      </w:pPr>
    </w:p>
    <w:p>
      <w:pPr>
        <w:pStyle w:val="ManualHeading2"/>
        <w:spacing w:before="240" w:after="0"/>
        <w:rPr>
          <w:noProof/>
        </w:rPr>
      </w:pPr>
      <w:bookmarkStart w:id="205" w:name="_Toc453345652"/>
      <w:bookmarkStart w:id="206" w:name="_Toc486928906"/>
      <w:bookmarkStart w:id="207" w:name="_Toc519075328"/>
      <w:bookmarkStart w:id="208" w:name="_Toc13153296"/>
      <w:bookmarkStart w:id="209" w:name="_Toc45618030"/>
      <w:r>
        <w:rPr>
          <w:noProof/>
        </w:rPr>
        <w:t>Malta</w:t>
      </w:r>
      <w:bookmarkEnd w:id="205"/>
      <w:bookmarkEnd w:id="206"/>
      <w:bookmarkEnd w:id="207"/>
      <w:bookmarkEnd w:id="208"/>
      <w:bookmarkEnd w:id="209"/>
    </w:p>
    <w:p>
      <w:pPr>
        <w:spacing w:before="240" w:after="0"/>
        <w:rPr>
          <w:noProof/>
        </w:rPr>
      </w:pPr>
      <w:r>
        <w:rPr>
          <w:noProof/>
          <w:lang w:eastAsia="en-GB"/>
        </w:rPr>
        <w:drawing>
          <wp:inline distT="0" distB="0" distL="0" distR="0">
            <wp:extent cx="5731510" cy="686846"/>
            <wp:effectExtent l="0" t="0" r="2540" b="0"/>
            <wp:docPr id="1092775" name="Picture 109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889594"/>
            <wp:effectExtent l="0" t="0" r="2540" b="0"/>
            <wp:docPr id="1092777" name="Picture 109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1510" cy="1889594"/>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2475972"/>
            <wp:effectExtent l="0" t="0" r="2540" b="635"/>
            <wp:docPr id="1092793" name="Picture 109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1510" cy="2475972"/>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208104" cy="1400734"/>
            <wp:effectExtent l="0" t="0" r="0"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46323" cy="1411013"/>
                    </a:xfrm>
                    <a:prstGeom prst="rect">
                      <a:avLst/>
                    </a:prstGeom>
                    <a:noFill/>
                    <a:ln>
                      <a:noFill/>
                    </a:ln>
                  </pic:spPr>
                </pic:pic>
              </a:graphicData>
            </a:graphic>
          </wp:inline>
        </w:drawing>
      </w:r>
    </w:p>
    <w:p>
      <w:pPr>
        <w:spacing w:before="240" w:after="0"/>
        <w:rPr>
          <w:noProof/>
        </w:rPr>
      </w:pPr>
    </w:p>
    <w:p>
      <w:pPr>
        <w:rPr>
          <w:noProof/>
        </w:rPr>
      </w:pPr>
    </w:p>
    <w:p>
      <w:pPr>
        <w:rPr>
          <w:noProof/>
        </w:rPr>
      </w:pPr>
    </w:p>
    <w:p>
      <w:pPr>
        <w:rPr>
          <w:noProof/>
        </w:rPr>
      </w:pPr>
    </w:p>
    <w:p>
      <w:pPr>
        <w:rPr>
          <w:noProof/>
        </w:rPr>
      </w:pPr>
    </w:p>
    <w:p>
      <w:pPr>
        <w:pStyle w:val="ManualHeading2"/>
        <w:spacing w:before="240" w:after="0"/>
        <w:rPr>
          <w:noProof/>
        </w:rPr>
      </w:pPr>
      <w:bookmarkStart w:id="210" w:name="_Toc453345653"/>
      <w:bookmarkStart w:id="211" w:name="_Toc486928907"/>
      <w:bookmarkStart w:id="212" w:name="_Toc519075329"/>
      <w:bookmarkStart w:id="213" w:name="_Toc13153297"/>
      <w:bookmarkStart w:id="214" w:name="_Toc45618031"/>
      <w:r>
        <w:rPr>
          <w:noProof/>
        </w:rPr>
        <w:t>Netherlands</w:t>
      </w:r>
      <w:bookmarkEnd w:id="210"/>
      <w:r>
        <w:rPr>
          <w:noProof/>
        </w:rPr>
        <w:t xml:space="preserve"> - Nederland</w:t>
      </w:r>
      <w:bookmarkEnd w:id="211"/>
      <w:bookmarkEnd w:id="212"/>
      <w:bookmarkEnd w:id="213"/>
      <w:bookmarkEnd w:id="214"/>
    </w:p>
    <w:p>
      <w:pPr>
        <w:spacing w:before="240" w:after="0"/>
        <w:rPr>
          <w:noProof/>
        </w:rPr>
      </w:pPr>
      <w:r>
        <w:rPr>
          <w:noProof/>
          <w:lang w:eastAsia="en-GB"/>
        </w:rPr>
        <w:drawing>
          <wp:inline distT="0" distB="0" distL="0" distR="0">
            <wp:extent cx="5731510" cy="686846"/>
            <wp:effectExtent l="0" t="0" r="2540" b="0"/>
            <wp:docPr id="1092778" name="Picture 109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861411"/>
            <wp:effectExtent l="0" t="0" r="2540" b="5715"/>
            <wp:docPr id="1092779" name="Picture 109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1861411"/>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46554" cy="2830664"/>
            <wp:effectExtent l="0" t="0" r="6985" b="825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75597" cy="2844970"/>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4826442" cy="1309183"/>
            <wp:effectExtent l="0" t="0" r="0" b="571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68967" cy="1320718"/>
                    </a:xfrm>
                    <a:prstGeom prst="rect">
                      <a:avLst/>
                    </a:prstGeom>
                    <a:noFill/>
                    <a:ln>
                      <a:noFill/>
                    </a:ln>
                  </pic:spPr>
                </pic:pic>
              </a:graphicData>
            </a:graphic>
          </wp:inline>
        </w:drawing>
      </w:r>
    </w:p>
    <w:p>
      <w:pPr>
        <w:spacing w:before="240" w:after="0"/>
        <w:rPr>
          <w:noProof/>
        </w:rPr>
      </w:pPr>
    </w:p>
    <w:p>
      <w:pPr>
        <w:spacing w:before="240" w:after="0"/>
        <w:rPr>
          <w:noProof/>
        </w:rPr>
      </w:pPr>
    </w:p>
    <w:p>
      <w:pPr>
        <w:rPr>
          <w:noProof/>
        </w:rPr>
      </w:pPr>
    </w:p>
    <w:p>
      <w:pPr>
        <w:rPr>
          <w:noProof/>
        </w:rPr>
      </w:pPr>
    </w:p>
    <w:p>
      <w:pPr>
        <w:rPr>
          <w:noProof/>
        </w:rPr>
      </w:pPr>
    </w:p>
    <w:p>
      <w:pPr>
        <w:pStyle w:val="ManualHeading2"/>
        <w:spacing w:before="240" w:after="0"/>
        <w:rPr>
          <w:noProof/>
        </w:rPr>
      </w:pPr>
      <w:bookmarkStart w:id="215" w:name="_Toc453345654"/>
      <w:bookmarkStart w:id="216" w:name="_Toc486928908"/>
      <w:bookmarkStart w:id="217" w:name="_Toc519075330"/>
      <w:bookmarkStart w:id="218" w:name="_Toc13153298"/>
      <w:bookmarkStart w:id="219" w:name="_Toc45618032"/>
      <w:r>
        <w:rPr>
          <w:noProof/>
        </w:rPr>
        <w:t>Austria</w:t>
      </w:r>
      <w:bookmarkEnd w:id="215"/>
      <w:r>
        <w:rPr>
          <w:noProof/>
        </w:rPr>
        <w:t xml:space="preserve"> - Österreich</w:t>
      </w:r>
      <w:bookmarkEnd w:id="216"/>
      <w:bookmarkEnd w:id="217"/>
      <w:bookmarkEnd w:id="218"/>
      <w:bookmarkEnd w:id="219"/>
    </w:p>
    <w:p>
      <w:pPr>
        <w:spacing w:before="240" w:after="0"/>
        <w:rPr>
          <w:noProof/>
        </w:rPr>
      </w:pPr>
      <w:r>
        <w:rPr>
          <w:noProof/>
          <w:lang w:eastAsia="en-GB"/>
        </w:rPr>
        <w:drawing>
          <wp:inline distT="0" distB="0" distL="0" distR="0">
            <wp:extent cx="5731510" cy="686846"/>
            <wp:effectExtent l="0" t="0" r="2540" b="0"/>
            <wp:docPr id="1092780" name="Picture 109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861411"/>
            <wp:effectExtent l="0" t="0" r="2540" b="5715"/>
            <wp:docPr id="1092781" name="Picture 109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1510" cy="1861411"/>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2481427"/>
            <wp:effectExtent l="0" t="0" r="254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2481427"/>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4929809" cy="1348753"/>
            <wp:effectExtent l="0" t="0" r="4445" b="381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56891" cy="1356162"/>
                    </a:xfrm>
                    <a:prstGeom prst="rect">
                      <a:avLst/>
                    </a:prstGeom>
                    <a:noFill/>
                    <a:ln>
                      <a:noFill/>
                    </a:ln>
                  </pic:spPr>
                </pic:pic>
              </a:graphicData>
            </a:graphic>
          </wp:inline>
        </w:drawing>
      </w:r>
    </w:p>
    <w:p>
      <w:pPr>
        <w:spacing w:before="240" w:after="0"/>
        <w:rPr>
          <w:noProof/>
        </w:rPr>
      </w:pPr>
    </w:p>
    <w:p>
      <w:pPr>
        <w:spacing w:before="240" w:after="0"/>
        <w:rPr>
          <w:noProof/>
        </w:rPr>
      </w:pPr>
    </w:p>
    <w:p>
      <w:pPr>
        <w:rPr>
          <w:noProof/>
        </w:rPr>
      </w:pPr>
    </w:p>
    <w:p>
      <w:pPr>
        <w:rPr>
          <w:noProof/>
        </w:rPr>
      </w:pPr>
    </w:p>
    <w:p>
      <w:pPr>
        <w:pStyle w:val="ManualHeading2"/>
        <w:spacing w:before="240" w:after="0"/>
        <w:rPr>
          <w:noProof/>
        </w:rPr>
      </w:pPr>
      <w:bookmarkStart w:id="220" w:name="_Toc453345655"/>
      <w:bookmarkStart w:id="221" w:name="_Toc486928909"/>
      <w:bookmarkStart w:id="222" w:name="_Toc519075331"/>
      <w:bookmarkStart w:id="223" w:name="_Toc13153299"/>
      <w:bookmarkStart w:id="224" w:name="_Toc45618033"/>
      <w:r>
        <w:rPr>
          <w:noProof/>
        </w:rPr>
        <w:t>Poland</w:t>
      </w:r>
      <w:bookmarkEnd w:id="220"/>
      <w:r>
        <w:rPr>
          <w:noProof/>
        </w:rPr>
        <w:t xml:space="preserve"> - Polska</w:t>
      </w:r>
      <w:bookmarkEnd w:id="221"/>
      <w:bookmarkEnd w:id="222"/>
      <w:bookmarkEnd w:id="223"/>
      <w:bookmarkEnd w:id="224"/>
    </w:p>
    <w:p>
      <w:pPr>
        <w:spacing w:before="240" w:after="0"/>
        <w:rPr>
          <w:noProof/>
        </w:rPr>
      </w:pPr>
      <w:r>
        <w:rPr>
          <w:noProof/>
          <w:lang w:eastAsia="en-GB"/>
        </w:rPr>
        <w:drawing>
          <wp:inline distT="0" distB="0" distL="0" distR="0">
            <wp:extent cx="5731510" cy="686846"/>
            <wp:effectExtent l="0" t="0" r="2540" b="0"/>
            <wp:docPr id="1092783" name="Picture 109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850047"/>
            <wp:effectExtent l="0" t="0" r="2540" b="0"/>
            <wp:docPr id="1092785" name="Picture 109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31510" cy="1850047"/>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3546000"/>
            <wp:effectExtent l="0" t="0" r="254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1510" cy="3546000"/>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041127" cy="1392858"/>
            <wp:effectExtent l="0" t="0" r="762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59792" cy="1398015"/>
                    </a:xfrm>
                    <a:prstGeom prst="rect">
                      <a:avLst/>
                    </a:prstGeom>
                    <a:noFill/>
                    <a:ln>
                      <a:noFill/>
                    </a:ln>
                  </pic:spPr>
                </pic:pic>
              </a:graphicData>
            </a:graphic>
          </wp:inline>
        </w:drawing>
      </w:r>
    </w:p>
    <w:p>
      <w:pPr>
        <w:spacing w:before="240" w:after="0"/>
        <w:rPr>
          <w:noProof/>
        </w:rPr>
      </w:pPr>
    </w:p>
    <w:p>
      <w:pPr>
        <w:pStyle w:val="ManualHeading2"/>
        <w:spacing w:before="240" w:after="0"/>
        <w:rPr>
          <w:noProof/>
        </w:rPr>
      </w:pPr>
      <w:bookmarkStart w:id="225" w:name="_Toc453345656"/>
      <w:bookmarkStart w:id="226" w:name="_Toc486928910"/>
      <w:bookmarkStart w:id="227" w:name="_Toc519075332"/>
      <w:bookmarkStart w:id="228" w:name="_Toc13153300"/>
      <w:bookmarkStart w:id="229" w:name="_Toc45618034"/>
      <w:r>
        <w:rPr>
          <w:noProof/>
        </w:rPr>
        <w:t>Portugal</w:t>
      </w:r>
      <w:bookmarkEnd w:id="225"/>
      <w:bookmarkEnd w:id="226"/>
      <w:bookmarkEnd w:id="227"/>
      <w:bookmarkEnd w:id="228"/>
      <w:bookmarkEnd w:id="229"/>
    </w:p>
    <w:p>
      <w:pPr>
        <w:spacing w:before="240" w:after="0"/>
        <w:rPr>
          <w:b/>
          <w:noProof/>
        </w:rPr>
      </w:pPr>
      <w:r>
        <w:rPr>
          <w:noProof/>
          <w:lang w:eastAsia="en-GB"/>
        </w:rPr>
        <w:drawing>
          <wp:inline distT="0" distB="0" distL="0" distR="0">
            <wp:extent cx="5731510" cy="686846"/>
            <wp:effectExtent l="0" t="0" r="2540" b="0"/>
            <wp:docPr id="1092786" name="Picture 109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b/>
          <w:noProof/>
        </w:rPr>
      </w:pPr>
      <w:r>
        <w:rPr>
          <w:noProof/>
          <w:lang w:eastAsia="en-GB"/>
        </w:rPr>
        <w:drawing>
          <wp:inline distT="0" distB="0" distL="0" distR="0">
            <wp:extent cx="5731510" cy="1735953"/>
            <wp:effectExtent l="0" t="0" r="2540" b="0"/>
            <wp:docPr id="1092787" name="Picture 109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1510" cy="1735953"/>
                    </a:xfrm>
                    <a:prstGeom prst="rect">
                      <a:avLst/>
                    </a:prstGeom>
                    <a:noFill/>
                    <a:ln>
                      <a:noFill/>
                    </a:ln>
                  </pic:spPr>
                </pic:pic>
              </a:graphicData>
            </a:graphic>
          </wp:inline>
        </w:drawing>
      </w:r>
    </w:p>
    <w:p>
      <w:pPr>
        <w:spacing w:before="240" w:after="0"/>
        <w:rPr>
          <w:b/>
          <w:noProof/>
        </w:rPr>
      </w:pPr>
      <w:r>
        <w:rPr>
          <w:noProof/>
          <w:lang w:eastAsia="en-GB"/>
        </w:rPr>
        <w:drawing>
          <wp:inline distT="0" distB="0" distL="0" distR="0">
            <wp:extent cx="5731510" cy="2959621"/>
            <wp:effectExtent l="0" t="0" r="254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1510" cy="2959621"/>
                    </a:xfrm>
                    <a:prstGeom prst="rect">
                      <a:avLst/>
                    </a:prstGeom>
                    <a:noFill/>
                    <a:ln>
                      <a:noFill/>
                    </a:ln>
                  </pic:spPr>
                </pic:pic>
              </a:graphicData>
            </a:graphic>
          </wp:inline>
        </w:drawing>
      </w:r>
    </w:p>
    <w:p>
      <w:pPr>
        <w:spacing w:before="240" w:after="0"/>
        <w:rPr>
          <w:b/>
          <w:noProof/>
        </w:rPr>
      </w:pPr>
      <w:r>
        <w:rPr>
          <w:noProof/>
          <w:lang w:eastAsia="en-GB"/>
        </w:rPr>
        <w:drawing>
          <wp:inline distT="0" distB="0" distL="0" distR="0">
            <wp:extent cx="5017273" cy="1357649"/>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27460" cy="1360406"/>
                    </a:xfrm>
                    <a:prstGeom prst="rect">
                      <a:avLst/>
                    </a:prstGeom>
                    <a:noFill/>
                    <a:ln>
                      <a:noFill/>
                    </a:ln>
                  </pic:spPr>
                </pic:pic>
              </a:graphicData>
            </a:graphic>
          </wp:inline>
        </w:drawing>
      </w:r>
    </w:p>
    <w:p>
      <w:pPr>
        <w:spacing w:before="240" w:after="0"/>
        <w:rPr>
          <w:b/>
          <w:noProof/>
        </w:rPr>
      </w:pPr>
    </w:p>
    <w:p>
      <w:pPr>
        <w:rPr>
          <w:b/>
          <w:noProof/>
        </w:rPr>
      </w:pPr>
    </w:p>
    <w:p>
      <w:pPr>
        <w:rPr>
          <w:b/>
          <w:noProof/>
        </w:rPr>
      </w:pPr>
    </w:p>
    <w:p>
      <w:pPr>
        <w:rPr>
          <w:b/>
          <w:noProof/>
        </w:rPr>
      </w:pPr>
    </w:p>
    <w:p>
      <w:pPr>
        <w:pStyle w:val="ManualHeading2"/>
        <w:spacing w:before="240" w:after="0"/>
        <w:rPr>
          <w:noProof/>
        </w:rPr>
      </w:pPr>
      <w:bookmarkStart w:id="230" w:name="_Toc453345657"/>
      <w:bookmarkStart w:id="231" w:name="_Toc486928911"/>
      <w:bookmarkStart w:id="232" w:name="_Toc519075333"/>
      <w:bookmarkStart w:id="233" w:name="_Toc13153301"/>
      <w:bookmarkStart w:id="234" w:name="_Toc45618035"/>
      <w:r>
        <w:rPr>
          <w:noProof/>
        </w:rPr>
        <w:t>Romania</w:t>
      </w:r>
      <w:bookmarkEnd w:id="230"/>
      <w:r>
        <w:rPr>
          <w:noProof/>
        </w:rPr>
        <w:t xml:space="preserve"> - România</w:t>
      </w:r>
      <w:bookmarkEnd w:id="231"/>
      <w:bookmarkEnd w:id="232"/>
      <w:bookmarkEnd w:id="233"/>
      <w:bookmarkEnd w:id="234"/>
    </w:p>
    <w:p>
      <w:pPr>
        <w:spacing w:before="240" w:after="0"/>
        <w:rPr>
          <w:b/>
          <w:noProof/>
        </w:rPr>
      </w:pPr>
      <w:r>
        <w:rPr>
          <w:noProof/>
          <w:lang w:eastAsia="en-GB"/>
        </w:rPr>
        <w:drawing>
          <wp:inline distT="0" distB="0" distL="0" distR="0">
            <wp:extent cx="5731510" cy="686846"/>
            <wp:effectExtent l="0" t="0" r="2540" b="0"/>
            <wp:docPr id="1092788" name="Picture 109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b/>
          <w:noProof/>
        </w:rPr>
      </w:pPr>
      <w:r>
        <w:rPr>
          <w:noProof/>
          <w:lang w:eastAsia="en-GB"/>
        </w:rPr>
        <w:drawing>
          <wp:inline distT="0" distB="0" distL="0" distR="0">
            <wp:extent cx="5731510" cy="1724589"/>
            <wp:effectExtent l="0" t="0" r="2540" b="9525"/>
            <wp:docPr id="1092794" name="Picture 109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1510" cy="1724589"/>
                    </a:xfrm>
                    <a:prstGeom prst="rect">
                      <a:avLst/>
                    </a:prstGeom>
                    <a:noFill/>
                    <a:ln>
                      <a:noFill/>
                    </a:ln>
                  </pic:spPr>
                </pic:pic>
              </a:graphicData>
            </a:graphic>
          </wp:inline>
        </w:drawing>
      </w:r>
    </w:p>
    <w:p>
      <w:pPr>
        <w:spacing w:before="240" w:after="0"/>
        <w:rPr>
          <w:b/>
          <w:noProof/>
        </w:rPr>
      </w:pPr>
      <w:r>
        <w:rPr>
          <w:noProof/>
          <w:lang w:eastAsia="en-GB"/>
        </w:rPr>
        <w:drawing>
          <wp:inline distT="0" distB="0" distL="0" distR="0">
            <wp:extent cx="5731510" cy="3375086"/>
            <wp:effectExtent l="0" t="0" r="254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3375086"/>
                    </a:xfrm>
                    <a:prstGeom prst="rect">
                      <a:avLst/>
                    </a:prstGeom>
                    <a:noFill/>
                    <a:ln>
                      <a:noFill/>
                    </a:ln>
                  </pic:spPr>
                </pic:pic>
              </a:graphicData>
            </a:graphic>
          </wp:inline>
        </w:drawing>
      </w:r>
    </w:p>
    <w:p>
      <w:pPr>
        <w:spacing w:before="240" w:after="0"/>
        <w:rPr>
          <w:b/>
          <w:noProof/>
        </w:rPr>
      </w:pPr>
      <w:r>
        <w:rPr>
          <w:noProof/>
          <w:lang w:eastAsia="en-GB"/>
        </w:rPr>
        <w:drawing>
          <wp:inline distT="0" distB="0" distL="0" distR="0">
            <wp:extent cx="5049078" cy="1379627"/>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65482" cy="1384109"/>
                    </a:xfrm>
                    <a:prstGeom prst="rect">
                      <a:avLst/>
                    </a:prstGeom>
                    <a:noFill/>
                    <a:ln>
                      <a:noFill/>
                    </a:ln>
                  </pic:spPr>
                </pic:pic>
              </a:graphicData>
            </a:graphic>
          </wp:inline>
        </w:drawing>
      </w:r>
    </w:p>
    <w:p>
      <w:pPr>
        <w:spacing w:before="240" w:after="0"/>
        <w:rPr>
          <w:b/>
          <w:noProof/>
        </w:rPr>
      </w:pPr>
    </w:p>
    <w:p>
      <w:pPr>
        <w:rPr>
          <w:b/>
          <w:noProof/>
        </w:rPr>
      </w:pPr>
    </w:p>
    <w:p>
      <w:pPr>
        <w:pStyle w:val="ManualHeading2"/>
        <w:spacing w:before="240" w:after="0"/>
        <w:rPr>
          <w:noProof/>
        </w:rPr>
      </w:pPr>
      <w:bookmarkStart w:id="235" w:name="_Toc424911632"/>
      <w:bookmarkStart w:id="236" w:name="_Toc453345658"/>
      <w:bookmarkStart w:id="237" w:name="_Toc486928912"/>
      <w:bookmarkStart w:id="238" w:name="_Toc519075334"/>
      <w:bookmarkStart w:id="239" w:name="_Toc13153302"/>
      <w:bookmarkStart w:id="240" w:name="_Toc45618036"/>
      <w:r>
        <w:rPr>
          <w:noProof/>
        </w:rPr>
        <w:t>Slovenia</w:t>
      </w:r>
      <w:bookmarkEnd w:id="235"/>
      <w:bookmarkEnd w:id="236"/>
      <w:r>
        <w:rPr>
          <w:noProof/>
        </w:rPr>
        <w:t xml:space="preserve"> - Slovenija</w:t>
      </w:r>
      <w:bookmarkEnd w:id="237"/>
      <w:bookmarkEnd w:id="238"/>
      <w:bookmarkEnd w:id="239"/>
      <w:bookmarkEnd w:id="240"/>
    </w:p>
    <w:p>
      <w:pPr>
        <w:spacing w:before="240" w:after="0"/>
        <w:rPr>
          <w:b/>
          <w:noProof/>
        </w:rPr>
      </w:pPr>
      <w:r>
        <w:rPr>
          <w:noProof/>
          <w:lang w:eastAsia="en-GB"/>
        </w:rPr>
        <w:drawing>
          <wp:inline distT="0" distB="0" distL="0" distR="0">
            <wp:extent cx="5731510" cy="686846"/>
            <wp:effectExtent l="0" t="0" r="254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b/>
          <w:noProof/>
        </w:rPr>
      </w:pPr>
      <w:r>
        <w:rPr>
          <w:noProof/>
          <w:lang w:eastAsia="en-GB"/>
        </w:rPr>
        <w:drawing>
          <wp:inline distT="0" distB="0" distL="0" distR="0">
            <wp:extent cx="5731510" cy="1735953"/>
            <wp:effectExtent l="0" t="0" r="254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1510" cy="1735953"/>
                    </a:xfrm>
                    <a:prstGeom prst="rect">
                      <a:avLst/>
                    </a:prstGeom>
                    <a:noFill/>
                    <a:ln>
                      <a:noFill/>
                    </a:ln>
                  </pic:spPr>
                </pic:pic>
              </a:graphicData>
            </a:graphic>
          </wp:inline>
        </w:drawing>
      </w:r>
    </w:p>
    <w:p>
      <w:pPr>
        <w:spacing w:before="240" w:after="0"/>
        <w:rPr>
          <w:b/>
          <w:noProof/>
        </w:rPr>
      </w:pPr>
      <w:r>
        <w:rPr>
          <w:noProof/>
          <w:lang w:eastAsia="en-GB"/>
        </w:rPr>
        <w:drawing>
          <wp:inline distT="0" distB="0" distL="0" distR="0">
            <wp:extent cx="5731510" cy="2817345"/>
            <wp:effectExtent l="0" t="0" r="2540" b="254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1510" cy="2817345"/>
                    </a:xfrm>
                    <a:prstGeom prst="rect">
                      <a:avLst/>
                    </a:prstGeom>
                    <a:noFill/>
                    <a:ln>
                      <a:noFill/>
                    </a:ln>
                  </pic:spPr>
                </pic:pic>
              </a:graphicData>
            </a:graphic>
          </wp:inline>
        </w:drawing>
      </w:r>
    </w:p>
    <w:p>
      <w:pPr>
        <w:spacing w:before="240" w:after="0"/>
        <w:rPr>
          <w:b/>
          <w:noProof/>
        </w:rPr>
      </w:pPr>
      <w:r>
        <w:rPr>
          <w:noProof/>
          <w:lang w:eastAsia="en-GB"/>
        </w:rPr>
        <w:drawing>
          <wp:inline distT="0" distB="0" distL="0" distR="0">
            <wp:extent cx="4993419" cy="1361088"/>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04482" cy="1364104"/>
                    </a:xfrm>
                    <a:prstGeom prst="rect">
                      <a:avLst/>
                    </a:prstGeom>
                    <a:noFill/>
                    <a:ln>
                      <a:noFill/>
                    </a:ln>
                  </pic:spPr>
                </pic:pic>
              </a:graphicData>
            </a:graphic>
          </wp:inline>
        </w:drawing>
      </w:r>
    </w:p>
    <w:p>
      <w:pPr>
        <w:spacing w:before="240" w:after="0"/>
        <w:rPr>
          <w:b/>
          <w:noProof/>
        </w:rPr>
      </w:pPr>
    </w:p>
    <w:p>
      <w:pPr>
        <w:rPr>
          <w:b/>
          <w:noProof/>
        </w:rPr>
      </w:pPr>
    </w:p>
    <w:p>
      <w:pPr>
        <w:rPr>
          <w:b/>
          <w:noProof/>
        </w:rPr>
      </w:pPr>
    </w:p>
    <w:p>
      <w:pPr>
        <w:rPr>
          <w:b/>
          <w:noProof/>
        </w:rPr>
      </w:pPr>
    </w:p>
    <w:p>
      <w:pPr>
        <w:pStyle w:val="ManualHeading2"/>
        <w:spacing w:before="240" w:after="0"/>
        <w:rPr>
          <w:noProof/>
        </w:rPr>
      </w:pPr>
      <w:bookmarkStart w:id="241" w:name="_Toc424911633"/>
      <w:bookmarkStart w:id="242" w:name="_Toc453345659"/>
      <w:bookmarkStart w:id="243" w:name="_Toc486928913"/>
      <w:bookmarkStart w:id="244" w:name="_Toc519075335"/>
      <w:bookmarkStart w:id="245" w:name="_Toc13153303"/>
      <w:bookmarkStart w:id="246" w:name="_Toc45618037"/>
      <w:r>
        <w:rPr>
          <w:noProof/>
        </w:rPr>
        <w:t>Slovakia</w:t>
      </w:r>
      <w:bookmarkEnd w:id="241"/>
      <w:bookmarkEnd w:id="242"/>
      <w:r>
        <w:rPr>
          <w:noProof/>
        </w:rPr>
        <w:t xml:space="preserve"> - Slovensko</w:t>
      </w:r>
      <w:bookmarkEnd w:id="243"/>
      <w:bookmarkEnd w:id="244"/>
      <w:bookmarkEnd w:id="245"/>
      <w:bookmarkEnd w:id="246"/>
    </w:p>
    <w:p>
      <w:pPr>
        <w:spacing w:before="240" w:after="0"/>
        <w:rPr>
          <w:b/>
          <w:noProof/>
        </w:rPr>
      </w:pPr>
      <w:r>
        <w:rPr>
          <w:noProof/>
          <w:lang w:eastAsia="en-GB"/>
        </w:rPr>
        <w:drawing>
          <wp:inline distT="0" distB="0" distL="0" distR="0">
            <wp:extent cx="5731510" cy="686846"/>
            <wp:effectExtent l="0" t="0" r="254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b/>
          <w:noProof/>
        </w:rPr>
      </w:pPr>
      <w:r>
        <w:rPr>
          <w:noProof/>
          <w:lang w:eastAsia="en-GB"/>
        </w:rPr>
        <w:drawing>
          <wp:inline distT="0" distB="0" distL="0" distR="0">
            <wp:extent cx="5731510" cy="1889594"/>
            <wp:effectExtent l="0" t="0" r="254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31510" cy="1889594"/>
                    </a:xfrm>
                    <a:prstGeom prst="rect">
                      <a:avLst/>
                    </a:prstGeom>
                    <a:noFill/>
                    <a:ln>
                      <a:noFill/>
                    </a:ln>
                  </pic:spPr>
                </pic:pic>
              </a:graphicData>
            </a:graphic>
          </wp:inline>
        </w:drawing>
      </w:r>
    </w:p>
    <w:p>
      <w:pPr>
        <w:spacing w:before="240" w:after="0"/>
        <w:rPr>
          <w:b/>
          <w:noProof/>
        </w:rPr>
      </w:pPr>
      <w:r>
        <w:rPr>
          <w:noProof/>
          <w:lang w:eastAsia="en-GB"/>
        </w:rPr>
        <w:drawing>
          <wp:inline distT="0" distB="0" distL="0" distR="0">
            <wp:extent cx="5731510" cy="3455088"/>
            <wp:effectExtent l="0" t="0" r="254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31510" cy="3455088"/>
                    </a:xfrm>
                    <a:prstGeom prst="rect">
                      <a:avLst/>
                    </a:prstGeom>
                    <a:noFill/>
                    <a:ln>
                      <a:noFill/>
                    </a:ln>
                  </pic:spPr>
                </pic:pic>
              </a:graphicData>
            </a:graphic>
          </wp:inline>
        </w:drawing>
      </w:r>
    </w:p>
    <w:p>
      <w:pPr>
        <w:spacing w:before="240" w:after="0"/>
        <w:rPr>
          <w:b/>
          <w:noProof/>
        </w:rPr>
      </w:pPr>
      <w:r>
        <w:rPr>
          <w:noProof/>
          <w:lang w:eastAsia="en-GB"/>
        </w:rPr>
        <w:drawing>
          <wp:inline distT="0" distB="0" distL="0" distR="0">
            <wp:extent cx="5044521" cy="1383527"/>
            <wp:effectExtent l="0" t="0" r="3810" b="762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70257" cy="1390586"/>
                    </a:xfrm>
                    <a:prstGeom prst="rect">
                      <a:avLst/>
                    </a:prstGeom>
                    <a:noFill/>
                    <a:ln>
                      <a:noFill/>
                    </a:ln>
                  </pic:spPr>
                </pic:pic>
              </a:graphicData>
            </a:graphic>
          </wp:inline>
        </w:drawing>
      </w:r>
    </w:p>
    <w:p>
      <w:pPr>
        <w:spacing w:before="240" w:after="0"/>
        <w:rPr>
          <w:b/>
          <w:noProof/>
        </w:rPr>
      </w:pPr>
    </w:p>
    <w:p>
      <w:pPr>
        <w:rPr>
          <w:b/>
          <w:noProof/>
        </w:rPr>
      </w:pPr>
    </w:p>
    <w:p>
      <w:pPr>
        <w:pStyle w:val="ManualHeading2"/>
        <w:spacing w:before="240" w:after="0"/>
        <w:rPr>
          <w:noProof/>
        </w:rPr>
      </w:pPr>
      <w:bookmarkStart w:id="247" w:name="_Toc424911634"/>
      <w:bookmarkStart w:id="248" w:name="_Toc453345660"/>
      <w:bookmarkStart w:id="249" w:name="_Toc486928914"/>
      <w:bookmarkStart w:id="250" w:name="_Toc519075336"/>
      <w:bookmarkStart w:id="251" w:name="_Toc13153304"/>
      <w:bookmarkStart w:id="252" w:name="_Toc45618038"/>
      <w:r>
        <w:rPr>
          <w:noProof/>
        </w:rPr>
        <w:t>Finland</w:t>
      </w:r>
      <w:bookmarkEnd w:id="247"/>
      <w:bookmarkEnd w:id="248"/>
      <w:r>
        <w:rPr>
          <w:noProof/>
        </w:rPr>
        <w:t xml:space="preserve"> – Suomi-Finland</w:t>
      </w:r>
      <w:bookmarkEnd w:id="249"/>
      <w:bookmarkEnd w:id="250"/>
      <w:bookmarkEnd w:id="251"/>
      <w:bookmarkEnd w:id="252"/>
    </w:p>
    <w:p>
      <w:pPr>
        <w:spacing w:before="240" w:after="0"/>
        <w:rPr>
          <w:noProof/>
        </w:rPr>
      </w:pPr>
      <w:r>
        <w:rPr>
          <w:noProof/>
          <w:lang w:eastAsia="en-GB"/>
        </w:rPr>
        <w:drawing>
          <wp:inline distT="0" distB="0" distL="0" distR="0">
            <wp:extent cx="5731510" cy="547140"/>
            <wp:effectExtent l="0" t="0" r="2540" b="571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31510" cy="547140"/>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855502"/>
            <wp:effectExtent l="0" t="0" r="254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31510" cy="1855502"/>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2550065"/>
            <wp:effectExtent l="0" t="0" r="2540" b="317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31510" cy="2550065"/>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160397" cy="1410044"/>
            <wp:effectExtent l="0" t="0" r="254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180856" cy="1415634"/>
                    </a:xfrm>
                    <a:prstGeom prst="rect">
                      <a:avLst/>
                    </a:prstGeom>
                    <a:noFill/>
                    <a:ln>
                      <a:noFill/>
                    </a:ln>
                  </pic:spPr>
                </pic:pic>
              </a:graphicData>
            </a:graphic>
          </wp:inline>
        </w:drawing>
      </w:r>
    </w:p>
    <w:p>
      <w:pPr>
        <w:spacing w:before="240" w:after="0"/>
        <w:rPr>
          <w:noProof/>
        </w:rPr>
      </w:pPr>
    </w:p>
    <w:p>
      <w:pPr>
        <w:rPr>
          <w:noProof/>
        </w:rPr>
      </w:pPr>
    </w:p>
    <w:p>
      <w:pPr>
        <w:rPr>
          <w:noProof/>
        </w:rPr>
      </w:pPr>
    </w:p>
    <w:p>
      <w:pPr>
        <w:rPr>
          <w:noProof/>
        </w:rPr>
      </w:pPr>
    </w:p>
    <w:p>
      <w:pPr>
        <w:rPr>
          <w:noProof/>
        </w:rPr>
      </w:pPr>
    </w:p>
    <w:p>
      <w:pPr>
        <w:pStyle w:val="ManualHeading2"/>
        <w:rPr>
          <w:noProof/>
        </w:rPr>
      </w:pPr>
      <w:bookmarkStart w:id="253" w:name="_Toc424911635"/>
      <w:bookmarkStart w:id="254" w:name="_Toc453345661"/>
      <w:bookmarkStart w:id="255" w:name="_Toc486928915"/>
      <w:bookmarkStart w:id="256" w:name="_Toc519075337"/>
      <w:bookmarkStart w:id="257" w:name="_Toc13153305"/>
      <w:bookmarkStart w:id="258" w:name="_Toc45618039"/>
      <w:r>
        <w:rPr>
          <w:noProof/>
        </w:rPr>
        <w:t>Sweden</w:t>
      </w:r>
      <w:bookmarkEnd w:id="253"/>
      <w:bookmarkEnd w:id="254"/>
      <w:r>
        <w:rPr>
          <w:noProof/>
        </w:rPr>
        <w:t xml:space="preserve"> - Sverige</w:t>
      </w:r>
      <w:bookmarkEnd w:id="255"/>
      <w:bookmarkEnd w:id="256"/>
      <w:bookmarkEnd w:id="257"/>
      <w:bookmarkEnd w:id="258"/>
    </w:p>
    <w:p>
      <w:pPr>
        <w:rPr>
          <w:noProof/>
        </w:rPr>
      </w:pPr>
      <w:r>
        <w:rPr>
          <w:noProof/>
          <w:lang w:eastAsia="en-GB"/>
        </w:rPr>
        <w:drawing>
          <wp:inline distT="0" distB="0" distL="0" distR="0">
            <wp:extent cx="5731510" cy="686846"/>
            <wp:effectExtent l="0" t="0" r="254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rPr>
          <w:noProof/>
        </w:rPr>
      </w:pPr>
      <w:r>
        <w:rPr>
          <w:noProof/>
          <w:lang w:eastAsia="en-GB"/>
        </w:rPr>
        <w:drawing>
          <wp:inline distT="0" distB="0" distL="0" distR="0">
            <wp:extent cx="5731510" cy="1889594"/>
            <wp:effectExtent l="0" t="0" r="254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31510" cy="1889594"/>
                    </a:xfrm>
                    <a:prstGeom prst="rect">
                      <a:avLst/>
                    </a:prstGeom>
                    <a:noFill/>
                    <a:ln>
                      <a:noFill/>
                    </a:ln>
                  </pic:spPr>
                </pic:pic>
              </a:graphicData>
            </a:graphic>
          </wp:inline>
        </w:drawing>
      </w:r>
    </w:p>
    <w:p>
      <w:pPr>
        <w:rPr>
          <w:noProof/>
        </w:rPr>
      </w:pPr>
      <w:r>
        <w:rPr>
          <w:noProof/>
          <w:lang w:eastAsia="en-GB"/>
        </w:rPr>
        <w:drawing>
          <wp:inline distT="0" distB="0" distL="0" distR="0">
            <wp:extent cx="5731510" cy="2800526"/>
            <wp:effectExtent l="0" t="0" r="254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31510" cy="2800526"/>
                    </a:xfrm>
                    <a:prstGeom prst="rect">
                      <a:avLst/>
                    </a:prstGeom>
                    <a:noFill/>
                    <a:ln>
                      <a:noFill/>
                    </a:ln>
                  </pic:spPr>
                </pic:pic>
              </a:graphicData>
            </a:graphic>
          </wp:inline>
        </w:drawing>
      </w:r>
    </w:p>
    <w:p>
      <w:pPr>
        <w:rPr>
          <w:noProof/>
        </w:rPr>
      </w:pPr>
      <w:r>
        <w:rPr>
          <w:noProof/>
          <w:lang w:eastAsia="en-GB"/>
        </w:rPr>
        <w:drawing>
          <wp:inline distT="0" distB="0" distL="0" distR="0">
            <wp:extent cx="4806916" cy="1319916"/>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25549" cy="1325032"/>
                    </a:xfrm>
                    <a:prstGeom prst="rect">
                      <a:avLst/>
                    </a:prstGeom>
                    <a:noFill/>
                    <a:ln>
                      <a:noFill/>
                    </a:ln>
                  </pic:spPr>
                </pic:pic>
              </a:graphicData>
            </a:graphic>
          </wp:inline>
        </w:drawing>
      </w:r>
    </w:p>
    <w:p>
      <w:pPr>
        <w:rPr>
          <w:noProof/>
        </w:rPr>
      </w:pPr>
    </w:p>
    <w:p>
      <w:pPr>
        <w:rPr>
          <w:noProof/>
        </w:rPr>
      </w:pPr>
    </w:p>
    <w:p>
      <w:pPr>
        <w:rPr>
          <w:noProof/>
        </w:rPr>
      </w:pPr>
    </w:p>
    <w:p>
      <w:pPr>
        <w:rPr>
          <w:noProof/>
        </w:rPr>
      </w:pPr>
    </w:p>
    <w:p>
      <w:pPr>
        <w:rPr>
          <w:noProof/>
        </w:rPr>
      </w:pPr>
    </w:p>
    <w:p>
      <w:pPr>
        <w:pStyle w:val="ManualHeading2"/>
        <w:spacing w:before="240" w:after="0"/>
        <w:rPr>
          <w:noProof/>
        </w:rPr>
      </w:pPr>
      <w:bookmarkStart w:id="259" w:name="_Toc424911636"/>
      <w:bookmarkStart w:id="260" w:name="_Toc453345662"/>
      <w:bookmarkStart w:id="261" w:name="_Toc486928916"/>
      <w:bookmarkStart w:id="262" w:name="_Toc519075338"/>
      <w:bookmarkStart w:id="263" w:name="_Toc13153306"/>
      <w:bookmarkStart w:id="264" w:name="_Toc45618040"/>
      <w:r>
        <w:rPr>
          <w:noProof/>
        </w:rPr>
        <w:t>United Kingdom</w:t>
      </w:r>
      <w:bookmarkEnd w:id="259"/>
      <w:bookmarkEnd w:id="260"/>
      <w:bookmarkEnd w:id="261"/>
      <w:bookmarkEnd w:id="262"/>
      <w:bookmarkEnd w:id="263"/>
      <w:bookmarkEnd w:id="264"/>
    </w:p>
    <w:p>
      <w:pPr>
        <w:spacing w:before="240" w:after="0"/>
        <w:rPr>
          <w:noProof/>
        </w:rPr>
      </w:pPr>
      <w:r>
        <w:rPr>
          <w:noProof/>
          <w:lang w:eastAsia="en-GB"/>
        </w:rPr>
        <w:drawing>
          <wp:inline distT="0" distB="0" distL="0" distR="0">
            <wp:extent cx="5731510" cy="686846"/>
            <wp:effectExtent l="0" t="0" r="254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31510" cy="686846"/>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1889594"/>
            <wp:effectExtent l="0" t="0" r="254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31510" cy="1889594"/>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731510" cy="2606885"/>
            <wp:effectExtent l="0" t="0" r="2540" b="317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31510" cy="2606885"/>
                    </a:xfrm>
                    <a:prstGeom prst="rect">
                      <a:avLst/>
                    </a:prstGeom>
                    <a:noFill/>
                    <a:ln>
                      <a:noFill/>
                    </a:ln>
                  </pic:spPr>
                </pic:pic>
              </a:graphicData>
            </a:graphic>
          </wp:inline>
        </w:drawing>
      </w:r>
    </w:p>
    <w:p>
      <w:pPr>
        <w:spacing w:before="240" w:after="0"/>
        <w:rPr>
          <w:noProof/>
        </w:rPr>
      </w:pPr>
      <w:r>
        <w:rPr>
          <w:noProof/>
          <w:lang w:eastAsia="en-GB"/>
        </w:rPr>
        <w:drawing>
          <wp:inline distT="0" distB="0" distL="0" distR="0">
            <wp:extent cx="5096786" cy="1399511"/>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25565" cy="1407413"/>
                    </a:xfrm>
                    <a:prstGeom prst="rect">
                      <a:avLst/>
                    </a:prstGeom>
                    <a:noFill/>
                    <a:ln>
                      <a:noFill/>
                    </a:ln>
                  </pic:spPr>
                </pic:pic>
              </a:graphicData>
            </a:graphic>
          </wp:inline>
        </w:drawing>
      </w:r>
    </w:p>
    <w:p>
      <w:pPr>
        <w:spacing w:before="240" w:after="0"/>
        <w:rPr>
          <w:noProof/>
        </w:rPr>
      </w:pPr>
    </w:p>
    <w:p>
      <w:pPr>
        <w:spacing w:before="240" w:after="0"/>
        <w:rPr>
          <w:noProof/>
        </w:rPr>
      </w:pPr>
    </w:p>
    <w:p>
      <w:pPr>
        <w:pStyle w:val="Text1"/>
        <w:rPr>
          <w:noProof/>
        </w:rPr>
        <w:sectPr>
          <w:headerReference w:type="even" r:id="rId155"/>
          <w:headerReference w:type="default" r:id="rId156"/>
          <w:footerReference w:type="even" r:id="rId157"/>
          <w:footerReference w:type="default" r:id="rId158"/>
          <w:headerReference w:type="first" r:id="rId159"/>
          <w:footerReference w:type="first" r:id="rId160"/>
          <w:footnotePr>
            <w:numStart w:val="168"/>
          </w:footnotePr>
          <w:pgSz w:w="11906" w:h="16838"/>
          <w:pgMar w:top="1440" w:right="1440" w:bottom="1440" w:left="1440" w:header="709" w:footer="709" w:gutter="0"/>
          <w:pgNumType w:start="160"/>
          <w:cols w:space="720"/>
          <w:docGrid w:linePitch="360"/>
        </w:sectPr>
      </w:pPr>
      <w:r>
        <w:rPr>
          <w:noProof/>
        </w:rPr>
        <w:br w:type="page"/>
      </w:r>
    </w:p>
    <w:p>
      <w:pPr>
        <w:keepNext/>
        <w:spacing w:before="120" w:after="120" w:line="240" w:lineRule="auto"/>
        <w:jc w:val="both"/>
        <w:outlineLvl w:val="2"/>
        <w:rPr>
          <w:rFonts w:ascii="Times New Roman" w:eastAsia="Times New Roman" w:hAnsi="Times New Roman" w:cs="Times New Roman"/>
          <w:i/>
          <w:noProof/>
          <w:sz w:val="24"/>
          <w:szCs w:val="20"/>
          <w:lang w:eastAsia="zh-CN"/>
        </w:rPr>
      </w:pPr>
      <w:bookmarkStart w:id="265" w:name="_Toc13153307"/>
      <w:bookmarkStart w:id="266" w:name="_Toc45618041"/>
      <w:r>
        <w:rPr>
          <w:rFonts w:ascii="Times New Roman" w:eastAsia="Times New Roman" w:hAnsi="Times New Roman" w:cs="Times New Roman"/>
          <w:i/>
          <w:noProof/>
          <w:sz w:val="24"/>
          <w:szCs w:val="20"/>
          <w:lang w:eastAsia="zh-CN"/>
        </w:rPr>
        <w:t>ANNEXES</w:t>
      </w:r>
      <w:bookmarkEnd w:id="265"/>
      <w:bookmarkEnd w:id="266"/>
    </w:p>
    <w:p>
      <w:pPr>
        <w:tabs>
          <w:tab w:val="left" w:pos="3261"/>
        </w:tabs>
        <w:spacing w:after="0" w:line="240" w:lineRule="auto"/>
        <w:rPr>
          <w:b/>
          <w:noProof/>
        </w:rPr>
      </w:pPr>
      <w:r>
        <w:rPr>
          <w:b/>
          <w:noProof/>
        </w:rPr>
        <w:t>Annex 1</w:t>
      </w:r>
    </w:p>
    <w:tbl>
      <w:tblPr>
        <w:tblW w:w="10078" w:type="dxa"/>
        <w:tblInd w:w="70" w:type="dxa"/>
        <w:tblLook w:val="04A0" w:firstRow="1" w:lastRow="0" w:firstColumn="1" w:lastColumn="0" w:noHBand="0" w:noVBand="1"/>
      </w:tblPr>
      <w:tblGrid>
        <w:gridCol w:w="905"/>
        <w:gridCol w:w="617"/>
        <w:gridCol w:w="1267"/>
        <w:gridCol w:w="617"/>
        <w:gridCol w:w="1267"/>
        <w:gridCol w:w="617"/>
        <w:gridCol w:w="1267"/>
        <w:gridCol w:w="617"/>
        <w:gridCol w:w="1271"/>
        <w:gridCol w:w="617"/>
        <w:gridCol w:w="1267"/>
      </w:tblGrid>
      <w:tr>
        <w:trPr>
          <w:trHeight w:val="429"/>
        </w:trPr>
        <w:tc>
          <w:tcPr>
            <w:tcW w:w="905"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sz w:val="20"/>
                <w:szCs w:val="20"/>
                <w:lang w:eastAsia="en-GB"/>
              </w:rPr>
            </w:pPr>
            <w:bookmarkStart w:id="267" w:name="RANGE!A1:K32"/>
            <w:bookmarkEnd w:id="267"/>
          </w:p>
        </w:tc>
        <w:tc>
          <w:tcPr>
            <w:tcW w:w="9173" w:type="dxa"/>
            <w:gridSpan w:val="10"/>
            <w:tcBorders>
              <w:top w:val="single" w:sz="4" w:space="0" w:color="FFFFFF"/>
              <w:left w:val="single" w:sz="4" w:space="0" w:color="FFFFFF"/>
              <w:bottom w:val="single" w:sz="4" w:space="0" w:color="FFFFFF"/>
              <w:right w:val="single" w:sz="4" w:space="0" w:color="FFFFFF"/>
            </w:tcBorders>
            <w:shd w:val="clear" w:color="00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TOR: Total number of fraudulent and non-fraudulent cases with the related estimated and established amount</w:t>
            </w:r>
            <w:r>
              <w:rPr>
                <w:rFonts w:ascii="Arial" w:eastAsia="Times New Roman" w:hAnsi="Arial" w:cs="Arial"/>
                <w:b/>
                <w:bCs/>
                <w:noProof/>
                <w:color w:val="FFFFFF"/>
                <w:sz w:val="16"/>
                <w:szCs w:val="16"/>
                <w:lang w:eastAsia="en-GB"/>
              </w:rPr>
              <w:br/>
              <w:t>2015-2019</w:t>
            </w:r>
          </w:p>
        </w:tc>
      </w:tr>
      <w:tr>
        <w:trPr>
          <w:trHeight w:val="298"/>
        </w:trPr>
        <w:tc>
          <w:tcPr>
            <w:tcW w:w="905" w:type="dxa"/>
            <w:vMerge w:val="restart"/>
            <w:tcBorders>
              <w:top w:val="single" w:sz="4" w:space="0" w:color="FFFFFF"/>
              <w:left w:val="single" w:sz="4" w:space="0" w:color="FFFFFF"/>
              <w:bottom w:val="single" w:sz="4" w:space="0" w:color="FFFFFF"/>
              <w:right w:val="single" w:sz="4" w:space="0" w:color="FFFFFF"/>
            </w:tcBorders>
            <w:shd w:val="clear" w:color="00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MS</w:t>
            </w:r>
          </w:p>
        </w:tc>
        <w:tc>
          <w:tcPr>
            <w:tcW w:w="1864"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2015</w:t>
            </w:r>
          </w:p>
        </w:tc>
        <w:tc>
          <w:tcPr>
            <w:tcW w:w="1825"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2016</w:t>
            </w:r>
          </w:p>
        </w:tc>
        <w:tc>
          <w:tcPr>
            <w:tcW w:w="1825"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2017</w:t>
            </w:r>
          </w:p>
        </w:tc>
        <w:tc>
          <w:tcPr>
            <w:tcW w:w="1830"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2018</w:t>
            </w:r>
          </w:p>
        </w:tc>
        <w:tc>
          <w:tcPr>
            <w:tcW w:w="1825"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2019</w:t>
            </w:r>
          </w:p>
        </w:tc>
      </w:tr>
      <w:tr>
        <w:trPr>
          <w:trHeight w:val="464"/>
        </w:trPr>
        <w:tc>
          <w:tcPr>
            <w:tcW w:w="905" w:type="dxa"/>
            <w:vMerge/>
            <w:tcBorders>
              <w:top w:val="single" w:sz="4" w:space="0" w:color="FFFFFF"/>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59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126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558"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126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558"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126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558"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1271"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558"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126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BE</w:t>
            </w:r>
          </w:p>
        </w:tc>
        <w:tc>
          <w:tcPr>
            <w:tcW w:w="59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253</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15.381.576</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213</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14.783.680</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223</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24.012.610</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261</w:t>
            </w:r>
          </w:p>
        </w:tc>
        <w:tc>
          <w:tcPr>
            <w:tcW w:w="127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22.290.296</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372</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34.476.843</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BG</w:t>
            </w:r>
          </w:p>
        </w:tc>
        <w:tc>
          <w:tcPr>
            <w:tcW w:w="59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27</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729.723</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322.555</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20</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1.256.344</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w:t>
            </w:r>
          </w:p>
        </w:tc>
        <w:tc>
          <w:tcPr>
            <w:tcW w:w="127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1.407.520</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653.686</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CZ</w:t>
            </w:r>
          </w:p>
        </w:tc>
        <w:tc>
          <w:tcPr>
            <w:tcW w:w="59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72</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3.729.061</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82</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5.812.744</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89</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8.480.638</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94</w:t>
            </w:r>
          </w:p>
        </w:tc>
        <w:tc>
          <w:tcPr>
            <w:tcW w:w="127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4.759.303</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51</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4.320.263</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DK</w:t>
            </w:r>
          </w:p>
        </w:tc>
        <w:tc>
          <w:tcPr>
            <w:tcW w:w="59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91</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6.212.626</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79</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12.239.845</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58</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2.413.222</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54</w:t>
            </w:r>
          </w:p>
        </w:tc>
        <w:tc>
          <w:tcPr>
            <w:tcW w:w="127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7.291.699</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66</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3.381.308</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DE</w:t>
            </w:r>
          </w:p>
        </w:tc>
        <w:tc>
          <w:tcPr>
            <w:tcW w:w="59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2.137</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140.234.145</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1.853</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85.669.082</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2003</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107.779.317</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1746</w:t>
            </w:r>
          </w:p>
        </w:tc>
        <w:tc>
          <w:tcPr>
            <w:tcW w:w="127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126.377.562</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1.532</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131.840.156</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EE</w:t>
            </w:r>
          </w:p>
        </w:tc>
        <w:tc>
          <w:tcPr>
            <w:tcW w:w="59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247.557</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1.303.483</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322.079</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27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642.408</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605.861</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IE</w:t>
            </w:r>
          </w:p>
        </w:tc>
        <w:tc>
          <w:tcPr>
            <w:tcW w:w="59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3.340.624</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35</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6.402.932</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35</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3.189.457</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36</w:t>
            </w:r>
          </w:p>
        </w:tc>
        <w:tc>
          <w:tcPr>
            <w:tcW w:w="127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4.615.501</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20</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1.418.200</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EL</w:t>
            </w:r>
          </w:p>
        </w:tc>
        <w:tc>
          <w:tcPr>
            <w:tcW w:w="59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57</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16.692.582</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46</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16.636.362</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48</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15.154.453</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41</w:t>
            </w:r>
          </w:p>
        </w:tc>
        <w:tc>
          <w:tcPr>
            <w:tcW w:w="127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7.390.356</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45</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3.556.214</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ES</w:t>
            </w:r>
          </w:p>
        </w:tc>
        <w:tc>
          <w:tcPr>
            <w:tcW w:w="59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320</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24.797.589</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303</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45.241.524</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264</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49.555.882</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322</w:t>
            </w:r>
          </w:p>
        </w:tc>
        <w:tc>
          <w:tcPr>
            <w:tcW w:w="127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35.679.540</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311</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26.014.963</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FR</w:t>
            </w:r>
          </w:p>
        </w:tc>
        <w:tc>
          <w:tcPr>
            <w:tcW w:w="59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383</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28.328.699</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346</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46.017.868</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299</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28.034.946</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294</w:t>
            </w:r>
          </w:p>
        </w:tc>
        <w:tc>
          <w:tcPr>
            <w:tcW w:w="127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96.677.600</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285</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25.145.687</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HR</w:t>
            </w:r>
          </w:p>
        </w:tc>
        <w:tc>
          <w:tcPr>
            <w:tcW w:w="59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970.578</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607.292</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1.089.621</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w:t>
            </w:r>
          </w:p>
        </w:tc>
        <w:tc>
          <w:tcPr>
            <w:tcW w:w="127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1.097.818</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521.097</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IT</w:t>
            </w:r>
          </w:p>
        </w:tc>
        <w:tc>
          <w:tcPr>
            <w:tcW w:w="59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152</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12.475.786</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112</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13.815.600</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145</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18.840.531</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104</w:t>
            </w:r>
          </w:p>
        </w:tc>
        <w:tc>
          <w:tcPr>
            <w:tcW w:w="127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10.245.332</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160</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14.239.984</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CY</w:t>
            </w:r>
          </w:p>
        </w:tc>
        <w:tc>
          <w:tcPr>
            <w:tcW w:w="59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127.072</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332.446</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128.966</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27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70.088</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10.463</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LV</w:t>
            </w:r>
          </w:p>
        </w:tc>
        <w:tc>
          <w:tcPr>
            <w:tcW w:w="59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30</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1.995.004</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33</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4.069.905</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555.952</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20</w:t>
            </w:r>
          </w:p>
        </w:tc>
        <w:tc>
          <w:tcPr>
            <w:tcW w:w="127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1.396.206</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24</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994.587</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LT</w:t>
            </w:r>
          </w:p>
        </w:tc>
        <w:tc>
          <w:tcPr>
            <w:tcW w:w="59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47</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1.325.639</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890.462</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57</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2.281.915</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45</w:t>
            </w:r>
          </w:p>
        </w:tc>
        <w:tc>
          <w:tcPr>
            <w:tcW w:w="127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4.908.606</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27</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3.426.512</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LU</w:t>
            </w:r>
          </w:p>
        </w:tc>
        <w:tc>
          <w:tcPr>
            <w:tcW w:w="59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176.523</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162.959</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7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111.376</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HU</w:t>
            </w:r>
          </w:p>
        </w:tc>
        <w:tc>
          <w:tcPr>
            <w:tcW w:w="59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27</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1.135.111</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3.809.265</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5.885.480</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w:t>
            </w:r>
          </w:p>
        </w:tc>
        <w:tc>
          <w:tcPr>
            <w:tcW w:w="127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1.157.762</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54</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3.465.845</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MT</w:t>
            </w:r>
          </w:p>
        </w:tc>
        <w:tc>
          <w:tcPr>
            <w:tcW w:w="59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639.073</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320.682</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366.319</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7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NL</w:t>
            </w:r>
          </w:p>
        </w:tc>
        <w:tc>
          <w:tcPr>
            <w:tcW w:w="59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462</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110.264.295</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523</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132.231.615</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450</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75.597.938</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503</w:t>
            </w:r>
          </w:p>
        </w:tc>
        <w:tc>
          <w:tcPr>
            <w:tcW w:w="127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129.521.185</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407</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97.755.920</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AT</w:t>
            </w:r>
          </w:p>
        </w:tc>
        <w:tc>
          <w:tcPr>
            <w:tcW w:w="59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75</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3.910.588</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61</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11.400.786</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56</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7.337.055</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48</w:t>
            </w:r>
          </w:p>
        </w:tc>
        <w:tc>
          <w:tcPr>
            <w:tcW w:w="127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2.221.411</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47</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4.983.962</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PL</w:t>
            </w:r>
          </w:p>
        </w:tc>
        <w:tc>
          <w:tcPr>
            <w:tcW w:w="59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129</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5.055.693</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166</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7.006.566</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99</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3.266.143</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155</w:t>
            </w:r>
          </w:p>
        </w:tc>
        <w:tc>
          <w:tcPr>
            <w:tcW w:w="127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8.429.067</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140</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10.678.969</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PT</w:t>
            </w:r>
          </w:p>
        </w:tc>
        <w:tc>
          <w:tcPr>
            <w:tcW w:w="59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3.764.190</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6.609.241</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38</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5.457.304</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37</w:t>
            </w:r>
          </w:p>
        </w:tc>
        <w:tc>
          <w:tcPr>
            <w:tcW w:w="127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9.398.614</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1.233.978</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RO</w:t>
            </w:r>
          </w:p>
        </w:tc>
        <w:tc>
          <w:tcPr>
            <w:tcW w:w="59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93</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7.890.091</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57</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5.379.682</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2.962.329</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25</w:t>
            </w:r>
          </w:p>
        </w:tc>
        <w:tc>
          <w:tcPr>
            <w:tcW w:w="127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2.389.834</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57</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3.723.400</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SI</w:t>
            </w:r>
          </w:p>
        </w:tc>
        <w:tc>
          <w:tcPr>
            <w:tcW w:w="59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441.245</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146.875</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507.746</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w:t>
            </w:r>
          </w:p>
        </w:tc>
        <w:tc>
          <w:tcPr>
            <w:tcW w:w="127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987.411</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503.267</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SK</w:t>
            </w:r>
          </w:p>
        </w:tc>
        <w:tc>
          <w:tcPr>
            <w:tcW w:w="59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605.925</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18</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1.026.172</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756.807</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w:t>
            </w:r>
          </w:p>
        </w:tc>
        <w:tc>
          <w:tcPr>
            <w:tcW w:w="127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550.903</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423.202</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FI</w:t>
            </w:r>
          </w:p>
        </w:tc>
        <w:tc>
          <w:tcPr>
            <w:tcW w:w="59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38</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1.739.021</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40</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2.385.846</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1.894.518</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w:t>
            </w:r>
          </w:p>
        </w:tc>
        <w:tc>
          <w:tcPr>
            <w:tcW w:w="127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2.945.510</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58</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8.251.250</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SE</w:t>
            </w:r>
          </w:p>
        </w:tc>
        <w:tc>
          <w:tcPr>
            <w:tcW w:w="59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79</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2.991.700</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101</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6.004.437</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169</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10.705.794</w:t>
            </w:r>
          </w:p>
        </w:tc>
        <w:tc>
          <w:tcPr>
            <w:tcW w:w="558"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155</w:t>
            </w:r>
          </w:p>
        </w:tc>
        <w:tc>
          <w:tcPr>
            <w:tcW w:w="127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7.592.250</w:t>
            </w:r>
          </w:p>
        </w:tc>
        <w:tc>
          <w:tcPr>
            <w:tcW w:w="558"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174</w:t>
            </w:r>
          </w:p>
        </w:tc>
        <w:tc>
          <w:tcPr>
            <w:tcW w:w="1267"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9.054.254</w:t>
            </w:r>
          </w:p>
        </w:tc>
      </w:tr>
      <w:tr>
        <w:trPr>
          <w:trHeight w:val="221"/>
        </w:trPr>
        <w:tc>
          <w:tcPr>
            <w:tcW w:w="905"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UK</w:t>
            </w:r>
          </w:p>
        </w:tc>
        <w:tc>
          <w:tcPr>
            <w:tcW w:w="59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971</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45.205.818</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835</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82.774.064</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812</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100.663.032</w:t>
            </w:r>
          </w:p>
        </w:tc>
        <w:tc>
          <w:tcPr>
            <w:tcW w:w="558"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822</w:t>
            </w:r>
          </w:p>
        </w:tc>
        <w:tc>
          <w:tcPr>
            <w:tcW w:w="127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130.348.949</w:t>
            </w:r>
          </w:p>
        </w:tc>
        <w:tc>
          <w:tcPr>
            <w:tcW w:w="558"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785</w:t>
            </w:r>
          </w:p>
        </w:tc>
        <w:tc>
          <w:tcPr>
            <w:tcW w:w="1267"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86.081.426</w:t>
            </w:r>
          </w:p>
        </w:tc>
      </w:tr>
      <w:tr>
        <w:trPr>
          <w:trHeight w:val="295"/>
        </w:trPr>
        <w:tc>
          <w:tcPr>
            <w:tcW w:w="905" w:type="dxa"/>
            <w:tcBorders>
              <w:top w:val="nil"/>
              <w:left w:val="single" w:sz="4" w:space="0" w:color="FFFFFF"/>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TOTAL  </w:t>
            </w:r>
          </w:p>
        </w:tc>
        <w:tc>
          <w:tcPr>
            <w:tcW w:w="59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5.551</w:t>
            </w:r>
          </w:p>
        </w:tc>
        <w:tc>
          <w:tcPr>
            <w:tcW w:w="126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440.231.011</w:t>
            </w:r>
          </w:p>
        </w:tc>
        <w:tc>
          <w:tcPr>
            <w:tcW w:w="558"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5.018</w:t>
            </w:r>
          </w:p>
        </w:tc>
        <w:tc>
          <w:tcPr>
            <w:tcW w:w="126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513.417.533</w:t>
            </w:r>
          </w:p>
        </w:tc>
        <w:tc>
          <w:tcPr>
            <w:tcW w:w="558"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5.022</w:t>
            </w:r>
          </w:p>
        </w:tc>
        <w:tc>
          <w:tcPr>
            <w:tcW w:w="126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478.659.357</w:t>
            </w:r>
          </w:p>
        </w:tc>
        <w:tc>
          <w:tcPr>
            <w:tcW w:w="558"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4.873</w:t>
            </w:r>
          </w:p>
        </w:tc>
        <w:tc>
          <w:tcPr>
            <w:tcW w:w="1271"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620.392.731</w:t>
            </w:r>
          </w:p>
        </w:tc>
        <w:tc>
          <w:tcPr>
            <w:tcW w:w="558"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4.662</w:t>
            </w:r>
          </w:p>
        </w:tc>
        <w:tc>
          <w:tcPr>
            <w:tcW w:w="126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476.872.672</w:t>
            </w:r>
          </w:p>
        </w:tc>
      </w:tr>
    </w:tbl>
    <w:p>
      <w:pPr>
        <w:tabs>
          <w:tab w:val="left" w:pos="3261"/>
        </w:tabs>
        <w:spacing w:after="0" w:line="240" w:lineRule="auto"/>
        <w:rPr>
          <w:b/>
          <w:noProof/>
        </w:rPr>
      </w:pPr>
      <w:r>
        <w:rPr>
          <w:b/>
          <w:noProof/>
        </w:rPr>
        <w:br w:type="page"/>
      </w:r>
      <w:bookmarkStart w:id="268" w:name="RANGE!A1:G33"/>
      <w:bookmarkEnd w:id="268"/>
      <w:r>
        <w:rPr>
          <w:b/>
          <w:noProof/>
        </w:rPr>
        <w:t>Annex 2</w:t>
      </w:r>
    </w:p>
    <w:tbl>
      <w:tblPr>
        <w:tblW w:w="10160" w:type="dxa"/>
        <w:tblInd w:w="108" w:type="dxa"/>
        <w:tblLook w:val="04A0" w:firstRow="1" w:lastRow="0" w:firstColumn="1" w:lastColumn="0" w:noHBand="0" w:noVBand="1"/>
      </w:tblPr>
      <w:tblGrid>
        <w:gridCol w:w="1000"/>
        <w:gridCol w:w="660"/>
        <w:gridCol w:w="1400"/>
        <w:gridCol w:w="540"/>
        <w:gridCol w:w="1280"/>
        <w:gridCol w:w="520"/>
        <w:gridCol w:w="1120"/>
        <w:gridCol w:w="520"/>
        <w:gridCol w:w="1440"/>
        <w:gridCol w:w="520"/>
        <w:gridCol w:w="1160"/>
      </w:tblGrid>
      <w:tr>
        <w:trPr>
          <w:trHeight w:val="465"/>
        </w:trPr>
        <w:tc>
          <w:tcPr>
            <w:tcW w:w="1000"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sz w:val="20"/>
                <w:szCs w:val="20"/>
                <w:lang w:eastAsia="en-GB"/>
              </w:rPr>
            </w:pPr>
          </w:p>
        </w:tc>
        <w:tc>
          <w:tcPr>
            <w:tcW w:w="9160" w:type="dxa"/>
            <w:gridSpan w:val="10"/>
            <w:tcBorders>
              <w:top w:val="single" w:sz="4" w:space="0" w:color="FFFFFF"/>
              <w:left w:val="single" w:sz="4" w:space="0" w:color="FFFFFF"/>
              <w:bottom w:val="single" w:sz="4" w:space="0" w:color="FFFFFF"/>
              <w:right w:val="single" w:sz="4" w:space="0" w:color="FFFFFF"/>
            </w:tcBorders>
            <w:shd w:val="clear" w:color="00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TOR: Total number of fraudulent cases with the related estimated and established amount</w:t>
            </w:r>
            <w:r>
              <w:rPr>
                <w:rFonts w:ascii="Arial" w:eastAsia="Times New Roman" w:hAnsi="Arial" w:cs="Arial"/>
                <w:b/>
                <w:bCs/>
                <w:noProof/>
                <w:color w:val="FFFFFF"/>
                <w:sz w:val="16"/>
                <w:szCs w:val="16"/>
                <w:lang w:eastAsia="en-GB"/>
              </w:rPr>
              <w:br/>
              <w:t xml:space="preserve">2015-2019                                                                      </w:t>
            </w:r>
          </w:p>
        </w:tc>
      </w:tr>
      <w:tr>
        <w:trPr>
          <w:trHeight w:val="323"/>
        </w:trPr>
        <w:tc>
          <w:tcPr>
            <w:tcW w:w="1000" w:type="dxa"/>
            <w:vMerge w:val="restart"/>
            <w:tcBorders>
              <w:top w:val="single" w:sz="4" w:space="0" w:color="FFFFFF"/>
              <w:left w:val="single" w:sz="4" w:space="0" w:color="FFFFFF"/>
              <w:bottom w:val="single" w:sz="4" w:space="0" w:color="FFFFFF"/>
              <w:right w:val="single" w:sz="4" w:space="0" w:color="FFFFFF"/>
            </w:tcBorders>
            <w:shd w:val="clear" w:color="00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MS</w:t>
            </w:r>
          </w:p>
        </w:tc>
        <w:tc>
          <w:tcPr>
            <w:tcW w:w="2060"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2015</w:t>
            </w:r>
          </w:p>
        </w:tc>
        <w:tc>
          <w:tcPr>
            <w:tcW w:w="1820"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2016</w:t>
            </w:r>
          </w:p>
        </w:tc>
        <w:tc>
          <w:tcPr>
            <w:tcW w:w="1640"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2017</w:t>
            </w:r>
          </w:p>
        </w:tc>
        <w:tc>
          <w:tcPr>
            <w:tcW w:w="1960"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2018</w:t>
            </w:r>
          </w:p>
        </w:tc>
        <w:tc>
          <w:tcPr>
            <w:tcW w:w="1680"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2019</w:t>
            </w:r>
          </w:p>
        </w:tc>
      </w:tr>
      <w:tr>
        <w:trPr>
          <w:trHeight w:val="503"/>
        </w:trPr>
        <w:tc>
          <w:tcPr>
            <w:tcW w:w="1000" w:type="dxa"/>
            <w:vMerge/>
            <w:tcBorders>
              <w:top w:val="single" w:sz="4" w:space="0" w:color="FFFFFF"/>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66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140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54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128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52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112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52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144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52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116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BE</w:t>
            </w:r>
          </w:p>
        </w:tc>
        <w:tc>
          <w:tcPr>
            <w:tcW w:w="6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45</w:t>
            </w:r>
          </w:p>
        </w:tc>
        <w:tc>
          <w:tcPr>
            <w:tcW w:w="140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7.486.346</w:t>
            </w:r>
          </w:p>
        </w:tc>
        <w:tc>
          <w:tcPr>
            <w:tcW w:w="5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41</w:t>
            </w:r>
          </w:p>
        </w:tc>
        <w:tc>
          <w:tcPr>
            <w:tcW w:w="128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8.952.164</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28</w:t>
            </w:r>
          </w:p>
        </w:tc>
        <w:tc>
          <w:tcPr>
            <w:tcW w:w="11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13.990.000</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41</w:t>
            </w:r>
          </w:p>
        </w:tc>
        <w:tc>
          <w:tcPr>
            <w:tcW w:w="14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16.064.238</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112</w:t>
            </w:r>
          </w:p>
        </w:tc>
        <w:tc>
          <w:tcPr>
            <w:tcW w:w="11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21.483.133</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BG</w:t>
            </w:r>
          </w:p>
        </w:tc>
        <w:tc>
          <w:tcPr>
            <w:tcW w:w="6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w:t>
            </w:r>
          </w:p>
        </w:tc>
        <w:tc>
          <w:tcPr>
            <w:tcW w:w="140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648.683</w:t>
            </w:r>
          </w:p>
        </w:tc>
        <w:tc>
          <w:tcPr>
            <w:tcW w:w="5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w:t>
            </w:r>
          </w:p>
        </w:tc>
        <w:tc>
          <w:tcPr>
            <w:tcW w:w="128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310.208</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w:t>
            </w:r>
          </w:p>
        </w:tc>
        <w:tc>
          <w:tcPr>
            <w:tcW w:w="11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1.190.756</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w:t>
            </w:r>
          </w:p>
        </w:tc>
        <w:tc>
          <w:tcPr>
            <w:tcW w:w="14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1.348.301</w:t>
            </w:r>
          </w:p>
        </w:tc>
        <w:tc>
          <w:tcPr>
            <w:tcW w:w="5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1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653.686</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CZ</w:t>
            </w:r>
          </w:p>
        </w:tc>
        <w:tc>
          <w:tcPr>
            <w:tcW w:w="6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40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47.854</w:t>
            </w:r>
          </w:p>
        </w:tc>
        <w:tc>
          <w:tcPr>
            <w:tcW w:w="5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8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150.271</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DK</w:t>
            </w:r>
          </w:p>
        </w:tc>
        <w:tc>
          <w:tcPr>
            <w:tcW w:w="6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40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2.677.682</w:t>
            </w:r>
          </w:p>
        </w:tc>
        <w:tc>
          <w:tcPr>
            <w:tcW w:w="5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28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8.542.443</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87.655</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4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167.029</w:t>
            </w:r>
          </w:p>
        </w:tc>
        <w:tc>
          <w:tcPr>
            <w:tcW w:w="5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1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145.933</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DE</w:t>
            </w:r>
          </w:p>
        </w:tc>
        <w:tc>
          <w:tcPr>
            <w:tcW w:w="6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160</w:t>
            </w:r>
          </w:p>
        </w:tc>
        <w:tc>
          <w:tcPr>
            <w:tcW w:w="140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29.777.720</w:t>
            </w:r>
          </w:p>
        </w:tc>
        <w:tc>
          <w:tcPr>
            <w:tcW w:w="5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117</w:t>
            </w:r>
          </w:p>
        </w:tc>
        <w:tc>
          <w:tcPr>
            <w:tcW w:w="128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5.382.048</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60</w:t>
            </w:r>
          </w:p>
        </w:tc>
        <w:tc>
          <w:tcPr>
            <w:tcW w:w="11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6.581.445</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115</w:t>
            </w:r>
          </w:p>
        </w:tc>
        <w:tc>
          <w:tcPr>
            <w:tcW w:w="14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20.530.440</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62</w:t>
            </w:r>
          </w:p>
        </w:tc>
        <w:tc>
          <w:tcPr>
            <w:tcW w:w="11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31.138.965</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EE</w:t>
            </w:r>
          </w:p>
        </w:tc>
        <w:tc>
          <w:tcPr>
            <w:tcW w:w="6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40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134.899</w:t>
            </w:r>
          </w:p>
        </w:tc>
        <w:tc>
          <w:tcPr>
            <w:tcW w:w="5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28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71.272</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1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310.930</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4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568.102</w:t>
            </w:r>
          </w:p>
        </w:tc>
        <w:tc>
          <w:tcPr>
            <w:tcW w:w="5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1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505.284</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IE</w:t>
            </w:r>
          </w:p>
        </w:tc>
        <w:tc>
          <w:tcPr>
            <w:tcW w:w="6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w:t>
            </w:r>
          </w:p>
        </w:tc>
        <w:tc>
          <w:tcPr>
            <w:tcW w:w="140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1.544.668</w:t>
            </w:r>
          </w:p>
        </w:tc>
        <w:tc>
          <w:tcPr>
            <w:tcW w:w="5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28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1.176.186</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33.992</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14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1.497.154</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1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291.422</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EL</w:t>
            </w:r>
          </w:p>
        </w:tc>
        <w:tc>
          <w:tcPr>
            <w:tcW w:w="6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w:t>
            </w:r>
          </w:p>
        </w:tc>
        <w:tc>
          <w:tcPr>
            <w:tcW w:w="140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13.390.124</w:t>
            </w:r>
          </w:p>
        </w:tc>
        <w:tc>
          <w:tcPr>
            <w:tcW w:w="5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39</w:t>
            </w:r>
          </w:p>
        </w:tc>
        <w:tc>
          <w:tcPr>
            <w:tcW w:w="128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16.113.752</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37</w:t>
            </w:r>
          </w:p>
        </w:tc>
        <w:tc>
          <w:tcPr>
            <w:tcW w:w="11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14.834.859</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w:t>
            </w:r>
          </w:p>
        </w:tc>
        <w:tc>
          <w:tcPr>
            <w:tcW w:w="14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6.099.049</w:t>
            </w:r>
          </w:p>
        </w:tc>
        <w:tc>
          <w:tcPr>
            <w:tcW w:w="5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w:t>
            </w:r>
          </w:p>
        </w:tc>
        <w:tc>
          <w:tcPr>
            <w:tcW w:w="11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1.966.743</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ES</w:t>
            </w:r>
          </w:p>
        </w:tc>
        <w:tc>
          <w:tcPr>
            <w:tcW w:w="6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75</w:t>
            </w:r>
          </w:p>
        </w:tc>
        <w:tc>
          <w:tcPr>
            <w:tcW w:w="140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4.943.261</w:t>
            </w:r>
          </w:p>
        </w:tc>
        <w:tc>
          <w:tcPr>
            <w:tcW w:w="5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50</w:t>
            </w:r>
          </w:p>
        </w:tc>
        <w:tc>
          <w:tcPr>
            <w:tcW w:w="128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3.198.054</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w:t>
            </w:r>
          </w:p>
        </w:tc>
        <w:tc>
          <w:tcPr>
            <w:tcW w:w="11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3.162.346</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46</w:t>
            </w:r>
          </w:p>
        </w:tc>
        <w:tc>
          <w:tcPr>
            <w:tcW w:w="14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4.145.500</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w:t>
            </w:r>
          </w:p>
        </w:tc>
        <w:tc>
          <w:tcPr>
            <w:tcW w:w="11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2.527.014</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FR</w:t>
            </w:r>
          </w:p>
        </w:tc>
        <w:tc>
          <w:tcPr>
            <w:tcW w:w="6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99</w:t>
            </w:r>
          </w:p>
        </w:tc>
        <w:tc>
          <w:tcPr>
            <w:tcW w:w="140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14.436.645</w:t>
            </w:r>
          </w:p>
        </w:tc>
        <w:tc>
          <w:tcPr>
            <w:tcW w:w="5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92</w:t>
            </w:r>
          </w:p>
        </w:tc>
        <w:tc>
          <w:tcPr>
            <w:tcW w:w="128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25.954.197</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98</w:t>
            </w:r>
          </w:p>
        </w:tc>
        <w:tc>
          <w:tcPr>
            <w:tcW w:w="11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13.218.922</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61</w:t>
            </w:r>
          </w:p>
        </w:tc>
        <w:tc>
          <w:tcPr>
            <w:tcW w:w="14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80.334.585</w:t>
            </w:r>
          </w:p>
        </w:tc>
        <w:tc>
          <w:tcPr>
            <w:tcW w:w="5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49</w:t>
            </w:r>
          </w:p>
        </w:tc>
        <w:tc>
          <w:tcPr>
            <w:tcW w:w="11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6.259.966</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HR</w:t>
            </w:r>
          </w:p>
        </w:tc>
        <w:tc>
          <w:tcPr>
            <w:tcW w:w="6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40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248.151</w:t>
            </w:r>
          </w:p>
        </w:tc>
        <w:tc>
          <w:tcPr>
            <w:tcW w:w="5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28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341.342</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w:t>
            </w:r>
          </w:p>
        </w:tc>
        <w:tc>
          <w:tcPr>
            <w:tcW w:w="11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828.131</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w:t>
            </w:r>
          </w:p>
        </w:tc>
        <w:tc>
          <w:tcPr>
            <w:tcW w:w="14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1.023.612</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1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393.202</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IT</w:t>
            </w:r>
          </w:p>
        </w:tc>
        <w:tc>
          <w:tcPr>
            <w:tcW w:w="6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40</w:t>
            </w:r>
          </w:p>
        </w:tc>
        <w:tc>
          <w:tcPr>
            <w:tcW w:w="140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5.553.956</w:t>
            </w:r>
          </w:p>
        </w:tc>
        <w:tc>
          <w:tcPr>
            <w:tcW w:w="5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w:t>
            </w:r>
          </w:p>
        </w:tc>
        <w:tc>
          <w:tcPr>
            <w:tcW w:w="128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6.916.737</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w:t>
            </w:r>
          </w:p>
        </w:tc>
        <w:tc>
          <w:tcPr>
            <w:tcW w:w="11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2.243.030</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38</w:t>
            </w:r>
          </w:p>
        </w:tc>
        <w:tc>
          <w:tcPr>
            <w:tcW w:w="14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5.763.881</w:t>
            </w:r>
          </w:p>
        </w:tc>
        <w:tc>
          <w:tcPr>
            <w:tcW w:w="5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w:t>
            </w:r>
          </w:p>
        </w:tc>
        <w:tc>
          <w:tcPr>
            <w:tcW w:w="11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2.237.000</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CY</w:t>
            </w:r>
          </w:p>
        </w:tc>
        <w:tc>
          <w:tcPr>
            <w:tcW w:w="6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40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112.709</w:t>
            </w:r>
          </w:p>
        </w:tc>
        <w:tc>
          <w:tcPr>
            <w:tcW w:w="5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28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332.446</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1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118.402</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4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12.878</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LV</w:t>
            </w:r>
          </w:p>
        </w:tc>
        <w:tc>
          <w:tcPr>
            <w:tcW w:w="6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18</w:t>
            </w:r>
          </w:p>
        </w:tc>
        <w:tc>
          <w:tcPr>
            <w:tcW w:w="140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1.616.073</w:t>
            </w:r>
          </w:p>
        </w:tc>
        <w:tc>
          <w:tcPr>
            <w:tcW w:w="5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w:t>
            </w:r>
          </w:p>
        </w:tc>
        <w:tc>
          <w:tcPr>
            <w:tcW w:w="128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951.906</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w:t>
            </w:r>
          </w:p>
        </w:tc>
        <w:tc>
          <w:tcPr>
            <w:tcW w:w="11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359.109</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4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1.103.972</w:t>
            </w:r>
          </w:p>
        </w:tc>
        <w:tc>
          <w:tcPr>
            <w:tcW w:w="5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w:t>
            </w:r>
          </w:p>
        </w:tc>
        <w:tc>
          <w:tcPr>
            <w:tcW w:w="11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711.278</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LT</w:t>
            </w:r>
          </w:p>
        </w:tc>
        <w:tc>
          <w:tcPr>
            <w:tcW w:w="6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w:t>
            </w:r>
          </w:p>
        </w:tc>
        <w:tc>
          <w:tcPr>
            <w:tcW w:w="140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559.196</w:t>
            </w:r>
          </w:p>
        </w:tc>
        <w:tc>
          <w:tcPr>
            <w:tcW w:w="5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128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266.102</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38</w:t>
            </w:r>
          </w:p>
        </w:tc>
        <w:tc>
          <w:tcPr>
            <w:tcW w:w="11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1.275.220</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20</w:t>
            </w:r>
          </w:p>
        </w:tc>
        <w:tc>
          <w:tcPr>
            <w:tcW w:w="14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1.683.684</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w:t>
            </w:r>
          </w:p>
        </w:tc>
        <w:tc>
          <w:tcPr>
            <w:tcW w:w="11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2.458.400</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LU</w:t>
            </w:r>
          </w:p>
        </w:tc>
        <w:tc>
          <w:tcPr>
            <w:tcW w:w="6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5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8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5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HU</w:t>
            </w:r>
          </w:p>
        </w:tc>
        <w:tc>
          <w:tcPr>
            <w:tcW w:w="6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40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168.922</w:t>
            </w:r>
          </w:p>
        </w:tc>
        <w:tc>
          <w:tcPr>
            <w:tcW w:w="5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8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36.713</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1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311.055</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4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721.167</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26.502</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MT</w:t>
            </w:r>
          </w:p>
        </w:tc>
        <w:tc>
          <w:tcPr>
            <w:tcW w:w="6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40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34.422</w:t>
            </w:r>
          </w:p>
        </w:tc>
        <w:tc>
          <w:tcPr>
            <w:tcW w:w="5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8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320.682</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1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366.319</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5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NL</w:t>
            </w:r>
          </w:p>
        </w:tc>
        <w:tc>
          <w:tcPr>
            <w:tcW w:w="6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40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1.596.447</w:t>
            </w:r>
          </w:p>
        </w:tc>
        <w:tc>
          <w:tcPr>
            <w:tcW w:w="5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28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515.657</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11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3.358.199</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18</w:t>
            </w:r>
          </w:p>
        </w:tc>
        <w:tc>
          <w:tcPr>
            <w:tcW w:w="14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2.365.801</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1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2.500.608</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AT</w:t>
            </w:r>
          </w:p>
        </w:tc>
        <w:tc>
          <w:tcPr>
            <w:tcW w:w="6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140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1.002.116</w:t>
            </w:r>
          </w:p>
        </w:tc>
        <w:tc>
          <w:tcPr>
            <w:tcW w:w="5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w:t>
            </w:r>
          </w:p>
        </w:tc>
        <w:tc>
          <w:tcPr>
            <w:tcW w:w="128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1.764.776</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1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5.625.470</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4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147.356</w:t>
            </w:r>
          </w:p>
        </w:tc>
        <w:tc>
          <w:tcPr>
            <w:tcW w:w="5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1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1.088.950</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PL</w:t>
            </w:r>
          </w:p>
        </w:tc>
        <w:tc>
          <w:tcPr>
            <w:tcW w:w="6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59</w:t>
            </w:r>
          </w:p>
        </w:tc>
        <w:tc>
          <w:tcPr>
            <w:tcW w:w="140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1.752.500</w:t>
            </w:r>
          </w:p>
        </w:tc>
        <w:tc>
          <w:tcPr>
            <w:tcW w:w="5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92</w:t>
            </w:r>
          </w:p>
        </w:tc>
        <w:tc>
          <w:tcPr>
            <w:tcW w:w="128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3.007.681</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52</w:t>
            </w:r>
          </w:p>
        </w:tc>
        <w:tc>
          <w:tcPr>
            <w:tcW w:w="11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1.859.125</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41</w:t>
            </w:r>
          </w:p>
        </w:tc>
        <w:tc>
          <w:tcPr>
            <w:tcW w:w="14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2.240.531</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w:t>
            </w:r>
          </w:p>
        </w:tc>
        <w:tc>
          <w:tcPr>
            <w:tcW w:w="11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2.641.542</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PT</w:t>
            </w:r>
          </w:p>
        </w:tc>
        <w:tc>
          <w:tcPr>
            <w:tcW w:w="6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40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3.214.944</w:t>
            </w:r>
          </w:p>
        </w:tc>
        <w:tc>
          <w:tcPr>
            <w:tcW w:w="5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8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5.299.535</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1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908.214</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4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1.643.054</w:t>
            </w:r>
          </w:p>
        </w:tc>
        <w:tc>
          <w:tcPr>
            <w:tcW w:w="5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1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1.043.512</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RO</w:t>
            </w:r>
          </w:p>
        </w:tc>
        <w:tc>
          <w:tcPr>
            <w:tcW w:w="6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21</w:t>
            </w:r>
          </w:p>
        </w:tc>
        <w:tc>
          <w:tcPr>
            <w:tcW w:w="140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975.551</w:t>
            </w:r>
          </w:p>
        </w:tc>
        <w:tc>
          <w:tcPr>
            <w:tcW w:w="5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w:t>
            </w:r>
          </w:p>
        </w:tc>
        <w:tc>
          <w:tcPr>
            <w:tcW w:w="128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2.703.065</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1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293.507</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4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49.640</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1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319.069</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SI</w:t>
            </w:r>
          </w:p>
        </w:tc>
        <w:tc>
          <w:tcPr>
            <w:tcW w:w="6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40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134.029</w:t>
            </w:r>
          </w:p>
        </w:tc>
        <w:tc>
          <w:tcPr>
            <w:tcW w:w="5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8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1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171.727</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w:t>
            </w:r>
          </w:p>
        </w:tc>
        <w:tc>
          <w:tcPr>
            <w:tcW w:w="14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405.956</w:t>
            </w:r>
          </w:p>
        </w:tc>
        <w:tc>
          <w:tcPr>
            <w:tcW w:w="5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1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64.994</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SK</w:t>
            </w:r>
          </w:p>
        </w:tc>
        <w:tc>
          <w:tcPr>
            <w:tcW w:w="6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40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117.282</w:t>
            </w:r>
          </w:p>
        </w:tc>
        <w:tc>
          <w:tcPr>
            <w:tcW w:w="5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28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707.196</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4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115.016</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15.500</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FI</w:t>
            </w:r>
          </w:p>
        </w:tc>
        <w:tc>
          <w:tcPr>
            <w:tcW w:w="6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40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412.415</w:t>
            </w:r>
          </w:p>
        </w:tc>
        <w:tc>
          <w:tcPr>
            <w:tcW w:w="5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28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119.457</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1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68.254</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4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267.571</w:t>
            </w:r>
          </w:p>
        </w:tc>
        <w:tc>
          <w:tcPr>
            <w:tcW w:w="5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1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226.260</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SE</w:t>
            </w:r>
          </w:p>
        </w:tc>
        <w:tc>
          <w:tcPr>
            <w:tcW w:w="6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5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8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91.976</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1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4.315.758</w:t>
            </w:r>
          </w:p>
        </w:tc>
        <w:tc>
          <w:tcPr>
            <w:tcW w:w="520"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44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33.864</w:t>
            </w:r>
          </w:p>
        </w:tc>
        <w:tc>
          <w:tcPr>
            <w:tcW w:w="52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60"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76.914</w:t>
            </w:r>
          </w:p>
        </w:tc>
      </w:tr>
      <w:tr>
        <w:trPr>
          <w:trHeight w:val="240"/>
        </w:trPr>
        <w:tc>
          <w:tcPr>
            <w:tcW w:w="1000"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UK</w:t>
            </w:r>
          </w:p>
        </w:tc>
        <w:tc>
          <w:tcPr>
            <w:tcW w:w="6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42</w:t>
            </w:r>
          </w:p>
        </w:tc>
        <w:tc>
          <w:tcPr>
            <w:tcW w:w="140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996.027</w:t>
            </w:r>
          </w:p>
        </w:tc>
        <w:tc>
          <w:tcPr>
            <w:tcW w:w="5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28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301.726</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1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485.590</w:t>
            </w:r>
          </w:p>
        </w:tc>
        <w:tc>
          <w:tcPr>
            <w:tcW w:w="520"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28</w:t>
            </w:r>
          </w:p>
        </w:tc>
        <w:tc>
          <w:tcPr>
            <w:tcW w:w="144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965.389</w:t>
            </w:r>
          </w:p>
        </w:tc>
        <w:tc>
          <w:tcPr>
            <w:tcW w:w="52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w:t>
            </w:r>
          </w:p>
        </w:tc>
        <w:tc>
          <w:tcPr>
            <w:tcW w:w="1160"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978.333</w:t>
            </w:r>
          </w:p>
        </w:tc>
      </w:tr>
      <w:tr>
        <w:trPr>
          <w:trHeight w:val="320"/>
        </w:trPr>
        <w:tc>
          <w:tcPr>
            <w:tcW w:w="1000" w:type="dxa"/>
            <w:tcBorders>
              <w:top w:val="nil"/>
              <w:left w:val="single" w:sz="4" w:space="0" w:color="FFFFFF"/>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TOTAL  </w:t>
            </w:r>
          </w:p>
        </w:tc>
        <w:tc>
          <w:tcPr>
            <w:tcW w:w="66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700</w:t>
            </w:r>
          </w:p>
        </w:tc>
        <w:tc>
          <w:tcPr>
            <w:tcW w:w="140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93.582.621</w:t>
            </w:r>
          </w:p>
        </w:tc>
        <w:tc>
          <w:tcPr>
            <w:tcW w:w="54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584</w:t>
            </w:r>
          </w:p>
        </w:tc>
        <w:tc>
          <w:tcPr>
            <w:tcW w:w="128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93.527.594</w:t>
            </w:r>
          </w:p>
        </w:tc>
        <w:tc>
          <w:tcPr>
            <w:tcW w:w="52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475</w:t>
            </w:r>
          </w:p>
        </w:tc>
        <w:tc>
          <w:tcPr>
            <w:tcW w:w="112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75.998.015</w:t>
            </w:r>
          </w:p>
        </w:tc>
        <w:tc>
          <w:tcPr>
            <w:tcW w:w="52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521</w:t>
            </w:r>
          </w:p>
        </w:tc>
        <w:tc>
          <w:tcPr>
            <w:tcW w:w="144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149.297.771</w:t>
            </w:r>
          </w:p>
        </w:tc>
        <w:tc>
          <w:tcPr>
            <w:tcW w:w="52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425</w:t>
            </w:r>
          </w:p>
        </w:tc>
        <w:tc>
          <w:tcPr>
            <w:tcW w:w="116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79.754.209</w:t>
            </w:r>
          </w:p>
        </w:tc>
      </w:tr>
    </w:tbl>
    <w:p>
      <w:pPr>
        <w:tabs>
          <w:tab w:val="left" w:pos="3261"/>
        </w:tabs>
        <w:rPr>
          <w:b/>
          <w:noProof/>
        </w:rPr>
      </w:pPr>
      <w:r>
        <w:rPr>
          <w:noProof/>
        </w:rPr>
        <w:br w:type="page"/>
      </w:r>
      <w:r>
        <w:rPr>
          <w:b/>
          <w:noProof/>
        </w:rPr>
        <w:t>Annex 3</w:t>
      </w:r>
    </w:p>
    <w:tbl>
      <w:tblPr>
        <w:tblW w:w="10348" w:type="dxa"/>
        <w:tblInd w:w="108" w:type="dxa"/>
        <w:tblLook w:val="04A0" w:firstRow="1" w:lastRow="0" w:firstColumn="1" w:lastColumn="0" w:noHBand="0" w:noVBand="1"/>
      </w:tblPr>
      <w:tblGrid>
        <w:gridCol w:w="846"/>
        <w:gridCol w:w="654"/>
        <w:gridCol w:w="1226"/>
        <w:gridCol w:w="653"/>
        <w:gridCol w:w="1203"/>
        <w:gridCol w:w="653"/>
        <w:gridCol w:w="1203"/>
        <w:gridCol w:w="653"/>
        <w:gridCol w:w="1203"/>
        <w:gridCol w:w="653"/>
        <w:gridCol w:w="1401"/>
      </w:tblGrid>
      <w:tr>
        <w:trPr>
          <w:trHeight w:val="394"/>
        </w:trPr>
        <w:tc>
          <w:tcPr>
            <w:tcW w:w="84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sz w:val="20"/>
                <w:szCs w:val="20"/>
                <w:lang w:eastAsia="en-GB"/>
              </w:rPr>
            </w:pPr>
          </w:p>
        </w:tc>
        <w:tc>
          <w:tcPr>
            <w:tcW w:w="9502" w:type="dxa"/>
            <w:gridSpan w:val="10"/>
            <w:tcBorders>
              <w:top w:val="single" w:sz="4" w:space="0" w:color="FFFFFF"/>
              <w:left w:val="single" w:sz="4" w:space="0" w:color="FFFFFF"/>
              <w:bottom w:val="single" w:sz="4" w:space="0" w:color="FFFFFF"/>
              <w:right w:val="single" w:sz="4" w:space="0" w:color="FFFFFF"/>
            </w:tcBorders>
            <w:shd w:val="clear" w:color="00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TOR: Total number of non-fraudulent cases with the related estimated and established amount</w:t>
            </w:r>
            <w:r>
              <w:rPr>
                <w:rFonts w:ascii="Arial" w:eastAsia="Times New Roman" w:hAnsi="Arial" w:cs="Arial"/>
                <w:b/>
                <w:bCs/>
                <w:noProof/>
                <w:color w:val="FFFFFF"/>
                <w:sz w:val="16"/>
                <w:szCs w:val="16"/>
                <w:lang w:eastAsia="en-GB"/>
              </w:rPr>
              <w:br/>
              <w:t xml:space="preserve">2015-2019                                                  </w:t>
            </w:r>
          </w:p>
        </w:tc>
      </w:tr>
      <w:tr>
        <w:trPr>
          <w:trHeight w:val="327"/>
        </w:trPr>
        <w:tc>
          <w:tcPr>
            <w:tcW w:w="846" w:type="dxa"/>
            <w:vMerge w:val="restart"/>
            <w:tcBorders>
              <w:top w:val="single" w:sz="4" w:space="0" w:color="FFFFFF"/>
              <w:left w:val="single" w:sz="4" w:space="0" w:color="FFFFFF"/>
              <w:bottom w:val="single" w:sz="4" w:space="0" w:color="FFFFFF"/>
              <w:right w:val="single" w:sz="4" w:space="0" w:color="FFFFFF"/>
            </w:tcBorders>
            <w:shd w:val="clear" w:color="00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MS</w:t>
            </w:r>
          </w:p>
        </w:tc>
        <w:tc>
          <w:tcPr>
            <w:tcW w:w="1880"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2015</w:t>
            </w:r>
          </w:p>
        </w:tc>
        <w:tc>
          <w:tcPr>
            <w:tcW w:w="1856"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2016</w:t>
            </w:r>
          </w:p>
        </w:tc>
        <w:tc>
          <w:tcPr>
            <w:tcW w:w="1856"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2017</w:t>
            </w:r>
          </w:p>
        </w:tc>
        <w:tc>
          <w:tcPr>
            <w:tcW w:w="1856"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2018</w:t>
            </w:r>
          </w:p>
        </w:tc>
        <w:tc>
          <w:tcPr>
            <w:tcW w:w="2054"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2019</w:t>
            </w:r>
          </w:p>
        </w:tc>
      </w:tr>
      <w:tr>
        <w:trPr>
          <w:trHeight w:val="223"/>
        </w:trPr>
        <w:tc>
          <w:tcPr>
            <w:tcW w:w="846" w:type="dxa"/>
            <w:vMerge/>
            <w:tcBorders>
              <w:top w:val="single" w:sz="4" w:space="0" w:color="FFFFFF"/>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654"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1226"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65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120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65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120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65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120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65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1401"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BE</w:t>
            </w:r>
          </w:p>
        </w:tc>
        <w:tc>
          <w:tcPr>
            <w:tcW w:w="65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208</w:t>
            </w:r>
          </w:p>
        </w:tc>
        <w:tc>
          <w:tcPr>
            <w:tcW w:w="1226"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7.895.230</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172</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5.831.515</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195</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10.022.610</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220</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6.226.058</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260</w:t>
            </w:r>
          </w:p>
        </w:tc>
        <w:tc>
          <w:tcPr>
            <w:tcW w:w="140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12.993.710</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BG</w:t>
            </w:r>
          </w:p>
        </w:tc>
        <w:tc>
          <w:tcPr>
            <w:tcW w:w="65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226"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81.040</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12.347</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65.587</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59.220</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CZ</w:t>
            </w:r>
          </w:p>
        </w:tc>
        <w:tc>
          <w:tcPr>
            <w:tcW w:w="65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70</w:t>
            </w:r>
          </w:p>
        </w:tc>
        <w:tc>
          <w:tcPr>
            <w:tcW w:w="1226"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3.681.207</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80</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5.662.473</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89</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8.480.638</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94</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4.759.303</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51</w:t>
            </w:r>
          </w:p>
        </w:tc>
        <w:tc>
          <w:tcPr>
            <w:tcW w:w="140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4.320.263</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DK</w:t>
            </w:r>
          </w:p>
        </w:tc>
        <w:tc>
          <w:tcPr>
            <w:tcW w:w="65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85</w:t>
            </w:r>
          </w:p>
        </w:tc>
        <w:tc>
          <w:tcPr>
            <w:tcW w:w="1226"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3.534.944</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74</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3.697.402</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57</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2.325.568</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52</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7.124.670</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64</w:t>
            </w:r>
          </w:p>
        </w:tc>
        <w:tc>
          <w:tcPr>
            <w:tcW w:w="140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3.235.375</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DE</w:t>
            </w:r>
          </w:p>
        </w:tc>
        <w:tc>
          <w:tcPr>
            <w:tcW w:w="65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1.977</w:t>
            </w:r>
          </w:p>
        </w:tc>
        <w:tc>
          <w:tcPr>
            <w:tcW w:w="1226"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110.456.425</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1.736</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80.287.035</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1.943</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101.197.873</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1.631</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105.847.122</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1.470</w:t>
            </w:r>
          </w:p>
        </w:tc>
        <w:tc>
          <w:tcPr>
            <w:tcW w:w="140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100.701.191</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EE</w:t>
            </w:r>
          </w:p>
        </w:tc>
        <w:tc>
          <w:tcPr>
            <w:tcW w:w="65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226"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112.658</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1.232.211</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11.149</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74.306</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40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100.577</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IE</w:t>
            </w:r>
          </w:p>
        </w:tc>
        <w:tc>
          <w:tcPr>
            <w:tcW w:w="65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24</w:t>
            </w:r>
          </w:p>
        </w:tc>
        <w:tc>
          <w:tcPr>
            <w:tcW w:w="1226"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1.795.956</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5.226.746</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3.155.465</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3.118.347</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w:t>
            </w:r>
          </w:p>
        </w:tc>
        <w:tc>
          <w:tcPr>
            <w:tcW w:w="140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1.126.778</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EL</w:t>
            </w:r>
          </w:p>
        </w:tc>
        <w:tc>
          <w:tcPr>
            <w:tcW w:w="65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w:t>
            </w:r>
          </w:p>
        </w:tc>
        <w:tc>
          <w:tcPr>
            <w:tcW w:w="1226"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3.302.458</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522.610</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319.594</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1.291.307</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w:t>
            </w:r>
          </w:p>
        </w:tc>
        <w:tc>
          <w:tcPr>
            <w:tcW w:w="140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1.589.471</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ES</w:t>
            </w:r>
          </w:p>
        </w:tc>
        <w:tc>
          <w:tcPr>
            <w:tcW w:w="65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245</w:t>
            </w:r>
          </w:p>
        </w:tc>
        <w:tc>
          <w:tcPr>
            <w:tcW w:w="1226"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19.854.328</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253</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42.043.470</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230</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46.393.536</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276</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31.534.040</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282</w:t>
            </w:r>
          </w:p>
        </w:tc>
        <w:tc>
          <w:tcPr>
            <w:tcW w:w="140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23.487.949</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FR</w:t>
            </w:r>
          </w:p>
        </w:tc>
        <w:tc>
          <w:tcPr>
            <w:tcW w:w="65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284</w:t>
            </w:r>
          </w:p>
        </w:tc>
        <w:tc>
          <w:tcPr>
            <w:tcW w:w="1226"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13.892.055</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254</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20.063.671</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201</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14.816.024</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233</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16.343.015</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236</w:t>
            </w:r>
          </w:p>
        </w:tc>
        <w:tc>
          <w:tcPr>
            <w:tcW w:w="140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18.885.721</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HR</w:t>
            </w:r>
          </w:p>
        </w:tc>
        <w:tc>
          <w:tcPr>
            <w:tcW w:w="65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226"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722.428</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265.950</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261.490</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74.206</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40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127.895</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IT</w:t>
            </w:r>
          </w:p>
        </w:tc>
        <w:tc>
          <w:tcPr>
            <w:tcW w:w="65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112</w:t>
            </w:r>
          </w:p>
        </w:tc>
        <w:tc>
          <w:tcPr>
            <w:tcW w:w="1226"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6.921.830</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90</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6.898.863</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122</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16.597.501</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66</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4.481.451</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131</w:t>
            </w:r>
          </w:p>
        </w:tc>
        <w:tc>
          <w:tcPr>
            <w:tcW w:w="140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12.002.984</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CY</w:t>
            </w:r>
          </w:p>
        </w:tc>
        <w:tc>
          <w:tcPr>
            <w:tcW w:w="65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26"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14.363</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10.564</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57.210</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40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10.463</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LV</w:t>
            </w:r>
          </w:p>
        </w:tc>
        <w:tc>
          <w:tcPr>
            <w:tcW w:w="65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w:t>
            </w:r>
          </w:p>
        </w:tc>
        <w:tc>
          <w:tcPr>
            <w:tcW w:w="1226"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378.930</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3.117.998</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196.843</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292.235</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140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283.309</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LT</w:t>
            </w:r>
          </w:p>
        </w:tc>
        <w:tc>
          <w:tcPr>
            <w:tcW w:w="65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30</w:t>
            </w:r>
          </w:p>
        </w:tc>
        <w:tc>
          <w:tcPr>
            <w:tcW w:w="1226"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766.443</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624.360</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1.006.695</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25</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3.224.922</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140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968.112</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LU</w:t>
            </w:r>
          </w:p>
        </w:tc>
        <w:tc>
          <w:tcPr>
            <w:tcW w:w="65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6"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176.523</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162.959</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40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111.376</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HU</w:t>
            </w:r>
          </w:p>
        </w:tc>
        <w:tc>
          <w:tcPr>
            <w:tcW w:w="65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w:t>
            </w:r>
          </w:p>
        </w:tc>
        <w:tc>
          <w:tcPr>
            <w:tcW w:w="1226"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966.189</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3.772.552</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5.574.425</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436.595</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53</w:t>
            </w:r>
          </w:p>
        </w:tc>
        <w:tc>
          <w:tcPr>
            <w:tcW w:w="140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3.439.343</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MT</w:t>
            </w:r>
          </w:p>
        </w:tc>
        <w:tc>
          <w:tcPr>
            <w:tcW w:w="65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226"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604.651</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NL</w:t>
            </w:r>
          </w:p>
        </w:tc>
        <w:tc>
          <w:tcPr>
            <w:tcW w:w="65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459</w:t>
            </w:r>
          </w:p>
        </w:tc>
        <w:tc>
          <w:tcPr>
            <w:tcW w:w="1226"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108.667.848</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514</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131.715.958</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440</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72.239.739</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485</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127.155.384</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400</w:t>
            </w:r>
          </w:p>
        </w:tc>
        <w:tc>
          <w:tcPr>
            <w:tcW w:w="140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95.255.312</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AT</w:t>
            </w:r>
          </w:p>
        </w:tc>
        <w:tc>
          <w:tcPr>
            <w:tcW w:w="65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65</w:t>
            </w:r>
          </w:p>
        </w:tc>
        <w:tc>
          <w:tcPr>
            <w:tcW w:w="1226"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2.908.472</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47</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9.636.010</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49</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1.711.585</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44</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2.074.054</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41</w:t>
            </w:r>
          </w:p>
        </w:tc>
        <w:tc>
          <w:tcPr>
            <w:tcW w:w="140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3.895.011</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PL</w:t>
            </w:r>
          </w:p>
        </w:tc>
        <w:tc>
          <w:tcPr>
            <w:tcW w:w="65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70</w:t>
            </w:r>
          </w:p>
        </w:tc>
        <w:tc>
          <w:tcPr>
            <w:tcW w:w="1226"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3.303.193</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74</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3.998.885</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47</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1.407.017</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114</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6.188.536</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114</w:t>
            </w:r>
          </w:p>
        </w:tc>
        <w:tc>
          <w:tcPr>
            <w:tcW w:w="140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8.037.427</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PT</w:t>
            </w:r>
          </w:p>
        </w:tc>
        <w:tc>
          <w:tcPr>
            <w:tcW w:w="65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w:t>
            </w:r>
          </w:p>
        </w:tc>
        <w:tc>
          <w:tcPr>
            <w:tcW w:w="1226"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549.246</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1.309.706</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4.549.090</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33</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7.755.560</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40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190.466</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RO</w:t>
            </w:r>
          </w:p>
        </w:tc>
        <w:tc>
          <w:tcPr>
            <w:tcW w:w="65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72</w:t>
            </w:r>
          </w:p>
        </w:tc>
        <w:tc>
          <w:tcPr>
            <w:tcW w:w="1226"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6.914.540</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41</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2.676.617</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2.668.823</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2.340.194</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52</w:t>
            </w:r>
          </w:p>
        </w:tc>
        <w:tc>
          <w:tcPr>
            <w:tcW w:w="140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3.404.332</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SI</w:t>
            </w:r>
          </w:p>
        </w:tc>
        <w:tc>
          <w:tcPr>
            <w:tcW w:w="65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226"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307.216</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146.875</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336.019</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581.455</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w:t>
            </w:r>
          </w:p>
        </w:tc>
        <w:tc>
          <w:tcPr>
            <w:tcW w:w="140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438.273</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SK</w:t>
            </w:r>
          </w:p>
        </w:tc>
        <w:tc>
          <w:tcPr>
            <w:tcW w:w="65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226"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488.643</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318.976</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756.807</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435.887</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40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407.702</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FI</w:t>
            </w:r>
          </w:p>
        </w:tc>
        <w:tc>
          <w:tcPr>
            <w:tcW w:w="65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w:t>
            </w:r>
          </w:p>
        </w:tc>
        <w:tc>
          <w:tcPr>
            <w:tcW w:w="1226"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1.326.606</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2.266.388</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27</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1.826.264</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27</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2.677.938</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54</w:t>
            </w:r>
          </w:p>
        </w:tc>
        <w:tc>
          <w:tcPr>
            <w:tcW w:w="140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8.024.990</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SE</w:t>
            </w:r>
          </w:p>
        </w:tc>
        <w:tc>
          <w:tcPr>
            <w:tcW w:w="65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79</w:t>
            </w:r>
          </w:p>
        </w:tc>
        <w:tc>
          <w:tcPr>
            <w:tcW w:w="1226"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2.991.700</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99</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5.912.460</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165</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6.390.036</w:t>
            </w:r>
          </w:p>
        </w:tc>
        <w:tc>
          <w:tcPr>
            <w:tcW w:w="653" w:type="dxa"/>
            <w:tcBorders>
              <w:top w:val="nil"/>
              <w:left w:val="nil"/>
              <w:bottom w:val="single" w:sz="4" w:space="0" w:color="FFFFFF"/>
              <w:right w:val="single" w:sz="4" w:space="0" w:color="FFFFFF"/>
            </w:tcBorders>
            <w:shd w:val="clear" w:color="000000"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154</w:t>
            </w:r>
          </w:p>
        </w:tc>
        <w:tc>
          <w:tcPr>
            <w:tcW w:w="120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7.558.386</w:t>
            </w:r>
          </w:p>
        </w:tc>
        <w:tc>
          <w:tcPr>
            <w:tcW w:w="653"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173</w:t>
            </w:r>
          </w:p>
        </w:tc>
        <w:tc>
          <w:tcPr>
            <w:tcW w:w="1401"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8.977.340</w:t>
            </w:r>
          </w:p>
        </w:tc>
      </w:tr>
      <w:tr>
        <w:trPr>
          <w:trHeight w:val="243"/>
        </w:trPr>
        <w:tc>
          <w:tcPr>
            <w:tcW w:w="846" w:type="dxa"/>
            <w:tcBorders>
              <w:top w:val="nil"/>
              <w:left w:val="single" w:sz="4" w:space="0" w:color="FFFFFF"/>
              <w:bottom w:val="single" w:sz="4" w:space="0" w:color="FFFFFF"/>
              <w:right w:val="single" w:sz="4" w:space="0" w:color="FFFFFF"/>
            </w:tcBorders>
            <w:shd w:val="clear" w:color="FF0000" w:fill="FF8080"/>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UK</w:t>
            </w:r>
          </w:p>
        </w:tc>
        <w:tc>
          <w:tcPr>
            <w:tcW w:w="65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929</w:t>
            </w:r>
          </w:p>
        </w:tc>
        <w:tc>
          <w:tcPr>
            <w:tcW w:w="1226"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44.209.791</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826</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82.472.338</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803</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100.177.442</w:t>
            </w:r>
          </w:p>
        </w:tc>
        <w:tc>
          <w:tcPr>
            <w:tcW w:w="653" w:type="dxa"/>
            <w:tcBorders>
              <w:top w:val="nil"/>
              <w:left w:val="nil"/>
              <w:bottom w:val="single" w:sz="4" w:space="0" w:color="FFFFFF"/>
              <w:right w:val="single" w:sz="4" w:space="0" w:color="FFFFFF"/>
            </w:tcBorders>
            <w:shd w:val="clear" w:color="000000"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794</w:t>
            </w:r>
          </w:p>
        </w:tc>
        <w:tc>
          <w:tcPr>
            <w:tcW w:w="120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129.383.560</w:t>
            </w:r>
          </w:p>
        </w:tc>
        <w:tc>
          <w:tcPr>
            <w:tcW w:w="653"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756</w:t>
            </w:r>
          </w:p>
        </w:tc>
        <w:tc>
          <w:tcPr>
            <w:tcW w:w="1401"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85.103.093</w:t>
            </w:r>
          </w:p>
        </w:tc>
      </w:tr>
      <w:tr>
        <w:trPr>
          <w:trHeight w:val="324"/>
        </w:trPr>
        <w:tc>
          <w:tcPr>
            <w:tcW w:w="846" w:type="dxa"/>
            <w:tcBorders>
              <w:top w:val="nil"/>
              <w:left w:val="nil"/>
              <w:bottom w:val="nil"/>
              <w:right w:val="nil"/>
            </w:tcBorders>
            <w:shd w:val="clear" w:color="00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TOTAL  </w:t>
            </w:r>
          </w:p>
        </w:tc>
        <w:tc>
          <w:tcPr>
            <w:tcW w:w="654" w:type="dxa"/>
            <w:tcBorders>
              <w:top w:val="nil"/>
              <w:left w:val="single" w:sz="4" w:space="0" w:color="FFFFFF"/>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4.851</w:t>
            </w:r>
          </w:p>
        </w:tc>
        <w:tc>
          <w:tcPr>
            <w:tcW w:w="1226"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346.648.390</w:t>
            </w:r>
          </w:p>
        </w:tc>
        <w:tc>
          <w:tcPr>
            <w:tcW w:w="65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4.434</w:t>
            </w:r>
          </w:p>
        </w:tc>
        <w:tc>
          <w:tcPr>
            <w:tcW w:w="120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419.889.940</w:t>
            </w:r>
          </w:p>
        </w:tc>
        <w:tc>
          <w:tcPr>
            <w:tcW w:w="65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4.547</w:t>
            </w:r>
          </w:p>
        </w:tc>
        <w:tc>
          <w:tcPr>
            <w:tcW w:w="120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402.661.342</w:t>
            </w:r>
          </w:p>
        </w:tc>
        <w:tc>
          <w:tcPr>
            <w:tcW w:w="65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4.352</w:t>
            </w:r>
          </w:p>
        </w:tc>
        <w:tc>
          <w:tcPr>
            <w:tcW w:w="120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471.094.960</w:t>
            </w:r>
          </w:p>
        </w:tc>
        <w:tc>
          <w:tcPr>
            <w:tcW w:w="65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4.237</w:t>
            </w:r>
          </w:p>
        </w:tc>
        <w:tc>
          <w:tcPr>
            <w:tcW w:w="1401" w:type="dxa"/>
            <w:tcBorders>
              <w:top w:val="nil"/>
              <w:left w:val="nil"/>
              <w:bottom w:val="single" w:sz="4" w:space="0" w:color="FFFFFF"/>
              <w:right w:val="single" w:sz="4" w:space="0" w:color="FFFFFF"/>
            </w:tcBorders>
            <w:shd w:val="clear" w:color="FF0000" w:fill="993300"/>
            <w:vAlign w:val="center"/>
            <w:hideMark/>
          </w:tcPr>
          <w:p>
            <w:pPr>
              <w:spacing w:after="0" w:line="240" w:lineRule="auto"/>
              <w:jc w:val="right"/>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397.118.464</w:t>
            </w:r>
          </w:p>
        </w:tc>
      </w:tr>
    </w:tbl>
    <w:p>
      <w:pPr>
        <w:tabs>
          <w:tab w:val="left" w:pos="3261"/>
        </w:tabs>
        <w:spacing w:after="0"/>
        <w:rPr>
          <w:b/>
          <w:noProof/>
        </w:rPr>
      </w:pPr>
      <w:r>
        <w:rPr>
          <w:b/>
          <w:noProof/>
        </w:rPr>
        <w:br w:type="page"/>
        <w:t>Annex 4</w:t>
      </w:r>
    </w:p>
    <w:p>
      <w:pPr>
        <w:tabs>
          <w:tab w:val="left" w:pos="3261"/>
        </w:tabs>
        <w:spacing w:after="0"/>
        <w:rPr>
          <w:b/>
          <w:noProof/>
        </w:rPr>
      </w:pPr>
    </w:p>
    <w:tbl>
      <w:tblPr>
        <w:tblW w:w="11646" w:type="dxa"/>
        <w:tblInd w:w="108" w:type="dxa"/>
        <w:tblLook w:val="04A0" w:firstRow="1" w:lastRow="0" w:firstColumn="1" w:lastColumn="0" w:noHBand="0" w:noVBand="1"/>
      </w:tblPr>
      <w:tblGrid>
        <w:gridCol w:w="693"/>
        <w:gridCol w:w="1329"/>
        <w:gridCol w:w="1664"/>
        <w:gridCol w:w="1417"/>
        <w:gridCol w:w="13"/>
        <w:gridCol w:w="1830"/>
        <w:gridCol w:w="1417"/>
        <w:gridCol w:w="20"/>
        <w:gridCol w:w="1823"/>
        <w:gridCol w:w="1417"/>
        <w:gridCol w:w="23"/>
      </w:tblGrid>
      <w:tr>
        <w:trPr>
          <w:trHeight w:val="546"/>
        </w:trPr>
        <w:tc>
          <w:tcPr>
            <w:tcW w:w="693"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sz w:val="20"/>
                <w:szCs w:val="20"/>
                <w:lang w:eastAsia="en-GB"/>
              </w:rPr>
            </w:pPr>
            <w:bookmarkStart w:id="269" w:name="RANGE!A1:H34"/>
            <w:bookmarkEnd w:id="269"/>
          </w:p>
        </w:tc>
        <w:tc>
          <w:tcPr>
            <w:tcW w:w="10953" w:type="dxa"/>
            <w:gridSpan w:val="10"/>
            <w:tcBorders>
              <w:top w:val="single" w:sz="4" w:space="0" w:color="FFFFFF"/>
              <w:left w:val="single" w:sz="4" w:space="0" w:color="FFFFFF"/>
              <w:bottom w:val="single" w:sz="4" w:space="0" w:color="FFFFFF"/>
              <w:right w:val="single" w:sz="4" w:space="0" w:color="FFFFFF"/>
            </w:tcBorders>
            <w:shd w:val="clear" w:color="00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TOR: Percentage of the financial impact of OWNRES cases to the collected and made avialable TOR (gross) in 2019 per Member State</w:t>
            </w:r>
          </w:p>
        </w:tc>
      </w:tr>
      <w:tr>
        <w:trPr>
          <w:trHeight w:val="441"/>
        </w:trPr>
        <w:tc>
          <w:tcPr>
            <w:tcW w:w="693" w:type="dxa"/>
            <w:vMerge w:val="restart"/>
            <w:tcBorders>
              <w:top w:val="single" w:sz="4" w:space="0" w:color="FFFFFF"/>
              <w:left w:val="single" w:sz="4" w:space="0" w:color="FFFFFF"/>
              <w:bottom w:val="single" w:sz="4" w:space="0" w:color="FFFFFF"/>
              <w:right w:val="single" w:sz="4" w:space="0" w:color="FFFFFF"/>
            </w:tcBorders>
            <w:shd w:val="clear" w:color="00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MS</w:t>
            </w:r>
          </w:p>
        </w:tc>
        <w:tc>
          <w:tcPr>
            <w:tcW w:w="1329" w:type="dxa"/>
            <w:vMerge w:val="restart"/>
            <w:tcBorders>
              <w:top w:val="nil"/>
              <w:left w:val="single" w:sz="4" w:space="0" w:color="FFFFFF"/>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Gross amount  TOR collected (A account)</w:t>
            </w:r>
          </w:p>
        </w:tc>
        <w:tc>
          <w:tcPr>
            <w:tcW w:w="3094" w:type="dxa"/>
            <w:gridSpan w:val="3"/>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All</w:t>
            </w:r>
          </w:p>
        </w:tc>
        <w:tc>
          <w:tcPr>
            <w:tcW w:w="3267" w:type="dxa"/>
            <w:gridSpan w:val="3"/>
            <w:tcBorders>
              <w:top w:val="single" w:sz="4" w:space="0" w:color="FFFFFF"/>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Fraudulent</w:t>
            </w:r>
          </w:p>
        </w:tc>
        <w:tc>
          <w:tcPr>
            <w:tcW w:w="3263" w:type="dxa"/>
            <w:gridSpan w:val="3"/>
            <w:tcBorders>
              <w:top w:val="single" w:sz="4" w:space="0" w:color="FFFFFF"/>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Non-fraudulent</w:t>
            </w:r>
          </w:p>
        </w:tc>
      </w:tr>
      <w:tr>
        <w:trPr>
          <w:gridAfter w:val="1"/>
          <w:wAfter w:w="23" w:type="dxa"/>
          <w:trHeight w:val="613"/>
        </w:trPr>
        <w:tc>
          <w:tcPr>
            <w:tcW w:w="693" w:type="dxa"/>
            <w:vMerge/>
            <w:tcBorders>
              <w:top w:val="single" w:sz="4" w:space="0" w:color="FFFFFF"/>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1329" w:type="dxa"/>
            <w:vMerge/>
            <w:tcBorders>
              <w:top w:val="nil"/>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1664"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OWNRES established and estimated amount</w:t>
            </w:r>
          </w:p>
        </w:tc>
        <w:tc>
          <w:tcPr>
            <w:tcW w:w="141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Percentage OWNRES/gross TOR</w:t>
            </w:r>
          </w:p>
        </w:tc>
        <w:tc>
          <w:tcPr>
            <w:tcW w:w="1843" w:type="dxa"/>
            <w:gridSpan w:val="2"/>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OWNRES established and estimated amount</w:t>
            </w:r>
          </w:p>
        </w:tc>
        <w:tc>
          <w:tcPr>
            <w:tcW w:w="141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Percentage OWNRES/gross TOR</w:t>
            </w:r>
          </w:p>
        </w:tc>
        <w:tc>
          <w:tcPr>
            <w:tcW w:w="1843" w:type="dxa"/>
            <w:gridSpan w:val="2"/>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OWNRES established and estimated amount</w:t>
            </w:r>
          </w:p>
        </w:tc>
        <w:tc>
          <w:tcPr>
            <w:tcW w:w="141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Percentage OWNRES/gross TOR</w:t>
            </w:r>
          </w:p>
        </w:tc>
      </w:tr>
      <w:tr>
        <w:trPr>
          <w:gridAfter w:val="1"/>
          <w:wAfter w:w="23" w:type="dxa"/>
          <w:trHeight w:val="271"/>
        </w:trPr>
        <w:tc>
          <w:tcPr>
            <w:tcW w:w="693" w:type="dxa"/>
            <w:vMerge/>
            <w:tcBorders>
              <w:top w:val="single" w:sz="4" w:space="0" w:color="FFFFFF"/>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1329"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1664"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141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w:t>
            </w:r>
          </w:p>
        </w:tc>
        <w:tc>
          <w:tcPr>
            <w:tcW w:w="1843" w:type="dxa"/>
            <w:gridSpan w:val="2"/>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141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w:t>
            </w:r>
          </w:p>
        </w:tc>
        <w:tc>
          <w:tcPr>
            <w:tcW w:w="1843" w:type="dxa"/>
            <w:gridSpan w:val="2"/>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141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w:t>
            </w:r>
          </w:p>
        </w:tc>
      </w:tr>
      <w:tr>
        <w:trPr>
          <w:gridAfter w:val="1"/>
          <w:wAfter w:w="23" w:type="dxa"/>
          <w:trHeight w:val="209"/>
        </w:trPr>
        <w:tc>
          <w:tcPr>
            <w:tcW w:w="693" w:type="dxa"/>
            <w:vMerge/>
            <w:tcBorders>
              <w:top w:val="single" w:sz="4" w:space="0" w:color="FFFFFF"/>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1329"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1</w:t>
            </w:r>
          </w:p>
        </w:tc>
        <w:tc>
          <w:tcPr>
            <w:tcW w:w="1664"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2</w:t>
            </w:r>
          </w:p>
        </w:tc>
        <w:tc>
          <w:tcPr>
            <w:tcW w:w="141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3=2/1</w:t>
            </w:r>
          </w:p>
        </w:tc>
        <w:tc>
          <w:tcPr>
            <w:tcW w:w="1843" w:type="dxa"/>
            <w:gridSpan w:val="2"/>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4</w:t>
            </w:r>
          </w:p>
        </w:tc>
        <w:tc>
          <w:tcPr>
            <w:tcW w:w="141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5=4/1</w:t>
            </w:r>
          </w:p>
        </w:tc>
        <w:tc>
          <w:tcPr>
            <w:tcW w:w="1843" w:type="dxa"/>
            <w:gridSpan w:val="2"/>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6</w:t>
            </w:r>
          </w:p>
        </w:tc>
        <w:tc>
          <w:tcPr>
            <w:tcW w:w="141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7=6/1</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BE</w:t>
            </w:r>
          </w:p>
        </w:tc>
        <w:tc>
          <w:tcPr>
            <w:tcW w:w="132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2.793.965.200 </w:t>
            </w:r>
          </w:p>
        </w:tc>
        <w:tc>
          <w:tcPr>
            <w:tcW w:w="166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34.476.843 </w:t>
            </w:r>
          </w:p>
        </w:tc>
        <w:tc>
          <w:tcPr>
            <w:tcW w:w="14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1,23%</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21.483.133</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0,77%</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12.993.710</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0,47%</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BG</w:t>
            </w:r>
          </w:p>
        </w:tc>
        <w:tc>
          <w:tcPr>
            <w:tcW w:w="132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114.527.802 </w:t>
            </w:r>
          </w:p>
        </w:tc>
        <w:tc>
          <w:tcPr>
            <w:tcW w:w="166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653.686 </w:t>
            </w:r>
          </w:p>
        </w:tc>
        <w:tc>
          <w:tcPr>
            <w:tcW w:w="14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0,57%</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653.686</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0,57%</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0,00%</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CZ</w:t>
            </w:r>
          </w:p>
        </w:tc>
        <w:tc>
          <w:tcPr>
            <w:tcW w:w="132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358.606.539 </w:t>
            </w:r>
          </w:p>
        </w:tc>
        <w:tc>
          <w:tcPr>
            <w:tcW w:w="166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4.320.263 </w:t>
            </w:r>
          </w:p>
        </w:tc>
        <w:tc>
          <w:tcPr>
            <w:tcW w:w="14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1,20%</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0,00%</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4.320.263</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1,20%</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DK</w:t>
            </w:r>
          </w:p>
        </w:tc>
        <w:tc>
          <w:tcPr>
            <w:tcW w:w="132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423.678.093 </w:t>
            </w:r>
          </w:p>
        </w:tc>
        <w:tc>
          <w:tcPr>
            <w:tcW w:w="166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3.381.308 </w:t>
            </w:r>
          </w:p>
        </w:tc>
        <w:tc>
          <w:tcPr>
            <w:tcW w:w="14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0,80%</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145.933</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0,03%</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3.235.375</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0,76%</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DE</w:t>
            </w:r>
          </w:p>
        </w:tc>
        <w:tc>
          <w:tcPr>
            <w:tcW w:w="132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5.115.108.190 </w:t>
            </w:r>
          </w:p>
        </w:tc>
        <w:tc>
          <w:tcPr>
            <w:tcW w:w="166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131.840.156 </w:t>
            </w:r>
          </w:p>
        </w:tc>
        <w:tc>
          <w:tcPr>
            <w:tcW w:w="14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2,58%</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31.138.965</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0,61%</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100.701.191</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1,97%</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EE</w:t>
            </w:r>
          </w:p>
        </w:tc>
        <w:tc>
          <w:tcPr>
            <w:tcW w:w="132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53.524.059 </w:t>
            </w:r>
          </w:p>
        </w:tc>
        <w:tc>
          <w:tcPr>
            <w:tcW w:w="166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605.861 </w:t>
            </w:r>
          </w:p>
        </w:tc>
        <w:tc>
          <w:tcPr>
            <w:tcW w:w="14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1,13%</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505.284</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0,94%</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100.577</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0,19%</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IE</w:t>
            </w:r>
          </w:p>
        </w:tc>
        <w:tc>
          <w:tcPr>
            <w:tcW w:w="132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380.317.710 </w:t>
            </w:r>
          </w:p>
        </w:tc>
        <w:tc>
          <w:tcPr>
            <w:tcW w:w="166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1.418.200 </w:t>
            </w:r>
          </w:p>
        </w:tc>
        <w:tc>
          <w:tcPr>
            <w:tcW w:w="14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0,37%</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291.422</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0,08%</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1.126.778</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0,30%</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EL</w:t>
            </w:r>
          </w:p>
        </w:tc>
        <w:tc>
          <w:tcPr>
            <w:tcW w:w="132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298.766.574 </w:t>
            </w:r>
          </w:p>
        </w:tc>
        <w:tc>
          <w:tcPr>
            <w:tcW w:w="166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3.556.214 </w:t>
            </w:r>
          </w:p>
        </w:tc>
        <w:tc>
          <w:tcPr>
            <w:tcW w:w="14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1,19%</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1.966.743</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0,66%</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1.589.471</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0,53%</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ES</w:t>
            </w:r>
          </w:p>
        </w:tc>
        <w:tc>
          <w:tcPr>
            <w:tcW w:w="132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1.986.288.991 </w:t>
            </w:r>
          </w:p>
        </w:tc>
        <w:tc>
          <w:tcPr>
            <w:tcW w:w="166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26.014.963 </w:t>
            </w:r>
          </w:p>
        </w:tc>
        <w:tc>
          <w:tcPr>
            <w:tcW w:w="14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1,31%</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2.527.014</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0,13%</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23.487.949</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1,18%</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FR</w:t>
            </w:r>
          </w:p>
        </w:tc>
        <w:tc>
          <w:tcPr>
            <w:tcW w:w="132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2.218.723.733 </w:t>
            </w:r>
          </w:p>
        </w:tc>
        <w:tc>
          <w:tcPr>
            <w:tcW w:w="166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25.145.687 </w:t>
            </w:r>
          </w:p>
        </w:tc>
        <w:tc>
          <w:tcPr>
            <w:tcW w:w="14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1,13%</w:t>
            </w:r>
          </w:p>
        </w:tc>
        <w:tc>
          <w:tcPr>
            <w:tcW w:w="1843" w:type="dxa"/>
            <w:gridSpan w:val="2"/>
            <w:tcBorders>
              <w:top w:val="nil"/>
              <w:left w:val="nil"/>
              <w:bottom w:val="single" w:sz="4" w:space="0" w:color="FFFFFF"/>
              <w:right w:val="single" w:sz="4" w:space="0" w:color="FFFFFF"/>
            </w:tcBorders>
            <w:shd w:val="clear" w:color="FFFFFF" w:fill="FF8080"/>
            <w:noWrap/>
            <w:vAlign w:val="center"/>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6.259.966</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0,28%</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18.885.721</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0,85%</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HR</w:t>
            </w:r>
          </w:p>
        </w:tc>
        <w:tc>
          <w:tcPr>
            <w:tcW w:w="132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48.827.261 </w:t>
            </w:r>
          </w:p>
        </w:tc>
        <w:tc>
          <w:tcPr>
            <w:tcW w:w="166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521.097 </w:t>
            </w:r>
          </w:p>
        </w:tc>
        <w:tc>
          <w:tcPr>
            <w:tcW w:w="14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1,07%</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393.202</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0,81%</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127.895</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0,26%</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IT</w:t>
            </w:r>
          </w:p>
        </w:tc>
        <w:tc>
          <w:tcPr>
            <w:tcW w:w="132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2.304.001.322 </w:t>
            </w:r>
          </w:p>
        </w:tc>
        <w:tc>
          <w:tcPr>
            <w:tcW w:w="166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14.239.984 </w:t>
            </w:r>
          </w:p>
        </w:tc>
        <w:tc>
          <w:tcPr>
            <w:tcW w:w="14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0,62%</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2.237.000</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0,10%</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12.002.984</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0,52%</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CY</w:t>
            </w:r>
          </w:p>
        </w:tc>
        <w:tc>
          <w:tcPr>
            <w:tcW w:w="132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31.578.686 </w:t>
            </w:r>
          </w:p>
        </w:tc>
        <w:tc>
          <w:tcPr>
            <w:tcW w:w="166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10.463 </w:t>
            </w:r>
          </w:p>
        </w:tc>
        <w:tc>
          <w:tcPr>
            <w:tcW w:w="14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0,03%</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0,00%</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10.463</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0,03%</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LV</w:t>
            </w:r>
          </w:p>
        </w:tc>
        <w:tc>
          <w:tcPr>
            <w:tcW w:w="132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51.098.597 </w:t>
            </w:r>
          </w:p>
        </w:tc>
        <w:tc>
          <w:tcPr>
            <w:tcW w:w="166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994.587 </w:t>
            </w:r>
          </w:p>
        </w:tc>
        <w:tc>
          <w:tcPr>
            <w:tcW w:w="14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1,95%</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711.278</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1,39%</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283.309</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0,55%</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LT</w:t>
            </w:r>
          </w:p>
        </w:tc>
        <w:tc>
          <w:tcPr>
            <w:tcW w:w="132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124.347.058 </w:t>
            </w:r>
          </w:p>
        </w:tc>
        <w:tc>
          <w:tcPr>
            <w:tcW w:w="166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3.426.512 </w:t>
            </w:r>
          </w:p>
        </w:tc>
        <w:tc>
          <w:tcPr>
            <w:tcW w:w="14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2,76%</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2.458.400</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1,98%</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968.112</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0,78%</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LU</w:t>
            </w:r>
          </w:p>
        </w:tc>
        <w:tc>
          <w:tcPr>
            <w:tcW w:w="132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25.358.839 </w:t>
            </w:r>
          </w:p>
        </w:tc>
        <w:tc>
          <w:tcPr>
            <w:tcW w:w="166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111.376 </w:t>
            </w:r>
          </w:p>
        </w:tc>
        <w:tc>
          <w:tcPr>
            <w:tcW w:w="14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0,44%</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0,00%</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111.376</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0,44%</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HU</w:t>
            </w:r>
          </w:p>
        </w:tc>
        <w:tc>
          <w:tcPr>
            <w:tcW w:w="132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250.188.569 </w:t>
            </w:r>
          </w:p>
        </w:tc>
        <w:tc>
          <w:tcPr>
            <w:tcW w:w="166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3.465.845 </w:t>
            </w:r>
          </w:p>
        </w:tc>
        <w:tc>
          <w:tcPr>
            <w:tcW w:w="14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1,39%</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26.502</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0,01%</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3.439.343</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1,37%</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MT</w:t>
            </w:r>
          </w:p>
        </w:tc>
        <w:tc>
          <w:tcPr>
            <w:tcW w:w="132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20.001.336 </w:t>
            </w:r>
          </w:p>
        </w:tc>
        <w:tc>
          <w:tcPr>
            <w:tcW w:w="166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   </w:t>
            </w:r>
          </w:p>
        </w:tc>
        <w:tc>
          <w:tcPr>
            <w:tcW w:w="14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0,00%</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0,00%</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0,00%</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NL</w:t>
            </w:r>
          </w:p>
        </w:tc>
        <w:tc>
          <w:tcPr>
            <w:tcW w:w="132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3.411.402.500 </w:t>
            </w:r>
          </w:p>
        </w:tc>
        <w:tc>
          <w:tcPr>
            <w:tcW w:w="166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97.755.920 </w:t>
            </w:r>
          </w:p>
        </w:tc>
        <w:tc>
          <w:tcPr>
            <w:tcW w:w="14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2,87%</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2.500.608</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0,07%</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95.255.312</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2,79%</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AT</w:t>
            </w:r>
          </w:p>
        </w:tc>
        <w:tc>
          <w:tcPr>
            <w:tcW w:w="132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276.408.992 </w:t>
            </w:r>
          </w:p>
        </w:tc>
        <w:tc>
          <w:tcPr>
            <w:tcW w:w="166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4.983.962 </w:t>
            </w:r>
          </w:p>
        </w:tc>
        <w:tc>
          <w:tcPr>
            <w:tcW w:w="14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1,80%</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1.088.950</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0,39%</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3.895.011</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1,41%</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PL</w:t>
            </w:r>
          </w:p>
        </w:tc>
        <w:tc>
          <w:tcPr>
            <w:tcW w:w="132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1.033.676.120 </w:t>
            </w:r>
          </w:p>
        </w:tc>
        <w:tc>
          <w:tcPr>
            <w:tcW w:w="166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10.678.969 </w:t>
            </w:r>
          </w:p>
        </w:tc>
        <w:tc>
          <w:tcPr>
            <w:tcW w:w="14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1,03%</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2.641.542</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0,26%</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8.037.427</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0,78%</w:t>
            </w:r>
          </w:p>
        </w:tc>
      </w:tr>
      <w:tr>
        <w:trPr>
          <w:gridAfter w:val="1"/>
          <w:wAfter w:w="23" w:type="dxa"/>
          <w:trHeight w:val="157"/>
        </w:trPr>
        <w:tc>
          <w:tcPr>
            <w:tcW w:w="693"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PT</w:t>
            </w:r>
          </w:p>
        </w:tc>
        <w:tc>
          <w:tcPr>
            <w:tcW w:w="132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231.975.771 </w:t>
            </w:r>
          </w:p>
        </w:tc>
        <w:tc>
          <w:tcPr>
            <w:tcW w:w="166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1.233.978 </w:t>
            </w:r>
          </w:p>
        </w:tc>
        <w:tc>
          <w:tcPr>
            <w:tcW w:w="14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0,53%</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1.043.512</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0,45%</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190.466</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0,08%</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RO</w:t>
            </w:r>
          </w:p>
        </w:tc>
        <w:tc>
          <w:tcPr>
            <w:tcW w:w="132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246.658.490 </w:t>
            </w:r>
          </w:p>
        </w:tc>
        <w:tc>
          <w:tcPr>
            <w:tcW w:w="166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3.723.400 </w:t>
            </w:r>
          </w:p>
        </w:tc>
        <w:tc>
          <w:tcPr>
            <w:tcW w:w="14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1,51%</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319.069</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0,13%</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3.404.332</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1,38%</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SI</w:t>
            </w:r>
          </w:p>
        </w:tc>
        <w:tc>
          <w:tcPr>
            <w:tcW w:w="132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98.579.430 </w:t>
            </w:r>
          </w:p>
        </w:tc>
        <w:tc>
          <w:tcPr>
            <w:tcW w:w="166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503.267 </w:t>
            </w:r>
          </w:p>
        </w:tc>
        <w:tc>
          <w:tcPr>
            <w:tcW w:w="14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0,51%</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64.994</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0,07%</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438.273</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0,44%</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SK</w:t>
            </w:r>
          </w:p>
        </w:tc>
        <w:tc>
          <w:tcPr>
            <w:tcW w:w="132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105.321.797 </w:t>
            </w:r>
          </w:p>
        </w:tc>
        <w:tc>
          <w:tcPr>
            <w:tcW w:w="166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423.202 </w:t>
            </w:r>
          </w:p>
        </w:tc>
        <w:tc>
          <w:tcPr>
            <w:tcW w:w="14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0,40%</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15.500</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0,01%</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407.702</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0,39%</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FI</w:t>
            </w:r>
          </w:p>
        </w:tc>
        <w:tc>
          <w:tcPr>
            <w:tcW w:w="132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187.771.532 </w:t>
            </w:r>
          </w:p>
        </w:tc>
        <w:tc>
          <w:tcPr>
            <w:tcW w:w="166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8.251.250 </w:t>
            </w:r>
          </w:p>
        </w:tc>
        <w:tc>
          <w:tcPr>
            <w:tcW w:w="14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4,39%</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226.260</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0,12%</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8.024.990</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4,27%</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SE</w:t>
            </w:r>
          </w:p>
        </w:tc>
        <w:tc>
          <w:tcPr>
            <w:tcW w:w="132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649.304.156 </w:t>
            </w:r>
          </w:p>
        </w:tc>
        <w:tc>
          <w:tcPr>
            <w:tcW w:w="1664" w:type="dxa"/>
            <w:tcBorders>
              <w:top w:val="nil"/>
              <w:left w:val="nil"/>
              <w:bottom w:val="single" w:sz="4" w:space="0" w:color="FFFFFF"/>
              <w:right w:val="single" w:sz="4" w:space="0" w:color="FFFFFF"/>
            </w:tcBorders>
            <w:shd w:val="clear" w:color="FFFFFF" w:fill="FFFFFF"/>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9.054.254 </w:t>
            </w:r>
          </w:p>
        </w:tc>
        <w:tc>
          <w:tcPr>
            <w:tcW w:w="14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1,39%</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76.914</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0,01%</w:t>
            </w:r>
          </w:p>
        </w:tc>
        <w:tc>
          <w:tcPr>
            <w:tcW w:w="1843"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8.977.340</w:t>
            </w:r>
          </w:p>
        </w:tc>
        <w:tc>
          <w:tcPr>
            <w:tcW w:w="141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1,38%</w:t>
            </w:r>
          </w:p>
        </w:tc>
      </w:tr>
      <w:tr>
        <w:trPr>
          <w:gridAfter w:val="1"/>
          <w:wAfter w:w="23" w:type="dxa"/>
          <w:trHeight w:val="175"/>
        </w:trPr>
        <w:tc>
          <w:tcPr>
            <w:tcW w:w="693"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UK</w:t>
            </w:r>
          </w:p>
        </w:tc>
        <w:tc>
          <w:tcPr>
            <w:tcW w:w="132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3.865.669.348 </w:t>
            </w:r>
          </w:p>
        </w:tc>
        <w:tc>
          <w:tcPr>
            <w:tcW w:w="1664" w:type="dxa"/>
            <w:tcBorders>
              <w:top w:val="nil"/>
              <w:left w:val="nil"/>
              <w:bottom w:val="single" w:sz="4" w:space="0" w:color="FFFFFF"/>
              <w:right w:val="single" w:sz="4" w:space="0" w:color="FFFFFF"/>
            </w:tcBorders>
            <w:shd w:val="clear" w:color="FFFFFF" w:fill="FF8080"/>
            <w:noWrap/>
            <w:vAlign w:val="center"/>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86.081.426 </w:t>
            </w:r>
          </w:p>
        </w:tc>
        <w:tc>
          <w:tcPr>
            <w:tcW w:w="14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2,23%</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978.333</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0,03%</w:t>
            </w:r>
          </w:p>
        </w:tc>
        <w:tc>
          <w:tcPr>
            <w:tcW w:w="1843"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85.103.093</w:t>
            </w:r>
          </w:p>
        </w:tc>
        <w:tc>
          <w:tcPr>
            <w:tcW w:w="141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2,20%</w:t>
            </w:r>
          </w:p>
        </w:tc>
      </w:tr>
      <w:tr>
        <w:trPr>
          <w:gridAfter w:val="1"/>
          <w:wAfter w:w="23" w:type="dxa"/>
          <w:trHeight w:val="397"/>
        </w:trPr>
        <w:tc>
          <w:tcPr>
            <w:tcW w:w="693"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Total</w:t>
            </w:r>
          </w:p>
        </w:tc>
        <w:tc>
          <w:tcPr>
            <w:tcW w:w="1329"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26.705.676.695 </w:t>
            </w:r>
          </w:p>
        </w:tc>
        <w:tc>
          <w:tcPr>
            <w:tcW w:w="1664"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476.872.672 </w:t>
            </w:r>
          </w:p>
        </w:tc>
        <w:tc>
          <w:tcPr>
            <w:tcW w:w="1417" w:type="dxa"/>
            <w:tcBorders>
              <w:top w:val="nil"/>
              <w:left w:val="nil"/>
              <w:bottom w:val="nil"/>
              <w:right w:val="single" w:sz="4" w:space="0" w:color="FFFFFF"/>
            </w:tcBorders>
            <w:shd w:val="clear" w:color="00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1,79%</w:t>
            </w:r>
          </w:p>
        </w:tc>
        <w:tc>
          <w:tcPr>
            <w:tcW w:w="1843" w:type="dxa"/>
            <w:gridSpan w:val="2"/>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79.754.209 </w:t>
            </w:r>
          </w:p>
        </w:tc>
        <w:tc>
          <w:tcPr>
            <w:tcW w:w="1417" w:type="dxa"/>
            <w:tcBorders>
              <w:top w:val="nil"/>
              <w:left w:val="nil"/>
              <w:bottom w:val="nil"/>
              <w:right w:val="single" w:sz="4" w:space="0" w:color="FFFFFF"/>
            </w:tcBorders>
            <w:shd w:val="clear" w:color="00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0,30%</w:t>
            </w:r>
          </w:p>
        </w:tc>
        <w:tc>
          <w:tcPr>
            <w:tcW w:w="1843" w:type="dxa"/>
            <w:gridSpan w:val="2"/>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397.118.464 </w:t>
            </w:r>
          </w:p>
        </w:tc>
        <w:tc>
          <w:tcPr>
            <w:tcW w:w="1417" w:type="dxa"/>
            <w:tcBorders>
              <w:top w:val="nil"/>
              <w:left w:val="nil"/>
              <w:bottom w:val="nil"/>
              <w:right w:val="nil"/>
            </w:tcBorders>
            <w:shd w:val="clear" w:color="00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1,49%</w:t>
            </w:r>
          </w:p>
        </w:tc>
      </w:tr>
    </w:tbl>
    <w:p>
      <w:pPr>
        <w:tabs>
          <w:tab w:val="left" w:pos="3261"/>
        </w:tabs>
        <w:spacing w:after="0"/>
        <w:rPr>
          <w:b/>
          <w:noProof/>
        </w:rPr>
      </w:pPr>
    </w:p>
    <w:p>
      <w:pPr>
        <w:spacing w:after="0" w:line="240" w:lineRule="auto"/>
        <w:rPr>
          <w:b/>
          <w:noProof/>
        </w:rPr>
      </w:pPr>
      <w:r>
        <w:rPr>
          <w:noProof/>
        </w:rPr>
        <w:br w:type="page"/>
      </w:r>
      <w:r>
        <w:rPr>
          <w:b/>
          <w:noProof/>
        </w:rPr>
        <w:t>Annex 5</w:t>
      </w:r>
    </w:p>
    <w:tbl>
      <w:tblPr>
        <w:tblW w:w="10990" w:type="dxa"/>
        <w:tblInd w:w="108" w:type="dxa"/>
        <w:tblLook w:val="04A0" w:firstRow="1" w:lastRow="0" w:firstColumn="1" w:lastColumn="0" w:noHBand="0" w:noVBand="1"/>
      </w:tblPr>
      <w:tblGrid>
        <w:gridCol w:w="750"/>
        <w:gridCol w:w="2085"/>
        <w:gridCol w:w="1985"/>
        <w:gridCol w:w="1284"/>
        <w:gridCol w:w="11"/>
        <w:gridCol w:w="2005"/>
        <w:gridCol w:w="1661"/>
        <w:gridCol w:w="1194"/>
        <w:gridCol w:w="15"/>
      </w:tblGrid>
      <w:tr>
        <w:trPr>
          <w:trHeight w:val="292"/>
        </w:trPr>
        <w:tc>
          <w:tcPr>
            <w:tcW w:w="750"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sz w:val="20"/>
                <w:szCs w:val="20"/>
                <w:lang w:eastAsia="en-GB"/>
              </w:rPr>
            </w:pPr>
            <w:bookmarkStart w:id="270" w:name="RANGE!A1:G34"/>
            <w:bookmarkEnd w:id="270"/>
          </w:p>
        </w:tc>
        <w:tc>
          <w:tcPr>
            <w:tcW w:w="10240" w:type="dxa"/>
            <w:gridSpan w:val="8"/>
            <w:tcBorders>
              <w:top w:val="single" w:sz="4" w:space="0" w:color="FFFFFF"/>
              <w:left w:val="single" w:sz="4" w:space="0" w:color="FFFFFF"/>
              <w:bottom w:val="single" w:sz="4" w:space="0" w:color="FFFFFF"/>
              <w:right w:val="nil"/>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TOR: Recovery rates (RR) per cut-off date </w:t>
            </w:r>
          </w:p>
        </w:tc>
      </w:tr>
      <w:tr>
        <w:trPr>
          <w:trHeight w:val="246"/>
        </w:trPr>
        <w:tc>
          <w:tcPr>
            <w:tcW w:w="750" w:type="dxa"/>
            <w:vMerge w:val="restart"/>
            <w:tcBorders>
              <w:top w:val="single" w:sz="4" w:space="0" w:color="FFFFFF"/>
              <w:left w:val="single" w:sz="4" w:space="0" w:color="FFFFFF"/>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MS</w:t>
            </w:r>
          </w:p>
        </w:tc>
        <w:tc>
          <w:tcPr>
            <w:tcW w:w="5365" w:type="dxa"/>
            <w:gridSpan w:val="4"/>
            <w:tcBorders>
              <w:top w:val="single" w:sz="4" w:space="0" w:color="FFFFFF"/>
              <w:left w:val="nil"/>
              <w:bottom w:val="single" w:sz="4" w:space="0" w:color="FFFFFF"/>
              <w:right w:val="single" w:sz="4" w:space="0" w:color="FFFFFF"/>
            </w:tcBorders>
            <w:shd w:val="clear" w:color="000000" w:fill="FF8080"/>
            <w:noWrap/>
            <w:vAlign w:val="center"/>
            <w:hideMark/>
          </w:tcPr>
          <w:p>
            <w:pPr>
              <w:spacing w:after="0" w:line="240" w:lineRule="auto"/>
              <w:jc w:val="center"/>
              <w:rPr>
                <w:rFonts w:ascii="Arial" w:eastAsia="Times New Roman" w:hAnsi="Arial" w:cs="Arial"/>
                <w:b/>
                <w:bCs/>
                <w:noProof/>
                <w:color w:val="FFFFFF"/>
                <w:sz w:val="18"/>
                <w:szCs w:val="18"/>
                <w:lang w:eastAsia="en-GB"/>
              </w:rPr>
            </w:pPr>
            <w:r>
              <w:rPr>
                <w:rFonts w:ascii="Arial" w:eastAsia="Times New Roman" w:hAnsi="Arial" w:cs="Arial"/>
                <w:b/>
                <w:bCs/>
                <w:noProof/>
                <w:color w:val="FFFFFF"/>
                <w:sz w:val="18"/>
                <w:szCs w:val="18"/>
                <w:lang w:eastAsia="en-GB"/>
              </w:rPr>
              <w:t>2018</w:t>
            </w:r>
          </w:p>
        </w:tc>
        <w:tc>
          <w:tcPr>
            <w:tcW w:w="4875" w:type="dxa"/>
            <w:gridSpan w:val="4"/>
            <w:tcBorders>
              <w:top w:val="single" w:sz="4" w:space="0" w:color="FFFFFF"/>
              <w:left w:val="nil"/>
              <w:bottom w:val="single" w:sz="4" w:space="0" w:color="FFFFFF"/>
              <w:right w:val="single" w:sz="4" w:space="0" w:color="FFFFFF"/>
            </w:tcBorders>
            <w:shd w:val="clear" w:color="000000" w:fill="FF8080"/>
            <w:noWrap/>
            <w:vAlign w:val="center"/>
            <w:hideMark/>
          </w:tcPr>
          <w:p>
            <w:pPr>
              <w:spacing w:after="0" w:line="240" w:lineRule="auto"/>
              <w:jc w:val="center"/>
              <w:rPr>
                <w:rFonts w:ascii="Arial" w:eastAsia="Times New Roman" w:hAnsi="Arial" w:cs="Arial"/>
                <w:b/>
                <w:bCs/>
                <w:noProof/>
                <w:color w:val="FFFFFF"/>
                <w:sz w:val="18"/>
                <w:szCs w:val="18"/>
                <w:lang w:eastAsia="en-GB"/>
              </w:rPr>
            </w:pPr>
            <w:r>
              <w:rPr>
                <w:rFonts w:ascii="Arial" w:eastAsia="Times New Roman" w:hAnsi="Arial" w:cs="Arial"/>
                <w:b/>
                <w:bCs/>
                <w:noProof/>
                <w:color w:val="FFFFFF"/>
                <w:sz w:val="18"/>
                <w:szCs w:val="18"/>
                <w:lang w:eastAsia="en-GB"/>
              </w:rPr>
              <w:t>2019</w:t>
            </w:r>
          </w:p>
        </w:tc>
      </w:tr>
      <w:tr>
        <w:trPr>
          <w:gridAfter w:val="1"/>
          <w:wAfter w:w="15" w:type="dxa"/>
          <w:trHeight w:val="346"/>
        </w:trPr>
        <w:tc>
          <w:tcPr>
            <w:tcW w:w="750" w:type="dxa"/>
            <w:vMerge/>
            <w:tcBorders>
              <w:top w:val="single" w:sz="4" w:space="0" w:color="FFFFFF"/>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2085"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Established amount</w:t>
            </w:r>
          </w:p>
        </w:tc>
        <w:tc>
          <w:tcPr>
            <w:tcW w:w="1985"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Recovered amount</w:t>
            </w:r>
          </w:p>
        </w:tc>
        <w:tc>
          <w:tcPr>
            <w:tcW w:w="1284"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RR</w:t>
            </w:r>
          </w:p>
        </w:tc>
        <w:tc>
          <w:tcPr>
            <w:tcW w:w="2016" w:type="dxa"/>
            <w:gridSpan w:val="2"/>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Established amount</w:t>
            </w:r>
          </w:p>
        </w:tc>
        <w:tc>
          <w:tcPr>
            <w:tcW w:w="1661"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Recovered amount</w:t>
            </w:r>
          </w:p>
        </w:tc>
        <w:tc>
          <w:tcPr>
            <w:tcW w:w="1194"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RR</w:t>
            </w:r>
          </w:p>
        </w:tc>
      </w:tr>
      <w:tr>
        <w:trPr>
          <w:gridAfter w:val="1"/>
          <w:wAfter w:w="15" w:type="dxa"/>
          <w:trHeight w:val="221"/>
        </w:trPr>
        <w:tc>
          <w:tcPr>
            <w:tcW w:w="750" w:type="dxa"/>
            <w:vMerge/>
            <w:tcBorders>
              <w:top w:val="single" w:sz="4" w:space="0" w:color="FFFFFF"/>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2085"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1985"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1284"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w:t>
            </w:r>
          </w:p>
        </w:tc>
        <w:tc>
          <w:tcPr>
            <w:tcW w:w="2016" w:type="dxa"/>
            <w:gridSpan w:val="2"/>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1661"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EUR</w:t>
            </w:r>
          </w:p>
        </w:tc>
        <w:tc>
          <w:tcPr>
            <w:tcW w:w="1194"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w:t>
            </w:r>
          </w:p>
        </w:tc>
      </w:tr>
      <w:tr>
        <w:trPr>
          <w:gridAfter w:val="1"/>
          <w:wAfter w:w="15" w:type="dxa"/>
          <w:trHeight w:val="152"/>
        </w:trPr>
        <w:tc>
          <w:tcPr>
            <w:tcW w:w="750" w:type="dxa"/>
            <w:vMerge/>
            <w:tcBorders>
              <w:top w:val="single" w:sz="4" w:space="0" w:color="FFFFFF"/>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2085"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1</w:t>
            </w:r>
          </w:p>
        </w:tc>
        <w:tc>
          <w:tcPr>
            <w:tcW w:w="1985"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2</w:t>
            </w:r>
          </w:p>
        </w:tc>
        <w:tc>
          <w:tcPr>
            <w:tcW w:w="1284"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3=2/1</w:t>
            </w:r>
          </w:p>
        </w:tc>
        <w:tc>
          <w:tcPr>
            <w:tcW w:w="2016" w:type="dxa"/>
            <w:gridSpan w:val="2"/>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1</w:t>
            </w:r>
          </w:p>
        </w:tc>
        <w:tc>
          <w:tcPr>
            <w:tcW w:w="1661"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2</w:t>
            </w:r>
          </w:p>
        </w:tc>
        <w:tc>
          <w:tcPr>
            <w:tcW w:w="1194"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3=2/1</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BE</w:t>
            </w:r>
          </w:p>
        </w:tc>
        <w:tc>
          <w:tcPr>
            <w:tcW w:w="20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19.103.005</w:t>
            </w:r>
          </w:p>
        </w:tc>
        <w:tc>
          <w:tcPr>
            <w:tcW w:w="19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16.764.273</w:t>
            </w:r>
          </w:p>
        </w:tc>
        <w:tc>
          <w:tcPr>
            <w:tcW w:w="128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88%</w:t>
            </w:r>
          </w:p>
        </w:tc>
        <w:tc>
          <w:tcPr>
            <w:tcW w:w="201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32.175.309</w:t>
            </w:r>
          </w:p>
        </w:tc>
        <w:tc>
          <w:tcPr>
            <w:tcW w:w="166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16.446.273</w:t>
            </w:r>
          </w:p>
        </w:tc>
        <w:tc>
          <w:tcPr>
            <w:tcW w:w="119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51%</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BG</w:t>
            </w:r>
          </w:p>
        </w:tc>
        <w:tc>
          <w:tcPr>
            <w:tcW w:w="20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601.490</w:t>
            </w:r>
          </w:p>
        </w:tc>
        <w:tc>
          <w:tcPr>
            <w:tcW w:w="19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116.671</w:t>
            </w:r>
          </w:p>
        </w:tc>
        <w:tc>
          <w:tcPr>
            <w:tcW w:w="128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19%</w:t>
            </w:r>
          </w:p>
        </w:tc>
        <w:tc>
          <w:tcPr>
            <w:tcW w:w="201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550.584</w:t>
            </w:r>
          </w:p>
        </w:tc>
        <w:tc>
          <w:tcPr>
            <w:tcW w:w="166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119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CZ</w:t>
            </w:r>
          </w:p>
        </w:tc>
        <w:tc>
          <w:tcPr>
            <w:tcW w:w="20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4.759.303</w:t>
            </w:r>
          </w:p>
        </w:tc>
        <w:tc>
          <w:tcPr>
            <w:tcW w:w="19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4.563.965</w:t>
            </w:r>
          </w:p>
        </w:tc>
        <w:tc>
          <w:tcPr>
            <w:tcW w:w="128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96%</w:t>
            </w:r>
          </w:p>
        </w:tc>
        <w:tc>
          <w:tcPr>
            <w:tcW w:w="201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4.320.263</w:t>
            </w:r>
          </w:p>
        </w:tc>
        <w:tc>
          <w:tcPr>
            <w:tcW w:w="166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4.306.668</w:t>
            </w:r>
          </w:p>
        </w:tc>
        <w:tc>
          <w:tcPr>
            <w:tcW w:w="119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DK</w:t>
            </w:r>
          </w:p>
        </w:tc>
        <w:tc>
          <w:tcPr>
            <w:tcW w:w="20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7.291.699</w:t>
            </w:r>
          </w:p>
        </w:tc>
        <w:tc>
          <w:tcPr>
            <w:tcW w:w="19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6.967.356</w:t>
            </w:r>
          </w:p>
        </w:tc>
        <w:tc>
          <w:tcPr>
            <w:tcW w:w="128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96%</w:t>
            </w:r>
          </w:p>
        </w:tc>
        <w:tc>
          <w:tcPr>
            <w:tcW w:w="201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3.381.308</w:t>
            </w:r>
          </w:p>
        </w:tc>
        <w:tc>
          <w:tcPr>
            <w:tcW w:w="166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3.080.911</w:t>
            </w:r>
          </w:p>
        </w:tc>
        <w:tc>
          <w:tcPr>
            <w:tcW w:w="119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91%</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DE</w:t>
            </w:r>
          </w:p>
        </w:tc>
        <w:tc>
          <w:tcPr>
            <w:tcW w:w="20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126.376.311</w:t>
            </w:r>
          </w:p>
        </w:tc>
        <w:tc>
          <w:tcPr>
            <w:tcW w:w="19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102.619.083</w:t>
            </w:r>
          </w:p>
        </w:tc>
        <w:tc>
          <w:tcPr>
            <w:tcW w:w="128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81%</w:t>
            </w:r>
          </w:p>
        </w:tc>
        <w:tc>
          <w:tcPr>
            <w:tcW w:w="201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131.817.242</w:t>
            </w:r>
          </w:p>
        </w:tc>
        <w:tc>
          <w:tcPr>
            <w:tcW w:w="166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102.276.961</w:t>
            </w:r>
          </w:p>
        </w:tc>
        <w:tc>
          <w:tcPr>
            <w:tcW w:w="119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78%</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EE</w:t>
            </w:r>
          </w:p>
        </w:tc>
        <w:tc>
          <w:tcPr>
            <w:tcW w:w="20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642.408</w:t>
            </w:r>
          </w:p>
        </w:tc>
        <w:tc>
          <w:tcPr>
            <w:tcW w:w="19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74.306</w:t>
            </w:r>
          </w:p>
        </w:tc>
        <w:tc>
          <w:tcPr>
            <w:tcW w:w="128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w:t>
            </w:r>
          </w:p>
        </w:tc>
        <w:tc>
          <w:tcPr>
            <w:tcW w:w="201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129.213</w:t>
            </w:r>
          </w:p>
        </w:tc>
        <w:tc>
          <w:tcPr>
            <w:tcW w:w="166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129.213</w:t>
            </w:r>
          </w:p>
        </w:tc>
        <w:tc>
          <w:tcPr>
            <w:tcW w:w="119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IE</w:t>
            </w:r>
          </w:p>
        </w:tc>
        <w:tc>
          <w:tcPr>
            <w:tcW w:w="20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3.118.347</w:t>
            </w:r>
          </w:p>
        </w:tc>
        <w:tc>
          <w:tcPr>
            <w:tcW w:w="19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2.017.829</w:t>
            </w:r>
          </w:p>
        </w:tc>
        <w:tc>
          <w:tcPr>
            <w:tcW w:w="128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65%</w:t>
            </w:r>
          </w:p>
        </w:tc>
        <w:tc>
          <w:tcPr>
            <w:tcW w:w="201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1.126.778</w:t>
            </w:r>
          </w:p>
        </w:tc>
        <w:tc>
          <w:tcPr>
            <w:tcW w:w="166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1.084.728</w:t>
            </w:r>
          </w:p>
        </w:tc>
        <w:tc>
          <w:tcPr>
            <w:tcW w:w="119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96%</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EL</w:t>
            </w:r>
          </w:p>
        </w:tc>
        <w:tc>
          <w:tcPr>
            <w:tcW w:w="20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4.585.157</w:t>
            </w:r>
          </w:p>
        </w:tc>
        <w:tc>
          <w:tcPr>
            <w:tcW w:w="19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421.433</w:t>
            </w:r>
          </w:p>
        </w:tc>
        <w:tc>
          <w:tcPr>
            <w:tcW w:w="128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201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2.995.112</w:t>
            </w:r>
          </w:p>
        </w:tc>
        <w:tc>
          <w:tcPr>
            <w:tcW w:w="166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495.022</w:t>
            </w:r>
          </w:p>
        </w:tc>
        <w:tc>
          <w:tcPr>
            <w:tcW w:w="119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17%</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ES</w:t>
            </w:r>
          </w:p>
        </w:tc>
        <w:tc>
          <w:tcPr>
            <w:tcW w:w="20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33.507.204</w:t>
            </w:r>
          </w:p>
        </w:tc>
        <w:tc>
          <w:tcPr>
            <w:tcW w:w="19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22.255.693</w:t>
            </w:r>
          </w:p>
        </w:tc>
        <w:tc>
          <w:tcPr>
            <w:tcW w:w="128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66%</w:t>
            </w:r>
          </w:p>
        </w:tc>
        <w:tc>
          <w:tcPr>
            <w:tcW w:w="201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24.336.245</w:t>
            </w:r>
          </w:p>
        </w:tc>
        <w:tc>
          <w:tcPr>
            <w:tcW w:w="166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23.077.732</w:t>
            </w:r>
          </w:p>
        </w:tc>
        <w:tc>
          <w:tcPr>
            <w:tcW w:w="119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95%</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FR</w:t>
            </w:r>
          </w:p>
        </w:tc>
        <w:tc>
          <w:tcPr>
            <w:tcW w:w="20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95.280.178</w:t>
            </w:r>
          </w:p>
        </w:tc>
        <w:tc>
          <w:tcPr>
            <w:tcW w:w="19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85.688.286</w:t>
            </w:r>
          </w:p>
        </w:tc>
        <w:tc>
          <w:tcPr>
            <w:tcW w:w="128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90%</w:t>
            </w:r>
          </w:p>
        </w:tc>
        <w:tc>
          <w:tcPr>
            <w:tcW w:w="201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24.220.231</w:t>
            </w:r>
          </w:p>
        </w:tc>
        <w:tc>
          <w:tcPr>
            <w:tcW w:w="166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13.855.274</w:t>
            </w:r>
          </w:p>
        </w:tc>
        <w:tc>
          <w:tcPr>
            <w:tcW w:w="119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57%</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HR</w:t>
            </w:r>
          </w:p>
        </w:tc>
        <w:tc>
          <w:tcPr>
            <w:tcW w:w="20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1.097.818</w:t>
            </w:r>
          </w:p>
        </w:tc>
        <w:tc>
          <w:tcPr>
            <w:tcW w:w="19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527.772</w:t>
            </w:r>
          </w:p>
        </w:tc>
        <w:tc>
          <w:tcPr>
            <w:tcW w:w="128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48%</w:t>
            </w:r>
          </w:p>
        </w:tc>
        <w:tc>
          <w:tcPr>
            <w:tcW w:w="201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521.097</w:t>
            </w:r>
          </w:p>
        </w:tc>
        <w:tc>
          <w:tcPr>
            <w:tcW w:w="166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521.097</w:t>
            </w:r>
          </w:p>
        </w:tc>
        <w:tc>
          <w:tcPr>
            <w:tcW w:w="119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IT</w:t>
            </w:r>
          </w:p>
        </w:tc>
        <w:tc>
          <w:tcPr>
            <w:tcW w:w="20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9.253.640</w:t>
            </w:r>
          </w:p>
        </w:tc>
        <w:tc>
          <w:tcPr>
            <w:tcW w:w="19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3.344.520</w:t>
            </w:r>
          </w:p>
        </w:tc>
        <w:tc>
          <w:tcPr>
            <w:tcW w:w="128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36%</w:t>
            </w:r>
          </w:p>
        </w:tc>
        <w:tc>
          <w:tcPr>
            <w:tcW w:w="201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13.209.917</w:t>
            </w:r>
          </w:p>
        </w:tc>
        <w:tc>
          <w:tcPr>
            <w:tcW w:w="166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6.209.192</w:t>
            </w:r>
          </w:p>
        </w:tc>
        <w:tc>
          <w:tcPr>
            <w:tcW w:w="119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47%</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CY</w:t>
            </w:r>
          </w:p>
        </w:tc>
        <w:tc>
          <w:tcPr>
            <w:tcW w:w="20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70.088</w:t>
            </w:r>
          </w:p>
        </w:tc>
        <w:tc>
          <w:tcPr>
            <w:tcW w:w="19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64.029</w:t>
            </w:r>
          </w:p>
        </w:tc>
        <w:tc>
          <w:tcPr>
            <w:tcW w:w="128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91%</w:t>
            </w:r>
          </w:p>
        </w:tc>
        <w:tc>
          <w:tcPr>
            <w:tcW w:w="201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10.463</w:t>
            </w:r>
          </w:p>
        </w:tc>
        <w:tc>
          <w:tcPr>
            <w:tcW w:w="166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10.463</w:t>
            </w:r>
          </w:p>
        </w:tc>
        <w:tc>
          <w:tcPr>
            <w:tcW w:w="119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LV</w:t>
            </w:r>
          </w:p>
        </w:tc>
        <w:tc>
          <w:tcPr>
            <w:tcW w:w="20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1.396.206</w:t>
            </w:r>
          </w:p>
        </w:tc>
        <w:tc>
          <w:tcPr>
            <w:tcW w:w="19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260.684</w:t>
            </w:r>
          </w:p>
        </w:tc>
        <w:tc>
          <w:tcPr>
            <w:tcW w:w="128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19%</w:t>
            </w:r>
          </w:p>
        </w:tc>
        <w:tc>
          <w:tcPr>
            <w:tcW w:w="201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358.085</w:t>
            </w:r>
          </w:p>
        </w:tc>
        <w:tc>
          <w:tcPr>
            <w:tcW w:w="166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271.627</w:t>
            </w:r>
          </w:p>
        </w:tc>
        <w:tc>
          <w:tcPr>
            <w:tcW w:w="119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76%</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LT</w:t>
            </w:r>
          </w:p>
        </w:tc>
        <w:tc>
          <w:tcPr>
            <w:tcW w:w="20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4.908.606</w:t>
            </w:r>
          </w:p>
        </w:tc>
        <w:tc>
          <w:tcPr>
            <w:tcW w:w="19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3.107.682</w:t>
            </w:r>
          </w:p>
        </w:tc>
        <w:tc>
          <w:tcPr>
            <w:tcW w:w="128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63%</w:t>
            </w:r>
          </w:p>
        </w:tc>
        <w:tc>
          <w:tcPr>
            <w:tcW w:w="201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987.045</w:t>
            </w:r>
          </w:p>
        </w:tc>
        <w:tc>
          <w:tcPr>
            <w:tcW w:w="166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976.167</w:t>
            </w:r>
          </w:p>
        </w:tc>
        <w:tc>
          <w:tcPr>
            <w:tcW w:w="119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99%</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LU</w:t>
            </w:r>
          </w:p>
        </w:tc>
        <w:tc>
          <w:tcPr>
            <w:tcW w:w="20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9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8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#DIV/0!</w:t>
            </w:r>
          </w:p>
        </w:tc>
        <w:tc>
          <w:tcPr>
            <w:tcW w:w="201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111.376</w:t>
            </w:r>
          </w:p>
        </w:tc>
        <w:tc>
          <w:tcPr>
            <w:tcW w:w="166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111.376</w:t>
            </w:r>
          </w:p>
        </w:tc>
        <w:tc>
          <w:tcPr>
            <w:tcW w:w="119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HU</w:t>
            </w:r>
          </w:p>
        </w:tc>
        <w:tc>
          <w:tcPr>
            <w:tcW w:w="20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1.157.762</w:t>
            </w:r>
          </w:p>
        </w:tc>
        <w:tc>
          <w:tcPr>
            <w:tcW w:w="19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1.051.601</w:t>
            </w:r>
          </w:p>
        </w:tc>
        <w:tc>
          <w:tcPr>
            <w:tcW w:w="128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91%</w:t>
            </w:r>
          </w:p>
        </w:tc>
        <w:tc>
          <w:tcPr>
            <w:tcW w:w="201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3.465.845</w:t>
            </w:r>
          </w:p>
        </w:tc>
        <w:tc>
          <w:tcPr>
            <w:tcW w:w="166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1.082.995</w:t>
            </w:r>
          </w:p>
        </w:tc>
        <w:tc>
          <w:tcPr>
            <w:tcW w:w="119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31%</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MT</w:t>
            </w:r>
          </w:p>
        </w:tc>
        <w:tc>
          <w:tcPr>
            <w:tcW w:w="20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9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8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#DIV/0!</w:t>
            </w:r>
          </w:p>
        </w:tc>
        <w:tc>
          <w:tcPr>
            <w:tcW w:w="201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6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9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NL</w:t>
            </w:r>
          </w:p>
        </w:tc>
        <w:tc>
          <w:tcPr>
            <w:tcW w:w="20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128.770.441</w:t>
            </w:r>
          </w:p>
        </w:tc>
        <w:tc>
          <w:tcPr>
            <w:tcW w:w="19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39.419.259</w:t>
            </w:r>
          </w:p>
        </w:tc>
        <w:tc>
          <w:tcPr>
            <w:tcW w:w="128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31%</w:t>
            </w:r>
          </w:p>
        </w:tc>
        <w:tc>
          <w:tcPr>
            <w:tcW w:w="201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97.716.493</w:t>
            </w:r>
          </w:p>
        </w:tc>
        <w:tc>
          <w:tcPr>
            <w:tcW w:w="166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22.920.655</w:t>
            </w:r>
          </w:p>
        </w:tc>
        <w:tc>
          <w:tcPr>
            <w:tcW w:w="119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23%</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AT</w:t>
            </w:r>
          </w:p>
        </w:tc>
        <w:tc>
          <w:tcPr>
            <w:tcW w:w="20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2.221.411</w:t>
            </w:r>
          </w:p>
        </w:tc>
        <w:tc>
          <w:tcPr>
            <w:tcW w:w="19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2.047.507</w:t>
            </w:r>
          </w:p>
        </w:tc>
        <w:tc>
          <w:tcPr>
            <w:tcW w:w="128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92%</w:t>
            </w:r>
          </w:p>
        </w:tc>
        <w:tc>
          <w:tcPr>
            <w:tcW w:w="201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4.928.961</w:t>
            </w:r>
          </w:p>
        </w:tc>
        <w:tc>
          <w:tcPr>
            <w:tcW w:w="166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1.190.427</w:t>
            </w:r>
          </w:p>
        </w:tc>
        <w:tc>
          <w:tcPr>
            <w:tcW w:w="119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24%</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PL</w:t>
            </w:r>
          </w:p>
        </w:tc>
        <w:tc>
          <w:tcPr>
            <w:tcW w:w="20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8.257.610</w:t>
            </w:r>
          </w:p>
        </w:tc>
        <w:tc>
          <w:tcPr>
            <w:tcW w:w="19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4.604.464</w:t>
            </w:r>
          </w:p>
        </w:tc>
        <w:tc>
          <w:tcPr>
            <w:tcW w:w="128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56%</w:t>
            </w:r>
          </w:p>
        </w:tc>
        <w:tc>
          <w:tcPr>
            <w:tcW w:w="201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6.512.897</w:t>
            </w:r>
          </w:p>
        </w:tc>
        <w:tc>
          <w:tcPr>
            <w:tcW w:w="166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5.328.738</w:t>
            </w:r>
          </w:p>
        </w:tc>
        <w:tc>
          <w:tcPr>
            <w:tcW w:w="119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82%</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PT</w:t>
            </w:r>
          </w:p>
        </w:tc>
        <w:tc>
          <w:tcPr>
            <w:tcW w:w="20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9.347.470</w:t>
            </w:r>
          </w:p>
        </w:tc>
        <w:tc>
          <w:tcPr>
            <w:tcW w:w="19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3.719.205</w:t>
            </w:r>
          </w:p>
        </w:tc>
        <w:tc>
          <w:tcPr>
            <w:tcW w:w="128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40%</w:t>
            </w:r>
          </w:p>
        </w:tc>
        <w:tc>
          <w:tcPr>
            <w:tcW w:w="201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1.233.978</w:t>
            </w:r>
          </w:p>
        </w:tc>
        <w:tc>
          <w:tcPr>
            <w:tcW w:w="166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209.817</w:t>
            </w:r>
          </w:p>
        </w:tc>
        <w:tc>
          <w:tcPr>
            <w:tcW w:w="119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17%</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RO</w:t>
            </w:r>
          </w:p>
        </w:tc>
        <w:tc>
          <w:tcPr>
            <w:tcW w:w="20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2.433.519</w:t>
            </w:r>
          </w:p>
        </w:tc>
        <w:tc>
          <w:tcPr>
            <w:tcW w:w="19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1.219.662</w:t>
            </w:r>
          </w:p>
        </w:tc>
        <w:tc>
          <w:tcPr>
            <w:tcW w:w="128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50%</w:t>
            </w:r>
          </w:p>
        </w:tc>
        <w:tc>
          <w:tcPr>
            <w:tcW w:w="201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3.583.765</w:t>
            </w:r>
          </w:p>
        </w:tc>
        <w:tc>
          <w:tcPr>
            <w:tcW w:w="166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2.622.224</w:t>
            </w:r>
          </w:p>
        </w:tc>
        <w:tc>
          <w:tcPr>
            <w:tcW w:w="119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73%</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SI</w:t>
            </w:r>
          </w:p>
        </w:tc>
        <w:tc>
          <w:tcPr>
            <w:tcW w:w="20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987.411</w:t>
            </w:r>
          </w:p>
        </w:tc>
        <w:tc>
          <w:tcPr>
            <w:tcW w:w="19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987.411</w:t>
            </w:r>
          </w:p>
        </w:tc>
        <w:tc>
          <w:tcPr>
            <w:tcW w:w="128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c>
          <w:tcPr>
            <w:tcW w:w="201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503.267</w:t>
            </w:r>
          </w:p>
        </w:tc>
        <w:tc>
          <w:tcPr>
            <w:tcW w:w="166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491.531</w:t>
            </w:r>
          </w:p>
        </w:tc>
        <w:tc>
          <w:tcPr>
            <w:tcW w:w="119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98%</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SK</w:t>
            </w:r>
          </w:p>
        </w:tc>
        <w:tc>
          <w:tcPr>
            <w:tcW w:w="20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550.903</w:t>
            </w:r>
          </w:p>
        </w:tc>
        <w:tc>
          <w:tcPr>
            <w:tcW w:w="19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319.131</w:t>
            </w:r>
          </w:p>
        </w:tc>
        <w:tc>
          <w:tcPr>
            <w:tcW w:w="128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58%</w:t>
            </w:r>
          </w:p>
        </w:tc>
        <w:tc>
          <w:tcPr>
            <w:tcW w:w="201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407.702</w:t>
            </w:r>
          </w:p>
        </w:tc>
        <w:tc>
          <w:tcPr>
            <w:tcW w:w="166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407.702</w:t>
            </w:r>
          </w:p>
        </w:tc>
        <w:tc>
          <w:tcPr>
            <w:tcW w:w="119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FI</w:t>
            </w:r>
          </w:p>
        </w:tc>
        <w:tc>
          <w:tcPr>
            <w:tcW w:w="20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2.945.510</w:t>
            </w:r>
          </w:p>
        </w:tc>
        <w:tc>
          <w:tcPr>
            <w:tcW w:w="19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2.741.186</w:t>
            </w:r>
          </w:p>
        </w:tc>
        <w:tc>
          <w:tcPr>
            <w:tcW w:w="128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93%</w:t>
            </w:r>
          </w:p>
        </w:tc>
        <w:tc>
          <w:tcPr>
            <w:tcW w:w="201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8.251.250</w:t>
            </w:r>
          </w:p>
        </w:tc>
        <w:tc>
          <w:tcPr>
            <w:tcW w:w="166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3.715.468</w:t>
            </w:r>
          </w:p>
        </w:tc>
        <w:tc>
          <w:tcPr>
            <w:tcW w:w="119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45%</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SE</w:t>
            </w:r>
          </w:p>
        </w:tc>
        <w:tc>
          <w:tcPr>
            <w:tcW w:w="20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7.558.386</w:t>
            </w:r>
          </w:p>
        </w:tc>
        <w:tc>
          <w:tcPr>
            <w:tcW w:w="198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5.819.933</w:t>
            </w:r>
          </w:p>
        </w:tc>
        <w:tc>
          <w:tcPr>
            <w:tcW w:w="128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77%</w:t>
            </w:r>
          </w:p>
        </w:tc>
        <w:tc>
          <w:tcPr>
            <w:tcW w:w="201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9.054.254</w:t>
            </w:r>
          </w:p>
        </w:tc>
        <w:tc>
          <w:tcPr>
            <w:tcW w:w="166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7.853.296</w:t>
            </w:r>
          </w:p>
        </w:tc>
        <w:tc>
          <w:tcPr>
            <w:tcW w:w="119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87%</w:t>
            </w:r>
          </w:p>
        </w:tc>
      </w:tr>
      <w:tr>
        <w:trPr>
          <w:gridAfter w:val="1"/>
          <w:wAfter w:w="15" w:type="dxa"/>
          <w:trHeight w:val="246"/>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UK</w:t>
            </w:r>
          </w:p>
        </w:tc>
        <w:tc>
          <w:tcPr>
            <w:tcW w:w="20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129.520.125</w:t>
            </w:r>
          </w:p>
        </w:tc>
        <w:tc>
          <w:tcPr>
            <w:tcW w:w="198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51.354.966</w:t>
            </w:r>
          </w:p>
        </w:tc>
        <w:tc>
          <w:tcPr>
            <w:tcW w:w="128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40%</w:t>
            </w:r>
          </w:p>
        </w:tc>
        <w:tc>
          <w:tcPr>
            <w:tcW w:w="201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85.076.121</w:t>
            </w:r>
          </w:p>
        </w:tc>
        <w:tc>
          <w:tcPr>
            <w:tcW w:w="166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43.081.480</w:t>
            </w:r>
          </w:p>
        </w:tc>
        <w:tc>
          <w:tcPr>
            <w:tcW w:w="119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51%</w:t>
            </w:r>
          </w:p>
        </w:tc>
      </w:tr>
      <w:tr>
        <w:trPr>
          <w:gridAfter w:val="1"/>
          <w:wAfter w:w="15" w:type="dxa"/>
          <w:trHeight w:val="229"/>
        </w:trPr>
        <w:tc>
          <w:tcPr>
            <w:tcW w:w="750" w:type="dxa"/>
            <w:tcBorders>
              <w:top w:val="nil"/>
              <w:left w:val="nil"/>
              <w:bottom w:val="nil"/>
              <w:right w:val="nil"/>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TOTAL  </w:t>
            </w:r>
          </w:p>
        </w:tc>
        <w:tc>
          <w:tcPr>
            <w:tcW w:w="2085"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605.742.008 </w:t>
            </w:r>
          </w:p>
        </w:tc>
        <w:tc>
          <w:tcPr>
            <w:tcW w:w="1985"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362.077.907 </w:t>
            </w:r>
          </w:p>
        </w:tc>
        <w:tc>
          <w:tcPr>
            <w:tcW w:w="1284" w:type="dxa"/>
            <w:tcBorders>
              <w:top w:val="nil"/>
              <w:left w:val="nil"/>
              <w:bottom w:val="nil"/>
              <w:right w:val="single" w:sz="4" w:space="0" w:color="FFFFFF"/>
            </w:tcBorders>
            <w:shd w:val="clear" w:color="00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60%</w:t>
            </w:r>
          </w:p>
        </w:tc>
        <w:tc>
          <w:tcPr>
            <w:tcW w:w="2016" w:type="dxa"/>
            <w:gridSpan w:val="2"/>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460.984.801 </w:t>
            </w:r>
          </w:p>
        </w:tc>
        <w:tc>
          <w:tcPr>
            <w:tcW w:w="1661" w:type="dxa"/>
            <w:tcBorders>
              <w:top w:val="nil"/>
              <w:left w:val="nil"/>
              <w:bottom w:val="nil"/>
              <w:right w:val="single" w:sz="4" w:space="0" w:color="FFFFFF"/>
            </w:tcBorders>
            <w:shd w:val="clear" w:color="00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261.757.037 </w:t>
            </w:r>
          </w:p>
        </w:tc>
        <w:tc>
          <w:tcPr>
            <w:tcW w:w="1194" w:type="dxa"/>
            <w:tcBorders>
              <w:top w:val="nil"/>
              <w:left w:val="nil"/>
              <w:bottom w:val="nil"/>
              <w:right w:val="nil"/>
            </w:tcBorders>
            <w:shd w:val="clear" w:color="00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57%</w:t>
            </w:r>
          </w:p>
        </w:tc>
      </w:tr>
    </w:tbl>
    <w:p>
      <w:pPr>
        <w:tabs>
          <w:tab w:val="left" w:pos="3261"/>
        </w:tabs>
        <w:spacing w:after="0"/>
        <w:rPr>
          <w:b/>
          <w:noProof/>
        </w:rPr>
        <w:sectPr>
          <w:headerReference w:type="even" r:id="rId161"/>
          <w:headerReference w:type="default" r:id="rId162"/>
          <w:footerReference w:type="even" r:id="rId163"/>
          <w:footerReference w:type="default" r:id="rId164"/>
          <w:headerReference w:type="first" r:id="rId165"/>
          <w:footerReference w:type="first" r:id="rId166"/>
          <w:pgSz w:w="16838" w:h="11906" w:orient="landscape"/>
          <w:pgMar w:top="1440" w:right="1440" w:bottom="1440" w:left="1440" w:header="709" w:footer="709" w:gutter="0"/>
          <w:cols w:space="708"/>
          <w:docGrid w:linePitch="360"/>
        </w:sectPr>
      </w:pPr>
    </w:p>
    <w:p>
      <w:pPr>
        <w:tabs>
          <w:tab w:val="left" w:pos="3261"/>
        </w:tabs>
        <w:spacing w:after="0"/>
        <w:rPr>
          <w:b/>
          <w:noProof/>
        </w:rPr>
      </w:pPr>
      <w:r>
        <w:rPr>
          <w:b/>
          <w:noProof/>
        </w:rPr>
        <w:t>Annex 6</w:t>
      </w:r>
    </w:p>
    <w:tbl>
      <w:tblPr>
        <w:tblW w:w="14461" w:type="dxa"/>
        <w:tblInd w:w="108" w:type="dxa"/>
        <w:tblLook w:val="04A0" w:firstRow="1" w:lastRow="0" w:firstColumn="1" w:lastColumn="0" w:noHBand="0" w:noVBand="1"/>
      </w:tblPr>
      <w:tblGrid>
        <w:gridCol w:w="657"/>
        <w:gridCol w:w="1447"/>
        <w:gridCol w:w="1228"/>
        <w:gridCol w:w="1453"/>
        <w:gridCol w:w="1228"/>
        <w:gridCol w:w="1624"/>
        <w:gridCol w:w="1510"/>
        <w:gridCol w:w="1535"/>
        <w:gridCol w:w="1366"/>
        <w:gridCol w:w="1407"/>
        <w:gridCol w:w="1006"/>
      </w:tblGrid>
      <w:tr>
        <w:trPr>
          <w:trHeight w:val="264"/>
        </w:trPr>
        <w:tc>
          <w:tcPr>
            <w:tcW w:w="657"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sz w:val="20"/>
                <w:szCs w:val="20"/>
                <w:lang w:eastAsia="en-GB"/>
              </w:rPr>
            </w:pPr>
          </w:p>
        </w:tc>
        <w:tc>
          <w:tcPr>
            <w:tcW w:w="13804" w:type="dxa"/>
            <w:gridSpan w:val="10"/>
            <w:tcBorders>
              <w:top w:val="single" w:sz="4" w:space="0" w:color="FFFFFF"/>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TOR: Estimated and established amount per customs procedure per Member State 2019 (EUR)</w:t>
            </w:r>
          </w:p>
        </w:tc>
      </w:tr>
      <w:tr>
        <w:trPr>
          <w:trHeight w:val="140"/>
        </w:trPr>
        <w:tc>
          <w:tcPr>
            <w:tcW w:w="657" w:type="dxa"/>
            <w:vMerge w:val="restart"/>
            <w:tcBorders>
              <w:top w:val="nil"/>
              <w:left w:val="single" w:sz="4" w:space="0" w:color="FFFFFF"/>
              <w:bottom w:val="nil"/>
              <w:right w:val="single" w:sz="4" w:space="0" w:color="FFFFFF"/>
            </w:tcBorders>
            <w:shd w:val="clear" w:color="C0C0C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MS</w:t>
            </w:r>
          </w:p>
        </w:tc>
        <w:tc>
          <w:tcPr>
            <w:tcW w:w="6980" w:type="dxa"/>
            <w:gridSpan w:val="5"/>
            <w:tcBorders>
              <w:top w:val="single" w:sz="4" w:space="0" w:color="FFFFFF"/>
              <w:left w:val="nil"/>
              <w:bottom w:val="single" w:sz="4" w:space="0" w:color="FFFFFF"/>
              <w:right w:val="single" w:sz="4" w:space="0" w:color="FFFFFF"/>
            </w:tcBorders>
            <w:shd w:val="clear" w:color="000000" w:fill="FF8080"/>
            <w:noWrap/>
            <w:vAlign w:val="center"/>
            <w:hideMark/>
          </w:tcPr>
          <w:p>
            <w:pPr>
              <w:spacing w:after="0" w:line="240" w:lineRule="auto"/>
              <w:jc w:val="center"/>
              <w:rPr>
                <w:rFonts w:ascii="Arial" w:eastAsia="Times New Roman" w:hAnsi="Arial" w:cs="Arial"/>
                <w:b/>
                <w:bCs/>
                <w:noProof/>
                <w:color w:val="FFFFFF"/>
                <w:sz w:val="18"/>
                <w:szCs w:val="18"/>
                <w:lang w:eastAsia="en-GB"/>
              </w:rPr>
            </w:pPr>
            <w:r>
              <w:rPr>
                <w:rFonts w:ascii="Arial" w:eastAsia="Times New Roman" w:hAnsi="Arial" w:cs="Arial"/>
                <w:b/>
                <w:bCs/>
                <w:noProof/>
                <w:color w:val="FFFFFF"/>
                <w:sz w:val="18"/>
                <w:szCs w:val="18"/>
                <w:lang w:eastAsia="en-GB"/>
              </w:rPr>
              <w:t>Fraudulent</w:t>
            </w:r>
          </w:p>
        </w:tc>
        <w:tc>
          <w:tcPr>
            <w:tcW w:w="6824" w:type="dxa"/>
            <w:gridSpan w:val="5"/>
            <w:tcBorders>
              <w:top w:val="single" w:sz="4" w:space="0" w:color="FFFFFF"/>
              <w:left w:val="nil"/>
              <w:bottom w:val="single" w:sz="4" w:space="0" w:color="FFFFFF"/>
              <w:right w:val="single" w:sz="4" w:space="0" w:color="FFFFFF"/>
            </w:tcBorders>
            <w:shd w:val="clear" w:color="000000" w:fill="FF8080"/>
            <w:noWrap/>
            <w:vAlign w:val="center"/>
            <w:hideMark/>
          </w:tcPr>
          <w:p>
            <w:pPr>
              <w:spacing w:after="0" w:line="240" w:lineRule="auto"/>
              <w:jc w:val="center"/>
              <w:rPr>
                <w:rFonts w:ascii="Arial" w:eastAsia="Times New Roman" w:hAnsi="Arial" w:cs="Arial"/>
                <w:b/>
                <w:bCs/>
                <w:noProof/>
                <w:color w:val="FFFFFF"/>
                <w:sz w:val="18"/>
                <w:szCs w:val="18"/>
                <w:lang w:eastAsia="en-GB"/>
              </w:rPr>
            </w:pPr>
            <w:r>
              <w:rPr>
                <w:rFonts w:ascii="Arial" w:eastAsia="Times New Roman" w:hAnsi="Arial" w:cs="Arial"/>
                <w:b/>
                <w:bCs/>
                <w:noProof/>
                <w:color w:val="FFFFFF"/>
                <w:sz w:val="18"/>
                <w:szCs w:val="18"/>
                <w:lang w:eastAsia="en-GB"/>
              </w:rPr>
              <w:t>Non-fraudulent</w:t>
            </w:r>
          </w:p>
        </w:tc>
      </w:tr>
      <w:tr>
        <w:trPr>
          <w:trHeight w:val="670"/>
        </w:trPr>
        <w:tc>
          <w:tcPr>
            <w:tcW w:w="657" w:type="dxa"/>
            <w:vMerge/>
            <w:tcBorders>
              <w:top w:val="nil"/>
              <w:left w:val="single" w:sz="4" w:space="0" w:color="FFFFFF"/>
              <w:bottom w:val="nil"/>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1447" w:type="dxa"/>
            <w:tcBorders>
              <w:top w:val="nil"/>
              <w:left w:val="nil"/>
              <w:bottom w:val="nil"/>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Release for free circulation</w:t>
            </w:r>
          </w:p>
        </w:tc>
        <w:tc>
          <w:tcPr>
            <w:tcW w:w="1228" w:type="dxa"/>
            <w:tcBorders>
              <w:top w:val="nil"/>
              <w:left w:val="nil"/>
              <w:bottom w:val="nil"/>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Transit</w:t>
            </w:r>
          </w:p>
        </w:tc>
        <w:tc>
          <w:tcPr>
            <w:tcW w:w="1453" w:type="dxa"/>
            <w:tcBorders>
              <w:top w:val="nil"/>
              <w:left w:val="nil"/>
              <w:bottom w:val="nil"/>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Customs warehousing</w:t>
            </w:r>
          </w:p>
        </w:tc>
        <w:tc>
          <w:tcPr>
            <w:tcW w:w="1228" w:type="dxa"/>
            <w:tcBorders>
              <w:top w:val="nil"/>
              <w:left w:val="nil"/>
              <w:bottom w:val="nil"/>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Inward processing</w:t>
            </w:r>
          </w:p>
        </w:tc>
        <w:tc>
          <w:tcPr>
            <w:tcW w:w="1624" w:type="dxa"/>
            <w:tcBorders>
              <w:top w:val="nil"/>
              <w:left w:val="nil"/>
              <w:bottom w:val="nil"/>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Other</w:t>
            </w:r>
          </w:p>
        </w:tc>
        <w:tc>
          <w:tcPr>
            <w:tcW w:w="1510" w:type="dxa"/>
            <w:tcBorders>
              <w:top w:val="nil"/>
              <w:left w:val="nil"/>
              <w:bottom w:val="nil"/>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Release for free circulation</w:t>
            </w:r>
          </w:p>
        </w:tc>
        <w:tc>
          <w:tcPr>
            <w:tcW w:w="1535" w:type="dxa"/>
            <w:tcBorders>
              <w:top w:val="nil"/>
              <w:left w:val="nil"/>
              <w:bottom w:val="nil"/>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Transit</w:t>
            </w:r>
          </w:p>
        </w:tc>
        <w:tc>
          <w:tcPr>
            <w:tcW w:w="1366" w:type="dxa"/>
            <w:tcBorders>
              <w:top w:val="nil"/>
              <w:left w:val="nil"/>
              <w:bottom w:val="nil"/>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Customs warehousing</w:t>
            </w:r>
          </w:p>
        </w:tc>
        <w:tc>
          <w:tcPr>
            <w:tcW w:w="1407" w:type="dxa"/>
            <w:tcBorders>
              <w:top w:val="nil"/>
              <w:left w:val="nil"/>
              <w:bottom w:val="nil"/>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Inward processing</w:t>
            </w:r>
          </w:p>
        </w:tc>
        <w:tc>
          <w:tcPr>
            <w:tcW w:w="1006" w:type="dxa"/>
            <w:tcBorders>
              <w:top w:val="nil"/>
              <w:left w:val="nil"/>
              <w:bottom w:val="nil"/>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Other</w:t>
            </w:r>
          </w:p>
        </w:tc>
      </w:tr>
      <w:tr>
        <w:trPr>
          <w:trHeight w:val="249"/>
        </w:trPr>
        <w:tc>
          <w:tcPr>
            <w:tcW w:w="657" w:type="dxa"/>
            <w:tcBorders>
              <w:top w:val="single" w:sz="4" w:space="0" w:color="FFFFFF"/>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BE</w:t>
            </w:r>
          </w:p>
        </w:tc>
        <w:tc>
          <w:tcPr>
            <w:tcW w:w="1447" w:type="dxa"/>
            <w:tcBorders>
              <w:top w:val="single" w:sz="4" w:space="0" w:color="FFFFFF"/>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18.602.992</w:t>
            </w:r>
          </w:p>
        </w:tc>
        <w:tc>
          <w:tcPr>
            <w:tcW w:w="1228" w:type="dxa"/>
            <w:tcBorders>
              <w:top w:val="single" w:sz="4" w:space="0" w:color="FFFFFF"/>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2.304.302</w:t>
            </w:r>
          </w:p>
        </w:tc>
        <w:tc>
          <w:tcPr>
            <w:tcW w:w="1453" w:type="dxa"/>
            <w:tcBorders>
              <w:top w:val="single" w:sz="4" w:space="0" w:color="FFFFFF"/>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399.128</w:t>
            </w:r>
          </w:p>
        </w:tc>
        <w:tc>
          <w:tcPr>
            <w:tcW w:w="1228" w:type="dxa"/>
            <w:tcBorders>
              <w:top w:val="single" w:sz="4" w:space="0" w:color="FFFFFF"/>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single" w:sz="4" w:space="0" w:color="FFFFFF"/>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176.710 </w:t>
            </w:r>
          </w:p>
        </w:tc>
        <w:tc>
          <w:tcPr>
            <w:tcW w:w="1510" w:type="dxa"/>
            <w:tcBorders>
              <w:top w:val="single" w:sz="4" w:space="0" w:color="FFFFFF"/>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11.550.356</w:t>
            </w:r>
          </w:p>
        </w:tc>
        <w:tc>
          <w:tcPr>
            <w:tcW w:w="1535" w:type="dxa"/>
            <w:tcBorders>
              <w:top w:val="single" w:sz="4" w:space="0" w:color="FFFFFF"/>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592.602 </w:t>
            </w:r>
          </w:p>
        </w:tc>
        <w:tc>
          <w:tcPr>
            <w:tcW w:w="1366" w:type="dxa"/>
            <w:tcBorders>
              <w:top w:val="single" w:sz="4" w:space="0" w:color="FFFFFF"/>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385.159</w:t>
            </w:r>
          </w:p>
        </w:tc>
        <w:tc>
          <w:tcPr>
            <w:tcW w:w="1407" w:type="dxa"/>
            <w:tcBorders>
              <w:top w:val="single" w:sz="4" w:space="0" w:color="FFFFFF"/>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450.400</w:t>
            </w:r>
          </w:p>
        </w:tc>
        <w:tc>
          <w:tcPr>
            <w:tcW w:w="1006" w:type="dxa"/>
            <w:tcBorders>
              <w:top w:val="single" w:sz="4" w:space="0" w:color="FFFFFF"/>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15.193</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BG</w:t>
            </w:r>
          </w:p>
        </w:tc>
        <w:tc>
          <w:tcPr>
            <w:tcW w:w="14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550.584</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103.102</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35"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CZ</w:t>
            </w:r>
          </w:p>
        </w:tc>
        <w:tc>
          <w:tcPr>
            <w:tcW w:w="14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4.320.263</w:t>
            </w:r>
          </w:p>
        </w:tc>
        <w:tc>
          <w:tcPr>
            <w:tcW w:w="1535"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DK</w:t>
            </w:r>
          </w:p>
        </w:tc>
        <w:tc>
          <w:tcPr>
            <w:tcW w:w="14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145.933</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2.910.340</w:t>
            </w:r>
          </w:p>
        </w:tc>
        <w:tc>
          <w:tcPr>
            <w:tcW w:w="1535"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233.661</w:t>
            </w:r>
          </w:p>
        </w:tc>
        <w:tc>
          <w:tcPr>
            <w:tcW w:w="140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91.374</w:t>
            </w:r>
          </w:p>
        </w:tc>
        <w:tc>
          <w:tcPr>
            <w:tcW w:w="10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DE</w:t>
            </w:r>
          </w:p>
        </w:tc>
        <w:tc>
          <w:tcPr>
            <w:tcW w:w="14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31.118.965</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20.000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86.850.520</w:t>
            </w:r>
          </w:p>
        </w:tc>
        <w:tc>
          <w:tcPr>
            <w:tcW w:w="1535"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683.247 </w:t>
            </w:r>
          </w:p>
        </w:tc>
        <w:tc>
          <w:tcPr>
            <w:tcW w:w="13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7.195.130</w:t>
            </w:r>
          </w:p>
        </w:tc>
        <w:tc>
          <w:tcPr>
            <w:tcW w:w="140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4.621.465</w:t>
            </w:r>
          </w:p>
        </w:tc>
        <w:tc>
          <w:tcPr>
            <w:tcW w:w="10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1.350.829</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EE</w:t>
            </w:r>
          </w:p>
        </w:tc>
        <w:tc>
          <w:tcPr>
            <w:tcW w:w="14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28.636</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476.648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100.577</w:t>
            </w:r>
          </w:p>
        </w:tc>
        <w:tc>
          <w:tcPr>
            <w:tcW w:w="1535"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IE</w:t>
            </w:r>
          </w:p>
        </w:tc>
        <w:tc>
          <w:tcPr>
            <w:tcW w:w="14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291.422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929.458</w:t>
            </w:r>
          </w:p>
        </w:tc>
        <w:tc>
          <w:tcPr>
            <w:tcW w:w="1535"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90.257</w:t>
            </w:r>
          </w:p>
        </w:tc>
        <w:tc>
          <w:tcPr>
            <w:tcW w:w="140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31.157</w:t>
            </w:r>
          </w:p>
        </w:tc>
        <w:tc>
          <w:tcPr>
            <w:tcW w:w="10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75.906</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EL</w:t>
            </w:r>
          </w:p>
        </w:tc>
        <w:tc>
          <w:tcPr>
            <w:tcW w:w="14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1.954.430</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12.313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843.741</w:t>
            </w:r>
          </w:p>
        </w:tc>
        <w:tc>
          <w:tcPr>
            <w:tcW w:w="1535"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745.730</w:t>
            </w:r>
          </w:p>
        </w:tc>
        <w:tc>
          <w:tcPr>
            <w:tcW w:w="140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ES</w:t>
            </w:r>
          </w:p>
        </w:tc>
        <w:tc>
          <w:tcPr>
            <w:tcW w:w="14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2.527.014</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19.980.492</w:t>
            </w:r>
          </w:p>
        </w:tc>
        <w:tc>
          <w:tcPr>
            <w:tcW w:w="1535"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43.065 </w:t>
            </w:r>
          </w:p>
        </w:tc>
        <w:tc>
          <w:tcPr>
            <w:tcW w:w="13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46.137</w:t>
            </w:r>
          </w:p>
        </w:tc>
        <w:tc>
          <w:tcPr>
            <w:tcW w:w="140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3.408.006</w:t>
            </w:r>
          </w:p>
        </w:tc>
        <w:tc>
          <w:tcPr>
            <w:tcW w:w="10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10.249</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FR</w:t>
            </w:r>
          </w:p>
        </w:tc>
        <w:tc>
          <w:tcPr>
            <w:tcW w:w="14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5.022.835</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167.799</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101.505</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100.321</w:t>
            </w:r>
          </w:p>
        </w:tc>
        <w:tc>
          <w:tcPr>
            <w:tcW w:w="1624"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867.506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17.219.130</w:t>
            </w:r>
          </w:p>
        </w:tc>
        <w:tc>
          <w:tcPr>
            <w:tcW w:w="1535"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91.245 </w:t>
            </w:r>
          </w:p>
        </w:tc>
        <w:tc>
          <w:tcPr>
            <w:tcW w:w="13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122.460</w:t>
            </w:r>
          </w:p>
        </w:tc>
        <w:tc>
          <w:tcPr>
            <w:tcW w:w="140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1.441.219</w:t>
            </w:r>
          </w:p>
        </w:tc>
        <w:tc>
          <w:tcPr>
            <w:tcW w:w="10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11.667</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HR</w:t>
            </w:r>
          </w:p>
        </w:tc>
        <w:tc>
          <w:tcPr>
            <w:tcW w:w="14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365.909</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27.293</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127.895</w:t>
            </w:r>
          </w:p>
        </w:tc>
        <w:tc>
          <w:tcPr>
            <w:tcW w:w="1535"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IT</w:t>
            </w:r>
          </w:p>
        </w:tc>
        <w:tc>
          <w:tcPr>
            <w:tcW w:w="14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2.237.000</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10.261.103</w:t>
            </w:r>
          </w:p>
        </w:tc>
        <w:tc>
          <w:tcPr>
            <w:tcW w:w="1535"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105.737</w:t>
            </w:r>
          </w:p>
        </w:tc>
        <w:tc>
          <w:tcPr>
            <w:tcW w:w="140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1.162.757</w:t>
            </w:r>
          </w:p>
        </w:tc>
        <w:tc>
          <w:tcPr>
            <w:tcW w:w="10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473.387</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CY</w:t>
            </w:r>
          </w:p>
        </w:tc>
        <w:tc>
          <w:tcPr>
            <w:tcW w:w="14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10.463</w:t>
            </w:r>
          </w:p>
        </w:tc>
        <w:tc>
          <w:tcPr>
            <w:tcW w:w="1535"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LV</w:t>
            </w:r>
          </w:p>
        </w:tc>
        <w:tc>
          <w:tcPr>
            <w:tcW w:w="14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692.504</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18.774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124.450</w:t>
            </w:r>
          </w:p>
        </w:tc>
        <w:tc>
          <w:tcPr>
            <w:tcW w:w="1535"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54.657 </w:t>
            </w:r>
          </w:p>
        </w:tc>
        <w:tc>
          <w:tcPr>
            <w:tcW w:w="13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86.477</w:t>
            </w:r>
          </w:p>
        </w:tc>
        <w:tc>
          <w:tcPr>
            <w:tcW w:w="140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17.725</w:t>
            </w:r>
          </w:p>
        </w:tc>
        <w:tc>
          <w:tcPr>
            <w:tcW w:w="10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LT</w:t>
            </w:r>
          </w:p>
        </w:tc>
        <w:tc>
          <w:tcPr>
            <w:tcW w:w="14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344.748</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181.232</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1.932.420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955.507</w:t>
            </w:r>
          </w:p>
        </w:tc>
        <w:tc>
          <w:tcPr>
            <w:tcW w:w="1535"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12.605 </w:t>
            </w:r>
          </w:p>
        </w:tc>
        <w:tc>
          <w:tcPr>
            <w:tcW w:w="13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LU</w:t>
            </w:r>
          </w:p>
        </w:tc>
        <w:tc>
          <w:tcPr>
            <w:tcW w:w="14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111.376</w:t>
            </w:r>
          </w:p>
        </w:tc>
        <w:tc>
          <w:tcPr>
            <w:tcW w:w="1535"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HU</w:t>
            </w:r>
          </w:p>
        </w:tc>
        <w:tc>
          <w:tcPr>
            <w:tcW w:w="14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26.502</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3.376.732</w:t>
            </w:r>
          </w:p>
        </w:tc>
        <w:tc>
          <w:tcPr>
            <w:tcW w:w="1535"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62.611</w:t>
            </w:r>
          </w:p>
        </w:tc>
        <w:tc>
          <w:tcPr>
            <w:tcW w:w="10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MT</w:t>
            </w:r>
          </w:p>
        </w:tc>
        <w:tc>
          <w:tcPr>
            <w:tcW w:w="14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35"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NL</w:t>
            </w:r>
          </w:p>
        </w:tc>
        <w:tc>
          <w:tcPr>
            <w:tcW w:w="14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1.754.117</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746.491</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89.901.987</w:t>
            </w:r>
          </w:p>
        </w:tc>
        <w:tc>
          <w:tcPr>
            <w:tcW w:w="1535"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325.039 </w:t>
            </w:r>
          </w:p>
        </w:tc>
        <w:tc>
          <w:tcPr>
            <w:tcW w:w="13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1.515.590</w:t>
            </w:r>
          </w:p>
        </w:tc>
        <w:tc>
          <w:tcPr>
            <w:tcW w:w="140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3.325.421</w:t>
            </w:r>
          </w:p>
        </w:tc>
        <w:tc>
          <w:tcPr>
            <w:tcW w:w="10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187.275</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AT</w:t>
            </w:r>
          </w:p>
        </w:tc>
        <w:tc>
          <w:tcPr>
            <w:tcW w:w="14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1.048.642</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17.676</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22.632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3.802.211</w:t>
            </w:r>
          </w:p>
        </w:tc>
        <w:tc>
          <w:tcPr>
            <w:tcW w:w="1535"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11.588 </w:t>
            </w:r>
          </w:p>
        </w:tc>
        <w:tc>
          <w:tcPr>
            <w:tcW w:w="13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81.212</w:t>
            </w:r>
          </w:p>
        </w:tc>
        <w:tc>
          <w:tcPr>
            <w:tcW w:w="10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PL</w:t>
            </w:r>
          </w:p>
        </w:tc>
        <w:tc>
          <w:tcPr>
            <w:tcW w:w="14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2.103.889</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496.119</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41.534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7.995.970</w:t>
            </w:r>
          </w:p>
        </w:tc>
        <w:tc>
          <w:tcPr>
            <w:tcW w:w="1535"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41.456</w:t>
            </w:r>
          </w:p>
        </w:tc>
        <w:tc>
          <w:tcPr>
            <w:tcW w:w="10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PT</w:t>
            </w:r>
          </w:p>
        </w:tc>
        <w:tc>
          <w:tcPr>
            <w:tcW w:w="14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1.043.512</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190.466</w:t>
            </w:r>
          </w:p>
        </w:tc>
        <w:tc>
          <w:tcPr>
            <w:tcW w:w="1535"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RO</w:t>
            </w:r>
          </w:p>
        </w:tc>
        <w:tc>
          <w:tcPr>
            <w:tcW w:w="14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183.342</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99.985</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35.741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3.341.576</w:t>
            </w:r>
          </w:p>
        </w:tc>
        <w:tc>
          <w:tcPr>
            <w:tcW w:w="1535"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62.756</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SI</w:t>
            </w:r>
          </w:p>
        </w:tc>
        <w:tc>
          <w:tcPr>
            <w:tcW w:w="14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64.994</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438.273</w:t>
            </w:r>
          </w:p>
        </w:tc>
        <w:tc>
          <w:tcPr>
            <w:tcW w:w="1535"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SK</w:t>
            </w:r>
          </w:p>
        </w:tc>
        <w:tc>
          <w:tcPr>
            <w:tcW w:w="14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15.500</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407.702</w:t>
            </w:r>
          </w:p>
        </w:tc>
        <w:tc>
          <w:tcPr>
            <w:tcW w:w="1535"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9"/>
        </w:trPr>
        <w:tc>
          <w:tcPr>
            <w:tcW w:w="657"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FI</w:t>
            </w:r>
          </w:p>
        </w:tc>
        <w:tc>
          <w:tcPr>
            <w:tcW w:w="14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226.260</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6.919.106</w:t>
            </w:r>
          </w:p>
        </w:tc>
        <w:tc>
          <w:tcPr>
            <w:tcW w:w="1535"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935.764</w:t>
            </w:r>
          </w:p>
        </w:tc>
        <w:tc>
          <w:tcPr>
            <w:tcW w:w="10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170.120</w:t>
            </w:r>
          </w:p>
        </w:tc>
      </w:tr>
      <w:tr>
        <w:trPr>
          <w:trHeight w:val="234"/>
        </w:trPr>
        <w:tc>
          <w:tcPr>
            <w:tcW w:w="657"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SE</w:t>
            </w:r>
          </w:p>
        </w:tc>
        <w:tc>
          <w:tcPr>
            <w:tcW w:w="14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76.914</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8.182.105</w:t>
            </w:r>
          </w:p>
        </w:tc>
        <w:tc>
          <w:tcPr>
            <w:tcW w:w="1535"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39.516 </w:t>
            </w:r>
          </w:p>
        </w:tc>
        <w:tc>
          <w:tcPr>
            <w:tcW w:w="13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312.567</w:t>
            </w:r>
          </w:p>
        </w:tc>
        <w:tc>
          <w:tcPr>
            <w:tcW w:w="140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319.969</w:t>
            </w:r>
          </w:p>
        </w:tc>
        <w:tc>
          <w:tcPr>
            <w:tcW w:w="10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123.183</w:t>
            </w:r>
          </w:p>
        </w:tc>
      </w:tr>
      <w:tr>
        <w:trPr>
          <w:trHeight w:val="225"/>
        </w:trPr>
        <w:tc>
          <w:tcPr>
            <w:tcW w:w="657"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UK</w:t>
            </w:r>
          </w:p>
        </w:tc>
        <w:tc>
          <w:tcPr>
            <w:tcW w:w="14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978.333</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4"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72.925.179</w:t>
            </w:r>
          </w:p>
        </w:tc>
        <w:tc>
          <w:tcPr>
            <w:tcW w:w="1535"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0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12.153.003</w:t>
            </w:r>
          </w:p>
        </w:tc>
        <w:tc>
          <w:tcPr>
            <w:tcW w:w="10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24.911</w:t>
            </w:r>
          </w:p>
        </w:tc>
      </w:tr>
      <w:tr>
        <w:trPr>
          <w:trHeight w:val="324"/>
        </w:trPr>
        <w:tc>
          <w:tcPr>
            <w:tcW w:w="657"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Total   </w:t>
            </w:r>
          </w:p>
        </w:tc>
        <w:tc>
          <w:tcPr>
            <w:tcW w:w="1447"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70.753.306 </w:t>
            </w:r>
          </w:p>
        </w:tc>
        <w:tc>
          <w:tcPr>
            <w:tcW w:w="1228"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3.476.539 </w:t>
            </w:r>
          </w:p>
        </w:tc>
        <w:tc>
          <w:tcPr>
            <w:tcW w:w="1453"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1.528.341 </w:t>
            </w:r>
          </w:p>
        </w:tc>
        <w:tc>
          <w:tcPr>
            <w:tcW w:w="1228"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100.321 </w:t>
            </w:r>
          </w:p>
        </w:tc>
        <w:tc>
          <w:tcPr>
            <w:tcW w:w="1624"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3.895.701 </w:t>
            </w:r>
          </w:p>
        </w:tc>
        <w:tc>
          <w:tcPr>
            <w:tcW w:w="1510"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353.776.980 </w:t>
            </w:r>
          </w:p>
        </w:tc>
        <w:tc>
          <w:tcPr>
            <w:tcW w:w="1535"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1.853.563 </w:t>
            </w:r>
          </w:p>
        </w:tc>
        <w:tc>
          <w:tcPr>
            <w:tcW w:w="1366"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10.838.905 </w:t>
            </w:r>
          </w:p>
        </w:tc>
        <w:tc>
          <w:tcPr>
            <w:tcW w:w="1407"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28.143.540 </w:t>
            </w:r>
          </w:p>
        </w:tc>
        <w:tc>
          <w:tcPr>
            <w:tcW w:w="1006" w:type="dxa"/>
            <w:tcBorders>
              <w:top w:val="nil"/>
              <w:left w:val="nil"/>
              <w:bottom w:val="nil"/>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2.505.475 </w:t>
            </w:r>
          </w:p>
        </w:tc>
      </w:tr>
    </w:tbl>
    <w:p>
      <w:pPr>
        <w:tabs>
          <w:tab w:val="left" w:pos="3261"/>
        </w:tabs>
        <w:spacing w:after="0"/>
        <w:rPr>
          <w:b/>
          <w:noProof/>
        </w:rPr>
      </w:pPr>
      <w:r>
        <w:rPr>
          <w:b/>
          <w:noProof/>
        </w:rPr>
        <w:t>Annex 7</w:t>
      </w:r>
    </w:p>
    <w:tbl>
      <w:tblPr>
        <w:tblW w:w="14920" w:type="dxa"/>
        <w:tblInd w:w="113" w:type="dxa"/>
        <w:tblLook w:val="04A0" w:firstRow="1" w:lastRow="0" w:firstColumn="1" w:lastColumn="0" w:noHBand="0" w:noVBand="1"/>
      </w:tblPr>
      <w:tblGrid>
        <w:gridCol w:w="660"/>
        <w:gridCol w:w="1450"/>
        <w:gridCol w:w="1230"/>
        <w:gridCol w:w="1552"/>
        <w:gridCol w:w="1235"/>
        <w:gridCol w:w="1675"/>
        <w:gridCol w:w="1510"/>
        <w:gridCol w:w="1506"/>
        <w:gridCol w:w="1453"/>
        <w:gridCol w:w="1629"/>
        <w:gridCol w:w="1020"/>
      </w:tblGrid>
      <w:tr>
        <w:trPr>
          <w:trHeight w:val="264"/>
        </w:trPr>
        <w:tc>
          <w:tcPr>
            <w:tcW w:w="660"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pPr>
              <w:spacing w:after="0" w:line="240" w:lineRule="auto"/>
              <w:rPr>
                <w:rFonts w:ascii="Arial" w:eastAsia="Times New Roman" w:hAnsi="Arial" w:cs="Arial"/>
                <w:noProof/>
                <w:color w:val="FFFFFF"/>
                <w:sz w:val="20"/>
                <w:szCs w:val="20"/>
                <w:lang w:eastAsia="en-GB"/>
              </w:rPr>
            </w:pPr>
            <w:r>
              <w:rPr>
                <w:rFonts w:ascii="Arial" w:eastAsia="Times New Roman" w:hAnsi="Arial" w:cs="Arial"/>
                <w:noProof/>
                <w:color w:val="FFFFFF"/>
                <w:sz w:val="20"/>
                <w:szCs w:val="20"/>
                <w:lang w:eastAsia="en-GB"/>
              </w:rPr>
              <w:t> </w:t>
            </w:r>
          </w:p>
        </w:tc>
        <w:tc>
          <w:tcPr>
            <w:tcW w:w="14260" w:type="dxa"/>
            <w:gridSpan w:val="10"/>
            <w:tcBorders>
              <w:top w:val="single" w:sz="4" w:space="0" w:color="FFFFFF"/>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TOR: Customs procedure by number of cases per Member State 2019</w:t>
            </w:r>
          </w:p>
        </w:tc>
      </w:tr>
      <w:tr>
        <w:trPr>
          <w:trHeight w:val="84"/>
        </w:trPr>
        <w:tc>
          <w:tcPr>
            <w:tcW w:w="660" w:type="dxa"/>
            <w:vMerge w:val="restart"/>
            <w:tcBorders>
              <w:top w:val="nil"/>
              <w:left w:val="single" w:sz="4" w:space="0" w:color="FFFFFF"/>
              <w:bottom w:val="single" w:sz="4" w:space="0" w:color="FFFFFF"/>
              <w:right w:val="single" w:sz="4" w:space="0" w:color="FFFFFF"/>
            </w:tcBorders>
            <w:shd w:val="clear" w:color="C0C0C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MS</w:t>
            </w:r>
          </w:p>
        </w:tc>
        <w:tc>
          <w:tcPr>
            <w:tcW w:w="7142" w:type="dxa"/>
            <w:gridSpan w:val="5"/>
            <w:tcBorders>
              <w:top w:val="single" w:sz="4" w:space="0" w:color="FFFFFF"/>
              <w:left w:val="nil"/>
              <w:bottom w:val="single" w:sz="4" w:space="0" w:color="FFFFFF"/>
              <w:right w:val="single" w:sz="4" w:space="0" w:color="FFFFFF"/>
            </w:tcBorders>
            <w:shd w:val="clear" w:color="000000" w:fill="FF8080"/>
            <w:noWrap/>
            <w:vAlign w:val="center"/>
            <w:hideMark/>
          </w:tcPr>
          <w:p>
            <w:pPr>
              <w:spacing w:after="0" w:line="240" w:lineRule="auto"/>
              <w:jc w:val="center"/>
              <w:rPr>
                <w:rFonts w:ascii="Arial" w:eastAsia="Times New Roman" w:hAnsi="Arial" w:cs="Arial"/>
                <w:b/>
                <w:bCs/>
                <w:noProof/>
                <w:color w:val="FFFFFF"/>
                <w:sz w:val="18"/>
                <w:szCs w:val="18"/>
                <w:lang w:eastAsia="en-GB"/>
              </w:rPr>
            </w:pPr>
            <w:r>
              <w:rPr>
                <w:rFonts w:ascii="Arial" w:eastAsia="Times New Roman" w:hAnsi="Arial" w:cs="Arial"/>
                <w:b/>
                <w:bCs/>
                <w:noProof/>
                <w:color w:val="FFFFFF"/>
                <w:sz w:val="18"/>
                <w:szCs w:val="18"/>
                <w:lang w:eastAsia="en-GB"/>
              </w:rPr>
              <w:t>Fraudulent</w:t>
            </w:r>
          </w:p>
        </w:tc>
        <w:tc>
          <w:tcPr>
            <w:tcW w:w="7118" w:type="dxa"/>
            <w:gridSpan w:val="5"/>
            <w:tcBorders>
              <w:top w:val="single" w:sz="4" w:space="0" w:color="FFFFFF"/>
              <w:left w:val="nil"/>
              <w:bottom w:val="single" w:sz="4" w:space="0" w:color="FFFFFF"/>
              <w:right w:val="single" w:sz="4" w:space="0" w:color="FFFFFF"/>
            </w:tcBorders>
            <w:shd w:val="clear" w:color="000000" w:fill="FF8080"/>
            <w:noWrap/>
            <w:vAlign w:val="center"/>
            <w:hideMark/>
          </w:tcPr>
          <w:p>
            <w:pPr>
              <w:spacing w:after="0" w:line="240" w:lineRule="auto"/>
              <w:jc w:val="center"/>
              <w:rPr>
                <w:rFonts w:ascii="Arial" w:eastAsia="Times New Roman" w:hAnsi="Arial" w:cs="Arial"/>
                <w:b/>
                <w:bCs/>
                <w:noProof/>
                <w:color w:val="FFFFFF"/>
                <w:sz w:val="18"/>
                <w:szCs w:val="18"/>
                <w:lang w:eastAsia="en-GB"/>
              </w:rPr>
            </w:pPr>
            <w:r>
              <w:rPr>
                <w:rFonts w:ascii="Arial" w:eastAsia="Times New Roman" w:hAnsi="Arial" w:cs="Arial"/>
                <w:b/>
                <w:bCs/>
                <w:noProof/>
                <w:color w:val="FFFFFF"/>
                <w:sz w:val="18"/>
                <w:szCs w:val="18"/>
                <w:lang w:eastAsia="en-GB"/>
              </w:rPr>
              <w:t>Non-fraudulent</w:t>
            </w:r>
          </w:p>
        </w:tc>
      </w:tr>
      <w:tr>
        <w:trPr>
          <w:trHeight w:val="355"/>
        </w:trPr>
        <w:tc>
          <w:tcPr>
            <w:tcW w:w="660" w:type="dxa"/>
            <w:vMerge/>
            <w:tcBorders>
              <w:top w:val="nil"/>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1450"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Release for free circulation</w:t>
            </w:r>
          </w:p>
        </w:tc>
        <w:tc>
          <w:tcPr>
            <w:tcW w:w="1230"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Transit</w:t>
            </w:r>
          </w:p>
        </w:tc>
        <w:tc>
          <w:tcPr>
            <w:tcW w:w="1552"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Customs warehousing</w:t>
            </w:r>
          </w:p>
        </w:tc>
        <w:tc>
          <w:tcPr>
            <w:tcW w:w="1235"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Inward processing</w:t>
            </w:r>
          </w:p>
        </w:tc>
        <w:tc>
          <w:tcPr>
            <w:tcW w:w="1675"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Other</w:t>
            </w:r>
          </w:p>
        </w:tc>
        <w:tc>
          <w:tcPr>
            <w:tcW w:w="1510"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Release for free circulation</w:t>
            </w:r>
          </w:p>
        </w:tc>
        <w:tc>
          <w:tcPr>
            <w:tcW w:w="1506"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Transit</w:t>
            </w:r>
          </w:p>
        </w:tc>
        <w:tc>
          <w:tcPr>
            <w:tcW w:w="1453"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Customs warehousing</w:t>
            </w:r>
          </w:p>
        </w:tc>
        <w:tc>
          <w:tcPr>
            <w:tcW w:w="1629"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Inward processing</w:t>
            </w:r>
          </w:p>
        </w:tc>
        <w:tc>
          <w:tcPr>
            <w:tcW w:w="1020"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Other</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BE</w:t>
            </w:r>
          </w:p>
        </w:tc>
        <w:tc>
          <w:tcPr>
            <w:tcW w:w="145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102</w:t>
            </w:r>
          </w:p>
        </w:tc>
        <w:tc>
          <w:tcPr>
            <w:tcW w:w="123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552"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139</w:t>
            </w:r>
          </w:p>
        </w:tc>
        <w:tc>
          <w:tcPr>
            <w:tcW w:w="15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102</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62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020"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6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BG</w:t>
            </w:r>
          </w:p>
        </w:tc>
        <w:tc>
          <w:tcPr>
            <w:tcW w:w="145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3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552"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20"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CZ</w:t>
            </w:r>
          </w:p>
        </w:tc>
        <w:tc>
          <w:tcPr>
            <w:tcW w:w="145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51</w:t>
            </w:r>
          </w:p>
        </w:tc>
        <w:tc>
          <w:tcPr>
            <w:tcW w:w="15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20"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DK</w:t>
            </w:r>
          </w:p>
        </w:tc>
        <w:tc>
          <w:tcPr>
            <w:tcW w:w="145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3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55</w:t>
            </w:r>
          </w:p>
        </w:tc>
        <w:tc>
          <w:tcPr>
            <w:tcW w:w="15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62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020"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DE</w:t>
            </w:r>
          </w:p>
        </w:tc>
        <w:tc>
          <w:tcPr>
            <w:tcW w:w="145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61</w:t>
            </w:r>
          </w:p>
        </w:tc>
        <w:tc>
          <w:tcPr>
            <w:tcW w:w="123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1.293</w:t>
            </w:r>
          </w:p>
        </w:tc>
        <w:tc>
          <w:tcPr>
            <w:tcW w:w="15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31</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87</w:t>
            </w:r>
          </w:p>
        </w:tc>
        <w:tc>
          <w:tcPr>
            <w:tcW w:w="162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39</w:t>
            </w:r>
          </w:p>
        </w:tc>
        <w:tc>
          <w:tcPr>
            <w:tcW w:w="1020"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20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EE</w:t>
            </w:r>
          </w:p>
        </w:tc>
        <w:tc>
          <w:tcPr>
            <w:tcW w:w="145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3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5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20"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IE</w:t>
            </w:r>
          </w:p>
        </w:tc>
        <w:tc>
          <w:tcPr>
            <w:tcW w:w="145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w:t>
            </w:r>
          </w:p>
        </w:tc>
        <w:tc>
          <w:tcPr>
            <w:tcW w:w="15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62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020"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EL</w:t>
            </w:r>
          </w:p>
        </w:tc>
        <w:tc>
          <w:tcPr>
            <w:tcW w:w="145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23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33</w:t>
            </w:r>
          </w:p>
        </w:tc>
        <w:tc>
          <w:tcPr>
            <w:tcW w:w="15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62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20"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ES</w:t>
            </w:r>
          </w:p>
        </w:tc>
        <w:tc>
          <w:tcPr>
            <w:tcW w:w="145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29</w:t>
            </w:r>
          </w:p>
        </w:tc>
        <w:tc>
          <w:tcPr>
            <w:tcW w:w="123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254</w:t>
            </w:r>
          </w:p>
        </w:tc>
        <w:tc>
          <w:tcPr>
            <w:tcW w:w="15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62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25</w:t>
            </w:r>
          </w:p>
        </w:tc>
        <w:tc>
          <w:tcPr>
            <w:tcW w:w="1020"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FR</w:t>
            </w:r>
          </w:p>
        </w:tc>
        <w:tc>
          <w:tcPr>
            <w:tcW w:w="145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33</w:t>
            </w:r>
          </w:p>
        </w:tc>
        <w:tc>
          <w:tcPr>
            <w:tcW w:w="123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552"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675"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8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217</w:t>
            </w:r>
          </w:p>
        </w:tc>
        <w:tc>
          <w:tcPr>
            <w:tcW w:w="15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62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1020"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HR</w:t>
            </w:r>
          </w:p>
        </w:tc>
        <w:tc>
          <w:tcPr>
            <w:tcW w:w="145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3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552"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5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20"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IT</w:t>
            </w:r>
          </w:p>
        </w:tc>
        <w:tc>
          <w:tcPr>
            <w:tcW w:w="145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29</w:t>
            </w:r>
          </w:p>
        </w:tc>
        <w:tc>
          <w:tcPr>
            <w:tcW w:w="123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121</w:t>
            </w:r>
          </w:p>
        </w:tc>
        <w:tc>
          <w:tcPr>
            <w:tcW w:w="15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62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w:t>
            </w:r>
          </w:p>
        </w:tc>
        <w:tc>
          <w:tcPr>
            <w:tcW w:w="1020"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CY</w:t>
            </w:r>
          </w:p>
        </w:tc>
        <w:tc>
          <w:tcPr>
            <w:tcW w:w="145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5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20"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LV</w:t>
            </w:r>
          </w:p>
        </w:tc>
        <w:tc>
          <w:tcPr>
            <w:tcW w:w="145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w:t>
            </w:r>
          </w:p>
        </w:tc>
        <w:tc>
          <w:tcPr>
            <w:tcW w:w="123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5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62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020"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LT</w:t>
            </w:r>
          </w:p>
        </w:tc>
        <w:tc>
          <w:tcPr>
            <w:tcW w:w="145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552"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13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5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20"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LU</w:t>
            </w:r>
          </w:p>
        </w:tc>
        <w:tc>
          <w:tcPr>
            <w:tcW w:w="145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5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20"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HU</w:t>
            </w:r>
          </w:p>
        </w:tc>
        <w:tc>
          <w:tcPr>
            <w:tcW w:w="145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3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50</w:t>
            </w:r>
          </w:p>
        </w:tc>
        <w:tc>
          <w:tcPr>
            <w:tcW w:w="15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020"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MT</w:t>
            </w:r>
          </w:p>
        </w:tc>
        <w:tc>
          <w:tcPr>
            <w:tcW w:w="145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20"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NL</w:t>
            </w:r>
          </w:p>
        </w:tc>
        <w:tc>
          <w:tcPr>
            <w:tcW w:w="145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23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283</w:t>
            </w:r>
          </w:p>
        </w:tc>
        <w:tc>
          <w:tcPr>
            <w:tcW w:w="15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62</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34</w:t>
            </w:r>
          </w:p>
        </w:tc>
        <w:tc>
          <w:tcPr>
            <w:tcW w:w="162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15</w:t>
            </w:r>
          </w:p>
        </w:tc>
        <w:tc>
          <w:tcPr>
            <w:tcW w:w="1020"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6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AT</w:t>
            </w:r>
          </w:p>
        </w:tc>
        <w:tc>
          <w:tcPr>
            <w:tcW w:w="145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23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552"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36</w:t>
            </w:r>
          </w:p>
        </w:tc>
        <w:tc>
          <w:tcPr>
            <w:tcW w:w="15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020"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PL</w:t>
            </w:r>
          </w:p>
        </w:tc>
        <w:tc>
          <w:tcPr>
            <w:tcW w:w="145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16</w:t>
            </w:r>
          </w:p>
        </w:tc>
        <w:tc>
          <w:tcPr>
            <w:tcW w:w="123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w:t>
            </w:r>
          </w:p>
        </w:tc>
        <w:tc>
          <w:tcPr>
            <w:tcW w:w="1552"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112</w:t>
            </w:r>
          </w:p>
        </w:tc>
        <w:tc>
          <w:tcPr>
            <w:tcW w:w="15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020"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PT</w:t>
            </w:r>
          </w:p>
        </w:tc>
        <w:tc>
          <w:tcPr>
            <w:tcW w:w="145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23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5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20"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RO</w:t>
            </w:r>
          </w:p>
        </w:tc>
        <w:tc>
          <w:tcPr>
            <w:tcW w:w="145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23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50</w:t>
            </w:r>
          </w:p>
        </w:tc>
        <w:tc>
          <w:tcPr>
            <w:tcW w:w="15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20"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SI</w:t>
            </w:r>
          </w:p>
        </w:tc>
        <w:tc>
          <w:tcPr>
            <w:tcW w:w="145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3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w:t>
            </w:r>
          </w:p>
        </w:tc>
        <w:tc>
          <w:tcPr>
            <w:tcW w:w="15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20"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SK</w:t>
            </w:r>
          </w:p>
        </w:tc>
        <w:tc>
          <w:tcPr>
            <w:tcW w:w="145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552"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5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20"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FI</w:t>
            </w:r>
          </w:p>
        </w:tc>
        <w:tc>
          <w:tcPr>
            <w:tcW w:w="145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23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45</w:t>
            </w:r>
          </w:p>
        </w:tc>
        <w:tc>
          <w:tcPr>
            <w:tcW w:w="15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020"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 </w:t>
            </w:r>
          </w:p>
        </w:tc>
      </w:tr>
      <w:tr>
        <w:trPr>
          <w:trHeight w:val="255"/>
        </w:trPr>
        <w:tc>
          <w:tcPr>
            <w:tcW w:w="66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SE</w:t>
            </w:r>
          </w:p>
        </w:tc>
        <w:tc>
          <w:tcPr>
            <w:tcW w:w="145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3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165</w:t>
            </w:r>
          </w:p>
        </w:tc>
        <w:tc>
          <w:tcPr>
            <w:tcW w:w="15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45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62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020"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r>
      <w:tr>
        <w:trPr>
          <w:trHeight w:val="240"/>
        </w:trPr>
        <w:tc>
          <w:tcPr>
            <w:tcW w:w="66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UK</w:t>
            </w:r>
          </w:p>
        </w:tc>
        <w:tc>
          <w:tcPr>
            <w:tcW w:w="145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29</w:t>
            </w:r>
          </w:p>
        </w:tc>
        <w:tc>
          <w:tcPr>
            <w:tcW w:w="123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52"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75"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5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695</w:t>
            </w:r>
          </w:p>
        </w:tc>
        <w:tc>
          <w:tcPr>
            <w:tcW w:w="15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2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60</w:t>
            </w:r>
          </w:p>
        </w:tc>
        <w:tc>
          <w:tcPr>
            <w:tcW w:w="1020"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r>
      <w:tr>
        <w:trPr>
          <w:trHeight w:val="320"/>
        </w:trPr>
        <w:tc>
          <w:tcPr>
            <w:tcW w:w="660" w:type="dxa"/>
            <w:tcBorders>
              <w:top w:val="nil"/>
              <w:left w:val="single" w:sz="4" w:space="0" w:color="FFFFFF"/>
              <w:bottom w:val="single" w:sz="4" w:space="0" w:color="FFFFFF"/>
              <w:right w:val="single" w:sz="4" w:space="0" w:color="FFFFFF"/>
            </w:tcBorders>
            <w:shd w:val="clear" w:color="00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Total</w:t>
            </w:r>
          </w:p>
        </w:tc>
        <w:tc>
          <w:tcPr>
            <w:tcW w:w="145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351</w:t>
            </w:r>
          </w:p>
        </w:tc>
        <w:tc>
          <w:tcPr>
            <w:tcW w:w="123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24</w:t>
            </w:r>
          </w:p>
        </w:tc>
        <w:tc>
          <w:tcPr>
            <w:tcW w:w="1552"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8</w:t>
            </w:r>
          </w:p>
        </w:tc>
        <w:tc>
          <w:tcPr>
            <w:tcW w:w="1235"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3</w:t>
            </w:r>
          </w:p>
        </w:tc>
        <w:tc>
          <w:tcPr>
            <w:tcW w:w="1675"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39</w:t>
            </w:r>
          </w:p>
        </w:tc>
        <w:tc>
          <w:tcPr>
            <w:tcW w:w="151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3.657</w:t>
            </w:r>
          </w:p>
        </w:tc>
        <w:tc>
          <w:tcPr>
            <w:tcW w:w="1506"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207</w:t>
            </w:r>
          </w:p>
        </w:tc>
        <w:tc>
          <w:tcPr>
            <w:tcW w:w="145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146</w:t>
            </w:r>
          </w:p>
        </w:tc>
        <w:tc>
          <w:tcPr>
            <w:tcW w:w="1629"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183</w:t>
            </w:r>
          </w:p>
        </w:tc>
        <w:tc>
          <w:tcPr>
            <w:tcW w:w="102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44</w:t>
            </w:r>
          </w:p>
        </w:tc>
      </w:tr>
    </w:tbl>
    <w:p>
      <w:pPr>
        <w:tabs>
          <w:tab w:val="left" w:pos="3261"/>
        </w:tabs>
        <w:spacing w:after="0"/>
        <w:rPr>
          <w:b/>
          <w:noProof/>
        </w:rPr>
        <w:sectPr>
          <w:headerReference w:type="even" r:id="rId167"/>
          <w:headerReference w:type="default" r:id="rId168"/>
          <w:footerReference w:type="even" r:id="rId169"/>
          <w:footerReference w:type="default" r:id="rId170"/>
          <w:headerReference w:type="first" r:id="rId171"/>
          <w:footerReference w:type="first" r:id="rId172"/>
          <w:pgSz w:w="16838" w:h="11906" w:orient="landscape"/>
          <w:pgMar w:top="1440" w:right="1440" w:bottom="1440" w:left="1440" w:header="709" w:footer="709" w:gutter="0"/>
          <w:cols w:space="708"/>
          <w:docGrid w:linePitch="360"/>
        </w:sectPr>
      </w:pPr>
    </w:p>
    <w:p>
      <w:pPr>
        <w:tabs>
          <w:tab w:val="left" w:pos="3261"/>
        </w:tabs>
        <w:spacing w:after="0"/>
        <w:ind w:left="142"/>
        <w:rPr>
          <w:b/>
          <w:noProof/>
        </w:rPr>
      </w:pPr>
      <w:r>
        <w:rPr>
          <w:b/>
          <w:noProof/>
        </w:rPr>
        <w:t>Annex 8</w:t>
      </w:r>
    </w:p>
    <w:p>
      <w:pPr>
        <w:tabs>
          <w:tab w:val="left" w:pos="3261"/>
        </w:tabs>
        <w:spacing w:after="0"/>
        <w:ind w:left="142"/>
        <w:rPr>
          <w:b/>
          <w:noProof/>
        </w:rPr>
      </w:pPr>
    </w:p>
    <w:tbl>
      <w:tblPr>
        <w:tblW w:w="16001" w:type="dxa"/>
        <w:tblInd w:w="-1017" w:type="dxa"/>
        <w:tblLook w:val="04A0" w:firstRow="1" w:lastRow="0" w:firstColumn="1" w:lastColumn="0" w:noHBand="0" w:noVBand="1"/>
      </w:tblPr>
      <w:tblGrid>
        <w:gridCol w:w="599"/>
        <w:gridCol w:w="1106"/>
        <w:gridCol w:w="1017"/>
        <w:gridCol w:w="928"/>
        <w:gridCol w:w="1017"/>
        <w:gridCol w:w="1106"/>
        <w:gridCol w:w="928"/>
        <w:gridCol w:w="1008"/>
        <w:gridCol w:w="928"/>
        <w:gridCol w:w="9"/>
        <w:gridCol w:w="1097"/>
        <w:gridCol w:w="1017"/>
        <w:gridCol w:w="1106"/>
        <w:gridCol w:w="1106"/>
        <w:gridCol w:w="1017"/>
        <w:gridCol w:w="1017"/>
        <w:gridCol w:w="981"/>
        <w:gridCol w:w="14"/>
      </w:tblGrid>
      <w:tr>
        <w:trPr>
          <w:trHeight w:val="275"/>
        </w:trPr>
        <w:tc>
          <w:tcPr>
            <w:tcW w:w="599"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sz w:val="20"/>
                <w:szCs w:val="20"/>
                <w:lang w:eastAsia="en-GB"/>
              </w:rPr>
            </w:pPr>
            <w:bookmarkStart w:id="271" w:name="RANGE!A1:P32"/>
            <w:bookmarkEnd w:id="271"/>
          </w:p>
        </w:tc>
        <w:tc>
          <w:tcPr>
            <w:tcW w:w="15402" w:type="dxa"/>
            <w:gridSpan w:val="17"/>
            <w:tcBorders>
              <w:top w:val="nil"/>
              <w:left w:val="single" w:sz="4" w:space="0" w:color="FFFFFF"/>
              <w:bottom w:val="nil"/>
              <w:right w:val="nil"/>
            </w:tcBorders>
            <w:shd w:val="clear" w:color="C0C0C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TOR: Method of detection by established and estimated amounts per Member state 2019 (EUR)</w:t>
            </w:r>
          </w:p>
        </w:tc>
      </w:tr>
      <w:tr>
        <w:trPr>
          <w:trHeight w:val="236"/>
        </w:trPr>
        <w:tc>
          <w:tcPr>
            <w:tcW w:w="599" w:type="dxa"/>
            <w:vMerge w:val="restart"/>
            <w:tcBorders>
              <w:top w:val="single" w:sz="4" w:space="0" w:color="FFFFFF"/>
              <w:left w:val="single" w:sz="4" w:space="0" w:color="FFFFFF"/>
              <w:bottom w:val="single" w:sz="4" w:space="0" w:color="FFFFFF"/>
              <w:right w:val="single" w:sz="4" w:space="0" w:color="FFFFFF"/>
            </w:tcBorders>
            <w:shd w:val="clear" w:color="C0C0C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MS</w:t>
            </w:r>
          </w:p>
        </w:tc>
        <w:tc>
          <w:tcPr>
            <w:tcW w:w="1106" w:type="dxa"/>
            <w:vMerge w:val="restart"/>
            <w:tcBorders>
              <w:top w:val="single" w:sz="4" w:space="0" w:color="FFFFFF"/>
              <w:left w:val="single" w:sz="4" w:space="0" w:color="FFFFFF"/>
              <w:bottom w:val="single" w:sz="4" w:space="0" w:color="FFFFFF"/>
              <w:right w:val="single" w:sz="4" w:space="0" w:color="FFFFFF"/>
            </w:tcBorders>
            <w:shd w:val="clear" w:color="C0C0C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Total EUR</w:t>
            </w:r>
          </w:p>
        </w:tc>
        <w:tc>
          <w:tcPr>
            <w:tcW w:w="6941" w:type="dxa"/>
            <w:gridSpan w:val="8"/>
            <w:tcBorders>
              <w:top w:val="single" w:sz="4" w:space="0" w:color="FFFFFF"/>
              <w:left w:val="nil"/>
              <w:bottom w:val="single" w:sz="4" w:space="0" w:color="FFFFFF"/>
              <w:right w:val="single" w:sz="4" w:space="0" w:color="FFFFFF"/>
            </w:tcBorders>
            <w:shd w:val="clear" w:color="000000" w:fill="FF8080"/>
            <w:noWrap/>
            <w:vAlign w:val="center"/>
            <w:hideMark/>
          </w:tcPr>
          <w:p>
            <w:pPr>
              <w:spacing w:after="0" w:line="240" w:lineRule="auto"/>
              <w:jc w:val="center"/>
              <w:rPr>
                <w:rFonts w:ascii="Arial" w:eastAsia="Times New Roman" w:hAnsi="Arial" w:cs="Arial"/>
                <w:b/>
                <w:bCs/>
                <w:noProof/>
                <w:color w:val="FFFFFF"/>
                <w:sz w:val="18"/>
                <w:szCs w:val="18"/>
                <w:lang w:eastAsia="en-GB"/>
              </w:rPr>
            </w:pPr>
            <w:r>
              <w:rPr>
                <w:rFonts w:ascii="Arial" w:eastAsia="Times New Roman" w:hAnsi="Arial" w:cs="Arial"/>
                <w:b/>
                <w:bCs/>
                <w:noProof/>
                <w:color w:val="FFFFFF"/>
                <w:sz w:val="18"/>
                <w:szCs w:val="18"/>
                <w:lang w:eastAsia="en-GB"/>
              </w:rPr>
              <w:t>Fraudulent</w:t>
            </w:r>
          </w:p>
        </w:tc>
        <w:tc>
          <w:tcPr>
            <w:tcW w:w="7355" w:type="dxa"/>
            <w:gridSpan w:val="8"/>
            <w:tcBorders>
              <w:top w:val="single" w:sz="4" w:space="0" w:color="FFFFFF"/>
              <w:left w:val="nil"/>
              <w:bottom w:val="single" w:sz="4" w:space="0" w:color="FFFFFF"/>
              <w:right w:val="single" w:sz="4" w:space="0" w:color="FFFFFF"/>
            </w:tcBorders>
            <w:shd w:val="clear" w:color="000000" w:fill="FF8080"/>
            <w:noWrap/>
            <w:vAlign w:val="center"/>
            <w:hideMark/>
          </w:tcPr>
          <w:p>
            <w:pPr>
              <w:spacing w:after="0" w:line="240" w:lineRule="auto"/>
              <w:jc w:val="center"/>
              <w:rPr>
                <w:rFonts w:ascii="Arial" w:eastAsia="Times New Roman" w:hAnsi="Arial" w:cs="Arial"/>
                <w:b/>
                <w:bCs/>
                <w:noProof/>
                <w:color w:val="FFFFFF"/>
                <w:sz w:val="18"/>
                <w:szCs w:val="18"/>
                <w:lang w:eastAsia="en-GB"/>
              </w:rPr>
            </w:pPr>
            <w:r>
              <w:rPr>
                <w:rFonts w:ascii="Arial" w:eastAsia="Times New Roman" w:hAnsi="Arial" w:cs="Arial"/>
                <w:b/>
                <w:bCs/>
                <w:noProof/>
                <w:color w:val="FFFFFF"/>
                <w:sz w:val="18"/>
                <w:szCs w:val="18"/>
                <w:lang w:eastAsia="en-GB"/>
              </w:rPr>
              <w:t>Non-fraudulent</w:t>
            </w:r>
          </w:p>
        </w:tc>
      </w:tr>
      <w:tr>
        <w:trPr>
          <w:gridAfter w:val="1"/>
          <w:wAfter w:w="14" w:type="dxa"/>
          <w:trHeight w:val="643"/>
        </w:trPr>
        <w:tc>
          <w:tcPr>
            <w:tcW w:w="599" w:type="dxa"/>
            <w:vMerge/>
            <w:tcBorders>
              <w:top w:val="single" w:sz="4" w:space="0" w:color="FFFFFF"/>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1106" w:type="dxa"/>
            <w:vMerge/>
            <w:tcBorders>
              <w:top w:val="single" w:sz="4" w:space="0" w:color="FFFFFF"/>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1017"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All</w:t>
            </w:r>
          </w:p>
        </w:tc>
        <w:tc>
          <w:tcPr>
            <w:tcW w:w="928"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Release controls</w:t>
            </w:r>
          </w:p>
        </w:tc>
        <w:tc>
          <w:tcPr>
            <w:tcW w:w="1017"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Post-release controls</w:t>
            </w:r>
          </w:p>
        </w:tc>
        <w:tc>
          <w:tcPr>
            <w:tcW w:w="1106"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Inspections by anti-fraud services</w:t>
            </w:r>
          </w:p>
        </w:tc>
        <w:tc>
          <w:tcPr>
            <w:tcW w:w="928"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Tax audit</w:t>
            </w:r>
          </w:p>
        </w:tc>
        <w:tc>
          <w:tcPr>
            <w:tcW w:w="1008"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Voluntary admission</w:t>
            </w:r>
          </w:p>
        </w:tc>
        <w:tc>
          <w:tcPr>
            <w:tcW w:w="928"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Other</w:t>
            </w:r>
          </w:p>
        </w:tc>
        <w:tc>
          <w:tcPr>
            <w:tcW w:w="1106" w:type="dxa"/>
            <w:gridSpan w:val="2"/>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All</w:t>
            </w:r>
          </w:p>
        </w:tc>
        <w:tc>
          <w:tcPr>
            <w:tcW w:w="1017"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Release controls</w:t>
            </w:r>
          </w:p>
        </w:tc>
        <w:tc>
          <w:tcPr>
            <w:tcW w:w="1106"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Post-release controls</w:t>
            </w:r>
          </w:p>
        </w:tc>
        <w:tc>
          <w:tcPr>
            <w:tcW w:w="1106"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Inspections by anti-fraud services</w:t>
            </w:r>
          </w:p>
        </w:tc>
        <w:tc>
          <w:tcPr>
            <w:tcW w:w="1017"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Tax audit</w:t>
            </w:r>
          </w:p>
        </w:tc>
        <w:tc>
          <w:tcPr>
            <w:tcW w:w="1017"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Voluntary admission</w:t>
            </w:r>
          </w:p>
        </w:tc>
        <w:tc>
          <w:tcPr>
            <w:tcW w:w="981"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Other</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BE</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34.476.843</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21.483.133</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626.413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10.778.006 </w:t>
            </w:r>
          </w:p>
        </w:tc>
        <w:tc>
          <w:tcPr>
            <w:tcW w:w="1106"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10.047.986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30.729 </w:t>
            </w:r>
          </w:p>
        </w:tc>
        <w:tc>
          <w:tcPr>
            <w:tcW w:w="110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12.993.710</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2.145.793</w:t>
            </w:r>
          </w:p>
        </w:tc>
        <w:tc>
          <w:tcPr>
            <w:tcW w:w="11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2.813.828 </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171.281</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140.475</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108.894</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7.613.439</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BG</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653.686</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653.686</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550.584 </w:t>
            </w:r>
          </w:p>
        </w:tc>
        <w:tc>
          <w:tcPr>
            <w:tcW w:w="1106"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103.102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CZ</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4.320.263</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4.320.263</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34.647</w:t>
            </w:r>
          </w:p>
        </w:tc>
        <w:tc>
          <w:tcPr>
            <w:tcW w:w="11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3.059.124 </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1.226.492</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DK</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3.381.308</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145.933</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145.933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3.235.375</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1.328.740</w:t>
            </w:r>
          </w:p>
        </w:tc>
        <w:tc>
          <w:tcPr>
            <w:tcW w:w="11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1.147.659 </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160.264</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92.632</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506.079</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DE</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131.840.156</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31.138.965</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53.374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74.935 </w:t>
            </w:r>
          </w:p>
        </w:tc>
        <w:tc>
          <w:tcPr>
            <w:tcW w:w="1106"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30.096.023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870.809 </w:t>
            </w:r>
          </w:p>
        </w:tc>
        <w:tc>
          <w:tcPr>
            <w:tcW w:w="1008"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31.022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12.801 </w:t>
            </w:r>
          </w:p>
        </w:tc>
        <w:tc>
          <w:tcPr>
            <w:tcW w:w="110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100.701.191</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1.946.042</w:t>
            </w:r>
          </w:p>
        </w:tc>
        <w:tc>
          <w:tcPr>
            <w:tcW w:w="11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38.559.516 </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498.957</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42.135.798</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17.046.021</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514.858</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EE</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605.861</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505.284</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476.648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28.636 </w:t>
            </w:r>
          </w:p>
        </w:tc>
        <w:tc>
          <w:tcPr>
            <w:tcW w:w="1106"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100.577</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100.577 </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IE</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1.418.200</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291.422</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291.422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1.126.778</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136.458</w:t>
            </w:r>
          </w:p>
        </w:tc>
        <w:tc>
          <w:tcPr>
            <w:tcW w:w="11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361.318 </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13.676</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349.009</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266.317</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EL</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3.556.214</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1.966.743</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57.620 </w:t>
            </w:r>
          </w:p>
        </w:tc>
        <w:tc>
          <w:tcPr>
            <w:tcW w:w="1106"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27.212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1.881.911 </w:t>
            </w:r>
          </w:p>
        </w:tc>
        <w:tc>
          <w:tcPr>
            <w:tcW w:w="110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1.589.471</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123.241</w:t>
            </w:r>
          </w:p>
        </w:tc>
        <w:tc>
          <w:tcPr>
            <w:tcW w:w="11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866.684 </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599.546</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ES</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26.014.963</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2.527.014</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17.351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18.035 </w:t>
            </w:r>
          </w:p>
        </w:tc>
        <w:tc>
          <w:tcPr>
            <w:tcW w:w="1106"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2.197.762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293.866 </w:t>
            </w:r>
          </w:p>
        </w:tc>
        <w:tc>
          <w:tcPr>
            <w:tcW w:w="1008"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23.487.949</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7.172.441</w:t>
            </w:r>
          </w:p>
        </w:tc>
        <w:tc>
          <w:tcPr>
            <w:tcW w:w="11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1.402.570 </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895.386</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9.517.751</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4.424.381</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75.420</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FR</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25.145.687</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6.259.966</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1.321.830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823.403 </w:t>
            </w:r>
          </w:p>
        </w:tc>
        <w:tc>
          <w:tcPr>
            <w:tcW w:w="1106"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4.114.733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18.885.721</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2.659.558</w:t>
            </w:r>
          </w:p>
        </w:tc>
        <w:tc>
          <w:tcPr>
            <w:tcW w:w="11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9.576.547 </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5.686.147</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963.469</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HR</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521.097</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393.202</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27.293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365.909 </w:t>
            </w:r>
          </w:p>
        </w:tc>
        <w:tc>
          <w:tcPr>
            <w:tcW w:w="1106"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127.895</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26.154</w:t>
            </w:r>
          </w:p>
        </w:tc>
        <w:tc>
          <w:tcPr>
            <w:tcW w:w="11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101.741 </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IT</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14.239.984</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2.237.000</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13.416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586.294 </w:t>
            </w:r>
          </w:p>
        </w:tc>
        <w:tc>
          <w:tcPr>
            <w:tcW w:w="1106"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1.389.225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186.315 </w:t>
            </w:r>
          </w:p>
        </w:tc>
        <w:tc>
          <w:tcPr>
            <w:tcW w:w="1008"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61.750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12.002.984</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2.074.694</w:t>
            </w:r>
          </w:p>
        </w:tc>
        <w:tc>
          <w:tcPr>
            <w:tcW w:w="11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7.468.233 </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2.318.819</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141.238</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CY</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10.463</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10.463</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10.463</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LV</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994.587</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711.278</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647.032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64.246 </w:t>
            </w:r>
          </w:p>
        </w:tc>
        <w:tc>
          <w:tcPr>
            <w:tcW w:w="1106"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283.309</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175.924 </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86.477</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20.907</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LT</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3.426.512</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2.458.400</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2.458.400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968.112</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106.560</w:t>
            </w:r>
          </w:p>
        </w:tc>
        <w:tc>
          <w:tcPr>
            <w:tcW w:w="11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861.552 </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LU</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111.376</w:t>
            </w:r>
          </w:p>
        </w:tc>
        <w:tc>
          <w:tcPr>
            <w:tcW w:w="11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HU</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3.465.845</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26.502</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26.502 </w:t>
            </w:r>
          </w:p>
        </w:tc>
        <w:tc>
          <w:tcPr>
            <w:tcW w:w="1106"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3.439.343</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295.390</w:t>
            </w:r>
          </w:p>
        </w:tc>
        <w:tc>
          <w:tcPr>
            <w:tcW w:w="11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3.143.953 </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MT</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NL</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97.755.920</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2.500.608</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54.140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2.421.467 </w:t>
            </w:r>
          </w:p>
        </w:tc>
        <w:tc>
          <w:tcPr>
            <w:tcW w:w="1106"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25.001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95.255.312</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5.937.877</w:t>
            </w:r>
          </w:p>
        </w:tc>
        <w:tc>
          <w:tcPr>
            <w:tcW w:w="11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84.674.889 </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4.642.546</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AT</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4.983.961</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1.088.949</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57.392 </w:t>
            </w:r>
          </w:p>
        </w:tc>
        <w:tc>
          <w:tcPr>
            <w:tcW w:w="1106"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1.031.557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3.895.011</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11.588</w:t>
            </w:r>
          </w:p>
        </w:tc>
        <w:tc>
          <w:tcPr>
            <w:tcW w:w="11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764.390 </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2.746.973</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254.861</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117.199</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PL</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10.678.969</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2.641.543</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1.506.254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873.792 </w:t>
            </w:r>
          </w:p>
        </w:tc>
        <w:tc>
          <w:tcPr>
            <w:tcW w:w="1106"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38.816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222.681 </w:t>
            </w:r>
          </w:p>
        </w:tc>
        <w:tc>
          <w:tcPr>
            <w:tcW w:w="110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8.037.427</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652.619</w:t>
            </w:r>
          </w:p>
        </w:tc>
        <w:tc>
          <w:tcPr>
            <w:tcW w:w="11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7.090.597 </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196.824</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97.387</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PT</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1.233.978</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1.043.512</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943.987 </w:t>
            </w:r>
          </w:p>
        </w:tc>
        <w:tc>
          <w:tcPr>
            <w:tcW w:w="1106"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99.524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190.466</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19.630 </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170.836</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RO</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3.723.400</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319.069</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99.985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219.084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3.404.332</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3.404.332</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SI</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503.267</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64.994</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64.994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438.273</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11.315</w:t>
            </w:r>
          </w:p>
        </w:tc>
        <w:tc>
          <w:tcPr>
            <w:tcW w:w="11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426.958 </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SK</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423.202</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15.500</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15.500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407.702</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334.475 </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30.050</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43.178</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FI</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8.251.250</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226.260</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226.260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8.024.990</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6.228.879</w:t>
            </w:r>
          </w:p>
        </w:tc>
        <w:tc>
          <w:tcPr>
            <w:tcW w:w="11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913.196 </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882.915</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23"/>
        </w:trPr>
        <w:tc>
          <w:tcPr>
            <w:tcW w:w="59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SE</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9.054.254</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76.914</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76.914 </w:t>
            </w:r>
          </w:p>
        </w:tc>
        <w:tc>
          <w:tcPr>
            <w:tcW w:w="1106"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8.977.340</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174.064</w:t>
            </w:r>
          </w:p>
        </w:tc>
        <w:tc>
          <w:tcPr>
            <w:tcW w:w="11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5.970.806 </w:t>
            </w:r>
          </w:p>
        </w:tc>
        <w:tc>
          <w:tcPr>
            <w:tcW w:w="11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1.803.098</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1.029.373</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10"/>
        </w:trPr>
        <w:tc>
          <w:tcPr>
            <w:tcW w:w="59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UK</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86.081.426</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978.333</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978.333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08"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06" w:type="dxa"/>
            <w:gridSpan w:val="2"/>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85.103.093</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26.972</w:t>
            </w:r>
          </w:p>
        </w:tc>
        <w:tc>
          <w:tcPr>
            <w:tcW w:w="11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58.211.234 </w:t>
            </w:r>
          </w:p>
        </w:tc>
        <w:tc>
          <w:tcPr>
            <w:tcW w:w="11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right"/>
              <w:rPr>
                <w:rFonts w:ascii="Arial" w:eastAsia="Times New Roman" w:hAnsi="Arial" w:cs="Arial"/>
                <w:noProof/>
                <w:sz w:val="16"/>
                <w:szCs w:val="16"/>
                <w:lang w:eastAsia="en-GB"/>
              </w:rPr>
            </w:pPr>
            <w:r>
              <w:rPr>
                <w:rFonts w:ascii="Arial" w:eastAsia="Times New Roman" w:hAnsi="Arial" w:cs="Arial"/>
                <w:noProof/>
                <w:sz w:val="16"/>
                <w:szCs w:val="16"/>
                <w:lang w:eastAsia="en-GB"/>
              </w:rPr>
              <w:t>26.864.888</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14" w:type="dxa"/>
          <w:trHeight w:val="210"/>
        </w:trPr>
        <w:tc>
          <w:tcPr>
            <w:tcW w:w="599" w:type="dxa"/>
            <w:tcBorders>
              <w:top w:val="nil"/>
              <w:left w:val="single" w:sz="4" w:space="0" w:color="FFFFFF"/>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Total</w:t>
            </w:r>
          </w:p>
        </w:tc>
        <w:tc>
          <w:tcPr>
            <w:tcW w:w="1106"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476.872.672</w:t>
            </w:r>
          </w:p>
        </w:tc>
        <w:tc>
          <w:tcPr>
            <w:tcW w:w="101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79.754.209</w:t>
            </w:r>
          </w:p>
        </w:tc>
        <w:tc>
          <w:tcPr>
            <w:tcW w:w="928"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6.209.761</w:t>
            </w:r>
          </w:p>
        </w:tc>
        <w:tc>
          <w:tcPr>
            <w:tcW w:w="101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17.747.723</w:t>
            </w:r>
          </w:p>
        </w:tc>
        <w:tc>
          <w:tcPr>
            <w:tcW w:w="1106"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52.179.840</w:t>
            </w:r>
          </w:p>
        </w:tc>
        <w:tc>
          <w:tcPr>
            <w:tcW w:w="928"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1.350.990</w:t>
            </w:r>
          </w:p>
        </w:tc>
        <w:tc>
          <w:tcPr>
            <w:tcW w:w="1008"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117.773</w:t>
            </w:r>
          </w:p>
        </w:tc>
        <w:tc>
          <w:tcPr>
            <w:tcW w:w="928"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2.148.122</w:t>
            </w:r>
          </w:p>
        </w:tc>
        <w:tc>
          <w:tcPr>
            <w:tcW w:w="1106" w:type="dxa"/>
            <w:gridSpan w:val="2"/>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397.118.464</w:t>
            </w:r>
          </w:p>
        </w:tc>
        <w:tc>
          <w:tcPr>
            <w:tcW w:w="101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31.204.409</w:t>
            </w:r>
          </w:p>
        </w:tc>
        <w:tc>
          <w:tcPr>
            <w:tcW w:w="1106"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228.045.400</w:t>
            </w:r>
          </w:p>
        </w:tc>
        <w:tc>
          <w:tcPr>
            <w:tcW w:w="1106"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18.535.924</w:t>
            </w:r>
          </w:p>
        </w:tc>
        <w:tc>
          <w:tcPr>
            <w:tcW w:w="101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52.389.775</w:t>
            </w:r>
          </w:p>
        </w:tc>
        <w:tc>
          <w:tcPr>
            <w:tcW w:w="101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58.105.498</w:t>
            </w:r>
          </w:p>
        </w:tc>
        <w:tc>
          <w:tcPr>
            <w:tcW w:w="981"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8.837.458</w:t>
            </w:r>
          </w:p>
        </w:tc>
      </w:tr>
    </w:tbl>
    <w:p>
      <w:pPr>
        <w:tabs>
          <w:tab w:val="left" w:pos="3261"/>
        </w:tabs>
        <w:spacing w:after="0"/>
        <w:rPr>
          <w:b/>
          <w:noProof/>
        </w:rPr>
        <w:sectPr>
          <w:headerReference w:type="even" r:id="rId173"/>
          <w:headerReference w:type="default" r:id="rId174"/>
          <w:footerReference w:type="even" r:id="rId175"/>
          <w:footerReference w:type="default" r:id="rId176"/>
          <w:headerReference w:type="first" r:id="rId177"/>
          <w:footerReference w:type="first" r:id="rId178"/>
          <w:pgSz w:w="16838" w:h="11906" w:orient="landscape"/>
          <w:pgMar w:top="1440" w:right="1440" w:bottom="1440" w:left="1440" w:header="709" w:footer="709" w:gutter="0"/>
          <w:cols w:space="708"/>
          <w:docGrid w:linePitch="360"/>
        </w:sectPr>
      </w:pPr>
    </w:p>
    <w:p>
      <w:pPr>
        <w:tabs>
          <w:tab w:val="left" w:pos="3261"/>
        </w:tabs>
        <w:spacing w:after="0"/>
        <w:rPr>
          <w:b/>
          <w:noProof/>
        </w:rPr>
      </w:pPr>
      <w:r>
        <w:rPr>
          <w:b/>
          <w:noProof/>
        </w:rPr>
        <w:t>Annex 9</w:t>
      </w:r>
    </w:p>
    <w:tbl>
      <w:tblPr>
        <w:tblW w:w="15135" w:type="dxa"/>
        <w:tblInd w:w="108" w:type="dxa"/>
        <w:tblLook w:val="04A0" w:firstRow="1" w:lastRow="0" w:firstColumn="1" w:lastColumn="0" w:noHBand="0" w:noVBand="1"/>
      </w:tblPr>
      <w:tblGrid>
        <w:gridCol w:w="740"/>
        <w:gridCol w:w="619"/>
        <w:gridCol w:w="703"/>
        <w:gridCol w:w="981"/>
        <w:gridCol w:w="1110"/>
        <w:gridCol w:w="1202"/>
        <w:gridCol w:w="906"/>
        <w:gridCol w:w="1011"/>
        <w:gridCol w:w="669"/>
        <w:gridCol w:w="906"/>
        <w:gridCol w:w="1128"/>
        <w:gridCol w:w="1110"/>
        <w:gridCol w:w="1147"/>
        <w:gridCol w:w="944"/>
        <w:gridCol w:w="1011"/>
        <w:gridCol w:w="944"/>
        <w:gridCol w:w="6"/>
      </w:tblGrid>
      <w:tr>
        <w:trPr>
          <w:trHeight w:val="274"/>
        </w:trPr>
        <w:tc>
          <w:tcPr>
            <w:tcW w:w="740"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sz w:val="20"/>
                <w:szCs w:val="20"/>
                <w:lang w:eastAsia="en-GB"/>
              </w:rPr>
            </w:pPr>
          </w:p>
        </w:tc>
        <w:tc>
          <w:tcPr>
            <w:tcW w:w="14395" w:type="dxa"/>
            <w:gridSpan w:val="16"/>
            <w:tcBorders>
              <w:top w:val="nil"/>
              <w:left w:val="single" w:sz="4" w:space="0" w:color="FFFFFF"/>
              <w:bottom w:val="single" w:sz="4" w:space="0" w:color="FFFFFF"/>
              <w:right w:val="nil"/>
            </w:tcBorders>
            <w:shd w:val="clear" w:color="C0C0C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TOR: Method of detection by number of cases per Member State 2019</w:t>
            </w:r>
          </w:p>
        </w:tc>
      </w:tr>
      <w:tr>
        <w:trPr>
          <w:trHeight w:val="212"/>
        </w:trPr>
        <w:tc>
          <w:tcPr>
            <w:tcW w:w="740" w:type="dxa"/>
            <w:vMerge w:val="restart"/>
            <w:tcBorders>
              <w:top w:val="single" w:sz="4" w:space="0" w:color="FFFFFF"/>
              <w:left w:val="single" w:sz="4" w:space="0" w:color="FFFFFF"/>
              <w:bottom w:val="single" w:sz="4" w:space="0" w:color="FFFFFF"/>
              <w:right w:val="single" w:sz="4" w:space="0" w:color="FFFFFF"/>
            </w:tcBorders>
            <w:shd w:val="clear" w:color="C0C0C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MS</w:t>
            </w:r>
          </w:p>
        </w:tc>
        <w:tc>
          <w:tcPr>
            <w:tcW w:w="619" w:type="dxa"/>
            <w:vMerge w:val="restart"/>
            <w:tcBorders>
              <w:top w:val="nil"/>
              <w:left w:val="single" w:sz="4" w:space="0" w:color="FFFFFF"/>
              <w:bottom w:val="single" w:sz="4" w:space="0" w:color="FFFFFF"/>
              <w:right w:val="single" w:sz="4" w:space="0" w:color="FFFFFF"/>
            </w:tcBorders>
            <w:shd w:val="clear" w:color="C0C0C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w:t>
            </w:r>
          </w:p>
        </w:tc>
        <w:tc>
          <w:tcPr>
            <w:tcW w:w="6582" w:type="dxa"/>
            <w:gridSpan w:val="7"/>
            <w:tcBorders>
              <w:top w:val="single" w:sz="4" w:space="0" w:color="FFFFFF"/>
              <w:left w:val="nil"/>
              <w:bottom w:val="single" w:sz="4" w:space="0" w:color="FFFFFF"/>
              <w:right w:val="single" w:sz="4" w:space="0" w:color="FFFFFF"/>
            </w:tcBorders>
            <w:shd w:val="clear" w:color="000000" w:fill="FF8080"/>
            <w:noWrap/>
            <w:vAlign w:val="center"/>
            <w:hideMark/>
          </w:tcPr>
          <w:p>
            <w:pPr>
              <w:spacing w:after="0" w:line="240" w:lineRule="auto"/>
              <w:jc w:val="center"/>
              <w:rPr>
                <w:rFonts w:ascii="Arial" w:eastAsia="Times New Roman" w:hAnsi="Arial" w:cs="Arial"/>
                <w:b/>
                <w:bCs/>
                <w:noProof/>
                <w:color w:val="FFFFFF"/>
                <w:sz w:val="18"/>
                <w:szCs w:val="18"/>
                <w:lang w:eastAsia="en-GB"/>
              </w:rPr>
            </w:pPr>
            <w:r>
              <w:rPr>
                <w:rFonts w:ascii="Arial" w:eastAsia="Times New Roman" w:hAnsi="Arial" w:cs="Arial"/>
                <w:b/>
                <w:bCs/>
                <w:noProof/>
                <w:color w:val="FFFFFF"/>
                <w:sz w:val="18"/>
                <w:szCs w:val="18"/>
                <w:lang w:eastAsia="en-GB"/>
              </w:rPr>
              <w:t>Fraudulent</w:t>
            </w:r>
          </w:p>
        </w:tc>
        <w:tc>
          <w:tcPr>
            <w:tcW w:w="7193" w:type="dxa"/>
            <w:gridSpan w:val="8"/>
            <w:tcBorders>
              <w:top w:val="single" w:sz="4" w:space="0" w:color="FFFFFF"/>
              <w:left w:val="nil"/>
              <w:bottom w:val="single" w:sz="4" w:space="0" w:color="FFFFFF"/>
              <w:right w:val="single" w:sz="4" w:space="0" w:color="FFFFFF"/>
            </w:tcBorders>
            <w:shd w:val="clear" w:color="000000" w:fill="FF8080"/>
            <w:noWrap/>
            <w:vAlign w:val="center"/>
            <w:hideMark/>
          </w:tcPr>
          <w:p>
            <w:pPr>
              <w:spacing w:after="0" w:line="240" w:lineRule="auto"/>
              <w:jc w:val="center"/>
              <w:rPr>
                <w:rFonts w:ascii="Arial" w:eastAsia="Times New Roman" w:hAnsi="Arial" w:cs="Arial"/>
                <w:b/>
                <w:bCs/>
                <w:noProof/>
                <w:color w:val="FFFFFF"/>
                <w:sz w:val="18"/>
                <w:szCs w:val="18"/>
                <w:lang w:eastAsia="en-GB"/>
              </w:rPr>
            </w:pPr>
            <w:r>
              <w:rPr>
                <w:rFonts w:ascii="Arial" w:eastAsia="Times New Roman" w:hAnsi="Arial" w:cs="Arial"/>
                <w:b/>
                <w:bCs/>
                <w:noProof/>
                <w:color w:val="FFFFFF"/>
                <w:sz w:val="18"/>
                <w:szCs w:val="18"/>
                <w:lang w:eastAsia="en-GB"/>
              </w:rPr>
              <w:t>Non-fraudulent</w:t>
            </w:r>
          </w:p>
        </w:tc>
      </w:tr>
      <w:tr>
        <w:trPr>
          <w:gridAfter w:val="1"/>
          <w:wAfter w:w="7" w:type="dxa"/>
          <w:trHeight w:val="767"/>
        </w:trPr>
        <w:tc>
          <w:tcPr>
            <w:tcW w:w="740" w:type="dxa"/>
            <w:vMerge/>
            <w:tcBorders>
              <w:top w:val="single" w:sz="4" w:space="0" w:color="FFFFFF"/>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619" w:type="dxa"/>
            <w:vMerge/>
            <w:tcBorders>
              <w:top w:val="nil"/>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703"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All</w:t>
            </w:r>
          </w:p>
        </w:tc>
        <w:tc>
          <w:tcPr>
            <w:tcW w:w="981"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Release controls</w:t>
            </w:r>
          </w:p>
        </w:tc>
        <w:tc>
          <w:tcPr>
            <w:tcW w:w="1110"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Post-release controls</w:t>
            </w:r>
          </w:p>
        </w:tc>
        <w:tc>
          <w:tcPr>
            <w:tcW w:w="1202"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Inspections by anti-fraud services</w:t>
            </w:r>
          </w:p>
        </w:tc>
        <w:tc>
          <w:tcPr>
            <w:tcW w:w="906"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Tax audit</w:t>
            </w:r>
          </w:p>
        </w:tc>
        <w:tc>
          <w:tcPr>
            <w:tcW w:w="1011"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Voluntary admission</w:t>
            </w:r>
          </w:p>
        </w:tc>
        <w:tc>
          <w:tcPr>
            <w:tcW w:w="666"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Other</w:t>
            </w:r>
          </w:p>
        </w:tc>
        <w:tc>
          <w:tcPr>
            <w:tcW w:w="906"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All</w:t>
            </w:r>
          </w:p>
        </w:tc>
        <w:tc>
          <w:tcPr>
            <w:tcW w:w="1128"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Release controls</w:t>
            </w:r>
          </w:p>
        </w:tc>
        <w:tc>
          <w:tcPr>
            <w:tcW w:w="1110"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Post-release controls</w:t>
            </w:r>
          </w:p>
        </w:tc>
        <w:tc>
          <w:tcPr>
            <w:tcW w:w="1147"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Inspections by anti-fraud services</w:t>
            </w:r>
          </w:p>
        </w:tc>
        <w:tc>
          <w:tcPr>
            <w:tcW w:w="944"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Tax audit</w:t>
            </w:r>
          </w:p>
        </w:tc>
        <w:tc>
          <w:tcPr>
            <w:tcW w:w="1011"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Voluntary admission</w:t>
            </w:r>
          </w:p>
        </w:tc>
        <w:tc>
          <w:tcPr>
            <w:tcW w:w="944" w:type="dxa"/>
            <w:tcBorders>
              <w:top w:val="nil"/>
              <w:left w:val="nil"/>
              <w:bottom w:val="single" w:sz="4" w:space="0" w:color="FFFFFF"/>
              <w:right w:val="single" w:sz="4" w:space="0" w:color="FFFFFF"/>
            </w:tcBorders>
            <w:shd w:val="clear" w:color="C0C0C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Other</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BE</w:t>
            </w:r>
          </w:p>
        </w:tc>
        <w:tc>
          <w:tcPr>
            <w:tcW w:w="61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372</w:t>
            </w:r>
          </w:p>
        </w:tc>
        <w:tc>
          <w:tcPr>
            <w:tcW w:w="70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112</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1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65</w:t>
            </w:r>
          </w:p>
        </w:tc>
        <w:tc>
          <w:tcPr>
            <w:tcW w:w="1202"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37</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260</w:t>
            </w:r>
          </w:p>
        </w:tc>
        <w:tc>
          <w:tcPr>
            <w:tcW w:w="11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92</w:t>
            </w:r>
          </w:p>
        </w:tc>
        <w:tc>
          <w:tcPr>
            <w:tcW w:w="111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144</w:t>
            </w:r>
          </w:p>
        </w:tc>
        <w:tc>
          <w:tcPr>
            <w:tcW w:w="11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01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BG</w:t>
            </w:r>
          </w:p>
        </w:tc>
        <w:tc>
          <w:tcPr>
            <w:tcW w:w="61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70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02"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11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CZ</w:t>
            </w:r>
          </w:p>
        </w:tc>
        <w:tc>
          <w:tcPr>
            <w:tcW w:w="61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51</w:t>
            </w:r>
          </w:p>
        </w:tc>
        <w:tc>
          <w:tcPr>
            <w:tcW w:w="70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2"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51</w:t>
            </w:r>
          </w:p>
        </w:tc>
        <w:tc>
          <w:tcPr>
            <w:tcW w:w="11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1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35</w:t>
            </w:r>
          </w:p>
        </w:tc>
        <w:tc>
          <w:tcPr>
            <w:tcW w:w="11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15</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DK</w:t>
            </w:r>
          </w:p>
        </w:tc>
        <w:tc>
          <w:tcPr>
            <w:tcW w:w="61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66</w:t>
            </w:r>
          </w:p>
        </w:tc>
        <w:tc>
          <w:tcPr>
            <w:tcW w:w="70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1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2"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64</w:t>
            </w:r>
          </w:p>
        </w:tc>
        <w:tc>
          <w:tcPr>
            <w:tcW w:w="11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29</w:t>
            </w:r>
          </w:p>
        </w:tc>
        <w:tc>
          <w:tcPr>
            <w:tcW w:w="111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22</w:t>
            </w:r>
          </w:p>
        </w:tc>
        <w:tc>
          <w:tcPr>
            <w:tcW w:w="11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01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DE</w:t>
            </w:r>
          </w:p>
        </w:tc>
        <w:tc>
          <w:tcPr>
            <w:tcW w:w="61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1.532</w:t>
            </w:r>
          </w:p>
        </w:tc>
        <w:tc>
          <w:tcPr>
            <w:tcW w:w="70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62</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202"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53</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01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6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1.470</w:t>
            </w:r>
          </w:p>
        </w:tc>
        <w:tc>
          <w:tcPr>
            <w:tcW w:w="11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81</w:t>
            </w:r>
          </w:p>
        </w:tc>
        <w:tc>
          <w:tcPr>
            <w:tcW w:w="111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692</w:t>
            </w:r>
          </w:p>
        </w:tc>
        <w:tc>
          <w:tcPr>
            <w:tcW w:w="11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236</w:t>
            </w:r>
          </w:p>
        </w:tc>
        <w:tc>
          <w:tcPr>
            <w:tcW w:w="101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428</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23</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EE</w:t>
            </w:r>
          </w:p>
        </w:tc>
        <w:tc>
          <w:tcPr>
            <w:tcW w:w="61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70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1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02"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1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1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IE</w:t>
            </w:r>
          </w:p>
        </w:tc>
        <w:tc>
          <w:tcPr>
            <w:tcW w:w="61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20</w:t>
            </w:r>
          </w:p>
        </w:tc>
        <w:tc>
          <w:tcPr>
            <w:tcW w:w="70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2"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16</w:t>
            </w:r>
          </w:p>
        </w:tc>
        <w:tc>
          <w:tcPr>
            <w:tcW w:w="11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11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1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01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EL</w:t>
            </w:r>
          </w:p>
        </w:tc>
        <w:tc>
          <w:tcPr>
            <w:tcW w:w="61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45</w:t>
            </w:r>
          </w:p>
        </w:tc>
        <w:tc>
          <w:tcPr>
            <w:tcW w:w="70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202"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34</w:t>
            </w:r>
          </w:p>
        </w:tc>
        <w:tc>
          <w:tcPr>
            <w:tcW w:w="11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11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1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25</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ES</w:t>
            </w:r>
          </w:p>
        </w:tc>
        <w:tc>
          <w:tcPr>
            <w:tcW w:w="61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311</w:t>
            </w:r>
          </w:p>
        </w:tc>
        <w:tc>
          <w:tcPr>
            <w:tcW w:w="70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29</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02"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21</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01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282</w:t>
            </w:r>
          </w:p>
        </w:tc>
        <w:tc>
          <w:tcPr>
            <w:tcW w:w="11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101</w:t>
            </w:r>
          </w:p>
        </w:tc>
        <w:tc>
          <w:tcPr>
            <w:tcW w:w="111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43</w:t>
            </w:r>
          </w:p>
        </w:tc>
        <w:tc>
          <w:tcPr>
            <w:tcW w:w="11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18</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83</w:t>
            </w:r>
          </w:p>
        </w:tc>
        <w:tc>
          <w:tcPr>
            <w:tcW w:w="101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34</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FR</w:t>
            </w:r>
          </w:p>
        </w:tc>
        <w:tc>
          <w:tcPr>
            <w:tcW w:w="61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285</w:t>
            </w:r>
          </w:p>
        </w:tc>
        <w:tc>
          <w:tcPr>
            <w:tcW w:w="70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49</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21</w:t>
            </w:r>
          </w:p>
        </w:tc>
        <w:tc>
          <w:tcPr>
            <w:tcW w:w="11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14</w:t>
            </w:r>
          </w:p>
        </w:tc>
        <w:tc>
          <w:tcPr>
            <w:tcW w:w="1202"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14</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236</w:t>
            </w:r>
          </w:p>
        </w:tc>
        <w:tc>
          <w:tcPr>
            <w:tcW w:w="11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63</w:t>
            </w:r>
          </w:p>
        </w:tc>
        <w:tc>
          <w:tcPr>
            <w:tcW w:w="111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81</w:t>
            </w:r>
          </w:p>
        </w:tc>
        <w:tc>
          <w:tcPr>
            <w:tcW w:w="11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60</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32</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HR</w:t>
            </w:r>
          </w:p>
        </w:tc>
        <w:tc>
          <w:tcPr>
            <w:tcW w:w="61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w:t>
            </w:r>
          </w:p>
        </w:tc>
        <w:tc>
          <w:tcPr>
            <w:tcW w:w="70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02"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1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11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1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IT</w:t>
            </w:r>
          </w:p>
        </w:tc>
        <w:tc>
          <w:tcPr>
            <w:tcW w:w="61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160</w:t>
            </w:r>
          </w:p>
        </w:tc>
        <w:tc>
          <w:tcPr>
            <w:tcW w:w="70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29</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1202"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17</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01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6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131</w:t>
            </w:r>
          </w:p>
        </w:tc>
        <w:tc>
          <w:tcPr>
            <w:tcW w:w="11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22</w:t>
            </w:r>
          </w:p>
        </w:tc>
        <w:tc>
          <w:tcPr>
            <w:tcW w:w="111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77</w:t>
            </w:r>
          </w:p>
        </w:tc>
        <w:tc>
          <w:tcPr>
            <w:tcW w:w="11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29</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CY</w:t>
            </w:r>
          </w:p>
        </w:tc>
        <w:tc>
          <w:tcPr>
            <w:tcW w:w="61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70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2"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LV</w:t>
            </w:r>
          </w:p>
        </w:tc>
        <w:tc>
          <w:tcPr>
            <w:tcW w:w="61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24</w:t>
            </w:r>
          </w:p>
        </w:tc>
        <w:tc>
          <w:tcPr>
            <w:tcW w:w="70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14</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w:t>
            </w:r>
          </w:p>
        </w:tc>
        <w:tc>
          <w:tcPr>
            <w:tcW w:w="11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202"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11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w:t>
            </w:r>
          </w:p>
        </w:tc>
        <w:tc>
          <w:tcPr>
            <w:tcW w:w="11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01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LT</w:t>
            </w:r>
          </w:p>
        </w:tc>
        <w:tc>
          <w:tcPr>
            <w:tcW w:w="61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27</w:t>
            </w:r>
          </w:p>
        </w:tc>
        <w:tc>
          <w:tcPr>
            <w:tcW w:w="70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17</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2"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17</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11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1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w:t>
            </w:r>
          </w:p>
        </w:tc>
        <w:tc>
          <w:tcPr>
            <w:tcW w:w="11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LU</w:t>
            </w:r>
          </w:p>
        </w:tc>
        <w:tc>
          <w:tcPr>
            <w:tcW w:w="61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70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2"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1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HU</w:t>
            </w:r>
          </w:p>
        </w:tc>
        <w:tc>
          <w:tcPr>
            <w:tcW w:w="61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54</w:t>
            </w:r>
          </w:p>
        </w:tc>
        <w:tc>
          <w:tcPr>
            <w:tcW w:w="70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02"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53</w:t>
            </w:r>
          </w:p>
        </w:tc>
        <w:tc>
          <w:tcPr>
            <w:tcW w:w="11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w:t>
            </w:r>
          </w:p>
        </w:tc>
        <w:tc>
          <w:tcPr>
            <w:tcW w:w="111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42</w:t>
            </w:r>
          </w:p>
        </w:tc>
        <w:tc>
          <w:tcPr>
            <w:tcW w:w="11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MT</w:t>
            </w:r>
          </w:p>
        </w:tc>
        <w:tc>
          <w:tcPr>
            <w:tcW w:w="61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70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2"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11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NL</w:t>
            </w:r>
          </w:p>
        </w:tc>
        <w:tc>
          <w:tcPr>
            <w:tcW w:w="61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407</w:t>
            </w:r>
          </w:p>
        </w:tc>
        <w:tc>
          <w:tcPr>
            <w:tcW w:w="70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1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202"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6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400</w:t>
            </w:r>
          </w:p>
        </w:tc>
        <w:tc>
          <w:tcPr>
            <w:tcW w:w="11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135</w:t>
            </w:r>
          </w:p>
        </w:tc>
        <w:tc>
          <w:tcPr>
            <w:tcW w:w="111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194</w:t>
            </w:r>
          </w:p>
        </w:tc>
        <w:tc>
          <w:tcPr>
            <w:tcW w:w="11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71</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AT</w:t>
            </w:r>
          </w:p>
        </w:tc>
        <w:tc>
          <w:tcPr>
            <w:tcW w:w="61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47</w:t>
            </w:r>
          </w:p>
        </w:tc>
        <w:tc>
          <w:tcPr>
            <w:tcW w:w="70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202"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41</w:t>
            </w:r>
          </w:p>
        </w:tc>
        <w:tc>
          <w:tcPr>
            <w:tcW w:w="11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1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25</w:t>
            </w:r>
          </w:p>
        </w:tc>
        <w:tc>
          <w:tcPr>
            <w:tcW w:w="11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PL</w:t>
            </w:r>
          </w:p>
        </w:tc>
        <w:tc>
          <w:tcPr>
            <w:tcW w:w="61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140</w:t>
            </w:r>
          </w:p>
        </w:tc>
        <w:tc>
          <w:tcPr>
            <w:tcW w:w="70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26</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w:t>
            </w:r>
          </w:p>
        </w:tc>
        <w:tc>
          <w:tcPr>
            <w:tcW w:w="11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1202"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114</w:t>
            </w:r>
          </w:p>
        </w:tc>
        <w:tc>
          <w:tcPr>
            <w:tcW w:w="11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32</w:t>
            </w:r>
          </w:p>
        </w:tc>
        <w:tc>
          <w:tcPr>
            <w:tcW w:w="111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77</w:t>
            </w:r>
          </w:p>
        </w:tc>
        <w:tc>
          <w:tcPr>
            <w:tcW w:w="11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PT</w:t>
            </w:r>
          </w:p>
        </w:tc>
        <w:tc>
          <w:tcPr>
            <w:tcW w:w="61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w:t>
            </w:r>
          </w:p>
        </w:tc>
        <w:tc>
          <w:tcPr>
            <w:tcW w:w="70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202"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1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RO</w:t>
            </w:r>
          </w:p>
        </w:tc>
        <w:tc>
          <w:tcPr>
            <w:tcW w:w="61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57</w:t>
            </w:r>
          </w:p>
        </w:tc>
        <w:tc>
          <w:tcPr>
            <w:tcW w:w="70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2"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52</w:t>
            </w:r>
          </w:p>
        </w:tc>
        <w:tc>
          <w:tcPr>
            <w:tcW w:w="11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52</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SI</w:t>
            </w:r>
          </w:p>
        </w:tc>
        <w:tc>
          <w:tcPr>
            <w:tcW w:w="61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w:t>
            </w:r>
          </w:p>
        </w:tc>
        <w:tc>
          <w:tcPr>
            <w:tcW w:w="70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2"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w:t>
            </w:r>
          </w:p>
        </w:tc>
        <w:tc>
          <w:tcPr>
            <w:tcW w:w="11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1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1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SK</w:t>
            </w:r>
          </w:p>
        </w:tc>
        <w:tc>
          <w:tcPr>
            <w:tcW w:w="61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70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1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2"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w:t>
            </w:r>
          </w:p>
        </w:tc>
        <w:tc>
          <w:tcPr>
            <w:tcW w:w="11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11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FI</w:t>
            </w:r>
          </w:p>
        </w:tc>
        <w:tc>
          <w:tcPr>
            <w:tcW w:w="61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58</w:t>
            </w:r>
          </w:p>
        </w:tc>
        <w:tc>
          <w:tcPr>
            <w:tcW w:w="70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w:t>
            </w:r>
          </w:p>
        </w:tc>
        <w:tc>
          <w:tcPr>
            <w:tcW w:w="11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2"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54</w:t>
            </w:r>
          </w:p>
        </w:tc>
        <w:tc>
          <w:tcPr>
            <w:tcW w:w="11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31</w:t>
            </w:r>
          </w:p>
        </w:tc>
        <w:tc>
          <w:tcPr>
            <w:tcW w:w="111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1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16</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SE</w:t>
            </w:r>
          </w:p>
        </w:tc>
        <w:tc>
          <w:tcPr>
            <w:tcW w:w="61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174</w:t>
            </w:r>
          </w:p>
        </w:tc>
        <w:tc>
          <w:tcPr>
            <w:tcW w:w="703"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98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10"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1202"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173</w:t>
            </w:r>
          </w:p>
        </w:tc>
        <w:tc>
          <w:tcPr>
            <w:tcW w:w="112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1110"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113</w:t>
            </w:r>
          </w:p>
        </w:tc>
        <w:tc>
          <w:tcPr>
            <w:tcW w:w="1147"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14</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39</w:t>
            </w:r>
          </w:p>
        </w:tc>
        <w:tc>
          <w:tcPr>
            <w:tcW w:w="94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37"/>
        </w:trPr>
        <w:tc>
          <w:tcPr>
            <w:tcW w:w="74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UK</w:t>
            </w:r>
          </w:p>
        </w:tc>
        <w:tc>
          <w:tcPr>
            <w:tcW w:w="61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785</w:t>
            </w:r>
          </w:p>
        </w:tc>
        <w:tc>
          <w:tcPr>
            <w:tcW w:w="703"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29</w:t>
            </w:r>
          </w:p>
        </w:tc>
        <w:tc>
          <w:tcPr>
            <w:tcW w:w="98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29</w:t>
            </w:r>
          </w:p>
        </w:tc>
        <w:tc>
          <w:tcPr>
            <w:tcW w:w="1110"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2"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66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0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756</w:t>
            </w:r>
          </w:p>
        </w:tc>
        <w:tc>
          <w:tcPr>
            <w:tcW w:w="112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1110"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472</w:t>
            </w:r>
          </w:p>
        </w:tc>
        <w:tc>
          <w:tcPr>
            <w:tcW w:w="1147"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11"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282</w:t>
            </w:r>
          </w:p>
        </w:tc>
        <w:tc>
          <w:tcPr>
            <w:tcW w:w="94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7" w:type="dxa"/>
          <w:trHeight w:val="242"/>
        </w:trPr>
        <w:tc>
          <w:tcPr>
            <w:tcW w:w="740" w:type="dxa"/>
            <w:tcBorders>
              <w:top w:val="nil"/>
              <w:left w:val="nil"/>
              <w:bottom w:val="nil"/>
              <w:right w:val="nil"/>
            </w:tcBorders>
            <w:shd w:val="clear" w:color="000000" w:fill="993300"/>
            <w:noWrap/>
            <w:vAlign w:val="bottom"/>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Total</w:t>
            </w:r>
          </w:p>
        </w:tc>
        <w:tc>
          <w:tcPr>
            <w:tcW w:w="619" w:type="dxa"/>
            <w:tcBorders>
              <w:top w:val="nil"/>
              <w:left w:val="single" w:sz="4" w:space="0" w:color="FFFFFF"/>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4.662</w:t>
            </w:r>
          </w:p>
        </w:tc>
        <w:tc>
          <w:tcPr>
            <w:tcW w:w="703"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425</w:t>
            </w:r>
          </w:p>
        </w:tc>
        <w:tc>
          <w:tcPr>
            <w:tcW w:w="981"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100</w:t>
            </w:r>
          </w:p>
        </w:tc>
        <w:tc>
          <w:tcPr>
            <w:tcW w:w="111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119</w:t>
            </w:r>
          </w:p>
        </w:tc>
        <w:tc>
          <w:tcPr>
            <w:tcW w:w="1202"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178</w:t>
            </w:r>
          </w:p>
        </w:tc>
        <w:tc>
          <w:tcPr>
            <w:tcW w:w="906"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13</w:t>
            </w:r>
          </w:p>
        </w:tc>
        <w:tc>
          <w:tcPr>
            <w:tcW w:w="1011"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w:t>
            </w:r>
          </w:p>
        </w:tc>
        <w:tc>
          <w:tcPr>
            <w:tcW w:w="666"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11</w:t>
            </w:r>
          </w:p>
        </w:tc>
        <w:tc>
          <w:tcPr>
            <w:tcW w:w="906"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4.237</w:t>
            </w:r>
          </w:p>
        </w:tc>
        <w:tc>
          <w:tcPr>
            <w:tcW w:w="1128"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618</w:t>
            </w:r>
          </w:p>
        </w:tc>
        <w:tc>
          <w:tcPr>
            <w:tcW w:w="1110"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2.069</w:t>
            </w:r>
          </w:p>
        </w:tc>
        <w:tc>
          <w:tcPr>
            <w:tcW w:w="114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228</w:t>
            </w:r>
          </w:p>
        </w:tc>
        <w:tc>
          <w:tcPr>
            <w:tcW w:w="944"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337</w:t>
            </w:r>
          </w:p>
        </w:tc>
        <w:tc>
          <w:tcPr>
            <w:tcW w:w="1011"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937</w:t>
            </w:r>
          </w:p>
        </w:tc>
        <w:tc>
          <w:tcPr>
            <w:tcW w:w="944"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48</w:t>
            </w:r>
          </w:p>
        </w:tc>
      </w:tr>
    </w:tbl>
    <w:p>
      <w:pPr>
        <w:tabs>
          <w:tab w:val="left" w:pos="3261"/>
        </w:tabs>
        <w:spacing w:after="0"/>
        <w:rPr>
          <w:b/>
          <w:noProof/>
        </w:rPr>
        <w:sectPr>
          <w:headerReference w:type="even" r:id="rId179"/>
          <w:headerReference w:type="default" r:id="rId180"/>
          <w:footerReference w:type="even" r:id="rId181"/>
          <w:footerReference w:type="default" r:id="rId182"/>
          <w:headerReference w:type="first" r:id="rId183"/>
          <w:footerReference w:type="first" r:id="rId184"/>
          <w:pgSz w:w="16838" w:h="11906" w:orient="landscape"/>
          <w:pgMar w:top="1440" w:right="1440" w:bottom="1440" w:left="1440" w:header="709" w:footer="709" w:gutter="0"/>
          <w:cols w:space="708"/>
          <w:docGrid w:linePitch="360"/>
        </w:sectPr>
      </w:pPr>
    </w:p>
    <w:p>
      <w:pPr>
        <w:tabs>
          <w:tab w:val="left" w:pos="3261"/>
        </w:tabs>
        <w:spacing w:after="0"/>
        <w:rPr>
          <w:b/>
          <w:noProof/>
        </w:rPr>
      </w:pPr>
      <w:r>
        <w:rPr>
          <w:b/>
          <w:noProof/>
        </w:rPr>
        <w:t>Annex 10</w:t>
      </w:r>
    </w:p>
    <w:tbl>
      <w:tblPr>
        <w:tblW w:w="12557" w:type="dxa"/>
        <w:tblInd w:w="113" w:type="dxa"/>
        <w:tblLook w:val="04A0" w:firstRow="1" w:lastRow="0" w:firstColumn="1" w:lastColumn="0" w:noHBand="0" w:noVBand="1"/>
      </w:tblPr>
      <w:tblGrid>
        <w:gridCol w:w="779"/>
        <w:gridCol w:w="2335"/>
        <w:gridCol w:w="2268"/>
        <w:gridCol w:w="1459"/>
        <w:gridCol w:w="2226"/>
        <w:gridCol w:w="2127"/>
        <w:gridCol w:w="1354"/>
        <w:gridCol w:w="9"/>
      </w:tblGrid>
      <w:tr>
        <w:trPr>
          <w:trHeight w:val="345"/>
        </w:trPr>
        <w:tc>
          <w:tcPr>
            <w:tcW w:w="779" w:type="dxa"/>
            <w:tcBorders>
              <w:top w:val="single" w:sz="4" w:space="0" w:color="FFFFFF"/>
              <w:left w:val="single" w:sz="4" w:space="0" w:color="FFFFFF"/>
              <w:bottom w:val="single" w:sz="4" w:space="0" w:color="FFFFFF"/>
              <w:right w:val="nil"/>
            </w:tcBorders>
            <w:shd w:val="clear" w:color="FF0000" w:fill="FFFFFF"/>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w:t>
            </w:r>
          </w:p>
        </w:tc>
        <w:tc>
          <w:tcPr>
            <w:tcW w:w="11778" w:type="dxa"/>
            <w:gridSpan w:val="7"/>
            <w:tcBorders>
              <w:top w:val="single" w:sz="4" w:space="0" w:color="FFFFFF"/>
              <w:left w:val="single" w:sz="4" w:space="0" w:color="FFFFFF"/>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TOR: Recovery rates (RR) per Member State 2019</w:t>
            </w:r>
          </w:p>
        </w:tc>
      </w:tr>
      <w:tr>
        <w:trPr>
          <w:trHeight w:val="250"/>
        </w:trPr>
        <w:tc>
          <w:tcPr>
            <w:tcW w:w="779" w:type="dxa"/>
            <w:vMerge w:val="restart"/>
            <w:tcBorders>
              <w:top w:val="nil"/>
              <w:left w:val="single" w:sz="4" w:space="0" w:color="FFFFFF"/>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MS</w:t>
            </w:r>
          </w:p>
        </w:tc>
        <w:tc>
          <w:tcPr>
            <w:tcW w:w="6062" w:type="dxa"/>
            <w:gridSpan w:val="3"/>
            <w:tcBorders>
              <w:top w:val="nil"/>
              <w:left w:val="nil"/>
              <w:bottom w:val="single" w:sz="4" w:space="0" w:color="FFFFFF"/>
              <w:right w:val="single" w:sz="4" w:space="0" w:color="FFFFFF"/>
            </w:tcBorders>
            <w:shd w:val="clear" w:color="FF0000" w:fill="FF808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Fraudulent</w:t>
            </w:r>
          </w:p>
        </w:tc>
        <w:tc>
          <w:tcPr>
            <w:tcW w:w="5716" w:type="dxa"/>
            <w:gridSpan w:val="4"/>
            <w:tcBorders>
              <w:top w:val="nil"/>
              <w:left w:val="nil"/>
              <w:bottom w:val="single" w:sz="4" w:space="0" w:color="FFFFFF"/>
              <w:right w:val="single" w:sz="4" w:space="0" w:color="FFFFFF"/>
            </w:tcBorders>
            <w:shd w:val="clear" w:color="FF0000" w:fill="FF808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Non-fraudulent</w:t>
            </w:r>
          </w:p>
        </w:tc>
      </w:tr>
      <w:tr>
        <w:trPr>
          <w:gridAfter w:val="1"/>
          <w:wAfter w:w="9" w:type="dxa"/>
          <w:trHeight w:val="245"/>
        </w:trPr>
        <w:tc>
          <w:tcPr>
            <w:tcW w:w="779" w:type="dxa"/>
            <w:vMerge/>
            <w:tcBorders>
              <w:top w:val="nil"/>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2335"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Established amount, EUR</w:t>
            </w:r>
          </w:p>
        </w:tc>
        <w:tc>
          <w:tcPr>
            <w:tcW w:w="2268"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Recovered amount, EUR</w:t>
            </w:r>
          </w:p>
        </w:tc>
        <w:tc>
          <w:tcPr>
            <w:tcW w:w="1459"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RR, %</w:t>
            </w:r>
          </w:p>
        </w:tc>
        <w:tc>
          <w:tcPr>
            <w:tcW w:w="2226"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Established amount, EUR</w:t>
            </w:r>
          </w:p>
        </w:tc>
        <w:tc>
          <w:tcPr>
            <w:tcW w:w="212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Recovered amount, EUR</w:t>
            </w:r>
          </w:p>
        </w:tc>
        <w:tc>
          <w:tcPr>
            <w:tcW w:w="1354"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RR, %</w:t>
            </w:r>
          </w:p>
        </w:tc>
      </w:tr>
      <w:tr>
        <w:trPr>
          <w:gridAfter w:val="1"/>
          <w:wAfter w:w="9" w:type="dxa"/>
          <w:trHeight w:val="270"/>
        </w:trPr>
        <w:tc>
          <w:tcPr>
            <w:tcW w:w="779" w:type="dxa"/>
            <w:vMerge/>
            <w:tcBorders>
              <w:top w:val="nil"/>
              <w:left w:val="single" w:sz="4" w:space="0" w:color="FFFFFF"/>
              <w:bottom w:val="single" w:sz="4" w:space="0" w:color="FFFFFF"/>
              <w:right w:val="single" w:sz="4" w:space="0" w:color="FFFFFF"/>
            </w:tcBorders>
            <w:vAlign w:val="center"/>
            <w:hideMark/>
          </w:tcPr>
          <w:p>
            <w:pPr>
              <w:spacing w:after="0" w:line="240" w:lineRule="auto"/>
              <w:rPr>
                <w:rFonts w:ascii="Arial" w:eastAsia="Times New Roman" w:hAnsi="Arial" w:cs="Arial"/>
                <w:b/>
                <w:bCs/>
                <w:noProof/>
                <w:color w:val="FFFFFF"/>
                <w:sz w:val="16"/>
                <w:szCs w:val="16"/>
                <w:lang w:eastAsia="en-GB"/>
              </w:rPr>
            </w:pPr>
          </w:p>
        </w:tc>
        <w:tc>
          <w:tcPr>
            <w:tcW w:w="2335"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1</w:t>
            </w:r>
          </w:p>
        </w:tc>
        <w:tc>
          <w:tcPr>
            <w:tcW w:w="2268"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2</w:t>
            </w:r>
          </w:p>
        </w:tc>
        <w:tc>
          <w:tcPr>
            <w:tcW w:w="1459"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3=2/1</w:t>
            </w:r>
          </w:p>
        </w:tc>
        <w:tc>
          <w:tcPr>
            <w:tcW w:w="2226"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4</w:t>
            </w:r>
          </w:p>
        </w:tc>
        <w:tc>
          <w:tcPr>
            <w:tcW w:w="2127"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5</w:t>
            </w:r>
          </w:p>
        </w:tc>
        <w:tc>
          <w:tcPr>
            <w:tcW w:w="1354" w:type="dxa"/>
            <w:tcBorders>
              <w:top w:val="nil"/>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6=5/4</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BE</w:t>
            </w:r>
          </w:p>
        </w:tc>
        <w:tc>
          <w:tcPr>
            <w:tcW w:w="23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19.181.599</w:t>
            </w:r>
          </w:p>
        </w:tc>
        <w:tc>
          <w:tcPr>
            <w:tcW w:w="226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11.636.369</w:t>
            </w:r>
          </w:p>
        </w:tc>
        <w:tc>
          <w:tcPr>
            <w:tcW w:w="145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61%</w:t>
            </w:r>
          </w:p>
        </w:tc>
        <w:tc>
          <w:tcPr>
            <w:tcW w:w="222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12.993.710</w:t>
            </w:r>
          </w:p>
        </w:tc>
        <w:tc>
          <w:tcPr>
            <w:tcW w:w="212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4.809.905 </w:t>
            </w:r>
          </w:p>
        </w:tc>
        <w:tc>
          <w:tcPr>
            <w:tcW w:w="135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37%</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BG</w:t>
            </w:r>
          </w:p>
        </w:tc>
        <w:tc>
          <w:tcPr>
            <w:tcW w:w="23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550.584</w:t>
            </w:r>
          </w:p>
        </w:tc>
        <w:tc>
          <w:tcPr>
            <w:tcW w:w="226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145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222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12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5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CZ</w:t>
            </w:r>
          </w:p>
        </w:tc>
        <w:tc>
          <w:tcPr>
            <w:tcW w:w="23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26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22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4.320.263</w:t>
            </w:r>
          </w:p>
        </w:tc>
        <w:tc>
          <w:tcPr>
            <w:tcW w:w="212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4.306.668 </w:t>
            </w:r>
          </w:p>
        </w:tc>
        <w:tc>
          <w:tcPr>
            <w:tcW w:w="135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r>
      <w:tr>
        <w:trPr>
          <w:gridAfter w:val="1"/>
          <w:wAfter w:w="9" w:type="dxa"/>
          <w:trHeight w:val="272"/>
        </w:trPr>
        <w:tc>
          <w:tcPr>
            <w:tcW w:w="77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DK</w:t>
            </w:r>
          </w:p>
        </w:tc>
        <w:tc>
          <w:tcPr>
            <w:tcW w:w="23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145.933</w:t>
            </w:r>
          </w:p>
        </w:tc>
        <w:tc>
          <w:tcPr>
            <w:tcW w:w="226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145.933</w:t>
            </w:r>
          </w:p>
        </w:tc>
        <w:tc>
          <w:tcPr>
            <w:tcW w:w="145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c>
          <w:tcPr>
            <w:tcW w:w="222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3.235.375</w:t>
            </w:r>
          </w:p>
        </w:tc>
        <w:tc>
          <w:tcPr>
            <w:tcW w:w="212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2.934.978 </w:t>
            </w:r>
          </w:p>
        </w:tc>
        <w:tc>
          <w:tcPr>
            <w:tcW w:w="135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91%</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DE</w:t>
            </w:r>
          </w:p>
        </w:tc>
        <w:tc>
          <w:tcPr>
            <w:tcW w:w="23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31.116.051</w:t>
            </w:r>
          </w:p>
        </w:tc>
        <w:tc>
          <w:tcPr>
            <w:tcW w:w="226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4.497.133</w:t>
            </w:r>
          </w:p>
        </w:tc>
        <w:tc>
          <w:tcPr>
            <w:tcW w:w="145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14%</w:t>
            </w:r>
          </w:p>
        </w:tc>
        <w:tc>
          <w:tcPr>
            <w:tcW w:w="222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100.701.191</w:t>
            </w:r>
          </w:p>
        </w:tc>
        <w:tc>
          <w:tcPr>
            <w:tcW w:w="212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97.779.828 </w:t>
            </w:r>
          </w:p>
        </w:tc>
        <w:tc>
          <w:tcPr>
            <w:tcW w:w="135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97%</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EE</w:t>
            </w:r>
          </w:p>
        </w:tc>
        <w:tc>
          <w:tcPr>
            <w:tcW w:w="23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28.636</w:t>
            </w:r>
          </w:p>
        </w:tc>
        <w:tc>
          <w:tcPr>
            <w:tcW w:w="226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28.636</w:t>
            </w:r>
          </w:p>
        </w:tc>
        <w:tc>
          <w:tcPr>
            <w:tcW w:w="145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c>
          <w:tcPr>
            <w:tcW w:w="222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100.577</w:t>
            </w:r>
          </w:p>
        </w:tc>
        <w:tc>
          <w:tcPr>
            <w:tcW w:w="212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100.577 </w:t>
            </w:r>
          </w:p>
        </w:tc>
        <w:tc>
          <w:tcPr>
            <w:tcW w:w="135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IE</w:t>
            </w:r>
          </w:p>
        </w:tc>
        <w:tc>
          <w:tcPr>
            <w:tcW w:w="23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226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145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22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1.126.778</w:t>
            </w:r>
          </w:p>
        </w:tc>
        <w:tc>
          <w:tcPr>
            <w:tcW w:w="212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1.084.728 </w:t>
            </w:r>
          </w:p>
        </w:tc>
        <w:tc>
          <w:tcPr>
            <w:tcW w:w="135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96%</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EL</w:t>
            </w:r>
          </w:p>
        </w:tc>
        <w:tc>
          <w:tcPr>
            <w:tcW w:w="23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1.405.641</w:t>
            </w:r>
          </w:p>
        </w:tc>
        <w:tc>
          <w:tcPr>
            <w:tcW w:w="226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69.498</w:t>
            </w:r>
          </w:p>
        </w:tc>
        <w:tc>
          <w:tcPr>
            <w:tcW w:w="145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222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1.589.471</w:t>
            </w:r>
          </w:p>
        </w:tc>
        <w:tc>
          <w:tcPr>
            <w:tcW w:w="212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425.524 </w:t>
            </w:r>
          </w:p>
        </w:tc>
        <w:tc>
          <w:tcPr>
            <w:tcW w:w="135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27%</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ES</w:t>
            </w:r>
          </w:p>
        </w:tc>
        <w:tc>
          <w:tcPr>
            <w:tcW w:w="23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848.296</w:t>
            </w:r>
          </w:p>
        </w:tc>
        <w:tc>
          <w:tcPr>
            <w:tcW w:w="226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716.907</w:t>
            </w:r>
          </w:p>
        </w:tc>
        <w:tc>
          <w:tcPr>
            <w:tcW w:w="145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85%</w:t>
            </w:r>
          </w:p>
        </w:tc>
        <w:tc>
          <w:tcPr>
            <w:tcW w:w="222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23.487.949</w:t>
            </w:r>
          </w:p>
        </w:tc>
        <w:tc>
          <w:tcPr>
            <w:tcW w:w="212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22.360.825 </w:t>
            </w:r>
          </w:p>
        </w:tc>
        <w:tc>
          <w:tcPr>
            <w:tcW w:w="135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95%</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FR</w:t>
            </w:r>
          </w:p>
        </w:tc>
        <w:tc>
          <w:tcPr>
            <w:tcW w:w="23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5.392.460</w:t>
            </w:r>
          </w:p>
        </w:tc>
        <w:tc>
          <w:tcPr>
            <w:tcW w:w="226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1.577.170</w:t>
            </w:r>
          </w:p>
        </w:tc>
        <w:tc>
          <w:tcPr>
            <w:tcW w:w="145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29%</w:t>
            </w:r>
          </w:p>
        </w:tc>
        <w:tc>
          <w:tcPr>
            <w:tcW w:w="222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18.827.771</w:t>
            </w:r>
          </w:p>
        </w:tc>
        <w:tc>
          <w:tcPr>
            <w:tcW w:w="212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12.278.104 </w:t>
            </w:r>
          </w:p>
        </w:tc>
        <w:tc>
          <w:tcPr>
            <w:tcW w:w="135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65%</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HR</w:t>
            </w:r>
          </w:p>
        </w:tc>
        <w:tc>
          <w:tcPr>
            <w:tcW w:w="23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393.202</w:t>
            </w:r>
          </w:p>
        </w:tc>
        <w:tc>
          <w:tcPr>
            <w:tcW w:w="226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393.202</w:t>
            </w:r>
          </w:p>
        </w:tc>
        <w:tc>
          <w:tcPr>
            <w:tcW w:w="145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c>
          <w:tcPr>
            <w:tcW w:w="222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127.895</w:t>
            </w:r>
          </w:p>
        </w:tc>
        <w:tc>
          <w:tcPr>
            <w:tcW w:w="212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127.895 </w:t>
            </w:r>
          </w:p>
        </w:tc>
        <w:tc>
          <w:tcPr>
            <w:tcW w:w="135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IT</w:t>
            </w:r>
          </w:p>
        </w:tc>
        <w:tc>
          <w:tcPr>
            <w:tcW w:w="23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1.499.644</w:t>
            </w:r>
          </w:p>
        </w:tc>
        <w:tc>
          <w:tcPr>
            <w:tcW w:w="226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267.863</w:t>
            </w:r>
          </w:p>
        </w:tc>
        <w:tc>
          <w:tcPr>
            <w:tcW w:w="145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18%</w:t>
            </w:r>
          </w:p>
        </w:tc>
        <w:tc>
          <w:tcPr>
            <w:tcW w:w="222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11.710.273</w:t>
            </w:r>
          </w:p>
        </w:tc>
        <w:tc>
          <w:tcPr>
            <w:tcW w:w="212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5.941.329 </w:t>
            </w:r>
          </w:p>
        </w:tc>
        <w:tc>
          <w:tcPr>
            <w:tcW w:w="135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51%</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CY</w:t>
            </w:r>
          </w:p>
        </w:tc>
        <w:tc>
          <w:tcPr>
            <w:tcW w:w="23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26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22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10.463</w:t>
            </w:r>
          </w:p>
        </w:tc>
        <w:tc>
          <w:tcPr>
            <w:tcW w:w="212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10.463 </w:t>
            </w:r>
          </w:p>
        </w:tc>
        <w:tc>
          <w:tcPr>
            <w:tcW w:w="135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LV</w:t>
            </w:r>
          </w:p>
        </w:tc>
        <w:tc>
          <w:tcPr>
            <w:tcW w:w="23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74.776</w:t>
            </w:r>
          </w:p>
        </w:tc>
        <w:tc>
          <w:tcPr>
            <w:tcW w:w="226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74.776</w:t>
            </w:r>
          </w:p>
        </w:tc>
        <w:tc>
          <w:tcPr>
            <w:tcW w:w="145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c>
          <w:tcPr>
            <w:tcW w:w="222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283.309</w:t>
            </w:r>
          </w:p>
        </w:tc>
        <w:tc>
          <w:tcPr>
            <w:tcW w:w="212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196.851 </w:t>
            </w:r>
          </w:p>
        </w:tc>
        <w:tc>
          <w:tcPr>
            <w:tcW w:w="135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69%</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LT</w:t>
            </w:r>
          </w:p>
        </w:tc>
        <w:tc>
          <w:tcPr>
            <w:tcW w:w="23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18.933</w:t>
            </w:r>
          </w:p>
        </w:tc>
        <w:tc>
          <w:tcPr>
            <w:tcW w:w="226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18.933</w:t>
            </w:r>
          </w:p>
        </w:tc>
        <w:tc>
          <w:tcPr>
            <w:tcW w:w="145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c>
          <w:tcPr>
            <w:tcW w:w="222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968.112</w:t>
            </w:r>
          </w:p>
        </w:tc>
        <w:tc>
          <w:tcPr>
            <w:tcW w:w="212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957.234 </w:t>
            </w:r>
          </w:p>
        </w:tc>
        <w:tc>
          <w:tcPr>
            <w:tcW w:w="135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99%</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LU</w:t>
            </w:r>
          </w:p>
        </w:tc>
        <w:tc>
          <w:tcPr>
            <w:tcW w:w="23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26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22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111.376</w:t>
            </w:r>
          </w:p>
        </w:tc>
        <w:tc>
          <w:tcPr>
            <w:tcW w:w="212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111.376 </w:t>
            </w:r>
          </w:p>
        </w:tc>
        <w:tc>
          <w:tcPr>
            <w:tcW w:w="135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HU</w:t>
            </w:r>
          </w:p>
        </w:tc>
        <w:tc>
          <w:tcPr>
            <w:tcW w:w="23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26.502</w:t>
            </w:r>
          </w:p>
        </w:tc>
        <w:tc>
          <w:tcPr>
            <w:tcW w:w="226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26.502</w:t>
            </w:r>
          </w:p>
        </w:tc>
        <w:tc>
          <w:tcPr>
            <w:tcW w:w="145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c>
          <w:tcPr>
            <w:tcW w:w="222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3.439.343</w:t>
            </w:r>
          </w:p>
        </w:tc>
        <w:tc>
          <w:tcPr>
            <w:tcW w:w="212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1.056.493 </w:t>
            </w:r>
          </w:p>
        </w:tc>
        <w:tc>
          <w:tcPr>
            <w:tcW w:w="135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31%</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MT</w:t>
            </w:r>
          </w:p>
        </w:tc>
        <w:tc>
          <w:tcPr>
            <w:tcW w:w="23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26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45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222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12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5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NL</w:t>
            </w:r>
          </w:p>
        </w:tc>
        <w:tc>
          <w:tcPr>
            <w:tcW w:w="23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2.500.608</w:t>
            </w:r>
          </w:p>
        </w:tc>
        <w:tc>
          <w:tcPr>
            <w:tcW w:w="226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861.884</w:t>
            </w:r>
          </w:p>
        </w:tc>
        <w:tc>
          <w:tcPr>
            <w:tcW w:w="145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34%</w:t>
            </w:r>
          </w:p>
        </w:tc>
        <w:tc>
          <w:tcPr>
            <w:tcW w:w="222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95.215.885</w:t>
            </w:r>
          </w:p>
        </w:tc>
        <w:tc>
          <w:tcPr>
            <w:tcW w:w="212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22.058.771 </w:t>
            </w:r>
          </w:p>
        </w:tc>
        <w:tc>
          <w:tcPr>
            <w:tcW w:w="135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23%</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AT</w:t>
            </w:r>
          </w:p>
        </w:tc>
        <w:tc>
          <w:tcPr>
            <w:tcW w:w="23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1.088.949</w:t>
            </w:r>
          </w:p>
        </w:tc>
        <w:tc>
          <w:tcPr>
            <w:tcW w:w="226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57.392</w:t>
            </w:r>
          </w:p>
        </w:tc>
        <w:tc>
          <w:tcPr>
            <w:tcW w:w="145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w:t>
            </w:r>
          </w:p>
        </w:tc>
        <w:tc>
          <w:tcPr>
            <w:tcW w:w="222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3.840.011</w:t>
            </w:r>
          </w:p>
        </w:tc>
        <w:tc>
          <w:tcPr>
            <w:tcW w:w="212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1.133.035 </w:t>
            </w:r>
          </w:p>
        </w:tc>
        <w:tc>
          <w:tcPr>
            <w:tcW w:w="135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30%</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PL</w:t>
            </w:r>
          </w:p>
        </w:tc>
        <w:tc>
          <w:tcPr>
            <w:tcW w:w="23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1.024.147</w:t>
            </w:r>
          </w:p>
        </w:tc>
        <w:tc>
          <w:tcPr>
            <w:tcW w:w="226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75.347</w:t>
            </w:r>
          </w:p>
        </w:tc>
        <w:tc>
          <w:tcPr>
            <w:tcW w:w="145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w:t>
            </w:r>
          </w:p>
        </w:tc>
        <w:tc>
          <w:tcPr>
            <w:tcW w:w="222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5.488.751</w:t>
            </w:r>
          </w:p>
        </w:tc>
        <w:tc>
          <w:tcPr>
            <w:tcW w:w="212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5.253.391 </w:t>
            </w:r>
          </w:p>
        </w:tc>
        <w:tc>
          <w:tcPr>
            <w:tcW w:w="135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96%</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PT</w:t>
            </w:r>
          </w:p>
        </w:tc>
        <w:tc>
          <w:tcPr>
            <w:tcW w:w="23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1.043.512</w:t>
            </w:r>
          </w:p>
        </w:tc>
        <w:tc>
          <w:tcPr>
            <w:tcW w:w="226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19.351</w:t>
            </w:r>
          </w:p>
        </w:tc>
        <w:tc>
          <w:tcPr>
            <w:tcW w:w="145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w:t>
            </w:r>
          </w:p>
        </w:tc>
        <w:tc>
          <w:tcPr>
            <w:tcW w:w="222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190.466</w:t>
            </w:r>
          </w:p>
        </w:tc>
        <w:tc>
          <w:tcPr>
            <w:tcW w:w="212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190.466 </w:t>
            </w:r>
          </w:p>
        </w:tc>
        <w:tc>
          <w:tcPr>
            <w:tcW w:w="135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RO</w:t>
            </w:r>
          </w:p>
        </w:tc>
        <w:tc>
          <w:tcPr>
            <w:tcW w:w="23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179.433</w:t>
            </w:r>
          </w:p>
        </w:tc>
        <w:tc>
          <w:tcPr>
            <w:tcW w:w="226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4.539</w:t>
            </w:r>
          </w:p>
        </w:tc>
        <w:tc>
          <w:tcPr>
            <w:tcW w:w="145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w:t>
            </w:r>
          </w:p>
        </w:tc>
        <w:tc>
          <w:tcPr>
            <w:tcW w:w="222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3.404.332</w:t>
            </w:r>
          </w:p>
        </w:tc>
        <w:tc>
          <w:tcPr>
            <w:tcW w:w="212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2.617.685 </w:t>
            </w:r>
          </w:p>
        </w:tc>
        <w:tc>
          <w:tcPr>
            <w:tcW w:w="135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77%</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SI</w:t>
            </w:r>
          </w:p>
        </w:tc>
        <w:tc>
          <w:tcPr>
            <w:tcW w:w="23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64.994</w:t>
            </w:r>
          </w:p>
        </w:tc>
        <w:tc>
          <w:tcPr>
            <w:tcW w:w="226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64.994</w:t>
            </w:r>
          </w:p>
        </w:tc>
        <w:tc>
          <w:tcPr>
            <w:tcW w:w="145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c>
          <w:tcPr>
            <w:tcW w:w="222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438.273</w:t>
            </w:r>
          </w:p>
        </w:tc>
        <w:tc>
          <w:tcPr>
            <w:tcW w:w="212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426.537 </w:t>
            </w:r>
          </w:p>
        </w:tc>
        <w:tc>
          <w:tcPr>
            <w:tcW w:w="135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97%</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SK</w:t>
            </w:r>
          </w:p>
        </w:tc>
        <w:tc>
          <w:tcPr>
            <w:tcW w:w="23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226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145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22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407.702</w:t>
            </w:r>
          </w:p>
        </w:tc>
        <w:tc>
          <w:tcPr>
            <w:tcW w:w="212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407.702 </w:t>
            </w:r>
          </w:p>
        </w:tc>
        <w:tc>
          <w:tcPr>
            <w:tcW w:w="135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100%</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FI</w:t>
            </w:r>
          </w:p>
        </w:tc>
        <w:tc>
          <w:tcPr>
            <w:tcW w:w="2335"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226.260</w:t>
            </w:r>
          </w:p>
        </w:tc>
        <w:tc>
          <w:tcPr>
            <w:tcW w:w="2268"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1.157</w:t>
            </w:r>
          </w:p>
        </w:tc>
        <w:tc>
          <w:tcPr>
            <w:tcW w:w="1459"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1%</w:t>
            </w:r>
          </w:p>
        </w:tc>
        <w:tc>
          <w:tcPr>
            <w:tcW w:w="2226"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8.024.990</w:t>
            </w:r>
          </w:p>
        </w:tc>
        <w:tc>
          <w:tcPr>
            <w:tcW w:w="2127" w:type="dxa"/>
            <w:tcBorders>
              <w:top w:val="nil"/>
              <w:left w:val="nil"/>
              <w:bottom w:val="single" w:sz="4" w:space="0" w:color="FFFFFF"/>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3.714.311 </w:t>
            </w:r>
          </w:p>
        </w:tc>
        <w:tc>
          <w:tcPr>
            <w:tcW w:w="1354" w:type="dxa"/>
            <w:tcBorders>
              <w:top w:val="nil"/>
              <w:left w:val="nil"/>
              <w:bottom w:val="single" w:sz="4" w:space="0" w:color="FFFFFF"/>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46%</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SE</w:t>
            </w:r>
          </w:p>
        </w:tc>
        <w:tc>
          <w:tcPr>
            <w:tcW w:w="2335"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76.914</w:t>
            </w:r>
          </w:p>
        </w:tc>
        <w:tc>
          <w:tcPr>
            <w:tcW w:w="2268"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36.537</w:t>
            </w:r>
          </w:p>
        </w:tc>
        <w:tc>
          <w:tcPr>
            <w:tcW w:w="1459"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48%</w:t>
            </w:r>
          </w:p>
        </w:tc>
        <w:tc>
          <w:tcPr>
            <w:tcW w:w="2226"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8.977.340</w:t>
            </w:r>
          </w:p>
        </w:tc>
        <w:tc>
          <w:tcPr>
            <w:tcW w:w="2127" w:type="dxa"/>
            <w:tcBorders>
              <w:top w:val="nil"/>
              <w:left w:val="nil"/>
              <w:bottom w:val="single" w:sz="4" w:space="0" w:color="FFFFFF"/>
              <w:right w:val="single" w:sz="4" w:space="0" w:color="FFFFFF"/>
            </w:tcBorders>
            <w:shd w:val="clear" w:color="000000"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7.816.759 </w:t>
            </w:r>
          </w:p>
        </w:tc>
        <w:tc>
          <w:tcPr>
            <w:tcW w:w="1354" w:type="dxa"/>
            <w:tcBorders>
              <w:top w:val="nil"/>
              <w:left w:val="nil"/>
              <w:bottom w:val="single" w:sz="4" w:space="0" w:color="FFFFFF"/>
              <w:right w:val="single" w:sz="4" w:space="0" w:color="FFFFFF"/>
            </w:tcBorders>
            <w:shd w:val="clear" w:color="FFFFFF" w:fill="FFFFFF"/>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87%</w:t>
            </w:r>
          </w:p>
        </w:tc>
      </w:tr>
      <w:tr>
        <w:trPr>
          <w:gridAfter w:val="1"/>
          <w:wAfter w:w="9" w:type="dxa"/>
          <w:trHeight w:val="250"/>
        </w:trPr>
        <w:tc>
          <w:tcPr>
            <w:tcW w:w="779" w:type="dxa"/>
            <w:tcBorders>
              <w:top w:val="nil"/>
              <w:left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UK</w:t>
            </w:r>
          </w:p>
        </w:tc>
        <w:tc>
          <w:tcPr>
            <w:tcW w:w="2335" w:type="dxa"/>
            <w:tcBorders>
              <w:top w:val="nil"/>
              <w:left w:val="nil"/>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2268" w:type="dxa"/>
            <w:tcBorders>
              <w:top w:val="nil"/>
              <w:left w:val="nil"/>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0</w:t>
            </w:r>
          </w:p>
        </w:tc>
        <w:tc>
          <w:tcPr>
            <w:tcW w:w="1459" w:type="dxa"/>
            <w:tcBorders>
              <w:top w:val="nil"/>
              <w:left w:val="nil"/>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226" w:type="dxa"/>
            <w:tcBorders>
              <w:top w:val="nil"/>
              <w:left w:val="nil"/>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85.076.121</w:t>
            </w:r>
          </w:p>
        </w:tc>
        <w:tc>
          <w:tcPr>
            <w:tcW w:w="2127" w:type="dxa"/>
            <w:tcBorders>
              <w:top w:val="nil"/>
              <w:left w:val="nil"/>
              <w:right w:val="single" w:sz="4" w:space="0" w:color="FFFFFF"/>
            </w:tcBorders>
            <w:shd w:val="clear" w:color="000000"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43.081.480 </w:t>
            </w:r>
          </w:p>
        </w:tc>
        <w:tc>
          <w:tcPr>
            <w:tcW w:w="1354" w:type="dxa"/>
            <w:tcBorders>
              <w:top w:val="nil"/>
              <w:left w:val="nil"/>
              <w:right w:val="single" w:sz="4" w:space="0" w:color="FFFFFF"/>
            </w:tcBorders>
            <w:shd w:val="clear" w:color="FFFFFF" w:fill="FF8080"/>
            <w:noWrap/>
            <w:vAlign w:val="bottom"/>
            <w:hideMark/>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sz w:val="16"/>
                <w:szCs w:val="16"/>
                <w:lang w:eastAsia="en-GB"/>
              </w:rPr>
              <w:t>51%</w:t>
            </w:r>
          </w:p>
        </w:tc>
      </w:tr>
      <w:tr>
        <w:trPr>
          <w:gridAfter w:val="1"/>
          <w:wAfter w:w="9" w:type="dxa"/>
          <w:trHeight w:val="250"/>
        </w:trPr>
        <w:tc>
          <w:tcPr>
            <w:tcW w:w="779" w:type="dxa"/>
            <w:tcBorders>
              <w:top w:val="nil"/>
              <w:left w:val="single" w:sz="4" w:space="0" w:color="FFFFFF"/>
              <w:bottom w:val="single" w:sz="4" w:space="0" w:color="FFFFFF"/>
              <w:right w:val="single" w:sz="4" w:space="0" w:color="FFFFFF"/>
            </w:tcBorders>
            <w:shd w:val="clear" w:color="auto" w:fill="993300"/>
            <w:noWrap/>
            <w:vAlign w:val="center"/>
          </w:tcPr>
          <w:p>
            <w:pPr>
              <w:spacing w:after="0" w:line="240" w:lineRule="auto"/>
              <w:jc w:val="center"/>
              <w:rPr>
                <w:rFonts w:ascii="Arial" w:eastAsia="Times New Roman" w:hAnsi="Arial" w:cs="Arial"/>
                <w:noProof/>
                <w:sz w:val="16"/>
                <w:szCs w:val="16"/>
                <w:lang w:eastAsia="en-GB"/>
              </w:rPr>
            </w:pPr>
            <w:r>
              <w:rPr>
                <w:rFonts w:ascii="Arial" w:eastAsia="Times New Roman" w:hAnsi="Arial" w:cs="Arial"/>
                <w:noProof/>
                <w:color w:val="FFFFFF"/>
                <w:sz w:val="16"/>
                <w:szCs w:val="16"/>
                <w:lang w:eastAsia="en-GB"/>
              </w:rPr>
              <w:t xml:space="preserve">TOTAL  </w:t>
            </w:r>
          </w:p>
        </w:tc>
        <w:tc>
          <w:tcPr>
            <w:tcW w:w="2335" w:type="dxa"/>
            <w:tcBorders>
              <w:top w:val="nil"/>
              <w:left w:val="nil"/>
              <w:bottom w:val="single" w:sz="4" w:space="0" w:color="FFFFFF"/>
              <w:right w:val="single" w:sz="4" w:space="0" w:color="FFFFFF"/>
            </w:tcBorders>
            <w:shd w:val="clear" w:color="auto" w:fill="993300"/>
            <w:noWrap/>
            <w:vAlign w:val="center"/>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66.887.074</w:t>
            </w:r>
          </w:p>
        </w:tc>
        <w:tc>
          <w:tcPr>
            <w:tcW w:w="2268" w:type="dxa"/>
            <w:tcBorders>
              <w:top w:val="nil"/>
              <w:left w:val="nil"/>
              <w:bottom w:val="single" w:sz="4" w:space="0" w:color="FFFFFF"/>
              <w:right w:val="single" w:sz="4" w:space="0" w:color="FFFFFF"/>
            </w:tcBorders>
            <w:shd w:val="clear" w:color="auto" w:fill="993300"/>
            <w:noWrap/>
            <w:vAlign w:val="center"/>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20.574.121</w:t>
            </w:r>
          </w:p>
        </w:tc>
        <w:tc>
          <w:tcPr>
            <w:tcW w:w="1459" w:type="dxa"/>
            <w:tcBorders>
              <w:top w:val="nil"/>
              <w:left w:val="nil"/>
              <w:bottom w:val="single" w:sz="4" w:space="0" w:color="FFFFFF"/>
              <w:right w:val="single" w:sz="4" w:space="0" w:color="FFFFFF"/>
            </w:tcBorders>
            <w:shd w:val="clear" w:color="auto" w:fill="993300"/>
            <w:noWrap/>
            <w:vAlign w:val="center"/>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31%</w:t>
            </w:r>
          </w:p>
        </w:tc>
        <w:tc>
          <w:tcPr>
            <w:tcW w:w="2226" w:type="dxa"/>
            <w:tcBorders>
              <w:top w:val="nil"/>
              <w:left w:val="nil"/>
              <w:bottom w:val="single" w:sz="4" w:space="0" w:color="FFFFFF"/>
              <w:right w:val="single" w:sz="4" w:space="0" w:color="FFFFFF"/>
            </w:tcBorders>
            <w:shd w:val="clear" w:color="auto" w:fill="993300"/>
            <w:noWrap/>
            <w:vAlign w:val="center"/>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394.097.728</w:t>
            </w:r>
          </w:p>
        </w:tc>
        <w:tc>
          <w:tcPr>
            <w:tcW w:w="2127" w:type="dxa"/>
            <w:tcBorders>
              <w:top w:val="nil"/>
              <w:left w:val="nil"/>
              <w:bottom w:val="single" w:sz="4" w:space="0" w:color="FFFFFF"/>
              <w:right w:val="single" w:sz="4" w:space="0" w:color="FFFFFF"/>
            </w:tcBorders>
            <w:shd w:val="clear" w:color="auto" w:fill="993300"/>
            <w:noWrap/>
            <w:vAlign w:val="center"/>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241.182.917</w:t>
            </w:r>
          </w:p>
        </w:tc>
        <w:tc>
          <w:tcPr>
            <w:tcW w:w="1354" w:type="dxa"/>
            <w:tcBorders>
              <w:top w:val="nil"/>
              <w:left w:val="nil"/>
              <w:bottom w:val="single" w:sz="4" w:space="0" w:color="FFFFFF"/>
              <w:right w:val="single" w:sz="4" w:space="0" w:color="FFFFFF"/>
            </w:tcBorders>
            <w:shd w:val="clear" w:color="auto" w:fill="993300"/>
            <w:noWrap/>
            <w:vAlign w:val="center"/>
          </w:tcPr>
          <w:p>
            <w:pPr>
              <w:spacing w:after="0" w:line="240" w:lineRule="auto"/>
              <w:jc w:val="center"/>
              <w:rPr>
                <w:rFonts w:ascii="Arial" w:eastAsia="Times New Roman" w:hAnsi="Arial" w:cs="Arial"/>
                <w:noProof/>
                <w:color w:val="FFFFFF"/>
                <w:sz w:val="16"/>
                <w:szCs w:val="16"/>
                <w:lang w:eastAsia="en-GB"/>
              </w:rPr>
            </w:pPr>
            <w:r>
              <w:rPr>
                <w:rFonts w:ascii="Arial" w:eastAsia="Times New Roman" w:hAnsi="Arial" w:cs="Arial"/>
                <w:noProof/>
                <w:color w:val="FFFFFF"/>
                <w:sz w:val="16"/>
                <w:szCs w:val="16"/>
                <w:lang w:eastAsia="en-GB"/>
              </w:rPr>
              <w:t>61%</w:t>
            </w:r>
          </w:p>
        </w:tc>
      </w:tr>
    </w:tbl>
    <w:p>
      <w:pPr>
        <w:tabs>
          <w:tab w:val="left" w:pos="3261"/>
        </w:tabs>
        <w:rPr>
          <w:b/>
          <w:noProof/>
        </w:rPr>
      </w:pPr>
    </w:p>
    <w:p>
      <w:pPr>
        <w:tabs>
          <w:tab w:val="left" w:pos="3261"/>
        </w:tabs>
        <w:rPr>
          <w:b/>
          <w:noProof/>
        </w:rPr>
      </w:pPr>
      <w:r>
        <w:rPr>
          <w:b/>
          <w:noProof/>
        </w:rPr>
        <w:t>Annex 11</w:t>
      </w:r>
    </w:p>
    <w:p>
      <w:pPr>
        <w:tabs>
          <w:tab w:val="left" w:pos="3261"/>
        </w:tabs>
        <w:rPr>
          <w:b/>
          <w:noProof/>
        </w:rPr>
      </w:pPr>
    </w:p>
    <w:tbl>
      <w:tblPr>
        <w:tblW w:w="13830" w:type="dxa"/>
        <w:tblInd w:w="108" w:type="dxa"/>
        <w:tblLook w:val="04A0" w:firstRow="1" w:lastRow="0" w:firstColumn="1" w:lastColumn="0" w:noHBand="0" w:noVBand="1"/>
      </w:tblPr>
      <w:tblGrid>
        <w:gridCol w:w="750"/>
        <w:gridCol w:w="573"/>
        <w:gridCol w:w="1387"/>
        <w:gridCol w:w="573"/>
        <w:gridCol w:w="1206"/>
        <w:gridCol w:w="573"/>
        <w:gridCol w:w="1657"/>
        <w:gridCol w:w="573"/>
        <w:gridCol w:w="1341"/>
        <w:gridCol w:w="1386"/>
        <w:gridCol w:w="1792"/>
        <w:gridCol w:w="2019"/>
      </w:tblGrid>
      <w:tr>
        <w:trPr>
          <w:trHeight w:val="290"/>
        </w:trPr>
        <w:tc>
          <w:tcPr>
            <w:tcW w:w="750"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sz w:val="20"/>
                <w:szCs w:val="20"/>
                <w:lang w:eastAsia="en-GB"/>
              </w:rPr>
            </w:pPr>
            <w:bookmarkStart w:id="272" w:name="RANGE!A1:L22"/>
            <w:bookmarkEnd w:id="272"/>
          </w:p>
        </w:tc>
        <w:tc>
          <w:tcPr>
            <w:tcW w:w="13080" w:type="dxa"/>
            <w:gridSpan w:val="11"/>
            <w:tcBorders>
              <w:top w:val="nil"/>
              <w:left w:val="single" w:sz="4" w:space="0" w:color="FFFFFF"/>
              <w:bottom w:val="nil"/>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TOR: Examination of write-off cases in 2019 </w:t>
            </w:r>
          </w:p>
        </w:tc>
      </w:tr>
      <w:tr>
        <w:trPr>
          <w:trHeight w:val="540"/>
        </w:trPr>
        <w:tc>
          <w:tcPr>
            <w:tcW w:w="750" w:type="dxa"/>
            <w:vMerge w:val="restart"/>
            <w:tcBorders>
              <w:top w:val="single" w:sz="4" w:space="0" w:color="FFFFFF"/>
              <w:left w:val="single" w:sz="4" w:space="0" w:color="FFFFFF"/>
              <w:bottom w:val="single" w:sz="4" w:space="0" w:color="FFFFFF"/>
              <w:right w:val="nil"/>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MS </w:t>
            </w:r>
          </w:p>
        </w:tc>
        <w:tc>
          <w:tcPr>
            <w:tcW w:w="1960" w:type="dxa"/>
            <w:gridSpan w:val="2"/>
            <w:tcBorders>
              <w:top w:val="single" w:sz="4" w:space="0" w:color="FFFFFF"/>
              <w:left w:val="single" w:sz="4" w:space="0" w:color="FFFFFF"/>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Acceptance </w:t>
            </w:r>
          </w:p>
        </w:tc>
        <w:tc>
          <w:tcPr>
            <w:tcW w:w="1779"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Reference to Article 17.2 rejected </w:t>
            </w:r>
          </w:p>
        </w:tc>
        <w:tc>
          <w:tcPr>
            <w:tcW w:w="2230" w:type="dxa"/>
            <w:gridSpan w:val="2"/>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Additional information request (AI) </w:t>
            </w:r>
          </w:p>
        </w:tc>
        <w:tc>
          <w:tcPr>
            <w:tcW w:w="1914" w:type="dxa"/>
            <w:gridSpan w:val="2"/>
            <w:tcBorders>
              <w:top w:val="single" w:sz="4" w:space="0" w:color="FFFFFF"/>
              <w:left w:val="nil"/>
              <w:bottom w:val="single" w:sz="4" w:space="0" w:color="FFFFFF"/>
              <w:right w:val="nil"/>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Not appropriate </w:t>
            </w:r>
          </w:p>
        </w:tc>
        <w:tc>
          <w:tcPr>
            <w:tcW w:w="1386" w:type="dxa"/>
            <w:tcBorders>
              <w:top w:val="single" w:sz="4" w:space="0" w:color="FFFFFF"/>
              <w:left w:val="single" w:sz="4" w:space="0" w:color="FFFFFF"/>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Total cases* </w:t>
            </w:r>
          </w:p>
        </w:tc>
        <w:tc>
          <w:tcPr>
            <w:tcW w:w="1792" w:type="dxa"/>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Cases assessed twice (AI) </w:t>
            </w:r>
          </w:p>
        </w:tc>
        <w:tc>
          <w:tcPr>
            <w:tcW w:w="2019" w:type="dxa"/>
            <w:tcBorders>
              <w:top w:val="single" w:sz="4" w:space="0" w:color="FFFFFF"/>
              <w:left w:val="nil"/>
              <w:bottom w:val="single" w:sz="4" w:space="0" w:color="FFFFFF"/>
              <w:right w:val="single" w:sz="4" w:space="0" w:color="FFFFFF"/>
            </w:tcBorders>
            <w:shd w:val="clear" w:color="FF0000" w:fill="993300"/>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Total (amounts not counted twice) </w:t>
            </w:r>
          </w:p>
        </w:tc>
      </w:tr>
      <w:tr>
        <w:trPr>
          <w:trHeight w:val="290"/>
        </w:trPr>
        <w:tc>
          <w:tcPr>
            <w:tcW w:w="750" w:type="dxa"/>
            <w:vMerge/>
            <w:tcBorders>
              <w:top w:val="single" w:sz="4" w:space="0" w:color="FFFFFF"/>
              <w:left w:val="single" w:sz="4" w:space="0" w:color="FFFFFF"/>
              <w:bottom w:val="single" w:sz="4" w:space="0" w:color="FFFFFF"/>
              <w:right w:val="nil"/>
            </w:tcBorders>
            <w:vAlign w:val="center"/>
            <w:hideMark/>
          </w:tcPr>
          <w:p>
            <w:pPr>
              <w:spacing w:after="0" w:line="240" w:lineRule="auto"/>
              <w:rPr>
                <w:rFonts w:ascii="Arial" w:eastAsia="Times New Roman" w:hAnsi="Arial" w:cs="Arial"/>
                <w:b/>
                <w:bCs/>
                <w:noProof/>
                <w:color w:val="FFFFFF"/>
                <w:sz w:val="16"/>
                <w:szCs w:val="16"/>
                <w:lang w:eastAsia="en-GB"/>
              </w:rPr>
            </w:pPr>
          </w:p>
        </w:tc>
        <w:tc>
          <w:tcPr>
            <w:tcW w:w="573" w:type="dxa"/>
            <w:tcBorders>
              <w:top w:val="nil"/>
              <w:left w:val="single" w:sz="4" w:space="0" w:color="FFFFFF"/>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N </w:t>
            </w:r>
          </w:p>
        </w:tc>
        <w:tc>
          <w:tcPr>
            <w:tcW w:w="1387"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EUR </w:t>
            </w:r>
          </w:p>
        </w:tc>
        <w:tc>
          <w:tcPr>
            <w:tcW w:w="573"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N </w:t>
            </w:r>
          </w:p>
        </w:tc>
        <w:tc>
          <w:tcPr>
            <w:tcW w:w="1206"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EUR </w:t>
            </w:r>
          </w:p>
        </w:tc>
        <w:tc>
          <w:tcPr>
            <w:tcW w:w="573"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N </w:t>
            </w:r>
          </w:p>
        </w:tc>
        <w:tc>
          <w:tcPr>
            <w:tcW w:w="1657"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EUR </w:t>
            </w:r>
          </w:p>
        </w:tc>
        <w:tc>
          <w:tcPr>
            <w:tcW w:w="573"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N </w:t>
            </w:r>
          </w:p>
        </w:tc>
        <w:tc>
          <w:tcPr>
            <w:tcW w:w="1341"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EUR </w:t>
            </w:r>
          </w:p>
        </w:tc>
        <w:tc>
          <w:tcPr>
            <w:tcW w:w="1386"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N </w:t>
            </w:r>
          </w:p>
        </w:tc>
        <w:tc>
          <w:tcPr>
            <w:tcW w:w="1792"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N </w:t>
            </w:r>
          </w:p>
        </w:tc>
        <w:tc>
          <w:tcPr>
            <w:tcW w:w="2019"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 EUR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AT</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8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1 </w:t>
            </w:r>
          </w:p>
        </w:tc>
        <w:tc>
          <w:tcPr>
            <w:tcW w:w="12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118.064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65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1.305.392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2.912 </w:t>
            </w:r>
          </w:p>
        </w:tc>
        <w:tc>
          <w:tcPr>
            <w:tcW w:w="138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 </w:t>
            </w:r>
          </w:p>
        </w:tc>
        <w:tc>
          <w:tcPr>
            <w:tcW w:w="1792"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2 </w:t>
            </w:r>
          </w:p>
        </w:tc>
        <w:tc>
          <w:tcPr>
            <w:tcW w:w="201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1.426.368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CY</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8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1 </w:t>
            </w:r>
          </w:p>
        </w:tc>
        <w:tc>
          <w:tcPr>
            <w:tcW w:w="12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240.966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5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792"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01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240.966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CZ</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38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62.735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5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792"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01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62.735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DE</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 </w:t>
            </w:r>
          </w:p>
        </w:tc>
        <w:tc>
          <w:tcPr>
            <w:tcW w:w="138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1.429.124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9 </w:t>
            </w:r>
          </w:p>
        </w:tc>
        <w:tc>
          <w:tcPr>
            <w:tcW w:w="12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5.536.560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33 </w:t>
            </w:r>
          </w:p>
        </w:tc>
        <w:tc>
          <w:tcPr>
            <w:tcW w:w="165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10.961.686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46 </w:t>
            </w:r>
          </w:p>
        </w:tc>
        <w:tc>
          <w:tcPr>
            <w:tcW w:w="1792"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7 </w:t>
            </w:r>
          </w:p>
        </w:tc>
        <w:tc>
          <w:tcPr>
            <w:tcW w:w="201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17.927.369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ES</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10 </w:t>
            </w:r>
          </w:p>
        </w:tc>
        <w:tc>
          <w:tcPr>
            <w:tcW w:w="138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3.152.106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15 </w:t>
            </w:r>
          </w:p>
        </w:tc>
        <w:tc>
          <w:tcPr>
            <w:tcW w:w="12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9.282.687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 </w:t>
            </w:r>
          </w:p>
        </w:tc>
        <w:tc>
          <w:tcPr>
            <w:tcW w:w="165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1.873.338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29 </w:t>
            </w:r>
          </w:p>
        </w:tc>
        <w:tc>
          <w:tcPr>
            <w:tcW w:w="1792"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01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14.308.130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FI</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 </w:t>
            </w:r>
          </w:p>
        </w:tc>
        <w:tc>
          <w:tcPr>
            <w:tcW w:w="138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405.174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31.498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5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 </w:t>
            </w:r>
          </w:p>
        </w:tc>
        <w:tc>
          <w:tcPr>
            <w:tcW w:w="1792"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1 </w:t>
            </w:r>
          </w:p>
        </w:tc>
        <w:tc>
          <w:tcPr>
            <w:tcW w:w="201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436.671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FR</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8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1 </w:t>
            </w:r>
          </w:p>
        </w:tc>
        <w:tc>
          <w:tcPr>
            <w:tcW w:w="12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103.958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 </w:t>
            </w:r>
          </w:p>
        </w:tc>
        <w:tc>
          <w:tcPr>
            <w:tcW w:w="165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202.764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 </w:t>
            </w:r>
          </w:p>
        </w:tc>
        <w:tc>
          <w:tcPr>
            <w:tcW w:w="1792"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201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306.722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GR</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1 </w:t>
            </w:r>
          </w:p>
        </w:tc>
        <w:tc>
          <w:tcPr>
            <w:tcW w:w="138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1.392.941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2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8.076.640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 </w:t>
            </w:r>
          </w:p>
        </w:tc>
        <w:tc>
          <w:tcPr>
            <w:tcW w:w="165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1.339.374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6 </w:t>
            </w:r>
          </w:p>
        </w:tc>
        <w:tc>
          <w:tcPr>
            <w:tcW w:w="1792"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201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10.808.955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HU</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8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5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34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547.704 </w:t>
            </w:r>
          </w:p>
        </w:tc>
        <w:tc>
          <w:tcPr>
            <w:tcW w:w="138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792"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01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547.704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IT</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 </w:t>
            </w:r>
          </w:p>
        </w:tc>
        <w:tc>
          <w:tcPr>
            <w:tcW w:w="138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5.941.231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 </w:t>
            </w:r>
          </w:p>
        </w:tc>
        <w:tc>
          <w:tcPr>
            <w:tcW w:w="12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1.483.595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13 </w:t>
            </w:r>
          </w:p>
        </w:tc>
        <w:tc>
          <w:tcPr>
            <w:tcW w:w="165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14.209.456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19 </w:t>
            </w:r>
          </w:p>
        </w:tc>
        <w:tc>
          <w:tcPr>
            <w:tcW w:w="1792"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 </w:t>
            </w:r>
          </w:p>
        </w:tc>
        <w:tc>
          <w:tcPr>
            <w:tcW w:w="201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21.634.282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LT</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38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973.491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65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1.178.576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 </w:t>
            </w:r>
          </w:p>
        </w:tc>
        <w:tc>
          <w:tcPr>
            <w:tcW w:w="1792"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01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2.152.067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LV</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8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 </w:t>
            </w:r>
          </w:p>
        </w:tc>
        <w:tc>
          <w:tcPr>
            <w:tcW w:w="165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1.359.655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 </w:t>
            </w:r>
          </w:p>
        </w:tc>
        <w:tc>
          <w:tcPr>
            <w:tcW w:w="1792"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01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1.359.655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NL</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12 </w:t>
            </w:r>
          </w:p>
        </w:tc>
        <w:tc>
          <w:tcPr>
            <w:tcW w:w="138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7.476.314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 </w:t>
            </w:r>
          </w:p>
        </w:tc>
        <w:tc>
          <w:tcPr>
            <w:tcW w:w="12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3.528.736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34 </w:t>
            </w:r>
          </w:p>
        </w:tc>
        <w:tc>
          <w:tcPr>
            <w:tcW w:w="165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25.932.645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50 </w:t>
            </w:r>
          </w:p>
        </w:tc>
        <w:tc>
          <w:tcPr>
            <w:tcW w:w="1792"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01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36.937.694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PL</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1 </w:t>
            </w:r>
          </w:p>
        </w:tc>
        <w:tc>
          <w:tcPr>
            <w:tcW w:w="138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283.145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 </w:t>
            </w:r>
          </w:p>
        </w:tc>
        <w:tc>
          <w:tcPr>
            <w:tcW w:w="12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3.890.052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5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8.890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5 </w:t>
            </w:r>
          </w:p>
        </w:tc>
        <w:tc>
          <w:tcPr>
            <w:tcW w:w="1792"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2 </w:t>
            </w:r>
          </w:p>
        </w:tc>
        <w:tc>
          <w:tcPr>
            <w:tcW w:w="201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4.182.086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PT</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8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2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123.541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65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1 </w:t>
            </w:r>
          </w:p>
        </w:tc>
        <w:tc>
          <w:tcPr>
            <w:tcW w:w="1792"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01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123.541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RO</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4 </w:t>
            </w:r>
          </w:p>
        </w:tc>
        <w:tc>
          <w:tcPr>
            <w:tcW w:w="138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1.575.572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3 </w:t>
            </w:r>
          </w:p>
        </w:tc>
        <w:tc>
          <w:tcPr>
            <w:tcW w:w="12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1.085.966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11 </w:t>
            </w:r>
          </w:p>
        </w:tc>
        <w:tc>
          <w:tcPr>
            <w:tcW w:w="165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3.447.163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18 </w:t>
            </w:r>
          </w:p>
        </w:tc>
        <w:tc>
          <w:tcPr>
            <w:tcW w:w="1792"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3 </w:t>
            </w:r>
          </w:p>
        </w:tc>
        <w:tc>
          <w:tcPr>
            <w:tcW w:w="201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6.108.701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SE</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8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657"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1.659.463 </w:t>
            </w:r>
          </w:p>
        </w:tc>
        <w:tc>
          <w:tcPr>
            <w:tcW w:w="573"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 </w:t>
            </w:r>
          </w:p>
        </w:tc>
        <w:tc>
          <w:tcPr>
            <w:tcW w:w="1792"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019" w:type="dxa"/>
            <w:tcBorders>
              <w:top w:val="nil"/>
              <w:left w:val="nil"/>
              <w:bottom w:val="single" w:sz="4" w:space="0" w:color="FFFFFF"/>
              <w:right w:val="single" w:sz="4" w:space="0" w:color="FFFFFF"/>
            </w:tcBorders>
            <w:shd w:val="clear" w:color="FF0000" w:fill="FFFFFF"/>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1.659.463 </w:t>
            </w:r>
          </w:p>
        </w:tc>
      </w:tr>
      <w:tr>
        <w:trPr>
          <w:trHeight w:val="290"/>
        </w:trPr>
        <w:tc>
          <w:tcPr>
            <w:tcW w:w="750" w:type="dxa"/>
            <w:tcBorders>
              <w:top w:val="nil"/>
              <w:left w:val="single" w:sz="4" w:space="0" w:color="FFFFFF"/>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SI</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8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20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1 </w:t>
            </w:r>
          </w:p>
        </w:tc>
        <w:tc>
          <w:tcPr>
            <w:tcW w:w="1657"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185.164 </w:t>
            </w:r>
          </w:p>
        </w:tc>
        <w:tc>
          <w:tcPr>
            <w:tcW w:w="573"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341"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w:t>
            </w:r>
          </w:p>
        </w:tc>
        <w:tc>
          <w:tcPr>
            <w:tcW w:w="1386"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1 </w:t>
            </w:r>
          </w:p>
        </w:tc>
        <w:tc>
          <w:tcPr>
            <w:tcW w:w="1792"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2019" w:type="dxa"/>
            <w:tcBorders>
              <w:top w:val="nil"/>
              <w:left w:val="nil"/>
              <w:bottom w:val="single" w:sz="4" w:space="0" w:color="FFFFFF"/>
              <w:right w:val="single" w:sz="4" w:space="0" w:color="FFFFFF"/>
            </w:tcBorders>
            <w:shd w:val="clear" w:color="FF0000" w:fill="FF8080"/>
            <w:noWrap/>
            <w:vAlign w:val="bottom"/>
            <w:hideMark/>
          </w:tcPr>
          <w:p>
            <w:pPr>
              <w:spacing w:after="0" w:line="240" w:lineRule="auto"/>
              <w:rPr>
                <w:rFonts w:ascii="Arial" w:eastAsia="Times New Roman" w:hAnsi="Arial" w:cs="Arial"/>
                <w:noProof/>
                <w:sz w:val="16"/>
                <w:szCs w:val="16"/>
                <w:lang w:eastAsia="en-GB"/>
              </w:rPr>
            </w:pPr>
            <w:r>
              <w:rPr>
                <w:rFonts w:ascii="Arial" w:eastAsia="Times New Roman" w:hAnsi="Arial" w:cs="Arial"/>
                <w:noProof/>
                <w:sz w:val="16"/>
                <w:szCs w:val="16"/>
                <w:lang w:eastAsia="en-GB"/>
              </w:rPr>
              <w:t xml:space="preserve"> 185.164 </w:t>
            </w:r>
          </w:p>
        </w:tc>
      </w:tr>
      <w:tr>
        <w:trPr>
          <w:trHeight w:val="290"/>
        </w:trPr>
        <w:tc>
          <w:tcPr>
            <w:tcW w:w="750" w:type="dxa"/>
            <w:tcBorders>
              <w:top w:val="nil"/>
              <w:left w:val="single" w:sz="4" w:space="0" w:color="FFFFFF"/>
              <w:bottom w:val="single" w:sz="4" w:space="0" w:color="FFFFFF"/>
              <w:right w:val="single" w:sz="4" w:space="0" w:color="FFFFFF"/>
            </w:tcBorders>
            <w:shd w:val="clear" w:color="00FF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TOTAL</w:t>
            </w:r>
          </w:p>
        </w:tc>
        <w:tc>
          <w:tcPr>
            <w:tcW w:w="573"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40   </w:t>
            </w:r>
          </w:p>
        </w:tc>
        <w:tc>
          <w:tcPr>
            <w:tcW w:w="1387"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22.691.832   </w:t>
            </w:r>
          </w:p>
        </w:tc>
        <w:tc>
          <w:tcPr>
            <w:tcW w:w="573"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43   </w:t>
            </w:r>
          </w:p>
        </w:tc>
        <w:tc>
          <w:tcPr>
            <w:tcW w:w="1206"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33.502.262   </w:t>
            </w:r>
          </w:p>
        </w:tc>
        <w:tc>
          <w:tcPr>
            <w:tcW w:w="573"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109   </w:t>
            </w:r>
          </w:p>
        </w:tc>
        <w:tc>
          <w:tcPr>
            <w:tcW w:w="1657"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63.663.565   </w:t>
            </w:r>
          </w:p>
        </w:tc>
        <w:tc>
          <w:tcPr>
            <w:tcW w:w="573"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1   </w:t>
            </w:r>
          </w:p>
        </w:tc>
        <w:tc>
          <w:tcPr>
            <w:tcW w:w="1341"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550.616   </w:t>
            </w:r>
          </w:p>
        </w:tc>
        <w:tc>
          <w:tcPr>
            <w:tcW w:w="1386"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193   </w:t>
            </w:r>
          </w:p>
        </w:tc>
        <w:tc>
          <w:tcPr>
            <w:tcW w:w="1792"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20   </w:t>
            </w:r>
          </w:p>
        </w:tc>
        <w:tc>
          <w:tcPr>
            <w:tcW w:w="2019" w:type="dxa"/>
            <w:tcBorders>
              <w:top w:val="nil"/>
              <w:left w:val="nil"/>
              <w:bottom w:val="single" w:sz="4" w:space="0" w:color="FFFFFF"/>
              <w:right w:val="single" w:sz="4" w:space="0" w:color="FFFFFF"/>
            </w:tcBorders>
            <w:shd w:val="clear" w:color="FF0000" w:fill="993300"/>
            <w:noWrap/>
            <w:vAlign w:val="center"/>
            <w:hideMark/>
          </w:tcPr>
          <w:p>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 xml:space="preserve">120.408.275   </w:t>
            </w:r>
          </w:p>
        </w:tc>
      </w:tr>
    </w:tbl>
    <w:p>
      <w:pPr>
        <w:tabs>
          <w:tab w:val="left" w:pos="3261"/>
        </w:tabs>
        <w:rPr>
          <w:b/>
          <w:noProof/>
        </w:rPr>
      </w:pPr>
      <w:r>
        <w:rPr>
          <w:b/>
          <w:noProof/>
        </w:rPr>
        <w:t>*</w:t>
      </w:r>
      <w:r>
        <w:rPr>
          <w:rFonts w:ascii="Arial Narrow" w:hAnsi="Arial Narrow" w:cs="Arial"/>
          <w:bCs/>
          <w:noProof/>
          <w:sz w:val="16"/>
          <w:lang w:eastAsia="en-GB"/>
        </w:rPr>
        <w:t xml:space="preserve"> </w:t>
      </w:r>
      <w:r>
        <w:rPr>
          <w:rFonts w:cstheme="minorHAnsi"/>
          <w:bCs/>
          <w:noProof/>
          <w:sz w:val="20"/>
          <w:szCs w:val="20"/>
          <w:lang w:eastAsia="en-GB"/>
        </w:rPr>
        <w:t>Total cases (not including assessed twice)</w:t>
      </w:r>
    </w:p>
    <w:p>
      <w:pPr>
        <w:tabs>
          <w:tab w:val="left" w:pos="3261"/>
        </w:tabs>
        <w:rPr>
          <w:noProof/>
        </w:rPr>
      </w:pPr>
    </w:p>
    <w:p>
      <w:pPr>
        <w:pStyle w:val="Text1"/>
        <w:rPr>
          <w:noProof/>
        </w:rPr>
        <w:sectPr>
          <w:headerReference w:type="even" r:id="rId185"/>
          <w:headerReference w:type="default" r:id="rId186"/>
          <w:footerReference w:type="even" r:id="rId187"/>
          <w:footerReference w:type="default" r:id="rId188"/>
          <w:headerReference w:type="first" r:id="rId189"/>
          <w:footerReference w:type="first" r:id="rId190"/>
          <w:pgSz w:w="16838" w:h="11906" w:orient="landscape"/>
          <w:pgMar w:top="1440" w:right="1440" w:bottom="1440" w:left="1440" w:header="709" w:footer="709" w:gutter="0"/>
          <w:cols w:space="708"/>
          <w:docGrid w:linePitch="360"/>
        </w:sectPr>
      </w:pPr>
    </w:p>
    <w:p>
      <w:pPr>
        <w:tabs>
          <w:tab w:val="left" w:pos="3261"/>
        </w:tabs>
        <w:spacing w:after="0" w:line="240" w:lineRule="auto"/>
        <w:jc w:val="center"/>
        <w:rPr>
          <w:noProof/>
          <w:sz w:val="32"/>
          <w:szCs w:val="32"/>
        </w:rPr>
      </w:pPr>
      <w:r>
        <w:rPr>
          <w:rFonts w:ascii="Times New Roman" w:hAnsi="Times New Roman" w:cs="Times New Roman"/>
          <w:b/>
          <w:noProof/>
          <w:sz w:val="32"/>
          <w:szCs w:val="32"/>
        </w:rPr>
        <w:t>ANNEX 12</w:t>
      </w:r>
    </w:p>
    <w:p>
      <w:pPr>
        <w:tabs>
          <w:tab w:val="left" w:pos="3261"/>
        </w:tabs>
        <w:spacing w:after="0" w:line="240" w:lineRule="auto"/>
        <w:jc w:val="center"/>
        <w:rPr>
          <w:i/>
          <w:noProof/>
          <w:sz w:val="32"/>
          <w:szCs w:val="32"/>
        </w:rPr>
      </w:pPr>
      <w:r>
        <w:rPr>
          <w:rFonts w:ascii="Times New Roman" w:hAnsi="Times New Roman" w:cs="Times New Roman"/>
          <w:i/>
          <w:noProof/>
          <w:sz w:val="32"/>
          <w:szCs w:val="32"/>
        </w:rPr>
        <w:t>Classification of cases in relation to Common Agricultural Policy expenditure</w:t>
      </w:r>
    </w:p>
    <w:p>
      <w:pPr>
        <w:pStyle w:val="Text1"/>
        <w:spacing w:after="0"/>
        <w:ind w:left="0"/>
        <w:rPr>
          <w:noProof/>
          <w:szCs w:val="24"/>
        </w:rPr>
      </w:pPr>
      <w:r>
        <w:rPr>
          <w:noProof/>
          <w:szCs w:val="24"/>
        </w:rPr>
        <w:t xml:space="preserve">The analysis of irregularities in Section 3 'Common Agricultural Policy' separately focuses on 'rural development' (RD) and direct 'support to agriculture' (SA). </w:t>
      </w:r>
    </w:p>
    <w:p>
      <w:pPr>
        <w:pStyle w:val="Text1"/>
        <w:spacing w:after="0"/>
        <w:ind w:left="0"/>
        <w:rPr>
          <w:noProof/>
          <w:szCs w:val="24"/>
        </w:rPr>
      </w:pPr>
      <w:r>
        <w:rPr>
          <w:noProof/>
          <w:szCs w:val="24"/>
        </w:rPr>
        <w:t>To this purpose, cases are classified as:</w:t>
      </w:r>
    </w:p>
    <w:p>
      <w:pPr>
        <w:pStyle w:val="ListParagraph"/>
        <w:numPr>
          <w:ilvl w:val="0"/>
          <w:numId w:val="21"/>
        </w:numPr>
        <w:spacing w:before="120" w:after="0" w:line="276" w:lineRule="auto"/>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RD, where they concern </w:t>
      </w:r>
      <w:r>
        <w:rPr>
          <w:rFonts w:ascii="Times New Roman" w:hAnsi="Times New Roman" w:cs="Times New Roman"/>
          <w:noProof/>
          <w:sz w:val="24"/>
          <w:szCs w:val="24"/>
          <w:u w:val="single"/>
        </w:rPr>
        <w:t>only</w:t>
      </w:r>
      <w:r>
        <w:rPr>
          <w:rFonts w:ascii="Times New Roman" w:hAnsi="Times New Roman" w:cs="Times New Roman"/>
          <w:noProof/>
          <w:sz w:val="24"/>
          <w:szCs w:val="24"/>
        </w:rPr>
        <w:t xml:space="preserve"> expenditure on budget lines/posts that contain the codes '0504', 'B01-4' or 'B01-50' (RD budget codes).</w:t>
      </w:r>
      <w:r>
        <w:rPr>
          <w:rStyle w:val="FootnoteReference"/>
          <w:noProof/>
        </w:rPr>
        <w:t xml:space="preserve"> </w:t>
      </w:r>
      <w:r>
        <w:rPr>
          <w:rStyle w:val="FootnoteReference"/>
          <w:noProof/>
        </w:rPr>
        <w:footnoteReference w:id="28"/>
      </w:r>
      <w:r>
        <w:rPr>
          <w:rStyle w:val="FootnoteReference"/>
          <w:noProof/>
        </w:rPr>
        <w:t xml:space="preserve"> </w:t>
      </w:r>
      <w:r>
        <w:rPr>
          <w:rFonts w:ascii="Times New Roman" w:hAnsi="Times New Roman" w:cs="Times New Roman"/>
          <w:noProof/>
          <w:sz w:val="24"/>
          <w:szCs w:val="24"/>
        </w:rPr>
        <w:t>In addition, it has been considered that there are 168 irregularities where the field 'Fund' makes reference to the EARDF (European Agriculture Rural Development Fund), even if the budget line/post is not specified.</w:t>
      </w:r>
    </w:p>
    <w:p>
      <w:pPr>
        <w:pStyle w:val="FootnoteText"/>
        <w:spacing w:before="120" w:line="276" w:lineRule="auto"/>
        <w:ind w:left="142"/>
        <w:jc w:val="both"/>
        <w:rPr>
          <w:rFonts w:ascii="Times New Roman" w:hAnsi="Times New Roman" w:cs="Times New Roman"/>
          <w:noProof/>
          <w:sz w:val="24"/>
          <w:szCs w:val="24"/>
        </w:rPr>
      </w:pPr>
      <w:r>
        <w:rPr>
          <w:rFonts w:ascii="Times New Roman" w:hAnsi="Times New Roman" w:cs="Times New Roman"/>
          <w:noProof/>
          <w:sz w:val="24"/>
          <w:szCs w:val="24"/>
        </w:rPr>
        <w:t>As from 2004, expenditure on rural development has been grouped under the chapter 0504.</w:t>
      </w:r>
      <w:r>
        <w:rPr>
          <w:rStyle w:val="FootnoteReference"/>
          <w:noProof/>
        </w:rPr>
        <w:t xml:space="preserve"> </w:t>
      </w:r>
      <w:r>
        <w:rPr>
          <w:rFonts w:ascii="Times New Roman" w:hAnsi="Times New Roman" w:cs="Times New Roman"/>
          <w:noProof/>
          <w:sz w:val="24"/>
          <w:szCs w:val="24"/>
        </w:rPr>
        <w:t>Within this context, the titles B050405 (as from 2007) and B050460 (as from 2014) refer to European Agricultural Fund for Rural Development (EAFRD) funding.</w:t>
      </w:r>
      <w:r>
        <w:rPr>
          <w:rStyle w:val="FootnoteReference"/>
          <w:rFonts w:ascii="Times New Roman" w:hAnsi="Times New Roman" w:cs="Times New Roman"/>
          <w:noProof/>
        </w:rPr>
        <w:footnoteReference w:id="29"/>
      </w:r>
    </w:p>
    <w:p>
      <w:pPr>
        <w:pStyle w:val="FootnoteText"/>
        <w:spacing w:before="120" w:line="276" w:lineRule="auto"/>
        <w:ind w:left="142"/>
        <w:jc w:val="both"/>
        <w:rPr>
          <w:rFonts w:ascii="Times New Roman" w:hAnsi="Times New Roman" w:cs="Times New Roman"/>
          <w:noProof/>
          <w:sz w:val="24"/>
          <w:szCs w:val="24"/>
        </w:rPr>
      </w:pPr>
      <w:r>
        <w:rPr>
          <w:rFonts w:ascii="Times New Roman" w:hAnsi="Times New Roman" w:cs="Times New Roman"/>
          <w:noProof/>
          <w:sz w:val="24"/>
          <w:szCs w:val="24"/>
        </w:rPr>
        <w:t>Between 2000 and 2003, rural development was financed through the budget line B01-4 (EAGGF Guarantee Section). The appropriations included in this Title were intended to cover expenditure on two types of rural development measures: (1) accompanying measures introduced in 1992 supplemented by less-favoured-areas scheme (2) modernisation and diversification schemes.</w:t>
      </w:r>
    </w:p>
    <w:p>
      <w:pPr>
        <w:pStyle w:val="FootnoteText"/>
        <w:spacing w:before="120" w:line="276" w:lineRule="auto"/>
        <w:ind w:left="142"/>
        <w:jc w:val="both"/>
        <w:rPr>
          <w:rFonts w:ascii="Times New Roman" w:hAnsi="Times New Roman" w:cs="Times New Roman"/>
          <w:noProof/>
          <w:sz w:val="24"/>
          <w:szCs w:val="24"/>
        </w:rPr>
      </w:pPr>
      <w:r>
        <w:rPr>
          <w:rFonts w:ascii="Times New Roman" w:hAnsi="Times New Roman" w:cs="Times New Roman"/>
          <w:noProof/>
          <w:sz w:val="24"/>
          <w:szCs w:val="24"/>
        </w:rPr>
        <w:t>Before 2000, there was no explicit reference to rural development in the budget, but line B01-50 (EAGGF Guarantee Section) covered expenditure on accompanying measures, similar to B01-4 in 2000-2003.</w:t>
      </w:r>
    </w:p>
    <w:p>
      <w:pPr>
        <w:pStyle w:val="ListParagraph"/>
        <w:numPr>
          <w:ilvl w:val="0"/>
          <w:numId w:val="21"/>
        </w:numPr>
        <w:spacing w:before="120" w:after="0" w:line="276" w:lineRule="auto"/>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SA, where the budget line/post does not contain RD budget codes, but only SA budget codes (all the others).</w:t>
      </w:r>
      <w:r>
        <w:rPr>
          <w:rStyle w:val="FootnoteReference"/>
          <w:noProof/>
        </w:rPr>
        <w:t xml:space="preserve"> </w:t>
      </w:r>
      <w:r>
        <w:rPr>
          <w:rStyle w:val="FootnoteReference"/>
          <w:noProof/>
        </w:rPr>
        <w:footnoteReference w:id="30"/>
      </w:r>
      <w:r>
        <w:rPr>
          <w:rFonts w:ascii="Times New Roman" w:hAnsi="Times New Roman" w:cs="Times New Roman"/>
          <w:noProof/>
          <w:sz w:val="24"/>
          <w:szCs w:val="24"/>
        </w:rPr>
        <w:t xml:space="preserve"> In addition, it has been considered that there are 112 irregularities where the field 'Fund' makes reference to the European Agriculture Guarantee Fund (EAGF) and the budget line/post is not specified. For these cases, it is not clear whether this expenditure financed rural development (from the EAGGF – guarantee section) or SA. In order to find the best possible classification for these cases, the following hypothesis has been made. As from 2007, the EARDF has been created to finance all measures concerning rural development. Consequently, if the budget years associated to an irregularity are from 2007 onwards, it seems to be unlikely that this irregularity is related to rural development, so it has been considered SA (80 cases). In case also the budget year is not mentioned, but the programming period mentioned in the relevant field is 2007-2013 or 2014-2020, the irregularity has also been considered SA (2 cases). The other irregularities (30 cases) have been classified as BLANK. </w:t>
      </w:r>
    </w:p>
    <w:p>
      <w:pPr>
        <w:pStyle w:val="ListParagraph"/>
        <w:spacing w:before="120" w:after="0"/>
        <w:ind w:left="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SA includes expenditure in relation to intervention in agricultural markets and direct payments to farmers.</w:t>
      </w:r>
    </w:p>
    <w:p>
      <w:pPr>
        <w:pStyle w:val="ListParagraph"/>
        <w:numPr>
          <w:ilvl w:val="0"/>
          <w:numId w:val="21"/>
        </w:numPr>
        <w:spacing w:before="120" w:after="0" w:line="276" w:lineRule="auto"/>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'SA/RD', where they concern both types of expenditure (RD and SA budget codes)</w:t>
      </w:r>
      <w:r>
        <w:rPr>
          <w:rStyle w:val="FootnoteReference"/>
          <w:noProof/>
        </w:rPr>
        <w:footnoteReference w:id="31"/>
      </w:r>
      <w:r>
        <w:rPr>
          <w:rFonts w:ascii="Times New Roman" w:hAnsi="Times New Roman" w:cs="Times New Roman"/>
          <w:noProof/>
          <w:sz w:val="24"/>
          <w:szCs w:val="24"/>
        </w:rPr>
        <w:t>. In addition, it has been considered that there are 116 irregularities where the field 'Fund' makes reference to 'EAGF/EARDF', but the budget line/post is not specified. For these cases, it is not clear whether this expenditure financed only rural development (before from the EAGGF – guarantee section and then from EARDF) or both rural development (EARDF) and SA (EAGF). In order to find the best possible classification for these cases, the following hypothesis has been made. As from 2007, the EARDF has been created to finance all measures concerning rural development. Consequently, if the budget years associate to an irregularity are from 2007 onwards only , it seems to be likely that there is also an SA component in the expenditure related to the irregularity (because EAGF is more likely to point to an SA item of expenditure) so the irregularity has been considered MIX (66 cases). In case also the budget year is not mentioned, but the programming period is 2007-2013 or 2014-2020, the irregularity has also been considered MIX (36 cases). The other irregularities (14 cases) have been classified as BLANK.</w:t>
      </w:r>
    </w:p>
    <w:p>
      <w:pPr>
        <w:pStyle w:val="ListParagraph"/>
        <w:numPr>
          <w:ilvl w:val="0"/>
          <w:numId w:val="21"/>
        </w:numPr>
        <w:spacing w:before="120" w:after="0" w:line="276" w:lineRule="auto"/>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'BLANK', where information has not been considered enough to assign the case to RD, SA or SA/RD</w:t>
      </w:r>
      <w:r>
        <w:rPr>
          <w:rStyle w:val="FootnoteReference"/>
          <w:noProof/>
        </w:rPr>
        <w:footnoteReference w:id="32"/>
      </w:r>
      <w:r>
        <w:rPr>
          <w:rFonts w:ascii="Times New Roman" w:hAnsi="Times New Roman" w:cs="Times New Roman"/>
          <w:b/>
          <w:noProof/>
          <w:sz w:val="24"/>
          <w:szCs w:val="24"/>
        </w:rPr>
        <w:t xml:space="preserve">. </w:t>
      </w:r>
    </w:p>
    <w:p>
      <w:pPr>
        <w:pStyle w:val="Text1"/>
        <w:spacing w:after="0"/>
        <w:ind w:left="0"/>
        <w:rPr>
          <w:noProof/>
          <w:szCs w:val="24"/>
        </w:rPr>
      </w:pPr>
      <w:r>
        <w:rPr>
          <w:noProof/>
          <w:szCs w:val="24"/>
        </w:rPr>
        <w:t>Some parts of the analysis in Section 3 'Common Agricultural Policy' separately focus on ' Interventions in agricultural markets' (or 'Market measures') and 'Direct payments'.</w:t>
      </w:r>
    </w:p>
    <w:p>
      <w:pPr>
        <w:spacing w:before="120" w:after="0"/>
        <w:jc w:val="both"/>
        <w:rPr>
          <w:rFonts w:ascii="Times New Roman" w:hAnsi="Times New Roman" w:cs="Times New Roman"/>
          <w:noProof/>
          <w:sz w:val="24"/>
          <w:szCs w:val="24"/>
        </w:rPr>
      </w:pPr>
      <w:r>
        <w:rPr>
          <w:rFonts w:ascii="Times New Roman" w:hAnsi="Times New Roman" w:cs="Times New Roman"/>
          <w:noProof/>
          <w:sz w:val="24"/>
          <w:szCs w:val="24"/>
        </w:rPr>
        <w:t>In fact, as from 2006, support to agriculture is structured along 2 main chapters:</w:t>
      </w:r>
      <w:r>
        <w:rPr>
          <w:rStyle w:val="FootnoteReference"/>
          <w:noProof/>
        </w:rPr>
        <w:footnoteReference w:id="33"/>
      </w:r>
    </w:p>
    <w:p>
      <w:pPr>
        <w:pStyle w:val="ListParagraph"/>
        <w:numPr>
          <w:ilvl w:val="0"/>
          <w:numId w:val="20"/>
        </w:numPr>
        <w:spacing w:before="120" w:after="0" w:line="276" w:lineRule="auto"/>
        <w:ind w:left="142" w:hanging="142"/>
        <w:jc w:val="both"/>
        <w:rPr>
          <w:rFonts w:ascii="Times New Roman" w:hAnsi="Times New Roman" w:cs="Times New Roman"/>
          <w:noProof/>
          <w:sz w:val="24"/>
          <w:szCs w:val="24"/>
        </w:rPr>
      </w:pPr>
      <w:r>
        <w:rPr>
          <w:rFonts w:ascii="Times New Roman" w:hAnsi="Times New Roman" w:cs="Times New Roman"/>
          <w:noProof/>
          <w:sz w:val="24"/>
          <w:szCs w:val="24"/>
        </w:rPr>
        <w:t>Chapter 0502 'Interventions in agricultural markets';</w:t>
      </w:r>
    </w:p>
    <w:p>
      <w:pPr>
        <w:pStyle w:val="ListParagraph"/>
        <w:numPr>
          <w:ilvl w:val="0"/>
          <w:numId w:val="20"/>
        </w:numPr>
        <w:spacing w:before="120" w:after="0" w:line="276" w:lineRule="auto"/>
        <w:ind w:left="142" w:hanging="142"/>
        <w:jc w:val="both"/>
        <w:rPr>
          <w:rFonts w:ascii="Times New Roman" w:hAnsi="Times New Roman" w:cs="Times New Roman"/>
          <w:noProof/>
          <w:sz w:val="24"/>
          <w:szCs w:val="24"/>
        </w:rPr>
      </w:pPr>
      <w:r>
        <w:rPr>
          <w:rFonts w:ascii="Times New Roman" w:hAnsi="Times New Roman" w:cs="Times New Roman"/>
          <w:noProof/>
          <w:sz w:val="24"/>
          <w:szCs w:val="24"/>
        </w:rPr>
        <w:t>Chapter 0503 'Direct aids'.</w:t>
      </w:r>
    </w:p>
    <w:p>
      <w:pPr>
        <w:pStyle w:val="Text1"/>
        <w:spacing w:after="0"/>
        <w:ind w:left="0"/>
        <w:rPr>
          <w:noProof/>
          <w:szCs w:val="24"/>
        </w:rPr>
      </w:pPr>
      <w:r>
        <w:rPr>
          <w:noProof/>
          <w:szCs w:val="24"/>
        </w:rPr>
        <w:t>To the purpose of the analysis in Section 3 'Common Agricultural Policy', cases are classified:</w:t>
      </w:r>
    </w:p>
    <w:p>
      <w:pPr>
        <w:pStyle w:val="ListParagraph"/>
        <w:numPr>
          <w:ilvl w:val="0"/>
          <w:numId w:val="21"/>
        </w:numPr>
        <w:spacing w:before="120" w:after="0" w:line="276" w:lineRule="auto"/>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'Market measures', where they concern expenditure on Budget lines/posts which contain the code '502', as from the 2006 EU Budget (the same case may concern also other areas, including rural development or direct payments);</w:t>
      </w:r>
    </w:p>
    <w:p>
      <w:pPr>
        <w:pStyle w:val="ListParagraph"/>
        <w:numPr>
          <w:ilvl w:val="0"/>
          <w:numId w:val="21"/>
        </w:numPr>
        <w:spacing w:before="120" w:after="0" w:line="276" w:lineRule="auto"/>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'Direct payments', where they concern expenditure on Budget lines/posts which contain the code '503', as from the 2006 EU Budget (the same case may concern also other areas, including RD or market measures).</w:t>
      </w:r>
    </w:p>
    <w:p>
      <w:pPr>
        <w:spacing w:before="120" w:after="0"/>
        <w:jc w:val="both"/>
        <w:rPr>
          <w:rFonts w:ascii="Times New Roman" w:hAnsi="Times New Roman" w:cs="Times New Roman"/>
          <w:noProof/>
          <w:sz w:val="24"/>
          <w:szCs w:val="24"/>
        </w:rPr>
      </w:pPr>
      <w:r>
        <w:rPr>
          <w:rFonts w:ascii="Times New Roman" w:hAnsi="Times New Roman" w:cs="Times New Roman"/>
          <w:noProof/>
          <w:sz w:val="24"/>
          <w:szCs w:val="24"/>
        </w:rPr>
        <w:t>Cases concerning only expenditure in 2005 or before are not considered 'Market measures' or 'direct payments'. Before 2006, the EU Budget had a different structure:</w:t>
      </w:r>
    </w:p>
    <w:p>
      <w:pPr>
        <w:pStyle w:val="ListParagraph"/>
        <w:numPr>
          <w:ilvl w:val="0"/>
          <w:numId w:val="20"/>
        </w:numPr>
        <w:spacing w:before="120" w:after="0" w:line="276" w:lineRule="auto"/>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In 2004 and 2005, the chapters 0502 and 0503 referred respectively to 'Plant products' and 'Animal products'; </w:t>
      </w:r>
    </w:p>
    <w:p>
      <w:pPr>
        <w:pStyle w:val="ListParagraph"/>
        <w:numPr>
          <w:ilvl w:val="0"/>
          <w:numId w:val="20"/>
        </w:numPr>
        <w:spacing w:before="120" w:after="0" w:line="276" w:lineRule="auto"/>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Before 2004, subsection B01 covered the Guarantee section of the EAGG fund and was split, among others</w:t>
      </w:r>
      <w:r>
        <w:rPr>
          <w:rStyle w:val="FootnoteReference"/>
          <w:noProof/>
        </w:rPr>
        <w:footnoteReference w:id="34"/>
      </w:r>
      <w:r>
        <w:rPr>
          <w:rFonts w:ascii="Times New Roman" w:hAnsi="Times New Roman" w:cs="Times New Roman"/>
          <w:noProof/>
          <w:sz w:val="24"/>
          <w:szCs w:val="24"/>
        </w:rPr>
        <w:t>, in:</w:t>
      </w:r>
    </w:p>
    <w:p>
      <w:pPr>
        <w:pStyle w:val="ListParagraph"/>
        <w:numPr>
          <w:ilvl w:val="1"/>
          <w:numId w:val="20"/>
        </w:numPr>
        <w:spacing w:before="120" w:after="0" w:line="276" w:lineRule="auto"/>
        <w:ind w:left="426" w:hanging="284"/>
        <w:contextualSpacing w:val="0"/>
        <w:jc w:val="both"/>
        <w:rPr>
          <w:rFonts w:ascii="Times New Roman" w:hAnsi="Times New Roman" w:cs="Times New Roman"/>
          <w:noProof/>
          <w:sz w:val="24"/>
          <w:szCs w:val="24"/>
        </w:rPr>
      </w:pPr>
      <w:r>
        <w:rPr>
          <w:rFonts w:ascii="Times New Roman" w:hAnsi="Times New Roman" w:cs="Times New Roman"/>
          <w:noProof/>
          <w:sz w:val="24"/>
          <w:szCs w:val="24"/>
        </w:rPr>
        <w:t>B01-1 'Plant products';</w:t>
      </w:r>
    </w:p>
    <w:p>
      <w:pPr>
        <w:pStyle w:val="ListParagraph"/>
        <w:numPr>
          <w:ilvl w:val="1"/>
          <w:numId w:val="20"/>
        </w:numPr>
        <w:spacing w:before="120" w:after="0" w:line="276" w:lineRule="auto"/>
        <w:ind w:left="426" w:hanging="284"/>
        <w:contextualSpacing w:val="0"/>
        <w:jc w:val="both"/>
        <w:rPr>
          <w:rFonts w:ascii="Times New Roman" w:hAnsi="Times New Roman" w:cs="Times New Roman"/>
          <w:noProof/>
          <w:sz w:val="24"/>
          <w:szCs w:val="24"/>
        </w:rPr>
      </w:pPr>
      <w:r>
        <w:rPr>
          <w:rFonts w:ascii="Times New Roman" w:hAnsi="Times New Roman" w:cs="Times New Roman"/>
          <w:noProof/>
          <w:sz w:val="24"/>
          <w:szCs w:val="24"/>
        </w:rPr>
        <w:t>B01-2 'Animal products'.</w:t>
      </w:r>
    </w:p>
    <w:p>
      <w:pPr>
        <w:rPr>
          <w:noProof/>
        </w:rPr>
      </w:pPr>
    </w:p>
    <w:p>
      <w:pPr>
        <w:rPr>
          <w:noProof/>
          <w:color w:val="FF0000"/>
        </w:rPr>
      </w:pPr>
      <w:r>
        <w:rPr>
          <w:noProof/>
          <w:color w:val="FF0000"/>
        </w:rPr>
        <w:br w:type="page"/>
      </w:r>
    </w:p>
    <w:p>
      <w:pPr>
        <w:tabs>
          <w:tab w:val="left" w:pos="3261"/>
        </w:tabs>
        <w:spacing w:after="0" w:line="240" w:lineRule="auto"/>
        <w:jc w:val="center"/>
        <w:rPr>
          <w:noProof/>
          <w:sz w:val="32"/>
          <w:szCs w:val="32"/>
        </w:rPr>
      </w:pPr>
      <w:r>
        <w:rPr>
          <w:rFonts w:ascii="Times New Roman" w:hAnsi="Times New Roman" w:cs="Times New Roman"/>
          <w:b/>
          <w:noProof/>
          <w:sz w:val="32"/>
          <w:szCs w:val="32"/>
        </w:rPr>
        <w:t>ANNEX 13</w:t>
      </w:r>
    </w:p>
    <w:p>
      <w:pPr>
        <w:tabs>
          <w:tab w:val="left" w:pos="3261"/>
        </w:tabs>
        <w:spacing w:after="0" w:line="240" w:lineRule="auto"/>
        <w:jc w:val="center"/>
        <w:rPr>
          <w:i/>
          <w:noProof/>
          <w:sz w:val="32"/>
          <w:szCs w:val="32"/>
        </w:rPr>
      </w:pPr>
      <w:r>
        <w:rPr>
          <w:rFonts w:ascii="Times New Roman" w:hAnsi="Times New Roman" w:cs="Times New Roman"/>
          <w:i/>
          <w:noProof/>
          <w:sz w:val="32"/>
          <w:szCs w:val="32"/>
        </w:rPr>
        <w:t>Categories of irregularities and related types</w:t>
      </w:r>
    </w:p>
    <w:p>
      <w:pPr>
        <w:pStyle w:val="Text1"/>
        <w:ind w:left="0"/>
        <w:rPr>
          <w:i/>
          <w:noProof/>
        </w:rPr>
      </w:pPr>
      <w:r>
        <w:rPr>
          <w:i/>
          <w:noProof/>
        </w:rPr>
        <w:t>Tables NR12-NR15, PA9, PA10</w:t>
      </w:r>
    </w:p>
    <w:p>
      <w:pPr>
        <w:pStyle w:val="Text1"/>
        <w:ind w:left="0"/>
        <w:rPr>
          <w:noProof/>
        </w:rPr>
      </w:pPr>
      <w:r>
        <w:rPr>
          <w:noProof/>
        </w:rPr>
        <w:t>The categories used in Tables NR12-NR15, PA9, PA10 are as follows:</w:t>
      </w:r>
    </w:p>
    <w:tbl>
      <w:tblPr>
        <w:tblW w:w="0" w:type="auto"/>
        <w:jc w:val="center"/>
        <w:tblLook w:val="04A0" w:firstRow="1" w:lastRow="0" w:firstColumn="1" w:lastColumn="0" w:noHBand="0" w:noVBand="1"/>
      </w:tblPr>
      <w:tblGrid>
        <w:gridCol w:w="993"/>
        <w:gridCol w:w="1896"/>
        <w:gridCol w:w="6245"/>
      </w:tblGrid>
      <w:tr>
        <w:trPr>
          <w:jc w:val="center"/>
        </w:trPr>
        <w:tc>
          <w:tcPr>
            <w:tcW w:w="993" w:type="dxa"/>
            <w:tcBorders>
              <w:top w:val="single" w:sz="4" w:space="0" w:color="auto"/>
              <w:left w:val="single" w:sz="4" w:space="0" w:color="auto"/>
              <w:bottom w:val="single" w:sz="4" w:space="0" w:color="auto"/>
              <w:right w:val="single" w:sz="4" w:space="0" w:color="auto"/>
            </w:tcBorders>
          </w:tcPr>
          <w:p>
            <w:pPr>
              <w:pStyle w:val="Text1"/>
              <w:ind w:left="0"/>
              <w:jc w:val="center"/>
              <w:rPr>
                <w:b/>
                <w:noProof/>
                <w:sz w:val="18"/>
                <w:szCs w:val="18"/>
              </w:rPr>
            </w:pPr>
            <w:r>
              <w:rPr>
                <w:b/>
                <w:noProof/>
                <w:sz w:val="18"/>
                <w:szCs w:val="18"/>
              </w:rPr>
              <w:t>Code</w:t>
            </w:r>
          </w:p>
        </w:tc>
        <w:tc>
          <w:tcPr>
            <w:tcW w:w="1896" w:type="dxa"/>
            <w:tcBorders>
              <w:top w:val="single" w:sz="4" w:space="0" w:color="auto"/>
              <w:left w:val="single" w:sz="4" w:space="0" w:color="auto"/>
              <w:bottom w:val="single" w:sz="4" w:space="0" w:color="auto"/>
              <w:right w:val="single" w:sz="4" w:space="0" w:color="auto"/>
            </w:tcBorders>
          </w:tcPr>
          <w:p>
            <w:pPr>
              <w:pStyle w:val="Text1"/>
              <w:ind w:left="0"/>
              <w:jc w:val="center"/>
              <w:rPr>
                <w:b/>
                <w:noProof/>
                <w:sz w:val="18"/>
                <w:szCs w:val="18"/>
              </w:rPr>
            </w:pPr>
            <w:r>
              <w:rPr>
                <w:b/>
                <w:noProof/>
                <w:sz w:val="18"/>
                <w:szCs w:val="18"/>
              </w:rPr>
              <w:t>Category</w:t>
            </w:r>
          </w:p>
        </w:tc>
        <w:tc>
          <w:tcPr>
            <w:tcW w:w="6245" w:type="dxa"/>
            <w:tcBorders>
              <w:top w:val="single" w:sz="4" w:space="0" w:color="auto"/>
              <w:left w:val="single" w:sz="4" w:space="0" w:color="auto"/>
              <w:bottom w:val="single" w:sz="4" w:space="0" w:color="auto"/>
              <w:right w:val="single" w:sz="4" w:space="0" w:color="auto"/>
            </w:tcBorders>
          </w:tcPr>
          <w:p>
            <w:pPr>
              <w:pStyle w:val="Text1"/>
              <w:ind w:left="0"/>
              <w:jc w:val="center"/>
              <w:rPr>
                <w:b/>
                <w:noProof/>
                <w:sz w:val="18"/>
                <w:szCs w:val="18"/>
              </w:rPr>
            </w:pPr>
            <w:r>
              <w:rPr>
                <w:b/>
                <w:noProof/>
                <w:sz w:val="18"/>
                <w:szCs w:val="18"/>
              </w:rPr>
              <w:t>Type</w:t>
            </w:r>
          </w:p>
        </w:tc>
      </w:tr>
      <w:tr>
        <w:trPr>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T11</w:t>
            </w:r>
          </w:p>
        </w:tc>
        <w:tc>
          <w:tcPr>
            <w:tcW w:w="1896"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Request</w:t>
            </w:r>
          </w:p>
        </w:tc>
        <w:tc>
          <w:tcPr>
            <w:tcW w:w="6245" w:type="dxa"/>
            <w:tcBorders>
              <w:top w:val="single" w:sz="4" w:space="0" w:color="auto"/>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T11/00: Incorrect or incomplete request for aid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T11/01: False or falsified request for aid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T11/02:Product, species, project and/or activity not eligible for aid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T11/03: Incompatible cumulation of aid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T11/04: Several requests for the same product, species, project and/or activity</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T11/99: Other</w:t>
            </w:r>
          </w:p>
        </w:tc>
      </w:tr>
      <w:tr>
        <w:trPr>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T12</w:t>
            </w:r>
          </w:p>
        </w:tc>
        <w:tc>
          <w:tcPr>
            <w:tcW w:w="1896"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Beneficiary</w:t>
            </w: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T12/00: Incorrect identity operator/beneficiary</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T12/01: Non-existent operator/beneficiary</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T12/02: Misdescription of the holding</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T12/03: Operator/beneficiary not having the required quality</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T12/99: Other</w:t>
            </w:r>
          </w:p>
        </w:tc>
      </w:tr>
      <w:tr>
        <w:trPr>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T13</w:t>
            </w:r>
          </w:p>
        </w:tc>
        <w:tc>
          <w:tcPr>
            <w:tcW w:w="1896"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Accounts and records</w:t>
            </w: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T13/00: Incomplete accounts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T13/01: Incorrect accounts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T13/02: Falsified accounts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T13/03: Accounts not presented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T13/04: Absence of accounts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T13/05: Calculation errors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T13/06: Revenues not declared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T13/99: Other</w:t>
            </w:r>
          </w:p>
        </w:tc>
      </w:tr>
      <w:tr>
        <w:trPr>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T14</w:t>
            </w:r>
          </w:p>
        </w:tc>
        <w:tc>
          <w:tcPr>
            <w:tcW w:w="1896"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Documentary proof</w:t>
            </w: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T14/00: Documents missing and/or not provided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T14/01: Documents incomplete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T14/02: Documents incorrect</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T14/03: Documents provided too late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T14/04: Documents false and/or falsified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T14/99: Other</w:t>
            </w:r>
          </w:p>
        </w:tc>
      </w:tr>
      <w:tr>
        <w:trPr>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T15</w:t>
            </w:r>
          </w:p>
        </w:tc>
        <w:tc>
          <w:tcPr>
            <w:tcW w:w="1896"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Product, species and/or land</w:t>
            </w: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T15/00: Over or under production</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T15/01: Inexact composition</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T15/02: Inexact origin</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T15/03: Inaccurate value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T15/04: Inexact quantity</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T15/05: Variation in quality or content</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T15/06: Quantities outside permitted limits, quotas, thresholds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T15/07: Unauthorised substitution or exchange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T15/08: Unauthorised addition or mixture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T15/09: Unauthorised use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T15/10: Falsification of the product</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T15/11: Incorrect storage or handling</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T15/12: Fictitious use or processing</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T15/13: Incorrect classification (incl. incorrect tariff heading)</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T15/14: Overdeclaration and/or declaration of ficticious product, species and/or land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T15/99: Other</w:t>
            </w:r>
          </w:p>
        </w:tc>
      </w:tr>
      <w:tr>
        <w:trPr>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T16</w:t>
            </w:r>
          </w:p>
        </w:tc>
        <w:tc>
          <w:tcPr>
            <w:tcW w:w="1896"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(Non-)action</w:t>
            </w: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T16/00: Action not implemented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T16/01: Action not completed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T16/02: Operation prohibited during the measure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T16/03: Failure to respect deadlines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T16/04: Irregular termination, sale or reduction</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T16/05: Absence of identification, marking, etc.</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T16/06: Refusal of control, audit, scrutiny etc.</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T16/07: Control, audit, scrutiny etc. not carried out in accordance with regulations, rules, plan etc.</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T16/08: Infringement of rules concerned with public procurement</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T16/09: Infringements with regard to the cofinancing system</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T16/10: Refusal to repay not spent or unduly paid amount</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T16/99: Other</w:t>
            </w:r>
          </w:p>
        </w:tc>
      </w:tr>
      <w:tr>
        <w:trPr>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T17</w:t>
            </w:r>
          </w:p>
        </w:tc>
        <w:tc>
          <w:tcPr>
            <w:tcW w:w="1896"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Movement</w:t>
            </w: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T17/00: Irregularities in connection with final destination (change of, non arrival at, etc.)</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T17/01: Fictitious movement</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T17/99: Other</w:t>
            </w:r>
          </w:p>
        </w:tc>
      </w:tr>
      <w:tr>
        <w:trPr>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T18</w:t>
            </w:r>
          </w:p>
        </w:tc>
        <w:tc>
          <w:tcPr>
            <w:tcW w:w="1896"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Bankruptcy</w:t>
            </w: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T18/00: Legal persons - liquidation</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T18/01: Legal persons - reorganisation to structure debt</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T18/02: Natural persons - repayment plan</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T18/03: Natural persons - repayment plan not possible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T18/99: Other</w:t>
            </w:r>
          </w:p>
        </w:tc>
      </w:tr>
      <w:tr>
        <w:trPr>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T19</w:t>
            </w:r>
          </w:p>
        </w:tc>
        <w:tc>
          <w:tcPr>
            <w:tcW w:w="1896"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Ethics and integrity</w:t>
            </w: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T19/00: Conflict of interest</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T19/01: Bribery - passive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T19/02: Bribery - active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T19/03: Corruption</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T19/04: Corruption - passive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T19/05: Corruption - active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T19/99: Other irregularities concerning integrity and ethics</w:t>
            </w:r>
          </w:p>
        </w:tc>
      </w:tr>
      <w:tr>
        <w:trPr>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T40</w:t>
            </w:r>
          </w:p>
        </w:tc>
        <w:tc>
          <w:tcPr>
            <w:tcW w:w="1896"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 xml:space="preserve">Public procurement </w:t>
            </w:r>
            <w:r>
              <w:rPr>
                <w:rFonts w:ascii="Times New Roman" w:hAnsi="Times New Roman" w:cs="Times New Roman"/>
                <w:noProof/>
                <w:color w:val="000000"/>
                <w:sz w:val="16"/>
                <w:szCs w:val="16"/>
              </w:rPr>
              <w:t>(see annex Commission Decision C(2013)9527)</w:t>
            </w: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T40/01: Lack of publication of contract notice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T40/02: Artificial splitting of works/services/supplies contracts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T40/03: Non-compliance with - time limits for receipt of tenders; or - time limits for receipt of requests to participate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T40/04: Insufficient time for potential tenderers/candidates to obtain tender documentation</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T40/05: Lack of publication of -extended time limits for receipt of tenders; or - extended time limits for receipt of requests to participate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T40/06: Cases not justifying the use of the negotiated procedure with prior publication of a contract notice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T40/07: For the award of contracts in the field of defence and security falling under directive 2009/81/EC specifically, inadequate justification for the lack of publication of a contract notice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T40/08: Failure to state: - the selection criteria in the contract notice; and/or - the award criteria (and their weighting) in the contract notice or in the tender specifications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T40/09: Unlawful and/or discriminatory selection and/or award criteria laid down in the contract notice or tender documents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T40/10: Selection criteria not related and proportionate to the subject-matter of the contract</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T40/11: Discriminatory technical specifications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T40/12: Insufficient definition of the subject-matter of the contract</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T40/13: Modification of selection criteria after opening of tenders, resulting in incorrect acceptance of tenderers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T40/14: Modification of selection criteria after opening of tenders, resulting in incorrect rejection of tenderers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T40/15: Evaluation of tenderers/candidates using unlawful selection or award criteria</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T40/16: Lack of transparency and/or equal treatment during evaluation</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T40/17: Modification of a tender during evaluation</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T40/18: Negotiation during the award procedure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T40/19: Negotiated procedure with prior publication of a contract notice with substantial modification of the conditions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T40/20: Rejection of abnormally low tenders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T40/21: Conflict of interest</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T40/22: Substantial modification of the contract elements set out in the contract notice or tender specifications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T40/23: Reduction in the scope of the contract</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T40/24: Award of additional works/services/supplies contracts without competition</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T40/25: Additional works or services exceeding the limit laid down in the relevant provisions</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T40/99: Other</w:t>
            </w:r>
          </w:p>
        </w:tc>
      </w:tr>
      <w:tr>
        <w:trPr>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T50</w:t>
            </w:r>
          </w:p>
        </w:tc>
        <w:tc>
          <w:tcPr>
            <w:tcW w:w="1896"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State aid</w:t>
            </w: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T50/01: Failure to notify State Aid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T50/02:Wrong aid scheme applied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T50/03:Misapplication of the aid scheme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T50/04:Monitoring requirements not fulfilled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T50/05:Reference investment not taken into account in the applicable aid scheme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T50/06:No consideration of revenue in the applicable aid scheme</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T50/07:No respect of the incentive effect of the aid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T50/08:Aid intensity not respected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T50/09:De Minimis threshold exceeded</w:t>
            </w:r>
          </w:p>
        </w:tc>
      </w:tr>
      <w:tr>
        <w:trPr>
          <w:jc w:val="center"/>
        </w:trPr>
        <w:tc>
          <w:tcPr>
            <w:tcW w:w="993"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1896" w:type="dxa"/>
            <w:vMerge/>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p>
        </w:tc>
        <w:tc>
          <w:tcPr>
            <w:tcW w:w="6245" w:type="dxa"/>
            <w:tcBorders>
              <w:left w:val="single" w:sz="4" w:space="0" w:color="auto"/>
            </w:tcBorders>
            <w:vAlign w:val="bottom"/>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T50/99:Other State aid</w:t>
            </w:r>
          </w:p>
        </w:tc>
      </w:tr>
      <w:tr>
        <w:trPr>
          <w:jc w:val="center"/>
        </w:trPr>
        <w:tc>
          <w:tcPr>
            <w:tcW w:w="993"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T90</w:t>
            </w:r>
          </w:p>
        </w:tc>
        <w:tc>
          <w:tcPr>
            <w:tcW w:w="189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color w:val="000000"/>
                <w:sz w:val="18"/>
                <w:szCs w:val="18"/>
              </w:rPr>
            </w:pPr>
            <w:r>
              <w:rPr>
                <w:rFonts w:ascii="Times New Roman" w:hAnsi="Times New Roman" w:cs="Times New Roman"/>
                <w:noProof/>
                <w:color w:val="000000"/>
                <w:sz w:val="18"/>
                <w:szCs w:val="18"/>
              </w:rPr>
              <w:t>Other</w:t>
            </w:r>
          </w:p>
        </w:tc>
        <w:tc>
          <w:tcPr>
            <w:tcW w:w="6245" w:type="dxa"/>
            <w:tcBorders>
              <w:left w:val="single" w:sz="4" w:space="0" w:color="auto"/>
            </w:tcBorders>
          </w:tcPr>
          <w:p>
            <w:pPr>
              <w:rPr>
                <w:rFonts w:ascii="Times New Roman" w:hAnsi="Times New Roman" w:cs="Times New Roman"/>
                <w:noProof/>
                <w:color w:val="000000"/>
                <w:sz w:val="18"/>
                <w:szCs w:val="18"/>
              </w:rPr>
            </w:pPr>
            <w:r>
              <w:rPr>
                <w:rFonts w:ascii="Times New Roman" w:hAnsi="Times New Roman" w:cs="Times New Roman"/>
                <w:noProof/>
                <w:color w:val="000000"/>
                <w:sz w:val="18"/>
                <w:szCs w:val="18"/>
              </w:rPr>
              <w:t>T90/99: Other irregularities</w:t>
            </w:r>
          </w:p>
        </w:tc>
      </w:tr>
    </w:tbl>
    <w:p>
      <w:pPr>
        <w:pStyle w:val="Text1"/>
        <w:ind w:left="0"/>
        <w:rPr>
          <w:i/>
          <w:noProof/>
        </w:rPr>
      </w:pPr>
      <w:r>
        <w:rPr>
          <w:i/>
          <w:noProof/>
        </w:rPr>
        <w:t>Tables CP14, CP15, CP25, CP26</w:t>
      </w:r>
    </w:p>
    <w:p>
      <w:pPr>
        <w:pStyle w:val="Text1"/>
        <w:ind w:left="0"/>
        <w:rPr>
          <w:noProof/>
        </w:rPr>
      </w:pPr>
      <w:r>
        <w:rPr>
          <w:noProof/>
        </w:rPr>
        <w:t>The categories used in Tables CP14, CP15, CP25, CP26 are built as follows:</w:t>
      </w:r>
    </w:p>
    <w:p>
      <w:pPr>
        <w:pStyle w:val="Text1"/>
        <w:numPr>
          <w:ilvl w:val="0"/>
          <w:numId w:val="24"/>
        </w:numPr>
        <w:spacing w:before="60" w:after="0"/>
        <w:ind w:left="142" w:hanging="142"/>
        <w:rPr>
          <w:noProof/>
          <w:sz w:val="20"/>
          <w:szCs w:val="20"/>
        </w:rPr>
      </w:pPr>
      <w:r>
        <w:rPr>
          <w:noProof/>
        </w:rPr>
        <w:t xml:space="preserve">Infringements concerning the request: </w:t>
      </w:r>
      <w:r>
        <w:rPr>
          <w:noProof/>
          <w:sz w:val="20"/>
          <w:szCs w:val="20"/>
        </w:rPr>
        <w:t>T11/00, T11/01, T11/99</w:t>
      </w:r>
    </w:p>
    <w:p>
      <w:pPr>
        <w:pStyle w:val="Text1"/>
        <w:numPr>
          <w:ilvl w:val="0"/>
          <w:numId w:val="24"/>
        </w:numPr>
        <w:spacing w:before="60" w:after="0"/>
        <w:ind w:left="142" w:hanging="142"/>
        <w:rPr>
          <w:noProof/>
          <w:sz w:val="20"/>
          <w:szCs w:val="20"/>
        </w:rPr>
      </w:pPr>
      <w:r>
        <w:rPr>
          <w:noProof/>
        </w:rPr>
        <w:t xml:space="preserve">Eligibility / Legitimacy of expenditure/measure: </w:t>
      </w:r>
      <w:r>
        <w:rPr>
          <w:noProof/>
          <w:sz w:val="20"/>
          <w:szCs w:val="20"/>
        </w:rPr>
        <w:t>T11/02</w:t>
      </w:r>
    </w:p>
    <w:p>
      <w:pPr>
        <w:pStyle w:val="Text1"/>
        <w:numPr>
          <w:ilvl w:val="0"/>
          <w:numId w:val="24"/>
        </w:numPr>
        <w:spacing w:before="60" w:after="0"/>
        <w:ind w:left="142" w:hanging="142"/>
        <w:rPr>
          <w:noProof/>
          <w:sz w:val="20"/>
          <w:szCs w:val="20"/>
        </w:rPr>
      </w:pPr>
      <w:r>
        <w:rPr>
          <w:noProof/>
        </w:rPr>
        <w:t xml:space="preserve">Multiple financing: </w:t>
      </w:r>
      <w:r>
        <w:rPr>
          <w:noProof/>
          <w:sz w:val="20"/>
          <w:szCs w:val="20"/>
        </w:rPr>
        <w:t>T11/03, T11/04</w:t>
      </w:r>
    </w:p>
    <w:p>
      <w:pPr>
        <w:pStyle w:val="Text1"/>
        <w:numPr>
          <w:ilvl w:val="0"/>
          <w:numId w:val="24"/>
        </w:numPr>
        <w:spacing w:before="60" w:after="0"/>
        <w:ind w:left="142" w:hanging="142"/>
        <w:rPr>
          <w:noProof/>
          <w:sz w:val="20"/>
          <w:szCs w:val="20"/>
        </w:rPr>
      </w:pPr>
      <w:r>
        <w:rPr>
          <w:noProof/>
        </w:rPr>
        <w:t xml:space="preserve">Violations/breaches by the operator: </w:t>
      </w:r>
      <w:r>
        <w:rPr>
          <w:noProof/>
          <w:sz w:val="20"/>
          <w:szCs w:val="20"/>
        </w:rPr>
        <w:t>T12</w:t>
      </w:r>
    </w:p>
    <w:p>
      <w:pPr>
        <w:pStyle w:val="Text1"/>
        <w:numPr>
          <w:ilvl w:val="0"/>
          <w:numId w:val="24"/>
        </w:numPr>
        <w:spacing w:before="60" w:after="0"/>
        <w:ind w:left="142" w:hanging="142"/>
        <w:rPr>
          <w:noProof/>
          <w:sz w:val="20"/>
          <w:szCs w:val="20"/>
        </w:rPr>
      </w:pPr>
      <w:r>
        <w:rPr>
          <w:noProof/>
        </w:rPr>
        <w:t xml:space="preserve">Incorrect, absent, falsified accounts: </w:t>
      </w:r>
      <w:r>
        <w:rPr>
          <w:noProof/>
          <w:sz w:val="20"/>
          <w:szCs w:val="20"/>
        </w:rPr>
        <w:t>T13</w:t>
      </w:r>
    </w:p>
    <w:p>
      <w:pPr>
        <w:pStyle w:val="Text1"/>
        <w:numPr>
          <w:ilvl w:val="0"/>
          <w:numId w:val="24"/>
        </w:numPr>
        <w:spacing w:before="60" w:after="0"/>
        <w:ind w:left="142" w:hanging="142"/>
        <w:rPr>
          <w:noProof/>
          <w:sz w:val="20"/>
          <w:szCs w:val="20"/>
        </w:rPr>
      </w:pPr>
      <w:r>
        <w:rPr>
          <w:noProof/>
        </w:rPr>
        <w:t xml:space="preserve">Incorrect, missing, false or falsified supporting documents: </w:t>
      </w:r>
      <w:r>
        <w:rPr>
          <w:noProof/>
          <w:sz w:val="20"/>
          <w:szCs w:val="20"/>
        </w:rPr>
        <w:t>T14</w:t>
      </w:r>
    </w:p>
    <w:p>
      <w:pPr>
        <w:pStyle w:val="Text1"/>
        <w:numPr>
          <w:ilvl w:val="0"/>
          <w:numId w:val="24"/>
        </w:numPr>
        <w:spacing w:before="60" w:after="0"/>
        <w:ind w:left="142" w:hanging="142"/>
        <w:rPr>
          <w:noProof/>
          <w:sz w:val="20"/>
          <w:szCs w:val="20"/>
        </w:rPr>
      </w:pPr>
      <w:r>
        <w:rPr>
          <w:noProof/>
        </w:rPr>
        <w:t xml:space="preserve">Product, species and/or land: </w:t>
      </w:r>
      <w:r>
        <w:rPr>
          <w:noProof/>
          <w:sz w:val="20"/>
          <w:szCs w:val="20"/>
        </w:rPr>
        <w:t>T15</w:t>
      </w:r>
    </w:p>
    <w:p>
      <w:pPr>
        <w:pStyle w:val="Text1"/>
        <w:numPr>
          <w:ilvl w:val="0"/>
          <w:numId w:val="24"/>
        </w:numPr>
        <w:spacing w:before="60" w:after="0"/>
        <w:ind w:left="142" w:hanging="142"/>
        <w:rPr>
          <w:noProof/>
          <w:lang w:val="fr-BE"/>
        </w:rPr>
      </w:pPr>
      <w:r>
        <w:rPr>
          <w:noProof/>
          <w:lang w:val="fr-BE"/>
        </w:rPr>
        <w:t xml:space="preserve">Infringement of contract provisions/rules: </w:t>
      </w:r>
      <w:r>
        <w:rPr>
          <w:noProof/>
          <w:sz w:val="20"/>
          <w:szCs w:val="20"/>
          <w:lang w:val="fr-BE"/>
        </w:rPr>
        <w:t>T16/00, T16/01, T16/02, T16/03, T16/04, T16/05, T16/06, T16/07, T16/09, T16/10, T16/99</w:t>
      </w:r>
      <w:r>
        <w:rPr>
          <w:noProof/>
          <w:lang w:val="fr-BE"/>
        </w:rPr>
        <w:t xml:space="preserve">  </w:t>
      </w:r>
    </w:p>
    <w:p>
      <w:pPr>
        <w:pStyle w:val="Text1"/>
        <w:numPr>
          <w:ilvl w:val="0"/>
          <w:numId w:val="24"/>
        </w:numPr>
        <w:spacing w:before="60" w:after="0"/>
        <w:ind w:left="142" w:hanging="142"/>
        <w:rPr>
          <w:noProof/>
          <w:sz w:val="20"/>
          <w:szCs w:val="20"/>
        </w:rPr>
      </w:pPr>
      <w:r>
        <w:rPr>
          <w:noProof/>
        </w:rPr>
        <w:t xml:space="preserve">Movement: </w:t>
      </w:r>
      <w:r>
        <w:rPr>
          <w:noProof/>
          <w:sz w:val="20"/>
          <w:szCs w:val="20"/>
        </w:rPr>
        <w:t>T17</w:t>
      </w:r>
    </w:p>
    <w:p>
      <w:pPr>
        <w:pStyle w:val="Text1"/>
        <w:numPr>
          <w:ilvl w:val="0"/>
          <w:numId w:val="24"/>
        </w:numPr>
        <w:spacing w:before="60" w:after="0"/>
        <w:ind w:left="142" w:hanging="142"/>
        <w:rPr>
          <w:noProof/>
        </w:rPr>
      </w:pPr>
      <w:r>
        <w:rPr>
          <w:noProof/>
        </w:rPr>
        <w:t xml:space="preserve">Bankruptcy: </w:t>
      </w:r>
      <w:r>
        <w:rPr>
          <w:noProof/>
          <w:sz w:val="20"/>
          <w:szCs w:val="20"/>
        </w:rPr>
        <w:t>T18</w:t>
      </w:r>
    </w:p>
    <w:p>
      <w:pPr>
        <w:pStyle w:val="Text1"/>
        <w:numPr>
          <w:ilvl w:val="0"/>
          <w:numId w:val="24"/>
        </w:numPr>
        <w:spacing w:before="60" w:after="0"/>
        <w:ind w:left="142" w:hanging="142"/>
        <w:rPr>
          <w:noProof/>
          <w:sz w:val="20"/>
          <w:szCs w:val="20"/>
        </w:rPr>
      </w:pPr>
      <w:r>
        <w:rPr>
          <w:noProof/>
        </w:rPr>
        <w:t xml:space="preserve">Ethics and integrity: </w:t>
      </w:r>
      <w:r>
        <w:rPr>
          <w:noProof/>
          <w:sz w:val="20"/>
          <w:szCs w:val="20"/>
        </w:rPr>
        <w:t>T19</w:t>
      </w:r>
    </w:p>
    <w:p>
      <w:pPr>
        <w:pStyle w:val="Text1"/>
        <w:numPr>
          <w:ilvl w:val="0"/>
          <w:numId w:val="24"/>
        </w:numPr>
        <w:spacing w:before="60" w:after="0"/>
        <w:ind w:left="142" w:hanging="142"/>
        <w:rPr>
          <w:noProof/>
          <w:sz w:val="20"/>
          <w:szCs w:val="20"/>
        </w:rPr>
      </w:pPr>
      <w:r>
        <w:rPr>
          <w:noProof/>
        </w:rPr>
        <w:t xml:space="preserve">Infringement of public procurement rules: </w:t>
      </w:r>
      <w:r>
        <w:rPr>
          <w:noProof/>
          <w:sz w:val="20"/>
          <w:szCs w:val="20"/>
        </w:rPr>
        <w:t>T40, T16/08</w:t>
      </w:r>
    </w:p>
    <w:p>
      <w:pPr>
        <w:pStyle w:val="Text1"/>
        <w:numPr>
          <w:ilvl w:val="0"/>
          <w:numId w:val="24"/>
        </w:numPr>
        <w:spacing w:before="60" w:after="0"/>
        <w:ind w:left="142" w:hanging="142"/>
        <w:rPr>
          <w:noProof/>
          <w:sz w:val="20"/>
          <w:szCs w:val="20"/>
        </w:rPr>
      </w:pPr>
      <w:r>
        <w:rPr>
          <w:noProof/>
        </w:rPr>
        <w:t xml:space="preserve">State aid: </w:t>
      </w:r>
      <w:r>
        <w:rPr>
          <w:noProof/>
          <w:sz w:val="20"/>
          <w:szCs w:val="20"/>
        </w:rPr>
        <w:t>T50</w:t>
      </w:r>
    </w:p>
    <w:p>
      <w:pPr>
        <w:tabs>
          <w:tab w:val="left" w:pos="3261"/>
        </w:tabs>
        <w:spacing w:after="0" w:line="240" w:lineRule="auto"/>
        <w:jc w:val="center"/>
        <w:rPr>
          <w:rFonts w:ascii="Times New Roman" w:hAnsi="Times New Roman" w:cs="Times New Roman"/>
          <w:b/>
          <w:noProof/>
          <w:sz w:val="32"/>
          <w:szCs w:val="32"/>
        </w:rPr>
      </w:pPr>
      <w:r>
        <w:rPr>
          <w:rFonts w:ascii="Times New Roman" w:hAnsi="Times New Roman" w:cs="Times New Roman"/>
          <w:b/>
          <w:noProof/>
          <w:sz w:val="32"/>
          <w:szCs w:val="32"/>
        </w:rPr>
        <w:br w:type="page"/>
      </w:r>
    </w:p>
    <w:p>
      <w:pPr>
        <w:tabs>
          <w:tab w:val="left" w:pos="3261"/>
        </w:tabs>
        <w:spacing w:after="0" w:line="240" w:lineRule="auto"/>
        <w:jc w:val="center"/>
        <w:rPr>
          <w:noProof/>
          <w:sz w:val="32"/>
          <w:szCs w:val="32"/>
        </w:rPr>
      </w:pPr>
      <w:r>
        <w:rPr>
          <w:rFonts w:ascii="Times New Roman" w:hAnsi="Times New Roman" w:cs="Times New Roman"/>
          <w:b/>
          <w:noProof/>
          <w:sz w:val="32"/>
          <w:szCs w:val="32"/>
        </w:rPr>
        <w:t>ANNEX 14</w:t>
      </w:r>
    </w:p>
    <w:p>
      <w:pPr>
        <w:tabs>
          <w:tab w:val="left" w:pos="3261"/>
        </w:tabs>
        <w:spacing w:after="0" w:line="240" w:lineRule="auto"/>
        <w:jc w:val="center"/>
        <w:rPr>
          <w:i/>
          <w:noProof/>
          <w:sz w:val="32"/>
          <w:szCs w:val="32"/>
        </w:rPr>
      </w:pPr>
      <w:r>
        <w:rPr>
          <w:rFonts w:ascii="Times New Roman" w:hAnsi="Times New Roman" w:cs="Times New Roman"/>
          <w:i/>
          <w:noProof/>
          <w:sz w:val="32"/>
          <w:szCs w:val="32"/>
        </w:rPr>
        <w:t>Analysis of the sensitivity of FDR and IDR</w:t>
      </w:r>
    </w:p>
    <w:p>
      <w:pPr>
        <w:pStyle w:val="Text1"/>
        <w:ind w:left="0"/>
        <w:rPr>
          <w:noProof/>
        </w:rPr>
      </w:pPr>
      <w:r>
        <w:rPr>
          <w:i/>
          <w:noProof/>
        </w:rPr>
        <w:t>Intervention in agricultural markets</w:t>
      </w:r>
      <w:r>
        <w:rPr>
          <w:noProof/>
        </w:rPr>
        <w:t xml:space="preserve"> and </w:t>
      </w:r>
      <w:r>
        <w:rPr>
          <w:i/>
          <w:noProof/>
        </w:rPr>
        <w:t>direct payments</w:t>
      </w:r>
    </w:p>
    <w:p>
      <w:pPr>
        <w:pStyle w:val="Text1"/>
        <w:ind w:left="0"/>
        <w:rPr>
          <w:noProof/>
        </w:rPr>
      </w:pPr>
      <w:r>
        <w:rPr>
          <w:noProof/>
        </w:rPr>
        <w:t>In the main body of this Report reference is made to the Fraud Detection Rate (FDR) and the Irregularity Detection Rate (IDR) in relation to '</w:t>
      </w:r>
      <w:r>
        <w:rPr>
          <w:i/>
          <w:noProof/>
        </w:rPr>
        <w:t>Intervention in agricultural markets'</w:t>
      </w:r>
      <w:r>
        <w:rPr>
          <w:noProof/>
        </w:rPr>
        <w:t xml:space="preserve"> and '</w:t>
      </w:r>
      <w:r>
        <w:rPr>
          <w:i/>
          <w:noProof/>
        </w:rPr>
        <w:t xml:space="preserve">direct payments'. </w:t>
      </w:r>
    </w:p>
    <w:p>
      <w:pPr>
        <w:pStyle w:val="Text1"/>
        <w:ind w:left="0"/>
        <w:rPr>
          <w:noProof/>
        </w:rPr>
      </w:pPr>
      <w:r>
        <w:rPr>
          <w:noProof/>
        </w:rPr>
        <w:t xml:space="preserve">A part of the irregularities used for these calculations do not refer exclusively to a specific policy measure, because the same case may cover several budget posts referring to different measures. These 'mixed' cases have been included with their full financial amount in all policy measures affected. </w:t>
      </w:r>
    </w:p>
    <w:p>
      <w:pPr>
        <w:pStyle w:val="Text1"/>
        <w:ind w:left="0"/>
        <w:rPr>
          <w:noProof/>
        </w:rPr>
      </w:pPr>
      <w:r>
        <w:rPr>
          <w:noProof/>
        </w:rPr>
        <w:t>FDR and IDR for '</w:t>
      </w:r>
      <w:r>
        <w:rPr>
          <w:i/>
          <w:noProof/>
        </w:rPr>
        <w:t>Intervention in agricultural markets</w:t>
      </w:r>
      <w:r>
        <w:rPr>
          <w:noProof/>
        </w:rPr>
        <w:t xml:space="preserve">' in Table NR16a below is calculated on the basis of the amounts of all the irregularities (fraudulent and non-fraudulent) where this type of expenditure is involved (considering in full the 'mixed' cases, as explained above). The same applies with reference to FDR and IDR for </w:t>
      </w:r>
      <w:r>
        <w:rPr>
          <w:i/>
          <w:noProof/>
        </w:rPr>
        <w:t>'direct payments</w:t>
      </w:r>
      <w:r>
        <w:rPr>
          <w:noProof/>
        </w:rPr>
        <w:t>'. Table NR16a shows the outcome of these calculations.</w:t>
      </w:r>
    </w:p>
    <w:p>
      <w:pPr>
        <w:pStyle w:val="Text1"/>
        <w:ind w:left="0"/>
        <w:rPr>
          <w:noProof/>
        </w:rPr>
      </w:pPr>
      <w:r>
        <w:rPr>
          <w:noProof/>
        </w:rPr>
        <w:drawing>
          <wp:inline distT="0" distB="0" distL="0" distR="0">
            <wp:extent cx="5731510" cy="884309"/>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31510" cy="884309"/>
                    </a:xfrm>
                    <a:prstGeom prst="rect">
                      <a:avLst/>
                    </a:prstGeom>
                    <a:noFill/>
                    <a:ln>
                      <a:noFill/>
                    </a:ln>
                  </pic:spPr>
                </pic:pic>
              </a:graphicData>
            </a:graphic>
          </wp:inline>
        </w:drawing>
      </w:r>
    </w:p>
    <w:p>
      <w:pPr>
        <w:pStyle w:val="Text1"/>
        <w:ind w:left="0"/>
        <w:rPr>
          <w:noProof/>
        </w:rPr>
      </w:pPr>
      <w:r>
        <w:rPr>
          <w:noProof/>
        </w:rPr>
        <w:t>As there are a number of '</w:t>
      </w:r>
      <w:r>
        <w:rPr>
          <w:i/>
          <w:noProof/>
        </w:rPr>
        <w:t>intervention of agricultural markets</w:t>
      </w:r>
      <w:r>
        <w:rPr>
          <w:noProof/>
        </w:rPr>
        <w:t>' cases that concern, at the same time, this type of expenditure and other measures, the total amounts (and the corresponding FDR and IDR) associated to '</w:t>
      </w:r>
      <w:r>
        <w:rPr>
          <w:i/>
          <w:noProof/>
        </w:rPr>
        <w:t>intervention in agricultural markets</w:t>
      </w:r>
      <w:r>
        <w:rPr>
          <w:noProof/>
        </w:rPr>
        <w:t>'  are somehow inflated. The same applies with reference to '</w:t>
      </w:r>
      <w:r>
        <w:rPr>
          <w:i/>
          <w:noProof/>
        </w:rPr>
        <w:t>direct payments</w:t>
      </w:r>
      <w:r>
        <w:rPr>
          <w:noProof/>
        </w:rPr>
        <w:t xml:space="preserve">'. </w:t>
      </w:r>
    </w:p>
    <w:p>
      <w:pPr>
        <w:pStyle w:val="Text1"/>
        <w:ind w:left="0"/>
        <w:rPr>
          <w:noProof/>
        </w:rPr>
      </w:pPr>
      <w:r>
        <w:rPr>
          <w:noProof/>
        </w:rPr>
        <w:t>An analysis is then warranted of how sensitive FDR and IDR are to the presence of these 'mixed' cases. As a first step, an assessment is required of the number of these 'mixed' cases, the nature of the related overlaps and the amounts involved. Fig. NR1-NR3 show the outcome of this assessment, respectively for cases reported as fraudulent, not reported as fraudulent and for all cases together.</w:t>
      </w: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jc w:val="both"/>
        <w:rPr>
          <w:rFonts w:ascii="Arial" w:hAnsi="Arial" w:cs="Arial"/>
          <w:noProof/>
          <w:sz w:val="20"/>
          <w:szCs w:val="20"/>
        </w:rPr>
      </w:pPr>
      <w:r>
        <w:rPr>
          <w:rFonts w:ascii="Arial" w:hAnsi="Arial" w:cs="Arial"/>
          <w:noProof/>
          <w:sz w:val="20"/>
          <w:szCs w:val="20"/>
          <w:lang w:eastAsia="en-GB"/>
        </w:rPr>
        <mc:AlternateContent>
          <mc:Choice Requires="wpg">
            <w:drawing>
              <wp:anchor distT="0" distB="0" distL="114300" distR="114300" simplePos="0" relativeHeight="251649536" behindDoc="0" locked="0" layoutInCell="1" allowOverlap="1">
                <wp:simplePos x="0" y="0"/>
                <wp:positionH relativeFrom="column">
                  <wp:posOffset>-1</wp:posOffset>
                </wp:positionH>
                <wp:positionV relativeFrom="paragraph">
                  <wp:posOffset>44605</wp:posOffset>
                </wp:positionV>
                <wp:extent cx="5679363" cy="3070302"/>
                <wp:effectExtent l="0" t="0" r="17145" b="15875"/>
                <wp:wrapNone/>
                <wp:docPr id="235" name="Group 235"/>
                <wp:cNvGraphicFramePr/>
                <a:graphic xmlns:a="http://schemas.openxmlformats.org/drawingml/2006/main">
                  <a:graphicData uri="http://schemas.microsoft.com/office/word/2010/wordprocessingGroup">
                    <wpg:wgp>
                      <wpg:cNvGrpSpPr/>
                      <wpg:grpSpPr>
                        <a:xfrm>
                          <a:off x="0" y="0"/>
                          <a:ext cx="5679363" cy="3070302"/>
                          <a:chOff x="0" y="0"/>
                          <a:chExt cx="6019800" cy="3295650"/>
                        </a:xfrm>
                      </wpg:grpSpPr>
                      <wps:wsp>
                        <wps:cNvPr id="236" name="Rectangle 236"/>
                        <wps:cNvSpPr/>
                        <wps:spPr>
                          <a:xfrm>
                            <a:off x="0" y="0"/>
                            <a:ext cx="6019800" cy="3295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7" name="Group 237"/>
                        <wpg:cNvGrpSpPr/>
                        <wpg:grpSpPr>
                          <a:xfrm>
                            <a:off x="3990975" y="1076325"/>
                            <a:ext cx="1666875" cy="1533525"/>
                            <a:chOff x="0" y="0"/>
                            <a:chExt cx="1666875" cy="1533525"/>
                          </a:xfrm>
                        </wpg:grpSpPr>
                        <wps:wsp>
                          <wps:cNvPr id="238" name="Oval 238"/>
                          <wps:cNvSpPr/>
                          <wps:spPr>
                            <a:xfrm>
                              <a:off x="0" y="0"/>
                              <a:ext cx="1666875" cy="1533525"/>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ext Box 239"/>
                          <wps:cNvSpPr txBox="1"/>
                          <wps:spPr>
                            <a:xfrm>
                              <a:off x="180919" y="409431"/>
                              <a:ext cx="1371600" cy="542873"/>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Rural development</w:t>
                                </w:r>
                              </w:p>
                              <w:p>
                                <w:pPr>
                                  <w:spacing w:after="0" w:line="240" w:lineRule="auto"/>
                                  <w:jc w:val="center"/>
                                  <w:rPr>
                                    <w:sz w:val="16"/>
                                    <w:szCs w:val="16"/>
                                    <w:lang w:val="fr-BE"/>
                                  </w:rPr>
                                </w:pPr>
                                <w:r>
                                  <w:rPr>
                                    <w:sz w:val="16"/>
                                    <w:szCs w:val="16"/>
                                    <w:lang w:val="fr-BE"/>
                                  </w:rPr>
                                  <w:t>792</w:t>
                                </w:r>
                              </w:p>
                              <w:p>
                                <w:pPr>
                                  <w:spacing w:after="0" w:line="240" w:lineRule="auto"/>
                                  <w:jc w:val="center"/>
                                  <w:rPr>
                                    <w:sz w:val="16"/>
                                    <w:szCs w:val="16"/>
                                    <w:lang w:val="fr-BE"/>
                                  </w:rPr>
                                </w:pPr>
                                <w:r>
                                  <w:rPr>
                                    <w:sz w:val="16"/>
                                    <w:szCs w:val="16"/>
                                    <w:lang w:val="fr-BE"/>
                                  </w:rPr>
                                  <w:t>120 777 108</w:t>
                                </w:r>
                              </w:p>
                              <w:p>
                                <w:pPr>
                                  <w:spacing w:after="0" w:line="240" w:lineRule="auto"/>
                                  <w:jc w:val="center"/>
                                  <w:rPr>
                                    <w:sz w:val="16"/>
                                    <w:szCs w:val="1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0" name="Group 240"/>
                        <wpg:cNvGrpSpPr/>
                        <wpg:grpSpPr>
                          <a:xfrm>
                            <a:off x="152400" y="552450"/>
                            <a:ext cx="3838540" cy="2400300"/>
                            <a:chOff x="0" y="0"/>
                            <a:chExt cx="3838540" cy="2400300"/>
                          </a:xfrm>
                        </wpg:grpSpPr>
                        <wps:wsp>
                          <wps:cNvPr id="241" name="Oval 241"/>
                          <wps:cNvSpPr/>
                          <wps:spPr>
                            <a:xfrm>
                              <a:off x="95250" y="0"/>
                              <a:ext cx="2638425" cy="1533525"/>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42"/>
                          <wps:cNvSpPr txBox="1"/>
                          <wps:spPr>
                            <a:xfrm>
                              <a:off x="523865" y="238049"/>
                              <a:ext cx="1371600" cy="529421"/>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Intervention agri. markets</w:t>
                                </w:r>
                              </w:p>
                              <w:p>
                                <w:pPr>
                                  <w:spacing w:after="0" w:line="240" w:lineRule="auto"/>
                                  <w:jc w:val="center"/>
                                  <w:rPr>
                                    <w:sz w:val="16"/>
                                    <w:szCs w:val="16"/>
                                    <w:lang w:val="fr-BE"/>
                                  </w:rPr>
                                </w:pPr>
                                <w:r>
                                  <w:rPr>
                                    <w:sz w:val="16"/>
                                    <w:szCs w:val="16"/>
                                    <w:lang w:val="fr-BE"/>
                                  </w:rPr>
                                  <w:t>144</w:t>
                                </w:r>
                              </w:p>
                              <w:p>
                                <w:pPr>
                                  <w:spacing w:after="0" w:line="240" w:lineRule="auto"/>
                                  <w:jc w:val="center"/>
                                  <w:rPr>
                                    <w:sz w:val="16"/>
                                    <w:szCs w:val="16"/>
                                    <w:lang w:val="fr-BE"/>
                                  </w:rPr>
                                </w:pPr>
                                <w:r>
                                  <w:rPr>
                                    <w:sz w:val="16"/>
                                    <w:szCs w:val="16"/>
                                    <w:lang w:val="fr-BE"/>
                                  </w:rPr>
                                  <w:t>118 427 516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Oval 243"/>
                          <wps:cNvSpPr/>
                          <wps:spPr>
                            <a:xfrm>
                              <a:off x="0" y="866775"/>
                              <a:ext cx="2638425" cy="1533525"/>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44"/>
                          <wps:cNvSpPr txBox="1"/>
                          <wps:spPr>
                            <a:xfrm>
                              <a:off x="190500" y="1628775"/>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Direct payments</w:t>
                                </w:r>
                              </w:p>
                              <w:p>
                                <w:pPr>
                                  <w:spacing w:after="0" w:line="240" w:lineRule="auto"/>
                                  <w:jc w:val="center"/>
                                  <w:rPr>
                                    <w:sz w:val="16"/>
                                    <w:szCs w:val="16"/>
                                    <w:lang w:val="fr-BE"/>
                                  </w:rPr>
                                </w:pPr>
                                <w:r>
                                  <w:rPr>
                                    <w:sz w:val="16"/>
                                    <w:szCs w:val="16"/>
                                    <w:lang w:val="fr-BE"/>
                                  </w:rPr>
                                  <w:t>522</w:t>
                                </w:r>
                              </w:p>
                              <w:p>
                                <w:pPr>
                                  <w:spacing w:after="0" w:line="240" w:lineRule="auto"/>
                                  <w:jc w:val="center"/>
                                  <w:rPr>
                                    <w:sz w:val="16"/>
                                    <w:szCs w:val="16"/>
                                    <w:lang w:val="fr-BE"/>
                                  </w:rPr>
                                </w:pPr>
                                <w:r>
                                  <w:rPr>
                                    <w:sz w:val="16"/>
                                    <w:szCs w:val="16"/>
                                    <w:lang w:val="fr-BE"/>
                                  </w:rPr>
                                  <w:t>23 400 090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95250" y="990600"/>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1</w:t>
                                </w:r>
                              </w:p>
                              <w:p>
                                <w:pPr>
                                  <w:spacing w:after="0" w:line="240" w:lineRule="auto"/>
                                  <w:jc w:val="center"/>
                                  <w:rPr>
                                    <w:sz w:val="16"/>
                                    <w:szCs w:val="16"/>
                                    <w:lang w:val="fr-BE"/>
                                  </w:rPr>
                                </w:pPr>
                                <w:r>
                                  <w:rPr>
                                    <w:sz w:val="16"/>
                                    <w:szCs w:val="16"/>
                                    <w:lang w:val="fr-BE"/>
                                  </w:rPr>
                                  <w:t>156 238</w:t>
                                </w:r>
                              </w:p>
                              <w:p>
                                <w:pPr>
                                  <w:spacing w:after="0" w:line="240" w:lineRule="auto"/>
                                  <w:jc w:val="center"/>
                                  <w:rPr>
                                    <w:sz w:val="16"/>
                                    <w:szCs w:val="1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Oval 246"/>
                          <wps:cNvSpPr/>
                          <wps:spPr>
                            <a:xfrm>
                              <a:off x="1466850" y="381000"/>
                              <a:ext cx="2314575" cy="1847850"/>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47"/>
                          <wps:cNvSpPr txBox="1"/>
                          <wps:spPr>
                            <a:xfrm>
                              <a:off x="2466940" y="1057120"/>
                              <a:ext cx="1371600" cy="571444"/>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Mixed or unclear</w:t>
                                </w:r>
                              </w:p>
                              <w:p>
                                <w:pPr>
                                  <w:spacing w:after="0" w:line="240" w:lineRule="auto"/>
                                  <w:jc w:val="center"/>
                                  <w:rPr>
                                    <w:sz w:val="16"/>
                                    <w:szCs w:val="16"/>
                                    <w:lang w:val="fr-BE"/>
                                  </w:rPr>
                                </w:pPr>
                                <w:r>
                                  <w:rPr>
                                    <w:sz w:val="16"/>
                                    <w:szCs w:val="16"/>
                                    <w:lang w:val="fr-BE"/>
                                  </w:rPr>
                                  <w:t>4</w:t>
                                </w:r>
                              </w:p>
                              <w:p>
                                <w:pPr>
                                  <w:spacing w:after="0" w:line="240" w:lineRule="auto"/>
                                  <w:jc w:val="center"/>
                                  <w:rPr>
                                    <w:sz w:val="16"/>
                                    <w:szCs w:val="16"/>
                                    <w:lang w:val="fr-BE"/>
                                  </w:rPr>
                                </w:pPr>
                                <w:r>
                                  <w:rPr>
                                    <w:sz w:val="16"/>
                                    <w:szCs w:val="16"/>
                                    <w:lang w:val="fr-BE"/>
                                  </w:rPr>
                                  <w:t>33 723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1514475" y="1495425"/>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43</w:t>
                                </w:r>
                              </w:p>
                              <w:p>
                                <w:pPr>
                                  <w:spacing w:after="0" w:line="240" w:lineRule="auto"/>
                                  <w:jc w:val="center"/>
                                  <w:rPr>
                                    <w:sz w:val="16"/>
                                    <w:szCs w:val="16"/>
                                    <w:lang w:val="fr-BE"/>
                                  </w:rPr>
                                </w:pPr>
                                <w:r>
                                  <w:rPr>
                                    <w:sz w:val="16"/>
                                    <w:szCs w:val="16"/>
                                    <w:lang w:val="fr-BE"/>
                                  </w:rPr>
                                  <w:t>3 851 669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1219200" y="1009650"/>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2</w:t>
                                </w:r>
                              </w:p>
                              <w:p>
                                <w:pPr>
                                  <w:spacing w:after="0" w:line="240" w:lineRule="auto"/>
                                  <w:jc w:val="center"/>
                                  <w:rPr>
                                    <w:sz w:val="16"/>
                                    <w:szCs w:val="16"/>
                                    <w:lang w:val="fr-BE"/>
                                  </w:rPr>
                                </w:pPr>
                                <w:r>
                                  <w:rPr>
                                    <w:sz w:val="16"/>
                                    <w:szCs w:val="16"/>
                                    <w:lang w:val="fr-BE"/>
                                  </w:rPr>
                                  <w:t>1 956 428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0" name="Text Box 250"/>
                        <wps:cNvSpPr txBox="1"/>
                        <wps:spPr>
                          <a:xfrm>
                            <a:off x="57143" y="66627"/>
                            <a:ext cx="5900995" cy="4148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i/>
                                  <w:sz w:val="20"/>
                                  <w:szCs w:val="20"/>
                                </w:rPr>
                              </w:pPr>
                              <w:r>
                                <w:rPr>
                                  <w:b/>
                                  <w:i/>
                                  <w:sz w:val="20"/>
                                  <w:szCs w:val="20"/>
                                </w:rPr>
                                <w:t>Fig. NR1: Irregularities and amounts reported as fraudulent by type of expenditure – 2015-2019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5" o:spid="_x0000_s1026" style="position:absolute;left:0;text-align:left;margin-left:0;margin-top:3.5pt;width:447.2pt;height:241.75pt;z-index:251649536;mso-width-relative:margin;mso-height-relative:margin" coordsize="60198,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">
                <v:rect id="Rectangle 236" o:spid="_x0000_s1027" style="position:absolute;width:60198;height:3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gp8UA&#10;AADcAAAADwAAAGRycy9kb3ducmV2LnhtbESPQWsCMRSE74X+h/AKXopmu1KR1SjSWmjpydWDx+fm&#10;mV26eVmSqLv/vikUPA4z8w2zXPe2FVfyoXGs4GWSgSCunG7YKDjsP8ZzECEia2wdk4KBAqxXjw9L&#10;LLS78Y6uZTQiQTgUqKCOsSukDFVNFsPEdcTJOztvMSbpjdQebwluW5ln2UxabDgt1NjRW03VT3mx&#10;CravJx+G53fP+fdQfm2PZnrYGKVGT/1mASJSH+/h//anVpBPZ/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yCnxQAAANwAAAAPAAAAAAAAAAAAAAAAAJgCAABkcnMv&#10;ZG93bnJldi54bWxQSwUGAAAAAAQABAD1AAAAigMAAAAA&#10;" fillcolor="white [3212]" strokecolor="#1f4d78 [1604]" strokeweight="1pt"/>
                <v:group id="Group 237" o:spid="_x0000_s1028" style="position:absolute;left:39909;top:10763;width:16669;height:15335" coordsize="16668,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oval id="Oval 238" o:spid="_x0000_s1029" style="position:absolute;width:16668;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1cMIA&#10;AADcAAAADwAAAGRycy9kb3ducmV2LnhtbERPy2qDQBTdF/oPwy10V0cNhGAyCaUPsKugSaHLi3Pj&#10;SJw74kzV/H1mUejycN67w2J7MdHoO8cKsiQFQdw43XGr4Hz6fNmA8AFZY++YFNzIw2H/+LDDQruZ&#10;K5rq0IoYwr5ABSaEoZDSN4Ys+sQNxJG7uNFiiHBspR5xjuG2l3marqXFjmODwYHeDDXX+tcqqOZs&#10;Vbvye1q/f9y+LscfX5XdRqnnp+V1CyLQEv7Ff+5SK8hXcW08E4+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XVwwgAAANwAAAAPAAAAAAAAAAAAAAAAAJgCAABkcnMvZG93&#10;bnJldi54bWxQSwUGAAAAAAQABAD1AAAAhwMAAAAA&#10;" fillcolor="#5b9bd5 [3204]" strokecolor="#1f4d78 [1604]" strokeweight="1pt">
                    <v:fill opacity="7967f"/>
                    <v:stroke joinstyle="miter"/>
                    <v:textbox>
                      <w:txbxContent>
                        <w:p>
                          <w:pPr>
                            <w:jc w:val="center"/>
                            <w:rPr>
                              <w:lang w:val="fr-BE"/>
                            </w:rPr>
                          </w:pPr>
                        </w:p>
                      </w:txbxContent>
                    </v:textbox>
                  </v:oval>
                  <v:shapetype id="_x0000_t202" coordsize="21600,21600" o:spt="202" path="m,l,21600r21600,l21600,xe">
                    <v:stroke joinstyle="miter"/>
                    <v:path gradientshapeok="t" o:connecttype="rect"/>
                  </v:shapetype>
                  <v:shape id="Text Box 239" o:spid="_x0000_s1030" type="#_x0000_t202" style="position:absolute;left:1809;top:4094;width:1371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0FcYA&#10;AADcAAAADwAAAGRycy9kb3ducmV2LnhtbESPT2vCQBTE70K/w/IKvemm/mtNXUUrgu2holW8PrLP&#10;JG32bciuJn57VxA8DjPzG2Y8bUwhzlS53LKC104EgjixOudUwe532X4H4TyyxsIyKbiQg+nkqTXG&#10;WNuaN3Te+lQECLsYFWTel7GULsnIoOvYkjh4R1sZ9EFWqdQV1gFuCtmNoqE0mHNYyLCkz4yS/+3J&#10;KOh9zQebv7VJaa0Xb9/948++PpBSL8/N7AOEp8Y/wvf2Sivo9kZwOxOO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O0FcYAAADcAAAADwAAAAAAAAAAAAAAAACYAgAAZHJz&#10;L2Rvd25yZXYueG1sUEsFBgAAAAAEAAQA9QAAAIsDAAAAAA==&#10;" fillcolor="white [3212]" stroked="f" strokeweight=".5pt">
                    <v:fill opacity="0"/>
                    <v:textbox>
                      <w:txbxContent>
                        <w:p>
                          <w:pPr>
                            <w:spacing w:after="0" w:line="240" w:lineRule="auto"/>
                            <w:jc w:val="center"/>
                            <w:rPr>
                              <w:sz w:val="16"/>
                              <w:szCs w:val="16"/>
                              <w:lang w:val="fr-BE"/>
                            </w:rPr>
                          </w:pPr>
                          <w:r>
                            <w:rPr>
                              <w:sz w:val="16"/>
                              <w:szCs w:val="16"/>
                              <w:lang w:val="fr-BE"/>
                            </w:rPr>
                            <w:t>Rural development</w:t>
                          </w:r>
                        </w:p>
                        <w:p>
                          <w:pPr>
                            <w:spacing w:after="0" w:line="240" w:lineRule="auto"/>
                            <w:jc w:val="center"/>
                            <w:rPr>
                              <w:sz w:val="16"/>
                              <w:szCs w:val="16"/>
                              <w:lang w:val="fr-BE"/>
                            </w:rPr>
                          </w:pPr>
                          <w:r>
                            <w:rPr>
                              <w:sz w:val="16"/>
                              <w:szCs w:val="16"/>
                              <w:lang w:val="fr-BE"/>
                            </w:rPr>
                            <w:t>792</w:t>
                          </w:r>
                        </w:p>
                        <w:p>
                          <w:pPr>
                            <w:spacing w:after="0" w:line="240" w:lineRule="auto"/>
                            <w:jc w:val="center"/>
                            <w:rPr>
                              <w:sz w:val="16"/>
                              <w:szCs w:val="16"/>
                              <w:lang w:val="fr-BE"/>
                            </w:rPr>
                          </w:pPr>
                          <w:r>
                            <w:rPr>
                              <w:sz w:val="16"/>
                              <w:szCs w:val="16"/>
                              <w:lang w:val="fr-BE"/>
                            </w:rPr>
                            <w:t>120 777 108</w:t>
                          </w:r>
                        </w:p>
                        <w:p>
                          <w:pPr>
                            <w:spacing w:after="0" w:line="240" w:lineRule="auto"/>
                            <w:jc w:val="center"/>
                            <w:rPr>
                              <w:sz w:val="16"/>
                              <w:szCs w:val="16"/>
                              <w:lang w:val="fr-BE"/>
                            </w:rPr>
                          </w:pPr>
                        </w:p>
                      </w:txbxContent>
                    </v:textbox>
                  </v:shape>
                </v:group>
                <v:group id="Group 240" o:spid="_x0000_s1031" style="position:absolute;left:1524;top:5524;width:38385;height:24003" coordsize="38385,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oval id="Oval 241" o:spid="_x0000_s1032" style="position:absolute;left:952;width:26384;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vkMQA&#10;AADcAAAADwAAAGRycy9kb3ducmV2LnhtbESPQWvCQBSE7wX/w/KE3uomKiKpqxStEE8lUaHHR/aZ&#10;hGbfhuw2if++WxA8DjPzDbPZjaYRPXWutqwgnkUgiAuray4VXM7HtzUI55E1NpZJwZ0c7LaTlw0m&#10;2g6cUZ/7UgQIuwQVVN63iZSuqMigm9mWOHg32xn0QXal1B0OAW4aOY+ilTRYc1iosKV9RcVP/msU&#10;ZEO8yG167VeHz/vp9vXtsrReK/U6HT/eQXga/TP8aKdawXwZw/+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9r5DEAAAA3AAAAA8AAAAAAAAAAAAAAAAAmAIAAGRycy9k&#10;b3ducmV2LnhtbFBLBQYAAAAABAAEAPUAAACJAwAAAAA=&#10;" fillcolor="#5b9bd5 [3204]" strokecolor="#1f4d78 [1604]" strokeweight="1pt">
                    <v:fill opacity="7967f"/>
                    <v:stroke joinstyle="miter"/>
                  </v:oval>
                  <v:shape id="Text Box 242" o:spid="_x0000_s1033" type="#_x0000_t202" style="position:absolute;left:5238;top:2380;width:13716;height:5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VGcYA&#10;AADcAAAADwAAAGRycy9kb3ducmV2LnhtbESPT2vCQBTE7wW/w/KE3urG1KpEV6mWQvWg+A+vj+wz&#10;ic2+DdmtSb99Vyh4HGbmN8x03ppS3Kh2hWUF/V4Egji1uuBMwfHw+TIG4TyyxtIyKfglB/NZ52mK&#10;ibYN7+i295kIEHYJKsi9rxIpXZqTQdezFXHwLrY26IOsM6lrbALclDKOoqE0WHBYyLGiZU7p9/7H&#10;KHhdLd52163JaKs/RuvBZXNqzqTUc7d9n4Dw1PpH+L/9pRXEgxju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FVGcYAAADcAAAADwAAAAAAAAAAAAAAAACYAgAAZHJz&#10;L2Rvd25yZXYueG1sUEsFBgAAAAAEAAQA9QAAAIsDAAAAAA==&#10;" fillcolor="white [3212]" stroked="f" strokeweight=".5pt">
                    <v:fill opacity="0"/>
                    <v:textbox>
                      <w:txbxContent>
                        <w:p>
                          <w:pPr>
                            <w:spacing w:after="0" w:line="240" w:lineRule="auto"/>
                            <w:jc w:val="center"/>
                            <w:rPr>
                              <w:sz w:val="16"/>
                              <w:szCs w:val="16"/>
                              <w:lang w:val="fr-BE"/>
                            </w:rPr>
                          </w:pPr>
                          <w:r>
                            <w:rPr>
                              <w:sz w:val="16"/>
                              <w:szCs w:val="16"/>
                              <w:lang w:val="fr-BE"/>
                            </w:rPr>
                            <w:t>Intervention agri. markets</w:t>
                          </w:r>
                        </w:p>
                        <w:p>
                          <w:pPr>
                            <w:spacing w:after="0" w:line="240" w:lineRule="auto"/>
                            <w:jc w:val="center"/>
                            <w:rPr>
                              <w:sz w:val="16"/>
                              <w:szCs w:val="16"/>
                              <w:lang w:val="fr-BE"/>
                            </w:rPr>
                          </w:pPr>
                          <w:r>
                            <w:rPr>
                              <w:sz w:val="16"/>
                              <w:szCs w:val="16"/>
                              <w:lang w:val="fr-BE"/>
                            </w:rPr>
                            <w:t>144</w:t>
                          </w:r>
                        </w:p>
                        <w:p>
                          <w:pPr>
                            <w:spacing w:after="0" w:line="240" w:lineRule="auto"/>
                            <w:jc w:val="center"/>
                            <w:rPr>
                              <w:sz w:val="16"/>
                              <w:szCs w:val="16"/>
                              <w:lang w:val="fr-BE"/>
                            </w:rPr>
                          </w:pPr>
                          <w:r>
                            <w:rPr>
                              <w:sz w:val="16"/>
                              <w:szCs w:val="16"/>
                              <w:lang w:val="fr-BE"/>
                            </w:rPr>
                            <w:t>118 427 516</w:t>
                          </w:r>
                        </w:p>
                      </w:txbxContent>
                    </v:textbox>
                  </v:shape>
                  <v:oval id="Oval 243" o:spid="_x0000_s1034" style="position:absolute;top:8667;width:26384;height:15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UfMUA&#10;AADcAAAADwAAAGRycy9kb3ducmV2LnhtbESPS2vDMBCE74X8B7GF3ho5D0JwIoeSNuCcit0Welys&#10;9YNYK2MptvPvq0Igx2FmvmH2h8m0YqDeNZYVLOYRCOLC6oYrBd9fp9ctCOeRNbaWScGNHByS2dMe&#10;Y21HzmjIfSUChF2MCmrvu1hKV9Rk0M1tRxy80vYGfZB9JXWPY4CbVi6jaCMNNhwWauzoWFNxya9G&#10;QTYuVrlNf4bN+8ftXH7+uixttkq9PE9vOxCeJv8I39upVrBcr+D/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5R8xQAAANwAAAAPAAAAAAAAAAAAAAAAAJgCAABkcnMv&#10;ZG93bnJldi54bWxQSwUGAAAAAAQABAD1AAAAigMAAAAA&#10;" fillcolor="#5b9bd5 [3204]" strokecolor="#1f4d78 [1604]" strokeweight="1pt">
                    <v:fill opacity="7967f"/>
                    <v:stroke joinstyle="miter"/>
                  </v:oval>
                  <v:shape id="Text Box 244" o:spid="_x0000_s1035" type="#_x0000_t202" style="position:absolute;left:1905;top:16287;width:1371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o9sYA&#10;AADcAAAADwAAAGRycy9kb3ducmV2LnhtbESPW2vCQBSE3wX/w3IE33SjpirRVXqh0PqgeMPXQ/aY&#10;xGbPhuzWpP++Wyj4OMzMN8xy3ZpS3Kl2hWUFo2EEgji1uuBMwen4PpiDcB5ZY2mZFPyQg/Wq21li&#10;om3De7offCYChF2CCnLvq0RKl+Zk0A1tRRy8q60N+iDrTOoamwA3pRxH0VQaLDgs5FjRa07p1+Hb&#10;KJh8vjztbzuT0U6/zTbxdXtuLqRUv9c+L0B4av0j/N/+0ArGcQx/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Ro9sYAAADcAAAADwAAAAAAAAAAAAAAAACYAgAAZHJz&#10;L2Rvd25yZXYueG1sUEsFBgAAAAAEAAQA9QAAAIsDAAAAAA==&#10;" fillcolor="white [3212]" stroked="f" strokeweight=".5pt">
                    <v:fill opacity="0"/>
                    <v:textbox>
                      <w:txbxContent>
                        <w:p>
                          <w:pPr>
                            <w:spacing w:after="0" w:line="240" w:lineRule="auto"/>
                            <w:jc w:val="center"/>
                            <w:rPr>
                              <w:sz w:val="16"/>
                              <w:szCs w:val="16"/>
                              <w:lang w:val="fr-BE"/>
                            </w:rPr>
                          </w:pPr>
                          <w:r>
                            <w:rPr>
                              <w:sz w:val="16"/>
                              <w:szCs w:val="16"/>
                              <w:lang w:val="fr-BE"/>
                            </w:rPr>
                            <w:t>Direct payments</w:t>
                          </w:r>
                        </w:p>
                        <w:p>
                          <w:pPr>
                            <w:spacing w:after="0" w:line="240" w:lineRule="auto"/>
                            <w:jc w:val="center"/>
                            <w:rPr>
                              <w:sz w:val="16"/>
                              <w:szCs w:val="16"/>
                              <w:lang w:val="fr-BE"/>
                            </w:rPr>
                          </w:pPr>
                          <w:r>
                            <w:rPr>
                              <w:sz w:val="16"/>
                              <w:szCs w:val="16"/>
                              <w:lang w:val="fr-BE"/>
                            </w:rPr>
                            <w:t>522</w:t>
                          </w:r>
                        </w:p>
                        <w:p>
                          <w:pPr>
                            <w:spacing w:after="0" w:line="240" w:lineRule="auto"/>
                            <w:jc w:val="center"/>
                            <w:rPr>
                              <w:sz w:val="16"/>
                              <w:szCs w:val="16"/>
                              <w:lang w:val="fr-BE"/>
                            </w:rPr>
                          </w:pPr>
                          <w:r>
                            <w:rPr>
                              <w:sz w:val="16"/>
                              <w:szCs w:val="16"/>
                              <w:lang w:val="fr-BE"/>
                            </w:rPr>
                            <w:t>23 400 090</w:t>
                          </w:r>
                        </w:p>
                      </w:txbxContent>
                    </v:textbox>
                  </v:shape>
                  <v:shape id="Text Box 245" o:spid="_x0000_s1036" type="#_x0000_t202" style="position:absolute;left:952;top:9906;width:13716;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NbcYA&#10;AADcAAAADwAAAGRycy9kb3ducmV2LnhtbESPW2vCQBSE3wv+h+UIfasbry3Rjail0Pahoq34esie&#10;XDR7NmRXk/57t1DwcZiZb5jFsjOVuFLjSssKhoMIBHFqdcm5gp/vt6cXEM4ja6wsk4JfcrBMeg8L&#10;jLVteUfXvc9FgLCLUUHhfR1L6dKCDLqBrYmDl9nGoA+yyaVusA1wU8lRFM2kwZLDQoE1bQpKz/uL&#10;UTD+WE93p63Jaatfnz8n2dehPZJSj/1uNQfhqfP38H/7XSsYTabwdyYcAZ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jNbcYAAADcAAAADwAAAAAAAAAAAAAAAACYAgAAZHJz&#10;L2Rvd25yZXYueG1sUEsFBgAAAAAEAAQA9QAAAIsDAAAAAA==&#10;" fillcolor="white [3212]" stroked="f" strokeweight=".5pt">
                    <v:fill opacity="0"/>
                    <v:textbox>
                      <w:txbxContent>
                        <w:p>
                          <w:pPr>
                            <w:spacing w:after="0" w:line="240" w:lineRule="auto"/>
                            <w:jc w:val="center"/>
                            <w:rPr>
                              <w:sz w:val="16"/>
                              <w:szCs w:val="16"/>
                              <w:lang w:val="fr-BE"/>
                            </w:rPr>
                          </w:pPr>
                          <w:r>
                            <w:rPr>
                              <w:sz w:val="16"/>
                              <w:szCs w:val="16"/>
                              <w:lang w:val="fr-BE"/>
                            </w:rPr>
                            <w:t>1</w:t>
                          </w:r>
                        </w:p>
                        <w:p>
                          <w:pPr>
                            <w:spacing w:after="0" w:line="240" w:lineRule="auto"/>
                            <w:jc w:val="center"/>
                            <w:rPr>
                              <w:sz w:val="16"/>
                              <w:szCs w:val="16"/>
                              <w:lang w:val="fr-BE"/>
                            </w:rPr>
                          </w:pPr>
                          <w:r>
                            <w:rPr>
                              <w:sz w:val="16"/>
                              <w:szCs w:val="16"/>
                              <w:lang w:val="fr-BE"/>
                            </w:rPr>
                            <w:t>156 238</w:t>
                          </w:r>
                        </w:p>
                        <w:p>
                          <w:pPr>
                            <w:spacing w:after="0" w:line="240" w:lineRule="auto"/>
                            <w:jc w:val="center"/>
                            <w:rPr>
                              <w:sz w:val="16"/>
                              <w:szCs w:val="16"/>
                              <w:lang w:val="fr-BE"/>
                            </w:rPr>
                          </w:pPr>
                        </w:p>
                      </w:txbxContent>
                    </v:textbox>
                  </v:shape>
                  <v:oval id="Oval 246" o:spid="_x0000_s1037" style="position:absolute;left:14668;top:3810;width:23146;height:18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35MQA&#10;AADcAAAADwAAAGRycy9kb3ducmV2LnhtbESPQWvCQBSE74L/YXmCN91oS5DUVYpaSE+S2EKPj+wz&#10;Cc2+Ddk1if/eFQo9DjPzDbPdj6YRPXWutqxgtYxAEBdW11wq+Lp8LDYgnEfW2FgmBXdysN9NJ1tM&#10;tB04oz73pQgQdgkqqLxvEyldUZFBt7QtcfCutjPog+xKqTscAtw0ch1FsTRYc1iosKVDRcVvfjMK&#10;smH1ktv0u4+Pp/vn9fzjsrTeKDWfje9vIDyN/j/81061gvVrDM8z4Qj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N+TEAAAA3AAAAA8AAAAAAAAAAAAAAAAAmAIAAGRycy9k&#10;b3ducmV2LnhtbFBLBQYAAAAABAAEAPUAAACJAwAAAAA=&#10;" fillcolor="#5b9bd5 [3204]" strokecolor="#1f4d78 [1604]" strokeweight="1pt">
                    <v:fill opacity="7967f"/>
                    <v:stroke joinstyle="miter"/>
                  </v:oval>
                  <v:shape id="Text Box 247" o:spid="_x0000_s1038" type="#_x0000_t202" style="position:absolute;left:24669;top:10571;width:13716;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2gcYA&#10;AADcAAAADwAAAGRycy9kb3ducmV2LnhtbESPW2vCQBSE3wX/w3KEvulG66XErGJbCrUPFW2Lr4fs&#10;yUWzZ0N2a9J/3xUEH4eZ+YZJ1p2pxIUaV1pWMB5FIIhTq0vOFXx/vQ2fQDiPrLGyTAr+yMF61e8l&#10;GGvb8p4uB5+LAGEXo4LC+zqW0qUFGXQjWxMHL7ONQR9kk0vdYBvgppKTKJpLgyWHhQJreikoPR9+&#10;jYLH7fNsf9qZnHb6dfExzT5/2iMp9TDoNksQnjp/D9/a71rBZLqA65l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b2gcYAAADcAAAADwAAAAAAAAAAAAAAAACYAgAAZHJz&#10;L2Rvd25yZXYueG1sUEsFBgAAAAAEAAQA9QAAAIsDAAAAAA==&#10;" fillcolor="white [3212]" stroked="f" strokeweight=".5pt">
                    <v:fill opacity="0"/>
                    <v:textbox>
                      <w:txbxContent>
                        <w:p>
                          <w:pPr>
                            <w:spacing w:after="0" w:line="240" w:lineRule="auto"/>
                            <w:jc w:val="center"/>
                            <w:rPr>
                              <w:sz w:val="16"/>
                              <w:szCs w:val="16"/>
                              <w:lang w:val="fr-BE"/>
                            </w:rPr>
                          </w:pPr>
                          <w:r>
                            <w:rPr>
                              <w:sz w:val="16"/>
                              <w:szCs w:val="16"/>
                              <w:lang w:val="fr-BE"/>
                            </w:rPr>
                            <w:t>Mixed or unclear</w:t>
                          </w:r>
                        </w:p>
                        <w:p>
                          <w:pPr>
                            <w:spacing w:after="0" w:line="240" w:lineRule="auto"/>
                            <w:jc w:val="center"/>
                            <w:rPr>
                              <w:sz w:val="16"/>
                              <w:szCs w:val="16"/>
                              <w:lang w:val="fr-BE"/>
                            </w:rPr>
                          </w:pPr>
                          <w:r>
                            <w:rPr>
                              <w:sz w:val="16"/>
                              <w:szCs w:val="16"/>
                              <w:lang w:val="fr-BE"/>
                            </w:rPr>
                            <w:t>4</w:t>
                          </w:r>
                        </w:p>
                        <w:p>
                          <w:pPr>
                            <w:spacing w:after="0" w:line="240" w:lineRule="auto"/>
                            <w:jc w:val="center"/>
                            <w:rPr>
                              <w:sz w:val="16"/>
                              <w:szCs w:val="16"/>
                              <w:lang w:val="fr-BE"/>
                            </w:rPr>
                          </w:pPr>
                          <w:r>
                            <w:rPr>
                              <w:sz w:val="16"/>
                              <w:szCs w:val="16"/>
                              <w:lang w:val="fr-BE"/>
                            </w:rPr>
                            <w:t>33 723</w:t>
                          </w:r>
                        </w:p>
                      </w:txbxContent>
                    </v:textbox>
                  </v:shape>
                  <v:shape id="Text Box 248" o:spid="_x0000_s1039" type="#_x0000_t202" style="position:absolute;left:15144;top:14954;width:1371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i88MA&#10;AADcAAAADwAAAGRycy9kb3ducmV2LnhtbERPy2rCQBTdC/7DcAvd6aTWR0kdxbYI6sKgVbq9ZK5J&#10;NHMnZKYm/r2zEFwezns6b00prlS7wrKCt34Egji1uuBMweF32fsA4TyyxtIyKbiRg/ms25lirG3D&#10;O7rufSZCCLsYFeTeV7GULs3JoOvbijhwJ1sb9AHWmdQ1NiHclHIQRWNpsODQkGNF3zmll/2/UfC+&#10;/hrtzonJKNE/k83wtD02f6TU60u7+AThqfVP8cO90goGw7A2nAlH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li88MAAADcAAAADwAAAAAAAAAAAAAAAACYAgAAZHJzL2Rv&#10;d25yZXYueG1sUEsFBgAAAAAEAAQA9QAAAIgDAAAAAA==&#10;" fillcolor="white [3212]" stroked="f" strokeweight=".5pt">
                    <v:fill opacity="0"/>
                    <v:textbox>
                      <w:txbxContent>
                        <w:p>
                          <w:pPr>
                            <w:spacing w:after="0" w:line="240" w:lineRule="auto"/>
                            <w:jc w:val="center"/>
                            <w:rPr>
                              <w:sz w:val="16"/>
                              <w:szCs w:val="16"/>
                              <w:lang w:val="fr-BE"/>
                            </w:rPr>
                          </w:pPr>
                          <w:r>
                            <w:rPr>
                              <w:sz w:val="16"/>
                              <w:szCs w:val="16"/>
                              <w:lang w:val="fr-BE"/>
                            </w:rPr>
                            <w:t>43</w:t>
                          </w:r>
                        </w:p>
                        <w:p>
                          <w:pPr>
                            <w:spacing w:after="0" w:line="240" w:lineRule="auto"/>
                            <w:jc w:val="center"/>
                            <w:rPr>
                              <w:sz w:val="16"/>
                              <w:szCs w:val="16"/>
                              <w:lang w:val="fr-BE"/>
                            </w:rPr>
                          </w:pPr>
                          <w:r>
                            <w:rPr>
                              <w:sz w:val="16"/>
                              <w:szCs w:val="16"/>
                              <w:lang w:val="fr-BE"/>
                            </w:rPr>
                            <w:t>3 851 669</w:t>
                          </w:r>
                        </w:p>
                      </w:txbxContent>
                    </v:textbox>
                  </v:shape>
                  <v:shape id="Text Box 249" o:spid="_x0000_s1040" type="#_x0000_t202" style="position:absolute;left:12192;top:10096;width:1371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HaMUA&#10;AADcAAAADwAAAGRycy9kb3ducmV2LnhtbESPT2vCQBTE7wW/w/IEb3XjfxtdpVUKtgdFben1kX0m&#10;abNvQ3Zr4rd3BcHjMDO/YebLxhTiTJXLLSvodSMQxInVOacKvo7vz1MQziNrLCyTggs5WC5aT3OM&#10;ta15T+eDT0WAsItRQeZ9GUvpkowMuq4tiYN3spVBH2SVSl1hHeCmkP0oGkuDOYeFDEtaZZT8Hf6N&#10;gsHH22j/uzMp7fR68jk8bb/rH1Kq025eZyA8Nf4Rvrc3WkF/+AK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cdoxQAAANwAAAAPAAAAAAAAAAAAAAAAAJgCAABkcnMv&#10;ZG93bnJldi54bWxQSwUGAAAAAAQABAD1AAAAigMAAAAA&#10;" fillcolor="white [3212]" stroked="f" strokeweight=".5pt">
                    <v:fill opacity="0"/>
                    <v:textbox>
                      <w:txbxContent>
                        <w:p>
                          <w:pPr>
                            <w:spacing w:after="0" w:line="240" w:lineRule="auto"/>
                            <w:jc w:val="center"/>
                            <w:rPr>
                              <w:sz w:val="16"/>
                              <w:szCs w:val="16"/>
                              <w:lang w:val="fr-BE"/>
                            </w:rPr>
                          </w:pPr>
                          <w:r>
                            <w:rPr>
                              <w:sz w:val="16"/>
                              <w:szCs w:val="16"/>
                              <w:lang w:val="fr-BE"/>
                            </w:rPr>
                            <w:t>2</w:t>
                          </w:r>
                        </w:p>
                        <w:p>
                          <w:pPr>
                            <w:spacing w:after="0" w:line="240" w:lineRule="auto"/>
                            <w:jc w:val="center"/>
                            <w:rPr>
                              <w:sz w:val="16"/>
                              <w:szCs w:val="16"/>
                              <w:lang w:val="fr-BE"/>
                            </w:rPr>
                          </w:pPr>
                          <w:r>
                            <w:rPr>
                              <w:sz w:val="16"/>
                              <w:szCs w:val="16"/>
                              <w:lang w:val="fr-BE"/>
                            </w:rPr>
                            <w:t>1 956 428</w:t>
                          </w:r>
                        </w:p>
                      </w:txbxContent>
                    </v:textbox>
                  </v:shape>
                </v:group>
                <v:shape id="Text Box 250" o:spid="_x0000_s1041" type="#_x0000_t202" style="position:absolute;left:571;top:666;width:59010;height:4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xn8QA&#10;AADcAAAADwAAAGRycy9kb3ducmV2LnhtbERPy2rCQBTdC/7DcIVuSp1UUUvMRErpQ9xpWsXdJXNN&#10;gpk7ITNN0r93FgWXh/NONoOpRUetqywreJ5GIIhzqysuFHxnH08vIJxH1lhbJgV/5GCTjkcJxtr2&#10;vKfu4AsRQtjFqKD0vomldHlJBt3UNsSBu9jWoA+wLaRusQ/hppazKFpKgxWHhhIbeispvx5+jYLz&#10;Y3HaueHzp58v5s37V5etjjpT6mEyvK5BeBr8Xfzv3moFs0WYH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Z/EAAAA3AAAAA8AAAAAAAAAAAAAAAAAmAIAAGRycy9k&#10;b3ducmV2LnhtbFBLBQYAAAAABAAEAPUAAACJAwAAAAA=&#10;" fillcolor="white [3201]" stroked="f" strokeweight=".5pt">
                  <v:textbox>
                    <w:txbxContent>
                      <w:p>
                        <w:pPr>
                          <w:rPr>
                            <w:b/>
                            <w:i/>
                            <w:sz w:val="20"/>
                            <w:szCs w:val="20"/>
                          </w:rPr>
                        </w:pPr>
                        <w:r>
                          <w:rPr>
                            <w:b/>
                            <w:i/>
                            <w:sz w:val="20"/>
                            <w:szCs w:val="20"/>
                          </w:rPr>
                          <w:t>Fig. NR1: Irregularities and amounts reported as fraudulent by type of expenditure – 2015-2019</w:t>
                        </w:r>
                      </w:p>
                    </w:txbxContent>
                  </v:textbox>
                </v:shape>
              </v:group>
            </w:pict>
          </mc:Fallback>
        </mc:AlternateContent>
      </w: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r>
        <w:rPr>
          <w:rFonts w:ascii="Arial" w:hAnsi="Arial" w:cs="Arial"/>
          <w:noProof/>
          <w:sz w:val="20"/>
          <w:szCs w:val="20"/>
          <w:lang w:eastAsia="en-GB"/>
        </w:rPr>
        <mc:AlternateContent>
          <mc:Choice Requires="wpg">
            <w:drawing>
              <wp:anchor distT="0" distB="0" distL="114300" distR="114300" simplePos="0" relativeHeight="251650560" behindDoc="0" locked="0" layoutInCell="1" allowOverlap="1">
                <wp:simplePos x="0" y="0"/>
                <wp:positionH relativeFrom="column">
                  <wp:posOffset>-29029</wp:posOffset>
                </wp:positionH>
                <wp:positionV relativeFrom="paragraph">
                  <wp:posOffset>250825</wp:posOffset>
                </wp:positionV>
                <wp:extent cx="5776546" cy="3050931"/>
                <wp:effectExtent l="0" t="0" r="15240" b="16510"/>
                <wp:wrapNone/>
                <wp:docPr id="33" name="Group 33"/>
                <wp:cNvGraphicFramePr/>
                <a:graphic xmlns:a="http://schemas.openxmlformats.org/drawingml/2006/main">
                  <a:graphicData uri="http://schemas.microsoft.com/office/word/2010/wordprocessingGroup">
                    <wpg:wgp>
                      <wpg:cNvGrpSpPr/>
                      <wpg:grpSpPr>
                        <a:xfrm>
                          <a:off x="0" y="0"/>
                          <a:ext cx="5776546" cy="3050931"/>
                          <a:chOff x="49134" y="0"/>
                          <a:chExt cx="6019800" cy="3295650"/>
                        </a:xfrm>
                      </wpg:grpSpPr>
                      <wps:wsp>
                        <wps:cNvPr id="34" name="Rectangle 34"/>
                        <wps:cNvSpPr/>
                        <wps:spPr>
                          <a:xfrm>
                            <a:off x="49134" y="0"/>
                            <a:ext cx="6019800" cy="3295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3990975" y="1076325"/>
                            <a:ext cx="1666875" cy="1533525"/>
                            <a:chOff x="0" y="0"/>
                            <a:chExt cx="1666875" cy="1533525"/>
                          </a:xfrm>
                        </wpg:grpSpPr>
                        <wps:wsp>
                          <wps:cNvPr id="37" name="Oval 37"/>
                          <wps:cNvSpPr/>
                          <wps:spPr>
                            <a:xfrm>
                              <a:off x="0" y="0"/>
                              <a:ext cx="1666875" cy="1533525"/>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180975" y="409575"/>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Rural development</w:t>
                                </w:r>
                              </w:p>
                              <w:p>
                                <w:pPr>
                                  <w:spacing w:after="0" w:line="240" w:lineRule="auto"/>
                                  <w:jc w:val="center"/>
                                  <w:rPr>
                                    <w:sz w:val="16"/>
                                    <w:szCs w:val="16"/>
                                    <w:lang w:val="fr-BE"/>
                                  </w:rPr>
                                </w:pPr>
                                <w:r>
                                  <w:rPr>
                                    <w:sz w:val="16"/>
                                    <w:szCs w:val="16"/>
                                    <w:lang w:val="fr-BE"/>
                                  </w:rPr>
                                  <w:t>10 506</w:t>
                                </w:r>
                              </w:p>
                              <w:p>
                                <w:pPr>
                                  <w:spacing w:after="0" w:line="240" w:lineRule="auto"/>
                                  <w:jc w:val="center"/>
                                  <w:rPr>
                                    <w:sz w:val="16"/>
                                    <w:szCs w:val="16"/>
                                    <w:lang w:val="fr-BE"/>
                                  </w:rPr>
                                </w:pPr>
                                <w:r>
                                  <w:rPr>
                                    <w:sz w:val="16"/>
                                    <w:szCs w:val="16"/>
                                    <w:lang w:val="fr-BE"/>
                                  </w:rPr>
                                  <w:t>579 374 957</w:t>
                                </w:r>
                              </w:p>
                              <w:p>
                                <w:pPr>
                                  <w:spacing w:after="0" w:line="240" w:lineRule="auto"/>
                                  <w:jc w:val="center"/>
                                  <w:rPr>
                                    <w:sz w:val="16"/>
                                    <w:szCs w:val="16"/>
                                    <w:lang w:val="fr-BE"/>
                                  </w:rPr>
                                </w:pPr>
                                <w:r>
                                  <w:rPr>
                                    <w:sz w:val="16"/>
                                    <w:szCs w:val="16"/>
                                    <w:lang w:val="fr-B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 name="Group 45"/>
                        <wpg:cNvGrpSpPr/>
                        <wpg:grpSpPr>
                          <a:xfrm>
                            <a:off x="152400" y="552450"/>
                            <a:ext cx="3838575" cy="2400300"/>
                            <a:chOff x="0" y="0"/>
                            <a:chExt cx="3838575" cy="2400300"/>
                          </a:xfrm>
                        </wpg:grpSpPr>
                        <wps:wsp>
                          <wps:cNvPr id="46" name="Oval 46"/>
                          <wps:cNvSpPr/>
                          <wps:spPr>
                            <a:xfrm>
                              <a:off x="95250" y="0"/>
                              <a:ext cx="2638425" cy="1533525"/>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305729" y="238125"/>
                              <a:ext cx="1589748"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Intervention agri. markets</w:t>
                                </w:r>
                              </w:p>
                              <w:p>
                                <w:pPr>
                                  <w:spacing w:after="0" w:line="240" w:lineRule="auto"/>
                                  <w:jc w:val="center"/>
                                  <w:rPr>
                                    <w:sz w:val="16"/>
                                    <w:szCs w:val="16"/>
                                    <w:lang w:val="fr-BE"/>
                                  </w:rPr>
                                </w:pPr>
                                <w:r>
                                  <w:rPr>
                                    <w:sz w:val="16"/>
                                    <w:szCs w:val="16"/>
                                    <w:lang w:val="fr-BE"/>
                                  </w:rPr>
                                  <w:t>1 695</w:t>
                                </w:r>
                              </w:p>
                              <w:p>
                                <w:pPr>
                                  <w:spacing w:after="0" w:line="240" w:lineRule="auto"/>
                                  <w:jc w:val="center"/>
                                  <w:rPr>
                                    <w:sz w:val="16"/>
                                    <w:szCs w:val="16"/>
                                    <w:lang w:val="fr-BE"/>
                                  </w:rPr>
                                </w:pPr>
                                <w:r>
                                  <w:rPr>
                                    <w:sz w:val="16"/>
                                    <w:szCs w:val="16"/>
                                    <w:lang w:val="fr-BE"/>
                                  </w:rPr>
                                  <w:t>255 652 560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Oval 50"/>
                          <wps:cNvSpPr/>
                          <wps:spPr>
                            <a:xfrm>
                              <a:off x="0" y="866775"/>
                              <a:ext cx="2638425" cy="1533525"/>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190500" y="1628775"/>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Direct payments</w:t>
                                </w:r>
                              </w:p>
                              <w:p>
                                <w:pPr>
                                  <w:spacing w:after="0" w:line="240" w:lineRule="auto"/>
                                  <w:jc w:val="center"/>
                                  <w:rPr>
                                    <w:sz w:val="16"/>
                                    <w:szCs w:val="16"/>
                                    <w:lang w:val="fr-BE"/>
                                  </w:rPr>
                                </w:pPr>
                                <w:r>
                                  <w:rPr>
                                    <w:sz w:val="16"/>
                                    <w:szCs w:val="16"/>
                                    <w:lang w:val="fr-BE"/>
                                  </w:rPr>
                                  <w:t>3 020</w:t>
                                </w:r>
                              </w:p>
                              <w:p>
                                <w:pPr>
                                  <w:spacing w:after="0" w:line="240" w:lineRule="auto"/>
                                  <w:jc w:val="center"/>
                                  <w:rPr>
                                    <w:sz w:val="16"/>
                                    <w:szCs w:val="16"/>
                                    <w:lang w:val="fr-BE"/>
                                  </w:rPr>
                                </w:pPr>
                                <w:r>
                                  <w:rPr>
                                    <w:sz w:val="16"/>
                                    <w:szCs w:val="16"/>
                                    <w:lang w:val="fr-BE"/>
                                  </w:rPr>
                                  <w:t>125 289 727</w:t>
                                </w:r>
                              </w:p>
                              <w:p>
                                <w:pPr>
                                  <w:spacing w:after="0" w:line="240" w:lineRule="auto"/>
                                  <w:jc w:val="center"/>
                                  <w:rPr>
                                    <w:sz w:val="16"/>
                                    <w:szCs w:val="1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374604" y="1016417"/>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3</w:t>
                                </w:r>
                              </w:p>
                              <w:p>
                                <w:pPr>
                                  <w:spacing w:after="0" w:line="240" w:lineRule="auto"/>
                                  <w:jc w:val="center"/>
                                  <w:rPr>
                                    <w:sz w:val="16"/>
                                    <w:szCs w:val="16"/>
                                    <w:lang w:val="fr-BE"/>
                                  </w:rPr>
                                </w:pPr>
                                <w:r>
                                  <w:rPr>
                                    <w:sz w:val="16"/>
                                    <w:szCs w:val="16"/>
                                    <w:lang w:val="fr-BE"/>
                                  </w:rPr>
                                  <w:t>59 835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Oval 61"/>
                          <wps:cNvSpPr/>
                          <wps:spPr>
                            <a:xfrm>
                              <a:off x="1466850" y="381000"/>
                              <a:ext cx="2314575" cy="1847850"/>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2466975" y="1057275"/>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Mixed or unclear</w:t>
                                </w:r>
                              </w:p>
                              <w:p>
                                <w:pPr>
                                  <w:spacing w:after="0" w:line="240" w:lineRule="auto"/>
                                  <w:jc w:val="center"/>
                                  <w:rPr>
                                    <w:sz w:val="16"/>
                                    <w:szCs w:val="16"/>
                                    <w:lang w:val="fr-BE"/>
                                  </w:rPr>
                                </w:pPr>
                                <w:r>
                                  <w:rPr>
                                    <w:sz w:val="16"/>
                                    <w:szCs w:val="16"/>
                                    <w:lang w:val="fr-BE"/>
                                  </w:rPr>
                                  <w:t>119</w:t>
                                </w:r>
                              </w:p>
                              <w:p>
                                <w:pPr>
                                  <w:spacing w:after="0" w:line="240" w:lineRule="auto"/>
                                  <w:jc w:val="center"/>
                                  <w:rPr>
                                    <w:sz w:val="16"/>
                                    <w:szCs w:val="16"/>
                                    <w:lang w:val="fr-BE"/>
                                  </w:rPr>
                                </w:pPr>
                                <w:r>
                                  <w:rPr>
                                    <w:sz w:val="16"/>
                                    <w:szCs w:val="16"/>
                                    <w:lang w:val="fr-BE"/>
                                  </w:rPr>
                                  <w:t>4 056 955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1514475" y="1495425"/>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239</w:t>
                                </w:r>
                              </w:p>
                              <w:p>
                                <w:pPr>
                                  <w:spacing w:after="0" w:line="240" w:lineRule="auto"/>
                                  <w:jc w:val="center"/>
                                  <w:rPr>
                                    <w:sz w:val="16"/>
                                    <w:szCs w:val="16"/>
                                    <w:lang w:val="fr-BE"/>
                                  </w:rPr>
                                </w:pPr>
                                <w:r>
                                  <w:rPr>
                                    <w:sz w:val="16"/>
                                    <w:szCs w:val="16"/>
                                    <w:lang w:val="fr-BE"/>
                                  </w:rPr>
                                  <w:t>19 549 233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1219200" y="1009650"/>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 name="Text Box 68"/>
                        <wps:cNvSpPr txBox="1"/>
                        <wps:spPr>
                          <a:xfrm>
                            <a:off x="57150" y="66675"/>
                            <a:ext cx="5667376" cy="4857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i/>
                                  <w:sz w:val="20"/>
                                  <w:szCs w:val="20"/>
                                </w:rPr>
                              </w:pPr>
                              <w:r>
                                <w:rPr>
                                  <w:b/>
                                  <w:i/>
                                  <w:sz w:val="20"/>
                                  <w:szCs w:val="20"/>
                                </w:rPr>
                                <w:t>Fig. NR2: Irregularities and amounts not reported as fraudulent by type of expenditure – 2015-2019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1847850" y="1123950"/>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1</w:t>
                              </w:r>
                            </w:p>
                            <w:p>
                              <w:pPr>
                                <w:spacing w:after="0" w:line="240" w:lineRule="auto"/>
                                <w:jc w:val="center"/>
                                <w:rPr>
                                  <w:sz w:val="16"/>
                                  <w:szCs w:val="16"/>
                                  <w:lang w:val="fr-BE"/>
                                </w:rPr>
                              </w:pPr>
                              <w:r>
                                <w:rPr>
                                  <w:sz w:val="16"/>
                                  <w:szCs w:val="16"/>
                                  <w:lang w:val="fr-BE"/>
                                </w:rPr>
                                <w:t>10 371</w:t>
                              </w:r>
                            </w:p>
                            <w:p>
                              <w:pPr>
                                <w:spacing w:after="0" w:line="240" w:lineRule="auto"/>
                                <w:jc w:val="center"/>
                                <w:rPr>
                                  <w:sz w:val="16"/>
                                  <w:szCs w:val="1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42" style="position:absolute;margin-left:-2.3pt;margin-top:19.75pt;width:454.85pt;height:240.25pt;z-index:251650560;mso-width-relative:margin;mso-height-relative:margin" coordorigin="491" coordsize="60198,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">
                <v:rect id="Rectangle 34" o:spid="_x0000_s1043" style="position:absolute;left:491;width:60198;height:3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NcQA&#10;AADbAAAADwAAAGRycy9kb3ducmV2LnhtbESPQWsCMRSE7wX/Q3hCL0Wzai2yGkVaCy2e3Hrw+Nw8&#10;s4ublyVJdfffN4VCj8PMfMOsNp1txI18qB0rmIwzEMSl0zUbBcev99ECRIjIGhvHpKCnAJv14GGF&#10;uXZ3PtCtiEYkCIccFVQxtrmUoazIYhi7ljh5F+ctxiS9kdrjPcFtI6dZ9iIt1pwWKmzptaLyWnxb&#10;Bbv52Yf+6c3zdN8Xn7uTmR23RqnHYbddgojUxf/wX/tDK5g9w++X9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ahjXEAAAA2wAAAA8AAAAAAAAAAAAAAAAAmAIAAGRycy9k&#10;b3ducmV2LnhtbFBLBQYAAAAABAAEAPUAAACJAwAAAAA=&#10;" fillcolor="white [3212]" strokecolor="#1f4d78 [1604]" strokeweight="1pt"/>
                <v:group id="Group 36" o:spid="_x0000_s1044" style="position:absolute;left:39909;top:10763;width:16669;height:15335" coordsize="16668,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Oval 37" o:spid="_x0000_s1045" style="position:absolute;width:16668;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KSMMA&#10;AADbAAAADwAAAGRycy9kb3ducmV2LnhtbESPQWvCQBSE7wX/w/KE3urGClaiq4hWiKeSqODxkX0m&#10;wezbkF2T+O+7QqHHYWa+YVabwdSio9ZVlhVMJxEI4tzqigsF59PhYwHCeWSNtWVS8CQHm/XobYWx&#10;tj2n1GW+EAHCLkYFpfdNLKXLSzLoJrYhDt7NtgZ9kG0hdYt9gJtafkbRXBqsOCyU2NCupPyePYyC&#10;tJ/OMptcuvn++3m8/VxdmlQLpd7Hw3YJwtPg/8N/7UQrmH3B60v4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SKSMMAAADbAAAADwAAAAAAAAAAAAAAAACYAgAAZHJzL2Rv&#10;d25yZXYueG1sUEsFBgAAAAAEAAQA9QAAAIgDAAAAAA==&#10;" fillcolor="#5b9bd5 [3204]" strokecolor="#1f4d78 [1604]" strokeweight="1pt">
                    <v:fill opacity="7967f"/>
                    <v:stroke joinstyle="miter"/>
                    <v:textbox>
                      <w:txbxContent>
                        <w:p>
                          <w:pPr>
                            <w:jc w:val="center"/>
                            <w:rPr>
                              <w:lang w:val="fr-BE"/>
                            </w:rPr>
                          </w:pPr>
                        </w:p>
                      </w:txbxContent>
                    </v:textbox>
                  </v:oval>
                  <v:shape id="Text Box 40" o:spid="_x0000_s1046" type="#_x0000_t202" style="position:absolute;left:1809;top:4095;width:1371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k8cEA&#10;AADbAAAADwAAAGRycy9kb3ducmV2LnhtbERPy2rCQBTdF/yH4Qru6sT6JDpKtRSqC8UXbi+ZaxLN&#10;3AmZqYl/7ywKXR7Oe7ZoTCEeVLncsoJeNwJBnFidc6rgdPx+n4BwHlljYZkUPMnBYt56m2Gsbc17&#10;ehx8KkIIuxgVZN6XsZQuycig69qSOHBXWxn0AVap1BXWIdwU8iOKRtJgzqEhw5JWGSX3w69R0F8v&#10;h/vbzqS001/jzeC6PdcXUqrTbj6nIDw1/l/85/7RCgZhffg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npPHBAAAA2wAAAA8AAAAAAAAAAAAAAAAAmAIAAGRycy9kb3du&#10;cmV2LnhtbFBLBQYAAAAABAAEAPUAAACGAwAAAAA=&#10;" fillcolor="white [3212]" stroked="f" strokeweight=".5pt">
                    <v:fill opacity="0"/>
                    <v:textbox>
                      <w:txbxContent>
                        <w:p>
                          <w:pPr>
                            <w:spacing w:after="0" w:line="240" w:lineRule="auto"/>
                            <w:jc w:val="center"/>
                            <w:rPr>
                              <w:sz w:val="16"/>
                              <w:szCs w:val="16"/>
                              <w:lang w:val="fr-BE"/>
                            </w:rPr>
                          </w:pPr>
                          <w:r>
                            <w:rPr>
                              <w:sz w:val="16"/>
                              <w:szCs w:val="16"/>
                              <w:lang w:val="fr-BE"/>
                            </w:rPr>
                            <w:t>Rural development</w:t>
                          </w:r>
                        </w:p>
                        <w:p>
                          <w:pPr>
                            <w:spacing w:after="0" w:line="240" w:lineRule="auto"/>
                            <w:jc w:val="center"/>
                            <w:rPr>
                              <w:sz w:val="16"/>
                              <w:szCs w:val="16"/>
                              <w:lang w:val="fr-BE"/>
                            </w:rPr>
                          </w:pPr>
                          <w:r>
                            <w:rPr>
                              <w:sz w:val="16"/>
                              <w:szCs w:val="16"/>
                              <w:lang w:val="fr-BE"/>
                            </w:rPr>
                            <w:t>10 506</w:t>
                          </w:r>
                        </w:p>
                        <w:p>
                          <w:pPr>
                            <w:spacing w:after="0" w:line="240" w:lineRule="auto"/>
                            <w:jc w:val="center"/>
                            <w:rPr>
                              <w:sz w:val="16"/>
                              <w:szCs w:val="16"/>
                              <w:lang w:val="fr-BE"/>
                            </w:rPr>
                          </w:pPr>
                          <w:r>
                            <w:rPr>
                              <w:sz w:val="16"/>
                              <w:szCs w:val="16"/>
                              <w:lang w:val="fr-BE"/>
                            </w:rPr>
                            <w:t>579 374 957</w:t>
                          </w:r>
                        </w:p>
                        <w:p>
                          <w:pPr>
                            <w:spacing w:after="0" w:line="240" w:lineRule="auto"/>
                            <w:jc w:val="center"/>
                            <w:rPr>
                              <w:sz w:val="16"/>
                              <w:szCs w:val="16"/>
                              <w:lang w:val="fr-BE"/>
                            </w:rPr>
                          </w:pPr>
                          <w:r>
                            <w:rPr>
                              <w:sz w:val="16"/>
                              <w:szCs w:val="16"/>
                              <w:lang w:val="fr-BE"/>
                            </w:rPr>
                            <w:t>3</w:t>
                          </w:r>
                        </w:p>
                      </w:txbxContent>
                    </v:textbox>
                  </v:shape>
                </v:group>
                <v:group id="Group 45" o:spid="_x0000_s1047" style="position:absolute;left:1524;top:5524;width:38385;height:24003" coordsize="38385,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oval id="Oval 46" o:spid="_x0000_s1048" style="position:absolute;left:952;width:26384;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5crsQA&#10;AADbAAAADwAAAGRycy9kb3ducmV2LnhtbESPQWuDQBSE74X8h+UVcmvWNEWCySolTcCeiraFHh/u&#10;i0rct+Ju1Pz7bKHQ4zAz3zD7bDadGGlwrWUF61UEgriyuuVawdfn6WkLwnlkjZ1lUnAjB1m6eNhj&#10;ou3EBY2lr0WAsEtQQeN9n0jpqoYMupXtiYN3toNBH+RQSz3gFOCmk89RFEuDLYeFBns6NFRdyqtR&#10;UEzrTWnz7zF+O97ezx8/rsjbrVLLx/l1B8LT7P/Df+1cK3iJ4fdL+AE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K7EAAAA2wAAAA8AAAAAAAAAAAAAAAAAmAIAAGRycy9k&#10;b3ducmV2LnhtbFBLBQYAAAAABAAEAPUAAACJAwAAAAA=&#10;" fillcolor="#5b9bd5 [3204]" strokecolor="#1f4d78 [1604]" strokeweight="1pt">
                    <v:fill opacity="7967f"/>
                    <v:stroke joinstyle="miter"/>
                  </v:oval>
                  <v:shape id="Text Box 47" o:spid="_x0000_s1049" type="#_x0000_t202" style="position:absolute;left:3057;top:2381;width:1589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8hcQA&#10;AADbAAAADwAAAGRycy9kb3ducmV2LnhtbESPT4vCMBTE74LfITzBm6auri7VKPsHwfWgqCteH82z&#10;rTYvpcna+u3NwoLHYWZ+w8wWjSnEjSqXW1Yw6EcgiBOrc04V/ByWvTcQziNrLCyTgjs5WMzbrRnG&#10;2ta8o9vepyJA2MWoIPO+jKV0SUYGXd+WxME728qgD7JKpa6wDnBTyJcoGkuDOYeFDEv6zCi57n+N&#10;guH3x+vusjUpbfXXZD06b471iZTqdpr3KQhPjX+G/9srrWA0gb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PIXEAAAA2wAAAA8AAAAAAAAAAAAAAAAAmAIAAGRycy9k&#10;b3ducmV2LnhtbFBLBQYAAAAABAAEAPUAAACJAwAAAAA=&#10;" fillcolor="white [3212]" stroked="f" strokeweight=".5pt">
                    <v:fill opacity="0"/>
                    <v:textbox>
                      <w:txbxContent>
                        <w:p>
                          <w:pPr>
                            <w:spacing w:after="0" w:line="240" w:lineRule="auto"/>
                            <w:jc w:val="center"/>
                            <w:rPr>
                              <w:sz w:val="16"/>
                              <w:szCs w:val="16"/>
                              <w:lang w:val="fr-BE"/>
                            </w:rPr>
                          </w:pPr>
                          <w:r>
                            <w:rPr>
                              <w:sz w:val="16"/>
                              <w:szCs w:val="16"/>
                              <w:lang w:val="fr-BE"/>
                            </w:rPr>
                            <w:t>Intervention agri. markets</w:t>
                          </w:r>
                        </w:p>
                        <w:p>
                          <w:pPr>
                            <w:spacing w:after="0" w:line="240" w:lineRule="auto"/>
                            <w:jc w:val="center"/>
                            <w:rPr>
                              <w:sz w:val="16"/>
                              <w:szCs w:val="16"/>
                              <w:lang w:val="fr-BE"/>
                            </w:rPr>
                          </w:pPr>
                          <w:r>
                            <w:rPr>
                              <w:sz w:val="16"/>
                              <w:szCs w:val="16"/>
                              <w:lang w:val="fr-BE"/>
                            </w:rPr>
                            <w:t>1 695</w:t>
                          </w:r>
                        </w:p>
                        <w:p>
                          <w:pPr>
                            <w:spacing w:after="0" w:line="240" w:lineRule="auto"/>
                            <w:jc w:val="center"/>
                            <w:rPr>
                              <w:sz w:val="16"/>
                              <w:szCs w:val="16"/>
                              <w:lang w:val="fr-BE"/>
                            </w:rPr>
                          </w:pPr>
                          <w:r>
                            <w:rPr>
                              <w:sz w:val="16"/>
                              <w:szCs w:val="16"/>
                              <w:lang w:val="fr-BE"/>
                            </w:rPr>
                            <w:t>255 652 560</w:t>
                          </w:r>
                        </w:p>
                      </w:txbxContent>
                    </v:textbox>
                  </v:shape>
                  <v:oval id="Oval 50" o:spid="_x0000_s1050" style="position:absolute;top:8667;width:26384;height:15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3nMEA&#10;AADbAAAADwAAAGRycy9kb3ducmV2LnhtbERPy0rDQBTdC/2H4RbcmUkUS4idFmktxJUkbcHlJXOb&#10;BDN3Qmaax987C8Hl4by3+9l0YqTBtZYVJFEMgriyuuVaweV8ekpBOI+ssbNMChZysN+tHraYaTtx&#10;QWPpaxFC2GWooPG+z6R0VUMGXWR74sDd7GDQBzjUUg84hXDTyec43kiDLYeGBns6NFT9lHejoJiS&#10;l9Lm13Fz/Fg+b1/frsjbVKnH9fz+BsLT7P/Ff+5cK3gN68OX8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C95zBAAAA2wAAAA8AAAAAAAAAAAAAAAAAmAIAAGRycy9kb3du&#10;cmV2LnhtbFBLBQYAAAAABAAEAPUAAACGAwAAAAA=&#10;" fillcolor="#5b9bd5 [3204]" strokecolor="#1f4d78 [1604]" strokeweight="1pt">
                    <v:fill opacity="7967f"/>
                    <v:stroke joinstyle="miter"/>
                  </v:oval>
                  <v:shape id="Text Box 53" o:spid="_x0000_s1051" type="#_x0000_t202" style="position:absolute;left:1905;top:16287;width:1371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sW8UA&#10;AADbAAAADwAAAGRycy9kb3ducmV2LnhtbESPT2vCQBTE74LfYXlCb7qxVluiG7EthepB0SpeH9mX&#10;P5p9G7Jbk377bkHocZiZ3zCLZWcqcaPGlZYVjEcRCOLU6pJzBcevj+ELCOeRNVaWScEPOVgm/d4C&#10;Y21b3tPt4HMRIOxiVFB4X8dSurQgg25ka+LgZbYx6INscqkbbAPcVPIximbSYMlhocCa3gpKr4dv&#10;o2Cyfp3uLzuT006/P2+esu2pPZNSD4NuNQfhqfP/4Xv7UyuYTuDvS/gB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KxbxQAAANsAAAAPAAAAAAAAAAAAAAAAAJgCAABkcnMv&#10;ZG93bnJldi54bWxQSwUGAAAAAAQABAD1AAAAigMAAAAA&#10;" fillcolor="white [3212]" stroked="f" strokeweight=".5pt">
                    <v:fill opacity="0"/>
                    <v:textbox>
                      <w:txbxContent>
                        <w:p>
                          <w:pPr>
                            <w:spacing w:after="0" w:line="240" w:lineRule="auto"/>
                            <w:jc w:val="center"/>
                            <w:rPr>
                              <w:sz w:val="16"/>
                              <w:szCs w:val="16"/>
                              <w:lang w:val="fr-BE"/>
                            </w:rPr>
                          </w:pPr>
                          <w:r>
                            <w:rPr>
                              <w:sz w:val="16"/>
                              <w:szCs w:val="16"/>
                              <w:lang w:val="fr-BE"/>
                            </w:rPr>
                            <w:t>Direct payments</w:t>
                          </w:r>
                        </w:p>
                        <w:p>
                          <w:pPr>
                            <w:spacing w:after="0" w:line="240" w:lineRule="auto"/>
                            <w:jc w:val="center"/>
                            <w:rPr>
                              <w:sz w:val="16"/>
                              <w:szCs w:val="16"/>
                              <w:lang w:val="fr-BE"/>
                            </w:rPr>
                          </w:pPr>
                          <w:r>
                            <w:rPr>
                              <w:sz w:val="16"/>
                              <w:szCs w:val="16"/>
                              <w:lang w:val="fr-BE"/>
                            </w:rPr>
                            <w:t>3 020</w:t>
                          </w:r>
                        </w:p>
                        <w:p>
                          <w:pPr>
                            <w:spacing w:after="0" w:line="240" w:lineRule="auto"/>
                            <w:jc w:val="center"/>
                            <w:rPr>
                              <w:sz w:val="16"/>
                              <w:szCs w:val="16"/>
                              <w:lang w:val="fr-BE"/>
                            </w:rPr>
                          </w:pPr>
                          <w:r>
                            <w:rPr>
                              <w:sz w:val="16"/>
                              <w:szCs w:val="16"/>
                              <w:lang w:val="fr-BE"/>
                            </w:rPr>
                            <w:t>125 289 727</w:t>
                          </w:r>
                        </w:p>
                        <w:p>
                          <w:pPr>
                            <w:spacing w:after="0" w:line="240" w:lineRule="auto"/>
                            <w:jc w:val="center"/>
                            <w:rPr>
                              <w:sz w:val="16"/>
                              <w:szCs w:val="16"/>
                              <w:lang w:val="fr-BE"/>
                            </w:rPr>
                          </w:pPr>
                        </w:p>
                      </w:txbxContent>
                    </v:textbox>
                  </v:shape>
                  <v:shape id="Text Box 57" o:spid="_x0000_s1052" type="#_x0000_t202" style="position:absolute;left:3746;top:10164;width:13716;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qWMUA&#10;AADbAAAADwAAAGRycy9kb3ducmV2LnhtbESPS4vCQBCE7wv+h6EFb+vE9bVER9kHgutBUVe8Npk2&#10;iWZ6QmbWxH/vCAsei6r6iprOG1OIK1Uut6yg141AECdW55wq+N0vXt9BOI+ssbBMCm7kYD5rvUwx&#10;1rbmLV13PhUBwi5GBZn3ZSylSzIy6Lq2JA7eyVYGfZBVKnWFdYCbQr5F0UgazDksZFjSV0bJZfdn&#10;FPR/Pofb88aktNHf49XgtD7UR1Kq024+JiA8Nf4Z/m8vtYLhGB5fw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6pYxQAAANsAAAAPAAAAAAAAAAAAAAAAAJgCAABkcnMv&#10;ZG93bnJldi54bWxQSwUGAAAAAAQABAD1AAAAigMAAAAA&#10;" fillcolor="white [3212]" stroked="f" strokeweight=".5pt">
                    <v:fill opacity="0"/>
                    <v:textbox>
                      <w:txbxContent>
                        <w:p>
                          <w:pPr>
                            <w:spacing w:after="0" w:line="240" w:lineRule="auto"/>
                            <w:jc w:val="center"/>
                            <w:rPr>
                              <w:sz w:val="16"/>
                              <w:szCs w:val="16"/>
                              <w:lang w:val="fr-BE"/>
                            </w:rPr>
                          </w:pPr>
                          <w:r>
                            <w:rPr>
                              <w:sz w:val="16"/>
                              <w:szCs w:val="16"/>
                              <w:lang w:val="fr-BE"/>
                            </w:rPr>
                            <w:t>3</w:t>
                          </w:r>
                        </w:p>
                        <w:p>
                          <w:pPr>
                            <w:spacing w:after="0" w:line="240" w:lineRule="auto"/>
                            <w:jc w:val="center"/>
                            <w:rPr>
                              <w:sz w:val="16"/>
                              <w:szCs w:val="16"/>
                              <w:lang w:val="fr-BE"/>
                            </w:rPr>
                          </w:pPr>
                          <w:r>
                            <w:rPr>
                              <w:sz w:val="16"/>
                              <w:szCs w:val="16"/>
                              <w:lang w:val="fr-BE"/>
                            </w:rPr>
                            <w:t>59 835</w:t>
                          </w:r>
                        </w:p>
                      </w:txbxContent>
                    </v:textbox>
                  </v:shape>
                  <v:oval id="Oval 61" o:spid="_x0000_s1053" style="position:absolute;left:14668;top:3810;width:23146;height:18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YusQA&#10;AADbAAAADwAAAGRycy9kb3ducmV2LnhtbESPzWrDMBCE74W+g9hAb43sFkxwIoeQtuCeip0Eclys&#10;9Q+xVsZSbeftq0Khx2FmvmF2+8X0YqLRdZYVxOsIBHFldceNgvPp43kDwnlkjb1lUnAnB/vs8WGH&#10;qbYzFzSVvhEBwi5FBa33Qyqlq1oy6NZ2IA5ebUeDPsixkXrEOcBNL1+iKJEGOw4LLQ50bKm6ld9G&#10;QTHHr6XNL1Py9n7/rL+ursi7jVJPq+WwBeFp8f/hv3auFSQx/H4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imLrEAAAA2wAAAA8AAAAAAAAAAAAAAAAAmAIAAGRycy9k&#10;b3ducmV2LnhtbFBLBQYAAAAABAAEAPUAAACJAwAAAAA=&#10;" fillcolor="#5b9bd5 [3204]" strokecolor="#1f4d78 [1604]" strokeweight="1pt">
                    <v:fill opacity="7967f"/>
                    <v:stroke joinstyle="miter"/>
                  </v:oval>
                  <v:shape id="Text Box 63" o:spid="_x0000_s1054" type="#_x0000_t202" style="position:absolute;left:24669;top:10572;width:1371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m5sUA&#10;AADbAAAADwAAAGRycy9kb3ducmV2LnhtbESPT2vCQBTE7wW/w/KE3urGWm2JbsS2CNWDolW8PrIv&#10;fzT7NmS3Jv32bkHocZiZ3zCzeWcqcaXGlZYVDAcRCOLU6pJzBYfv5dMbCOeRNVaWScEvOZgnvYcZ&#10;xtq2vKPr3uciQNjFqKDwvo6ldGlBBt3A1sTBy2xj0AfZ5FI32Aa4qeRzFE2kwZLDQoE1fRSUXvY/&#10;RsFo9T7enbcmp63+fF2/ZJtjeyKlHvvdYgrCU+f/w/f2l1YwGcHfl/AD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GbmxQAAANsAAAAPAAAAAAAAAAAAAAAAAJgCAABkcnMv&#10;ZG93bnJldi54bWxQSwUGAAAAAAQABAD1AAAAigMAAAAA&#10;" fillcolor="white [3212]" stroked="f" strokeweight=".5pt">
                    <v:fill opacity="0"/>
                    <v:textbox>
                      <w:txbxContent>
                        <w:p>
                          <w:pPr>
                            <w:spacing w:after="0" w:line="240" w:lineRule="auto"/>
                            <w:jc w:val="center"/>
                            <w:rPr>
                              <w:sz w:val="16"/>
                              <w:szCs w:val="16"/>
                              <w:lang w:val="fr-BE"/>
                            </w:rPr>
                          </w:pPr>
                          <w:r>
                            <w:rPr>
                              <w:sz w:val="16"/>
                              <w:szCs w:val="16"/>
                              <w:lang w:val="fr-BE"/>
                            </w:rPr>
                            <w:t>Mixed or unclear</w:t>
                          </w:r>
                        </w:p>
                        <w:p>
                          <w:pPr>
                            <w:spacing w:after="0" w:line="240" w:lineRule="auto"/>
                            <w:jc w:val="center"/>
                            <w:rPr>
                              <w:sz w:val="16"/>
                              <w:szCs w:val="16"/>
                              <w:lang w:val="fr-BE"/>
                            </w:rPr>
                          </w:pPr>
                          <w:r>
                            <w:rPr>
                              <w:sz w:val="16"/>
                              <w:szCs w:val="16"/>
                              <w:lang w:val="fr-BE"/>
                            </w:rPr>
                            <w:t>119</w:t>
                          </w:r>
                        </w:p>
                        <w:p>
                          <w:pPr>
                            <w:spacing w:after="0" w:line="240" w:lineRule="auto"/>
                            <w:jc w:val="center"/>
                            <w:rPr>
                              <w:sz w:val="16"/>
                              <w:szCs w:val="16"/>
                              <w:lang w:val="fr-BE"/>
                            </w:rPr>
                          </w:pPr>
                          <w:r>
                            <w:rPr>
                              <w:sz w:val="16"/>
                              <w:szCs w:val="16"/>
                              <w:lang w:val="fr-BE"/>
                            </w:rPr>
                            <w:t>4 056 955</w:t>
                          </w:r>
                        </w:p>
                      </w:txbxContent>
                    </v:textbox>
                  </v:shape>
                  <v:shape id="Text Box 64" o:spid="_x0000_s1055" type="#_x0000_t202" style="position:absolute;left:15144;top:14954;width:1371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sUA&#10;AADbAAAADwAAAGRycy9kb3ducmV2LnhtbESPT2vCQBTE74LfYXlCb7qxWpXUjViLYD1U1JZeH9mX&#10;P5p9G7Jbk377bqHgcZiZ3zDLVWcqcaPGlZYVjEcRCOLU6pJzBR/n7XABwnlkjZVlUvBDDlZJv7fE&#10;WNuWj3Q7+VwECLsYFRTe17GULi3IoBvZmjh4mW0M+iCbXOoG2wA3lXyMopk0WHJYKLCmTUHp9fRt&#10;FEzeXp6Ol4PJ6aBf5/tp9v7ZfpFSD4Nu/QzCU+fv4f/2TiuYTeHvS/gB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f6SxQAAANsAAAAPAAAAAAAAAAAAAAAAAJgCAABkcnMv&#10;ZG93bnJldi54bWxQSwUGAAAAAAQABAD1AAAAigMAAAAA&#10;" fillcolor="white [3212]" stroked="f" strokeweight=".5pt">
                    <v:fill opacity="0"/>
                    <v:textbox>
                      <w:txbxContent>
                        <w:p>
                          <w:pPr>
                            <w:spacing w:after="0" w:line="240" w:lineRule="auto"/>
                            <w:jc w:val="center"/>
                            <w:rPr>
                              <w:sz w:val="16"/>
                              <w:szCs w:val="16"/>
                              <w:lang w:val="fr-BE"/>
                            </w:rPr>
                          </w:pPr>
                          <w:r>
                            <w:rPr>
                              <w:sz w:val="16"/>
                              <w:szCs w:val="16"/>
                              <w:lang w:val="fr-BE"/>
                            </w:rPr>
                            <w:t>239</w:t>
                          </w:r>
                        </w:p>
                        <w:p>
                          <w:pPr>
                            <w:spacing w:after="0" w:line="240" w:lineRule="auto"/>
                            <w:jc w:val="center"/>
                            <w:rPr>
                              <w:sz w:val="16"/>
                              <w:szCs w:val="16"/>
                              <w:lang w:val="fr-BE"/>
                            </w:rPr>
                          </w:pPr>
                          <w:r>
                            <w:rPr>
                              <w:sz w:val="16"/>
                              <w:szCs w:val="16"/>
                              <w:lang w:val="fr-BE"/>
                            </w:rPr>
                            <w:t>19 549 233</w:t>
                          </w:r>
                        </w:p>
                      </w:txbxContent>
                    </v:textbox>
                  </v:shape>
                  <v:shape id="Text Box 65" o:spid="_x0000_s1056" type="#_x0000_t202" style="position:absolute;left:12192;top:10096;width:1371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CcUA&#10;AADbAAAADwAAAGRycy9kb3ducmV2LnhtbESPW2vCQBSE3wX/w3KEvunGeiV1I9YitD5U1Ja+HrIn&#10;F82eDdmtSf99t1DwcZiZb5jVujOVuFHjSssKxqMIBHFqdcm5go/zbrgE4TyyxsoyKfghB+uk31th&#10;rG3LR7qdfC4ChF2MCgrv61hKlxZk0I1sTRy8zDYGfZBNLnWDbYCbSj5G0VwaLDksFFjTtqD0evo2&#10;CiZvz7Pj5WByOuiXxX6avX+2X6TUw6DbPIHw1Pl7+L/9qhXMZ/D3Jf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VsJxQAAANsAAAAPAAAAAAAAAAAAAAAAAJgCAABkcnMv&#10;ZG93bnJldi54bWxQSwUGAAAAAAQABAD1AAAAigMAAAAA&#10;" fillcolor="white [3212]" stroked="f" strokeweight=".5pt">
                    <v:fill opacity="0"/>
                    <v:textbox>
                      <w:txbxContent>
                        <w:p>
                          <w:pPr>
                            <w:spacing w:after="0" w:line="240" w:lineRule="auto"/>
                            <w:jc w:val="center"/>
                            <w:rPr>
                              <w:sz w:val="16"/>
                              <w:szCs w:val="16"/>
                              <w:lang w:val="fr-BE"/>
                            </w:rPr>
                          </w:pPr>
                        </w:p>
                      </w:txbxContent>
                    </v:textbox>
                  </v:shape>
                </v:group>
                <v:shape id="Text Box 68" o:spid="_x0000_s1057" type="#_x0000_t202" style="position:absolute;left:571;top:666;width:56674;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4o8MA&#10;AADbAAAADwAAAGRycy9kb3ducmV2LnhtbERPTWvCQBC9C/6HZYRepG5a0ZY0G5HSVvGmaSvehuw0&#10;CWZnQ3abxH/vHgSPj/edrAZTi45aV1lW8DSLQBDnVldcKPjOPh9fQTiPrLG2TAou5GCVjkcJxtr2&#10;vKfu4AsRQtjFqKD0vomldHlJBt3MNsSB+7OtQR9gW0jdYh/CTS2fo2gpDVYcGkps6L2k/Hz4NwpO&#10;0+K4c8PXTz9fzJuPTZe9/OpMqYfJsH4D4Wnwd/HNvdUKl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M4o8MAAADbAAAADwAAAAAAAAAAAAAAAACYAgAAZHJzL2Rv&#10;d25yZXYueG1sUEsFBgAAAAAEAAQA9QAAAIgDAAAAAA==&#10;" fillcolor="white [3201]" stroked="f" strokeweight=".5pt">
                  <v:textbox>
                    <w:txbxContent>
                      <w:p>
                        <w:pPr>
                          <w:rPr>
                            <w:b/>
                            <w:i/>
                            <w:sz w:val="20"/>
                            <w:szCs w:val="20"/>
                          </w:rPr>
                        </w:pPr>
                        <w:r>
                          <w:rPr>
                            <w:b/>
                            <w:i/>
                            <w:sz w:val="20"/>
                            <w:szCs w:val="20"/>
                          </w:rPr>
                          <w:t>Fig. NR2: Irregularities and amounts not reported as fraudulent by type of expenditure – 2015-2019</w:t>
                        </w:r>
                      </w:p>
                    </w:txbxContent>
                  </v:textbox>
                </v:shape>
                <v:shape id="Text Box 72" o:spid="_x0000_s1058" type="#_x0000_t202" style="position:absolute;left:18478;top:11239;width:1371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VoMUA&#10;AADbAAAADwAAAGRycy9kb3ducmV2LnhtbESPT2vCQBTE7wW/w/IEb3Wjtlqiq/gHwXpQtBWvj+wz&#10;iWbfhuxq4rfvFgo9DjPzG2Yya0whHlS53LKCXjcCQZxYnXOq4Ptr/foBwnlkjYVlUvAkB7Np62WC&#10;sbY1H+hx9KkIEHYxKsi8L2MpXZKRQde1JXHwLrYy6IOsUqkrrAPcFLIfRUNpMOewkGFJy4yS2/Fu&#10;FAw+F++H696ktNer0fbtsjvVZ1Kq027mYxCeGv8f/mtvtIJRH36/hB8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VWgxQAAANsAAAAPAAAAAAAAAAAAAAAAAJgCAABkcnMv&#10;ZG93bnJldi54bWxQSwUGAAAAAAQABAD1AAAAigMAAAAA&#10;" fillcolor="white [3212]" stroked="f" strokeweight=".5pt">
                  <v:fill opacity="0"/>
                  <v:textbox>
                    <w:txbxContent>
                      <w:p>
                        <w:pPr>
                          <w:spacing w:after="0" w:line="240" w:lineRule="auto"/>
                          <w:jc w:val="center"/>
                          <w:rPr>
                            <w:sz w:val="16"/>
                            <w:szCs w:val="16"/>
                            <w:lang w:val="fr-BE"/>
                          </w:rPr>
                        </w:pPr>
                        <w:r>
                          <w:rPr>
                            <w:sz w:val="16"/>
                            <w:szCs w:val="16"/>
                            <w:lang w:val="fr-BE"/>
                          </w:rPr>
                          <w:t>1</w:t>
                        </w:r>
                      </w:p>
                      <w:p>
                        <w:pPr>
                          <w:spacing w:after="0" w:line="240" w:lineRule="auto"/>
                          <w:jc w:val="center"/>
                          <w:rPr>
                            <w:sz w:val="16"/>
                            <w:szCs w:val="16"/>
                            <w:lang w:val="fr-BE"/>
                          </w:rPr>
                        </w:pPr>
                        <w:r>
                          <w:rPr>
                            <w:sz w:val="16"/>
                            <w:szCs w:val="16"/>
                            <w:lang w:val="fr-BE"/>
                          </w:rPr>
                          <w:t>10 371</w:t>
                        </w:r>
                      </w:p>
                      <w:p>
                        <w:pPr>
                          <w:spacing w:after="0" w:line="240" w:lineRule="auto"/>
                          <w:jc w:val="center"/>
                          <w:rPr>
                            <w:sz w:val="16"/>
                            <w:szCs w:val="16"/>
                            <w:lang w:val="fr-BE"/>
                          </w:rPr>
                        </w:pPr>
                      </w:p>
                    </w:txbxContent>
                  </v:textbox>
                </v:shape>
              </v:group>
            </w:pict>
          </mc:Fallback>
        </mc:AlternateContent>
      </w: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r>
        <w:rPr>
          <w:rFonts w:ascii="Arial" w:hAnsi="Arial" w:cs="Arial"/>
          <w:noProof/>
          <w:sz w:val="20"/>
          <w:szCs w:val="20"/>
          <w:lang w:eastAsia="en-GB"/>
        </w:rPr>
        <mc:AlternateContent>
          <mc:Choice Requires="wpg">
            <w:drawing>
              <wp:anchor distT="0" distB="0" distL="114300" distR="114300" simplePos="0" relativeHeight="251647488" behindDoc="0" locked="0" layoutInCell="1" allowOverlap="1">
                <wp:simplePos x="0" y="0"/>
                <wp:positionH relativeFrom="column">
                  <wp:posOffset>0</wp:posOffset>
                </wp:positionH>
                <wp:positionV relativeFrom="paragraph">
                  <wp:posOffset>22639</wp:posOffset>
                </wp:positionV>
                <wp:extent cx="5805805" cy="3132455"/>
                <wp:effectExtent l="0" t="0" r="23495" b="10795"/>
                <wp:wrapNone/>
                <wp:docPr id="87" name="Group 87"/>
                <wp:cNvGraphicFramePr/>
                <a:graphic xmlns:a="http://schemas.openxmlformats.org/drawingml/2006/main">
                  <a:graphicData uri="http://schemas.microsoft.com/office/word/2010/wordprocessingGroup">
                    <wpg:wgp>
                      <wpg:cNvGrpSpPr/>
                      <wpg:grpSpPr>
                        <a:xfrm>
                          <a:off x="0" y="0"/>
                          <a:ext cx="5805805" cy="3132455"/>
                          <a:chOff x="0" y="0"/>
                          <a:chExt cx="6019800" cy="3295650"/>
                        </a:xfrm>
                      </wpg:grpSpPr>
                      <wps:wsp>
                        <wps:cNvPr id="88" name="Rectangle 88"/>
                        <wps:cNvSpPr/>
                        <wps:spPr>
                          <a:xfrm>
                            <a:off x="0" y="0"/>
                            <a:ext cx="6019800" cy="3295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89"/>
                        <wpg:cNvGrpSpPr/>
                        <wpg:grpSpPr>
                          <a:xfrm>
                            <a:off x="3990703" y="927901"/>
                            <a:ext cx="1666875" cy="1672424"/>
                            <a:chOff x="-272" y="-91273"/>
                            <a:chExt cx="1666875" cy="1672424"/>
                          </a:xfrm>
                        </wpg:grpSpPr>
                        <wps:wsp>
                          <wps:cNvPr id="90" name="Oval 90"/>
                          <wps:cNvSpPr/>
                          <wps:spPr>
                            <a:xfrm>
                              <a:off x="-272" y="-91273"/>
                              <a:ext cx="1666875" cy="1672424"/>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180975" y="409575"/>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Rural development</w:t>
                                </w:r>
                              </w:p>
                              <w:p>
                                <w:pPr>
                                  <w:spacing w:after="0" w:line="240" w:lineRule="auto"/>
                                  <w:jc w:val="center"/>
                                  <w:rPr>
                                    <w:sz w:val="16"/>
                                    <w:szCs w:val="16"/>
                                    <w:lang w:val="fr-BE"/>
                                  </w:rPr>
                                </w:pPr>
                                <w:r>
                                  <w:rPr>
                                    <w:sz w:val="16"/>
                                    <w:szCs w:val="16"/>
                                    <w:lang w:val="fr-BE"/>
                                  </w:rPr>
                                  <w:t>11 298</w:t>
                                </w:r>
                              </w:p>
                              <w:p>
                                <w:pPr>
                                  <w:spacing w:after="0" w:line="240" w:lineRule="auto"/>
                                  <w:jc w:val="center"/>
                                  <w:rPr>
                                    <w:sz w:val="16"/>
                                    <w:szCs w:val="16"/>
                                    <w:lang w:val="fr-BE"/>
                                  </w:rPr>
                                </w:pPr>
                                <w:r>
                                  <w:rPr>
                                    <w:sz w:val="16"/>
                                    <w:szCs w:val="16"/>
                                    <w:lang w:val="fr-BE"/>
                                  </w:rPr>
                                  <w:t>700 152 065</w:t>
                                </w:r>
                              </w:p>
                              <w:p>
                                <w:pPr>
                                  <w:spacing w:after="0" w:line="240" w:lineRule="auto"/>
                                  <w:jc w:val="center"/>
                                  <w:rPr>
                                    <w:sz w:val="16"/>
                                    <w:szCs w:val="1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3" name="Group 93"/>
                        <wpg:cNvGrpSpPr/>
                        <wpg:grpSpPr>
                          <a:xfrm>
                            <a:off x="152400" y="485775"/>
                            <a:ext cx="3838485" cy="2400301"/>
                            <a:chOff x="0" y="0"/>
                            <a:chExt cx="3838485" cy="2400300"/>
                          </a:xfrm>
                        </wpg:grpSpPr>
                        <wps:wsp>
                          <wps:cNvPr id="95" name="Oval 95"/>
                          <wps:cNvSpPr/>
                          <wps:spPr>
                            <a:xfrm>
                              <a:off x="95250" y="0"/>
                              <a:ext cx="2638425" cy="1533525"/>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292908" y="238125"/>
                              <a:ext cx="1602453" cy="628649"/>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Intervention agri. markets</w:t>
                                </w:r>
                              </w:p>
                              <w:p>
                                <w:pPr>
                                  <w:spacing w:after="0" w:line="240" w:lineRule="auto"/>
                                  <w:jc w:val="center"/>
                                  <w:rPr>
                                    <w:sz w:val="16"/>
                                    <w:szCs w:val="16"/>
                                    <w:lang w:val="fr-BE"/>
                                  </w:rPr>
                                </w:pPr>
                                <w:r>
                                  <w:rPr>
                                    <w:sz w:val="16"/>
                                    <w:szCs w:val="16"/>
                                    <w:lang w:val="fr-BE"/>
                                  </w:rPr>
                                  <w:t>1 839</w:t>
                                </w:r>
                              </w:p>
                              <w:p>
                                <w:pPr>
                                  <w:spacing w:after="0" w:line="240" w:lineRule="auto"/>
                                  <w:jc w:val="center"/>
                                  <w:rPr>
                                    <w:sz w:val="16"/>
                                    <w:szCs w:val="16"/>
                                    <w:lang w:val="fr-BE"/>
                                  </w:rPr>
                                </w:pPr>
                                <w:r>
                                  <w:rPr>
                                    <w:sz w:val="16"/>
                                    <w:szCs w:val="16"/>
                                    <w:lang w:val="fr-BE"/>
                                  </w:rPr>
                                  <w:t>374 080 076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Oval 101"/>
                          <wps:cNvSpPr/>
                          <wps:spPr>
                            <a:xfrm>
                              <a:off x="0" y="866775"/>
                              <a:ext cx="2638425" cy="1533525"/>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Text Box 102"/>
                          <wps:cNvSpPr txBox="1"/>
                          <wps:spPr>
                            <a:xfrm>
                              <a:off x="190500" y="1628775"/>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Direct payments</w:t>
                                </w:r>
                              </w:p>
                              <w:p>
                                <w:pPr>
                                  <w:spacing w:after="0" w:line="240" w:lineRule="auto"/>
                                  <w:jc w:val="center"/>
                                  <w:rPr>
                                    <w:sz w:val="16"/>
                                    <w:szCs w:val="16"/>
                                    <w:lang w:val="fr-BE"/>
                                  </w:rPr>
                                </w:pPr>
                                <w:r>
                                  <w:rPr>
                                    <w:sz w:val="16"/>
                                    <w:szCs w:val="16"/>
                                    <w:lang w:val="fr-BE"/>
                                  </w:rPr>
                                  <w:t>3 542</w:t>
                                </w:r>
                              </w:p>
                              <w:p>
                                <w:pPr>
                                  <w:spacing w:after="0" w:line="240" w:lineRule="auto"/>
                                  <w:jc w:val="center"/>
                                  <w:rPr>
                                    <w:sz w:val="16"/>
                                    <w:szCs w:val="16"/>
                                    <w:lang w:val="fr-BE"/>
                                  </w:rPr>
                                </w:pPr>
                                <w:r>
                                  <w:rPr>
                                    <w:sz w:val="16"/>
                                    <w:szCs w:val="16"/>
                                    <w:lang w:val="fr-BE"/>
                                  </w:rPr>
                                  <w:t>148 689 817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95250" y="990600"/>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4</w:t>
                                </w:r>
                              </w:p>
                              <w:p>
                                <w:pPr>
                                  <w:spacing w:after="0" w:line="240" w:lineRule="auto"/>
                                  <w:jc w:val="center"/>
                                  <w:rPr>
                                    <w:sz w:val="16"/>
                                    <w:szCs w:val="16"/>
                                    <w:lang w:val="fr-BE"/>
                                  </w:rPr>
                                </w:pPr>
                                <w:r>
                                  <w:rPr>
                                    <w:sz w:val="16"/>
                                    <w:szCs w:val="16"/>
                                    <w:lang w:val="fr-BE"/>
                                  </w:rPr>
                                  <w:t>216 073</w:t>
                                </w:r>
                              </w:p>
                              <w:p>
                                <w:pPr>
                                  <w:spacing w:after="0" w:line="240" w:lineRule="auto"/>
                                  <w:jc w:val="center"/>
                                  <w:rPr>
                                    <w:sz w:val="16"/>
                                    <w:szCs w:val="1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Oval 107"/>
                          <wps:cNvSpPr/>
                          <wps:spPr>
                            <a:xfrm>
                              <a:off x="1466850" y="381000"/>
                              <a:ext cx="2314575" cy="1847850"/>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 Box 109"/>
                          <wps:cNvSpPr txBox="1"/>
                          <wps:spPr>
                            <a:xfrm>
                              <a:off x="2466885" y="1057275"/>
                              <a:ext cx="1371600" cy="571500"/>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Mixed or unclear</w:t>
                                </w:r>
                              </w:p>
                              <w:p>
                                <w:pPr>
                                  <w:spacing w:after="0" w:line="240" w:lineRule="auto"/>
                                  <w:jc w:val="center"/>
                                  <w:rPr>
                                    <w:sz w:val="16"/>
                                    <w:szCs w:val="16"/>
                                    <w:lang w:val="fr-BE"/>
                                  </w:rPr>
                                </w:pPr>
                                <w:r>
                                  <w:rPr>
                                    <w:sz w:val="16"/>
                                    <w:szCs w:val="16"/>
                                    <w:lang w:val="fr-BE"/>
                                  </w:rPr>
                                  <w:t>123</w:t>
                                </w:r>
                              </w:p>
                              <w:p>
                                <w:pPr>
                                  <w:spacing w:after="0" w:line="240" w:lineRule="auto"/>
                                  <w:jc w:val="center"/>
                                  <w:rPr>
                                    <w:sz w:val="16"/>
                                    <w:szCs w:val="16"/>
                                    <w:lang w:val="fr-BE"/>
                                  </w:rPr>
                                </w:pPr>
                                <w:r>
                                  <w:rPr>
                                    <w:sz w:val="16"/>
                                    <w:szCs w:val="16"/>
                                    <w:lang w:val="fr-BE"/>
                                  </w:rPr>
                                  <w:t>4 090 678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1514475" y="1495425"/>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282</w:t>
                                </w:r>
                              </w:p>
                              <w:p>
                                <w:pPr>
                                  <w:spacing w:after="0" w:line="240" w:lineRule="auto"/>
                                  <w:jc w:val="center"/>
                                  <w:rPr>
                                    <w:sz w:val="16"/>
                                    <w:szCs w:val="16"/>
                                    <w:lang w:val="fr-BE"/>
                                  </w:rPr>
                                </w:pPr>
                                <w:r>
                                  <w:rPr>
                                    <w:sz w:val="16"/>
                                    <w:szCs w:val="16"/>
                                    <w:lang w:val="fr-BE"/>
                                  </w:rPr>
                                  <w:t>23 400 902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1219200" y="1009650"/>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2</w:t>
                                </w:r>
                              </w:p>
                              <w:p>
                                <w:pPr>
                                  <w:spacing w:after="0" w:line="240" w:lineRule="auto"/>
                                  <w:jc w:val="center"/>
                                  <w:rPr>
                                    <w:sz w:val="16"/>
                                    <w:szCs w:val="16"/>
                                    <w:lang w:val="fr-BE"/>
                                  </w:rPr>
                                </w:pPr>
                                <w:r>
                                  <w:rPr>
                                    <w:sz w:val="16"/>
                                    <w:szCs w:val="16"/>
                                    <w:lang w:val="fr-BE"/>
                                  </w:rPr>
                                  <w:t>1 956 428</w:t>
                                </w:r>
                              </w:p>
                              <w:p>
                                <w:pPr>
                                  <w:spacing w:after="0" w:line="240" w:lineRule="auto"/>
                                  <w:jc w:val="center"/>
                                  <w:rPr>
                                    <w:sz w:val="16"/>
                                    <w:szCs w:val="1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1666875" y="638175"/>
                              <a:ext cx="1371600" cy="48577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1</w:t>
                                </w:r>
                              </w:p>
                              <w:p>
                                <w:pPr>
                                  <w:spacing w:after="0" w:line="240" w:lineRule="auto"/>
                                  <w:jc w:val="center"/>
                                  <w:rPr>
                                    <w:sz w:val="16"/>
                                    <w:szCs w:val="16"/>
                                    <w:lang w:val="fr-BE"/>
                                  </w:rPr>
                                </w:pPr>
                                <w:r>
                                  <w:rPr>
                                    <w:sz w:val="16"/>
                                    <w:szCs w:val="16"/>
                                    <w:lang w:val="fr-BE"/>
                                  </w:rPr>
                                  <w:t>10 371</w:t>
                                </w:r>
                              </w:p>
                              <w:p>
                                <w:pPr>
                                  <w:spacing w:after="0" w:line="240" w:lineRule="auto"/>
                                  <w:jc w:val="center"/>
                                  <w:rPr>
                                    <w:sz w:val="16"/>
                                    <w:szCs w:val="1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7" name="Text Box 167"/>
                        <wps:cNvSpPr txBox="1"/>
                        <wps:spPr>
                          <a:xfrm>
                            <a:off x="114855" y="224448"/>
                            <a:ext cx="5331087" cy="3619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i/>
                                  <w:sz w:val="20"/>
                                  <w:szCs w:val="20"/>
                                </w:rPr>
                              </w:pPr>
                              <w:r>
                                <w:rPr>
                                  <w:b/>
                                  <w:i/>
                                  <w:sz w:val="20"/>
                                  <w:szCs w:val="20"/>
                                </w:rPr>
                                <w:t>Fig. NR3: Irregularities and amounts reported by type of expenditure – 2015-2019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7" o:spid="_x0000_s1059" style="position:absolute;margin-left:0;margin-top:1.8pt;width:457.15pt;height:246.65pt;z-index:251647488;mso-width-relative:margin;mso-height-relative:margin" coordsize="60198,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">
                <v:rect id="Rectangle 88" o:spid="_x0000_s1060" style="position:absolute;width:60198;height:3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F18EA&#10;AADbAAAADwAAAGRycy9kb3ducmV2LnhtbERPz2vCMBS+D/wfwhN2GTNV2ZBqFFEHyk52HnZ8Nm9p&#10;WfNSkqjtf28OgseP7/di1dlGXMmH2rGC8SgDQVw6XbNRcPr5ep+BCBFZY+OYFPQUYLUcvCww1+7G&#10;R7oW0YgUwiFHBVWMbS5lKCuyGEauJU7cn/MWY4LeSO3xlsJtIydZ9ikt1pwaKmxpU1H5X1ysgt3H&#10;2Yf+bet58t0Xh92vmZ7WRqnXYbeeg4jUxaf44d5rBbM0Nn1JP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oRdfBAAAA2wAAAA8AAAAAAAAAAAAAAAAAmAIAAGRycy9kb3du&#10;cmV2LnhtbFBLBQYAAAAABAAEAPUAAACGAwAAAAA=&#10;" fillcolor="white [3212]" strokecolor="#1f4d78 [1604]" strokeweight="1pt"/>
                <v:group id="Group 89" o:spid="_x0000_s1061" style="position:absolute;left:39907;top:9279;width:16668;height:16724" coordorigin="-2,-912" coordsize="16668,1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oval id="Oval 90" o:spid="_x0000_s1062" style="position:absolute;left:-2;top:-912;width:16668;height:16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NBsAA&#10;AADbAAAADwAAAGRycy9kb3ducmV2LnhtbERPTYvCMBC9C/6HMII3TXVB3GoUURe6p6V1BY9DM7bF&#10;ZlKa2NZ/bw4Le3y87+1+MLXoqHWVZQWLeQSCOLe64kLB7+VrtgbhPLLG2jIpeJGD/W482mKsbc8p&#10;dZkvRAhhF6OC0vsmltLlJRl0c9sQB+5uW4M+wLaQusU+hJtaLqNoJQ1WHBpKbOhYUv7InkZB2i8+&#10;Mptcu9Xp/Pq+/9xcmlRrpaaT4bAB4Wnw/+I/d6IVfIb14Uv4A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tNBsAAAADbAAAADwAAAAAAAAAAAAAAAACYAgAAZHJzL2Rvd25y&#10;ZXYueG1sUEsFBgAAAAAEAAQA9QAAAIUDAAAAAA==&#10;" fillcolor="#5b9bd5 [3204]" strokecolor="#1f4d78 [1604]" strokeweight="1pt">
                    <v:fill opacity="7967f"/>
                    <v:stroke joinstyle="miter"/>
                    <v:textbox>
                      <w:txbxContent>
                        <w:p>
                          <w:pPr>
                            <w:jc w:val="center"/>
                            <w:rPr>
                              <w:lang w:val="fr-BE"/>
                            </w:rPr>
                          </w:pPr>
                        </w:p>
                      </w:txbxContent>
                    </v:textbox>
                  </v:oval>
                  <v:shape id="Text Box 92" o:spid="_x0000_s1063" type="#_x0000_t202" style="position:absolute;left:1809;top:4095;width:1371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zWsUA&#10;AADbAAAADwAAAGRycy9kb3ducmV2LnhtbESPQWvCQBSE7wX/w/KE3upGrbZGV9GWQvVg0Fa8PrLP&#10;JJp9G7Jbk/77bkHwOMzMN8xs0ZpSXKl2hWUF/V4Egji1uuBMwffXx9MrCOeRNZaWScEvOVjMOw8z&#10;jLVteEfXvc9EgLCLUUHufRVL6dKcDLqerYiDd7K1QR9knUldYxPgppSDKBpLgwWHhRwresspvex/&#10;jILhejXanROTUaLfXzbPp+2hOZJSj912OQXhqfX38K39qRVMBv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bNaxQAAANsAAAAPAAAAAAAAAAAAAAAAAJgCAABkcnMv&#10;ZG93bnJldi54bWxQSwUGAAAAAAQABAD1AAAAigMAAAAA&#10;" fillcolor="white [3212]" stroked="f" strokeweight=".5pt">
                    <v:fill opacity="0"/>
                    <v:textbox>
                      <w:txbxContent>
                        <w:p>
                          <w:pPr>
                            <w:spacing w:after="0" w:line="240" w:lineRule="auto"/>
                            <w:jc w:val="center"/>
                            <w:rPr>
                              <w:sz w:val="16"/>
                              <w:szCs w:val="16"/>
                              <w:lang w:val="fr-BE"/>
                            </w:rPr>
                          </w:pPr>
                          <w:r>
                            <w:rPr>
                              <w:sz w:val="16"/>
                              <w:szCs w:val="16"/>
                              <w:lang w:val="fr-BE"/>
                            </w:rPr>
                            <w:t>Rural development</w:t>
                          </w:r>
                        </w:p>
                        <w:p>
                          <w:pPr>
                            <w:spacing w:after="0" w:line="240" w:lineRule="auto"/>
                            <w:jc w:val="center"/>
                            <w:rPr>
                              <w:sz w:val="16"/>
                              <w:szCs w:val="16"/>
                              <w:lang w:val="fr-BE"/>
                            </w:rPr>
                          </w:pPr>
                          <w:r>
                            <w:rPr>
                              <w:sz w:val="16"/>
                              <w:szCs w:val="16"/>
                              <w:lang w:val="fr-BE"/>
                            </w:rPr>
                            <w:t>11 298</w:t>
                          </w:r>
                        </w:p>
                        <w:p>
                          <w:pPr>
                            <w:spacing w:after="0" w:line="240" w:lineRule="auto"/>
                            <w:jc w:val="center"/>
                            <w:rPr>
                              <w:sz w:val="16"/>
                              <w:szCs w:val="16"/>
                              <w:lang w:val="fr-BE"/>
                            </w:rPr>
                          </w:pPr>
                          <w:r>
                            <w:rPr>
                              <w:sz w:val="16"/>
                              <w:szCs w:val="16"/>
                              <w:lang w:val="fr-BE"/>
                            </w:rPr>
                            <w:t>700 152 065</w:t>
                          </w:r>
                        </w:p>
                        <w:p>
                          <w:pPr>
                            <w:spacing w:after="0" w:line="240" w:lineRule="auto"/>
                            <w:jc w:val="center"/>
                            <w:rPr>
                              <w:sz w:val="16"/>
                              <w:szCs w:val="16"/>
                              <w:lang w:val="fr-BE"/>
                            </w:rPr>
                          </w:pPr>
                        </w:p>
                      </w:txbxContent>
                    </v:textbox>
                  </v:shape>
                </v:group>
                <v:group id="Group 93" o:spid="_x0000_s1064" style="position:absolute;left:1524;top:4857;width:38384;height:24003" coordsize="38384,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oval id="Oval 95" o:spid="_x0000_s1065" style="position:absolute;left:952;width:26384;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unsQA&#10;AADbAAAADwAAAGRycy9kb3ducmV2LnhtbESPQWvCQBSE7wX/w/KE3urGSkWjq0i1kJ5KooLHR/aZ&#10;BLNvQ3ZN4r/vFgoeh5n5hllvB1OLjlpXWVYwnUQgiHOrKy4UnI5fbwsQziNrrC2Tggc52G5GL2uM&#10;te05pS7zhQgQdjEqKL1vYildXpJBN7ENcfCutjXog2wLqVvsA9zU8j2K5tJgxWGhxIY+S8pv2d0o&#10;SPvpLLPJuZvvD4/v68/FpUm1UOp1POxWIDwN/hn+bydawfID/r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7p7EAAAA2wAAAA8AAAAAAAAAAAAAAAAAmAIAAGRycy9k&#10;b3ducmV2LnhtbFBLBQYAAAAABAAEAPUAAACJAwAAAAA=&#10;" fillcolor="#5b9bd5 [3204]" strokecolor="#1f4d78 [1604]" strokeweight="1pt">
                    <v:fill opacity="7967f"/>
                    <v:stroke joinstyle="miter"/>
                  </v:oval>
                  <v:shape id="Text Box 100" o:spid="_x0000_s1066" type="#_x0000_t202" style="position:absolute;left:2929;top:2381;width:16024;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C2ScYA&#10;AADcAAAADwAAAGRycy9kb3ducmV2LnhtbESPS2/CQAyE75X4Dysj9VY2tBRQYEF9qBLtoYiXuFpZ&#10;k4RmvVF2S8K/x4dKvdma8czn+bJzlbpQE0rPBoaDBBRx5m3JuYH97uNhCipEZIuVZzJwpQDLRe9u&#10;jqn1LW/oso25khAOKRooYqxTrUNWkMMw8DWxaCffOIyyNrm2DbYS7ir9mCRj7bBkaSiwpreCsp/t&#10;rzPw9Pn6vDmvXU5r+z75Gp2+D+2RjLnvdy8zUJG6+G/+u15ZwU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C2ScYAAADcAAAADwAAAAAAAAAAAAAAAACYAgAAZHJz&#10;L2Rvd25yZXYueG1sUEsFBgAAAAAEAAQA9QAAAIsDAAAAAA==&#10;" fillcolor="white [3212]" stroked="f" strokeweight=".5pt">
                    <v:fill opacity="0"/>
                    <v:textbox>
                      <w:txbxContent>
                        <w:p>
                          <w:pPr>
                            <w:spacing w:after="0" w:line="240" w:lineRule="auto"/>
                            <w:jc w:val="center"/>
                            <w:rPr>
                              <w:sz w:val="16"/>
                              <w:szCs w:val="16"/>
                              <w:lang w:val="fr-BE"/>
                            </w:rPr>
                          </w:pPr>
                          <w:r>
                            <w:rPr>
                              <w:sz w:val="16"/>
                              <w:szCs w:val="16"/>
                              <w:lang w:val="fr-BE"/>
                            </w:rPr>
                            <w:t>Intervention agri. markets</w:t>
                          </w:r>
                        </w:p>
                        <w:p>
                          <w:pPr>
                            <w:spacing w:after="0" w:line="240" w:lineRule="auto"/>
                            <w:jc w:val="center"/>
                            <w:rPr>
                              <w:sz w:val="16"/>
                              <w:szCs w:val="16"/>
                              <w:lang w:val="fr-BE"/>
                            </w:rPr>
                          </w:pPr>
                          <w:r>
                            <w:rPr>
                              <w:sz w:val="16"/>
                              <w:szCs w:val="16"/>
                              <w:lang w:val="fr-BE"/>
                            </w:rPr>
                            <w:t>1 839</w:t>
                          </w:r>
                        </w:p>
                        <w:p>
                          <w:pPr>
                            <w:spacing w:after="0" w:line="240" w:lineRule="auto"/>
                            <w:jc w:val="center"/>
                            <w:rPr>
                              <w:sz w:val="16"/>
                              <w:szCs w:val="16"/>
                              <w:lang w:val="fr-BE"/>
                            </w:rPr>
                          </w:pPr>
                          <w:r>
                            <w:rPr>
                              <w:sz w:val="16"/>
                              <w:szCs w:val="16"/>
                              <w:lang w:val="fr-BE"/>
                            </w:rPr>
                            <w:t>374 080 076</w:t>
                          </w:r>
                        </w:p>
                      </w:txbxContent>
                    </v:textbox>
                  </v:shape>
                  <v:oval id="Oval 101" o:spid="_x0000_s1067" style="position:absolute;top:8667;width:26384;height:15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3LMIA&#10;AADcAAAADwAAAGRycy9kb3ducmV2LnhtbERPTWvCQBC9C/6HZQq96SYWRFJXkaoQTyVRocchOybB&#10;7GzIrkn8926h0Ns83uest6NpRE+dqy0riOcRCOLC6ppLBZfzcbYC4TyyxsYyKXiSg+1mOlljou3A&#10;GfW5L0UIYZeggsr7NpHSFRUZdHPbEgfuZjuDPsCulLrDIYSbRi6iaCkN1hwaKmzpq6Linj+MgmyI&#10;P3KbXvvl/vA83b5/XJbWK6Xe38bdJwhPo/8X/7lTHeZHMfw+Ey6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ncswgAAANwAAAAPAAAAAAAAAAAAAAAAAJgCAABkcnMvZG93&#10;bnJldi54bWxQSwUGAAAAAAQABAD1AAAAhwMAAAAA&#10;" fillcolor="#5b9bd5 [3204]" strokecolor="#1f4d78 [1604]" strokeweight="1pt">
                    <v:fill opacity="7967f"/>
                    <v:stroke joinstyle="miter"/>
                  </v:oval>
                  <v:shape id="Text Box 102" o:spid="_x0000_s1068" type="#_x0000_t202" style="position:absolute;left:1905;top:16287;width:1371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NpcMA&#10;AADcAAAADwAAAGRycy9kb3ducmV2LnhtbERPS2vCQBC+C/0PyxS86aZWraRupK0IrQdFq3gdspNH&#10;m50N2dWk/94tCN7m43vOfNGZSlyocaVlBU/DCARxanXJuYLD92owA+E8ssbKMin4IweL5KE3x1jb&#10;lnd02ftchBB2MSoovK9jKV1akEE3tDVx4DLbGPQBNrnUDbYh3FRyFEVTabDk0FBgTR8Fpb/7s1Hw&#10;/PU+2f1sTU5bvXxZj7PNsT2RUv3H7u0VhKfO38U396cO86MR/D8TLpD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6NpcMAAADcAAAADwAAAAAAAAAAAAAAAACYAgAAZHJzL2Rv&#10;d25yZXYueG1sUEsFBgAAAAAEAAQA9QAAAIgDAAAAAA==&#10;" fillcolor="white [3212]" stroked="f" strokeweight=".5pt">
                    <v:fill opacity="0"/>
                    <v:textbox>
                      <w:txbxContent>
                        <w:p>
                          <w:pPr>
                            <w:spacing w:after="0" w:line="240" w:lineRule="auto"/>
                            <w:jc w:val="center"/>
                            <w:rPr>
                              <w:sz w:val="16"/>
                              <w:szCs w:val="16"/>
                              <w:lang w:val="fr-BE"/>
                            </w:rPr>
                          </w:pPr>
                          <w:r>
                            <w:rPr>
                              <w:sz w:val="16"/>
                              <w:szCs w:val="16"/>
                              <w:lang w:val="fr-BE"/>
                            </w:rPr>
                            <w:t>Direct payments</w:t>
                          </w:r>
                        </w:p>
                        <w:p>
                          <w:pPr>
                            <w:spacing w:after="0" w:line="240" w:lineRule="auto"/>
                            <w:jc w:val="center"/>
                            <w:rPr>
                              <w:sz w:val="16"/>
                              <w:szCs w:val="16"/>
                              <w:lang w:val="fr-BE"/>
                            </w:rPr>
                          </w:pPr>
                          <w:r>
                            <w:rPr>
                              <w:sz w:val="16"/>
                              <w:szCs w:val="16"/>
                              <w:lang w:val="fr-BE"/>
                            </w:rPr>
                            <w:t>3 542</w:t>
                          </w:r>
                        </w:p>
                        <w:p>
                          <w:pPr>
                            <w:spacing w:after="0" w:line="240" w:lineRule="auto"/>
                            <w:jc w:val="center"/>
                            <w:rPr>
                              <w:sz w:val="16"/>
                              <w:szCs w:val="16"/>
                              <w:lang w:val="fr-BE"/>
                            </w:rPr>
                          </w:pPr>
                          <w:r>
                            <w:rPr>
                              <w:sz w:val="16"/>
                              <w:szCs w:val="16"/>
                              <w:lang w:val="fr-BE"/>
                            </w:rPr>
                            <w:t>148 689 817</w:t>
                          </w:r>
                        </w:p>
                      </w:txbxContent>
                    </v:textbox>
                  </v:shape>
                  <v:shape id="Text Box 106" o:spid="_x0000_s1069" type="#_x0000_t202" style="position:absolute;left:952;top:9906;width:13716;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LpsMA&#10;AADcAAAADwAAAGRycy9kb3ducmV2LnhtbERPS2vCQBC+C/6HZYTedGPri+gq1VLQHhRfeB2yYxLN&#10;zobs1qT/vlsoeJuP7zmzRWMK8aDK5ZYV9HsRCOLE6pxTBafjZ3cCwnlkjYVlUvBDDhbzdmuGsbY1&#10;7+lx8KkIIexiVJB5X8ZSuiQjg65nS+LAXW1l0AdYpVJXWIdwU8jXKBpJgzmHhgxLWmWU3A/fRsHb&#10;Zjnc33YmpZ3+GH8NrttzfSGlXjrN+xSEp8Y/xf/utQ7zoxH8PR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WLpsMAAADcAAAADwAAAAAAAAAAAAAAAACYAgAAZHJzL2Rv&#10;d25yZXYueG1sUEsFBgAAAAAEAAQA9QAAAIgDAAAAAA==&#10;" fillcolor="white [3212]" stroked="f" strokeweight=".5pt">
                    <v:fill opacity="0"/>
                    <v:textbox>
                      <w:txbxContent>
                        <w:p>
                          <w:pPr>
                            <w:spacing w:after="0" w:line="240" w:lineRule="auto"/>
                            <w:jc w:val="center"/>
                            <w:rPr>
                              <w:sz w:val="16"/>
                              <w:szCs w:val="16"/>
                              <w:lang w:val="fr-BE"/>
                            </w:rPr>
                          </w:pPr>
                          <w:r>
                            <w:rPr>
                              <w:sz w:val="16"/>
                              <w:szCs w:val="16"/>
                              <w:lang w:val="fr-BE"/>
                            </w:rPr>
                            <w:t>4</w:t>
                          </w:r>
                        </w:p>
                        <w:p>
                          <w:pPr>
                            <w:spacing w:after="0" w:line="240" w:lineRule="auto"/>
                            <w:jc w:val="center"/>
                            <w:rPr>
                              <w:sz w:val="16"/>
                              <w:szCs w:val="16"/>
                              <w:lang w:val="fr-BE"/>
                            </w:rPr>
                          </w:pPr>
                          <w:r>
                            <w:rPr>
                              <w:sz w:val="16"/>
                              <w:szCs w:val="16"/>
                              <w:lang w:val="fr-BE"/>
                            </w:rPr>
                            <w:t>216 073</w:t>
                          </w:r>
                        </w:p>
                        <w:p>
                          <w:pPr>
                            <w:spacing w:after="0" w:line="240" w:lineRule="auto"/>
                            <w:jc w:val="center"/>
                            <w:rPr>
                              <w:sz w:val="16"/>
                              <w:szCs w:val="16"/>
                              <w:lang w:val="fr-BE"/>
                            </w:rPr>
                          </w:pPr>
                        </w:p>
                      </w:txbxContent>
                    </v:textbox>
                  </v:shape>
                  <v:oval id="Oval 107" o:spid="_x0000_s1070" style="position:absolute;left:14668;top:3810;width:23146;height:18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Kw8IA&#10;AADcAAAADwAAAGRycy9kb3ducmV2LnhtbERPS2vCQBC+C/6HZQq96cYKKqkbKVYhPZWkFTwO2cmD&#10;ZmdDdk3iv+8WCt7m43vO/jCZVgzUu8aygtUyAkFcWN1wpeD767zYgXAeWWNrmRTcycEhmc/2GGs7&#10;ckZD7isRQtjFqKD2vouldEVNBt3SdsSBK21v0AfYV1L3OIZw08qXKNpIgw2Hhho7OtZU/OQ3oyAb&#10;V+vcppdh8366f5SfV5elzU6p56fp7RWEp8k/xP/uVIf50Rb+ngkX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0rDwgAAANwAAAAPAAAAAAAAAAAAAAAAAJgCAABkcnMvZG93&#10;bnJldi54bWxQSwUGAAAAAAQABAD1AAAAhwMAAAAA&#10;" fillcolor="#5b9bd5 [3204]" strokecolor="#1f4d78 [1604]" strokeweight="1pt">
                    <v:fill opacity="7967f"/>
                    <v:stroke joinstyle="miter"/>
                  </v:oval>
                  <v:shape id="Text Box 109" o:spid="_x0000_s1071" type="#_x0000_t202" style="position:absolute;left:24668;top:10572;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f1MQA&#10;AADcAAAADwAAAGRycy9kb3ducmV2LnhtbERPTWvCQBC9C/6HZQRvurFqa6OrVKVQPTSoLb0O2TFJ&#10;m50N2a2J/94tCL3N433OYtWaUlyodoVlBaNhBII4tbrgTMHH6XUwA+E8ssbSMim4koPVsttZYKxt&#10;wwe6HH0mQgi7GBXk3lexlC7NyaAb2oo4cGdbG/QB1pnUNTYh3JTyIYoepcGCQ0OOFW1ySn+Ov0bB&#10;eLeeHr4Tk1Git0/7yfn9s/kipfq99mUOwlPr/8V395sO86Nn+HsmX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H9TEAAAA3AAAAA8AAAAAAAAAAAAAAAAAmAIAAGRycy9k&#10;b3ducmV2LnhtbFBLBQYAAAAABAAEAPUAAACJAwAAAAA=&#10;" fillcolor="white [3212]" stroked="f" strokeweight=".5pt">
                    <v:fill opacity="0"/>
                    <v:textbox>
                      <w:txbxContent>
                        <w:p>
                          <w:pPr>
                            <w:spacing w:after="0" w:line="240" w:lineRule="auto"/>
                            <w:jc w:val="center"/>
                            <w:rPr>
                              <w:sz w:val="16"/>
                              <w:szCs w:val="16"/>
                              <w:lang w:val="fr-BE"/>
                            </w:rPr>
                          </w:pPr>
                          <w:r>
                            <w:rPr>
                              <w:sz w:val="16"/>
                              <w:szCs w:val="16"/>
                              <w:lang w:val="fr-BE"/>
                            </w:rPr>
                            <w:t>Mixed or unclear</w:t>
                          </w:r>
                        </w:p>
                        <w:p>
                          <w:pPr>
                            <w:spacing w:after="0" w:line="240" w:lineRule="auto"/>
                            <w:jc w:val="center"/>
                            <w:rPr>
                              <w:sz w:val="16"/>
                              <w:szCs w:val="16"/>
                              <w:lang w:val="fr-BE"/>
                            </w:rPr>
                          </w:pPr>
                          <w:r>
                            <w:rPr>
                              <w:sz w:val="16"/>
                              <w:szCs w:val="16"/>
                              <w:lang w:val="fr-BE"/>
                            </w:rPr>
                            <w:t>123</w:t>
                          </w:r>
                        </w:p>
                        <w:p>
                          <w:pPr>
                            <w:spacing w:after="0" w:line="240" w:lineRule="auto"/>
                            <w:jc w:val="center"/>
                            <w:rPr>
                              <w:sz w:val="16"/>
                              <w:szCs w:val="16"/>
                              <w:lang w:val="fr-BE"/>
                            </w:rPr>
                          </w:pPr>
                          <w:r>
                            <w:rPr>
                              <w:sz w:val="16"/>
                              <w:szCs w:val="16"/>
                              <w:lang w:val="fr-BE"/>
                            </w:rPr>
                            <w:t>4 090 678</w:t>
                          </w:r>
                        </w:p>
                      </w:txbxContent>
                    </v:textbox>
                  </v:shape>
                  <v:shape id="Text Box 110" o:spid="_x0000_s1072" type="#_x0000_t202" style="position:absolute;left:15144;top:14954;width:1371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glMYA&#10;AADcAAAADwAAAGRycy9kb3ducmV2LnhtbESPS2/CQAyE75X4Dysj9VY2tLSgwIL6UCXKoYiXuFpZ&#10;k4RmvVF2S8K/x4dKvdma8czn2aJzlbpQE0rPBoaDBBRx5m3JuYH97vNhAipEZIuVZzJwpQCLee9u&#10;hqn1LW/oso25khAOKRooYqxTrUNWkMMw8DWxaCffOIyyNrm2DbYS7ir9mCQv2mHJ0lBgTe8FZT/b&#10;X2fg6evteXNeu5zW9mO8Gp2+D+2RjLnvd69TUJG6+G/+u15awR8KvjwjE+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kglMYAAADcAAAADwAAAAAAAAAAAAAAAACYAgAAZHJz&#10;L2Rvd25yZXYueG1sUEsFBgAAAAAEAAQA9QAAAIsDAAAAAA==&#10;" fillcolor="white [3212]" stroked="f" strokeweight=".5pt">
                    <v:fill opacity="0"/>
                    <v:textbox>
                      <w:txbxContent>
                        <w:p>
                          <w:pPr>
                            <w:spacing w:after="0" w:line="240" w:lineRule="auto"/>
                            <w:jc w:val="center"/>
                            <w:rPr>
                              <w:sz w:val="16"/>
                              <w:szCs w:val="16"/>
                              <w:lang w:val="fr-BE"/>
                            </w:rPr>
                          </w:pPr>
                          <w:r>
                            <w:rPr>
                              <w:sz w:val="16"/>
                              <w:szCs w:val="16"/>
                              <w:lang w:val="fr-BE"/>
                            </w:rPr>
                            <w:t>282</w:t>
                          </w:r>
                        </w:p>
                        <w:p>
                          <w:pPr>
                            <w:spacing w:after="0" w:line="240" w:lineRule="auto"/>
                            <w:jc w:val="center"/>
                            <w:rPr>
                              <w:sz w:val="16"/>
                              <w:szCs w:val="16"/>
                              <w:lang w:val="fr-BE"/>
                            </w:rPr>
                          </w:pPr>
                          <w:r>
                            <w:rPr>
                              <w:sz w:val="16"/>
                              <w:szCs w:val="16"/>
                              <w:lang w:val="fr-BE"/>
                            </w:rPr>
                            <w:t>23 400 902</w:t>
                          </w:r>
                        </w:p>
                      </w:txbxContent>
                    </v:textbox>
                  </v:shape>
                  <v:shape id="Text Box 111" o:spid="_x0000_s1073" type="#_x0000_t202" style="position:absolute;left:12192;top:10096;width:1371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FD8QA&#10;AADcAAAADwAAAGRycy9kb3ducmV2LnhtbERPS2vCQBC+F/wPyxS81U3a+iB1FVsRtIeKj9LrkB2T&#10;aHY2ZFcT/31XELzNx/ec8bQ1pbhQ7QrLCuJeBII4tbrgTMF+t3gZgXAeWWNpmRRcycF00nkaY6Jt&#10;wxu6bH0mQgi7BBXk3leJlC7NyaDr2Yo4cAdbG/QB1pnUNTYh3JTyNYoG0mDBoSHHir5ySk/bs1Hw&#10;tvrsb45rk9Faz4ff74ef3+aPlOo+t7MPEJ5a/xDf3Usd5scx3J4JF8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1hQ/EAAAA3AAAAA8AAAAAAAAAAAAAAAAAmAIAAGRycy9k&#10;b3ducmV2LnhtbFBLBQYAAAAABAAEAPUAAACJAwAAAAA=&#10;" fillcolor="white [3212]" stroked="f" strokeweight=".5pt">
                    <v:fill opacity="0"/>
                    <v:textbox>
                      <w:txbxContent>
                        <w:p>
                          <w:pPr>
                            <w:spacing w:after="0" w:line="240" w:lineRule="auto"/>
                            <w:jc w:val="center"/>
                            <w:rPr>
                              <w:sz w:val="16"/>
                              <w:szCs w:val="16"/>
                              <w:lang w:val="fr-BE"/>
                            </w:rPr>
                          </w:pPr>
                          <w:r>
                            <w:rPr>
                              <w:sz w:val="16"/>
                              <w:szCs w:val="16"/>
                              <w:lang w:val="fr-BE"/>
                            </w:rPr>
                            <w:t>2</w:t>
                          </w:r>
                        </w:p>
                        <w:p>
                          <w:pPr>
                            <w:spacing w:after="0" w:line="240" w:lineRule="auto"/>
                            <w:jc w:val="center"/>
                            <w:rPr>
                              <w:sz w:val="16"/>
                              <w:szCs w:val="16"/>
                              <w:lang w:val="fr-BE"/>
                            </w:rPr>
                          </w:pPr>
                          <w:r>
                            <w:rPr>
                              <w:sz w:val="16"/>
                              <w:szCs w:val="16"/>
                              <w:lang w:val="fr-BE"/>
                            </w:rPr>
                            <w:t>1 956 428</w:t>
                          </w:r>
                        </w:p>
                        <w:p>
                          <w:pPr>
                            <w:spacing w:after="0" w:line="240" w:lineRule="auto"/>
                            <w:jc w:val="center"/>
                            <w:rPr>
                              <w:sz w:val="16"/>
                              <w:szCs w:val="16"/>
                              <w:lang w:val="fr-BE"/>
                            </w:rPr>
                          </w:pPr>
                        </w:p>
                      </w:txbxContent>
                    </v:textbox>
                  </v:shape>
                  <v:shape id="Text Box 112" o:spid="_x0000_s1074" type="#_x0000_t202" style="position:absolute;left:16668;top:6381;width:1371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beMMA&#10;AADcAAAADwAAAGRycy9kb3ducmV2LnhtbERPS2vCQBC+F/wPywje6kZtbYmu4gPBelC0itchOybR&#10;7GzIrib++26h0Nt8fM8ZTxtTiAdVLresoNeNQBAnVuecKjh+r14/QTiPrLGwTAqe5GA6ab2MMda2&#10;5j09Dj4VIYRdjAoy78tYSpdkZNB1bUkcuIutDPoAq1TqCusQbgrZj6KhNJhzaMiwpEVGye1wNwoG&#10;X/P3/XVnUtrp5cfm7bI91WdSqtNuZiMQnhr/L/5zr3WY3+vD7zPhAj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cbeMMAAADcAAAADwAAAAAAAAAAAAAAAACYAgAAZHJzL2Rv&#10;d25yZXYueG1sUEsFBgAAAAAEAAQA9QAAAIgDAAAAAA==&#10;" fillcolor="white [3212]" stroked="f" strokeweight=".5pt">
                    <v:fill opacity="0"/>
                    <v:textbox>
                      <w:txbxContent>
                        <w:p>
                          <w:pPr>
                            <w:spacing w:after="0" w:line="240" w:lineRule="auto"/>
                            <w:jc w:val="center"/>
                            <w:rPr>
                              <w:sz w:val="16"/>
                              <w:szCs w:val="16"/>
                              <w:lang w:val="fr-BE"/>
                            </w:rPr>
                          </w:pPr>
                          <w:r>
                            <w:rPr>
                              <w:sz w:val="16"/>
                              <w:szCs w:val="16"/>
                              <w:lang w:val="fr-BE"/>
                            </w:rPr>
                            <w:t>1</w:t>
                          </w:r>
                        </w:p>
                        <w:p>
                          <w:pPr>
                            <w:spacing w:after="0" w:line="240" w:lineRule="auto"/>
                            <w:jc w:val="center"/>
                            <w:rPr>
                              <w:sz w:val="16"/>
                              <w:szCs w:val="16"/>
                              <w:lang w:val="fr-BE"/>
                            </w:rPr>
                          </w:pPr>
                          <w:r>
                            <w:rPr>
                              <w:sz w:val="16"/>
                              <w:szCs w:val="16"/>
                              <w:lang w:val="fr-BE"/>
                            </w:rPr>
                            <w:t>10 371</w:t>
                          </w:r>
                        </w:p>
                        <w:p>
                          <w:pPr>
                            <w:spacing w:after="0" w:line="240" w:lineRule="auto"/>
                            <w:jc w:val="center"/>
                            <w:rPr>
                              <w:sz w:val="16"/>
                              <w:szCs w:val="16"/>
                              <w:lang w:val="fr-BE"/>
                            </w:rPr>
                          </w:pPr>
                        </w:p>
                      </w:txbxContent>
                    </v:textbox>
                  </v:shape>
                </v:group>
                <v:shape id="Text Box 167" o:spid="_x0000_s1075" type="#_x0000_t202" style="position:absolute;left:1148;top:2244;width:5331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uTcYA&#10;AADcAAAADwAAAGRycy9kb3ducmV2LnhtbERPS2sCMRC+C/0PYQq9abZCVVajlNaC0FrxcdDbsBl3&#10;024m2yTVbX99UxC8zcf3nMmstbU4kQ/GsYL7XgaCuHDacKlgt33pjkCEiKyxdkwKfijAbHrTmWCu&#10;3ZnXdNrEUqQQDjkqqGJscilDUZHF0HMNceKOzluMCfpSao/nFG5r2c+ygbRoODVU2NBTRcXn5tsq&#10;ePvarx4+nve7evT+u1iawpvD/FWpu9v2cQwiUhuv4ot7odP8wRD+n0kX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HuTcYAAADcAAAADwAAAAAAAAAAAAAAAACYAgAAZHJz&#10;L2Rvd25yZXYueG1sUEsFBgAAAAAEAAQA9QAAAIsDAAAAAA==&#10;" fillcolor="white [3201]" stroked="f" strokeweight=".5pt">
                  <v:fill opacity="0"/>
                  <v:textbox>
                    <w:txbxContent>
                      <w:p>
                        <w:pPr>
                          <w:rPr>
                            <w:b/>
                            <w:i/>
                            <w:sz w:val="20"/>
                            <w:szCs w:val="20"/>
                          </w:rPr>
                        </w:pPr>
                        <w:r>
                          <w:rPr>
                            <w:b/>
                            <w:i/>
                            <w:sz w:val="20"/>
                            <w:szCs w:val="20"/>
                          </w:rPr>
                          <w:t>Fig. NR3: Irregularities and amounts reported by type of expenditure – 2015-2019</w:t>
                        </w:r>
                      </w:p>
                    </w:txbxContent>
                  </v:textbox>
                </v:shape>
              </v:group>
            </w:pict>
          </mc:Fallback>
        </mc:AlternateContent>
      </w: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pStyle w:val="Text1"/>
        <w:ind w:left="0"/>
        <w:rPr>
          <w:noProof/>
          <w:vertAlign w:val="superscript"/>
        </w:rPr>
      </w:pPr>
      <w:r>
        <w:rPr>
          <w:noProof/>
        </w:rPr>
        <w:t>Table NR16b shows FDR and IDR where, for '</w:t>
      </w:r>
      <w:r>
        <w:rPr>
          <w:i/>
          <w:noProof/>
        </w:rPr>
        <w:t xml:space="preserve">intervention in agricultural markets', </w:t>
      </w:r>
      <w:r>
        <w:rPr>
          <w:noProof/>
        </w:rPr>
        <w:t>only the amounts related to cases that do not overlap with rural development or direct payments are included in the calculation (i.e.</w:t>
      </w:r>
      <w:r>
        <w:rPr>
          <w:noProof/>
          <w:color w:val="FF0000"/>
        </w:rPr>
        <w:t xml:space="preserve"> </w:t>
      </w:r>
      <w:r>
        <w:rPr>
          <w:noProof/>
        </w:rPr>
        <w:t>EUR 118 427 516, for the FDR). The same applies to '</w:t>
      </w:r>
      <w:r>
        <w:rPr>
          <w:i/>
          <w:noProof/>
        </w:rPr>
        <w:t>direct payments</w:t>
      </w:r>
      <w:r>
        <w:rPr>
          <w:noProof/>
        </w:rPr>
        <w:t>'.</w:t>
      </w:r>
      <w:r>
        <w:rPr>
          <w:noProof/>
          <w:color w:val="FF0000"/>
          <w:vertAlign w:val="superscript"/>
        </w:rPr>
        <w:t xml:space="preserve"> </w:t>
      </w:r>
    </w:p>
    <w:p>
      <w:pPr>
        <w:pStyle w:val="Text1"/>
        <w:ind w:left="0"/>
        <w:rPr>
          <w:noProof/>
          <w:color w:val="FF0000"/>
          <w:vertAlign w:val="superscript"/>
        </w:rPr>
      </w:pPr>
      <w:r>
        <w:rPr>
          <w:noProof/>
        </w:rPr>
        <w:drawing>
          <wp:inline distT="0" distB="0" distL="0" distR="0">
            <wp:extent cx="5731510" cy="1126857"/>
            <wp:effectExtent l="0" t="0" r="254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31510" cy="1126857"/>
                    </a:xfrm>
                    <a:prstGeom prst="rect">
                      <a:avLst/>
                    </a:prstGeom>
                    <a:noFill/>
                    <a:ln>
                      <a:noFill/>
                    </a:ln>
                  </pic:spPr>
                </pic:pic>
              </a:graphicData>
            </a:graphic>
          </wp:inline>
        </w:drawing>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Figures in Table NR16a represent the upper limit of FDR and IDR for '</w:t>
      </w:r>
      <w:r>
        <w:rPr>
          <w:rFonts w:ascii="Times New Roman" w:hAnsi="Times New Roman" w:cs="Times New Roman"/>
          <w:i/>
          <w:noProof/>
          <w:sz w:val="24"/>
          <w:szCs w:val="24"/>
        </w:rPr>
        <w:t>intervention in agricultural markets</w:t>
      </w:r>
      <w:r>
        <w:rPr>
          <w:rFonts w:ascii="Times New Roman" w:hAnsi="Times New Roman" w:cs="Times New Roman"/>
          <w:noProof/>
          <w:sz w:val="24"/>
          <w:szCs w:val="24"/>
        </w:rPr>
        <w:t>' or '</w:t>
      </w:r>
      <w:r>
        <w:rPr>
          <w:rFonts w:ascii="Times New Roman" w:hAnsi="Times New Roman" w:cs="Times New Roman"/>
          <w:i/>
          <w:noProof/>
          <w:sz w:val="24"/>
          <w:szCs w:val="24"/>
        </w:rPr>
        <w:t>direct payments</w:t>
      </w:r>
      <w:r>
        <w:rPr>
          <w:rFonts w:ascii="Times New Roman" w:hAnsi="Times New Roman" w:cs="Times New Roman"/>
          <w:noProof/>
          <w:sz w:val="24"/>
          <w:szCs w:val="24"/>
        </w:rPr>
        <w:t>', as they include amounts that are linked to irregularities or fraud related also to other types of expenditure.</w:t>
      </w:r>
    </w:p>
    <w:p>
      <w:pPr>
        <w:pStyle w:val="Text1"/>
        <w:ind w:left="0"/>
        <w:rPr>
          <w:noProof/>
        </w:rPr>
      </w:pPr>
      <w:r>
        <w:rPr>
          <w:noProof/>
        </w:rPr>
        <w:t>Figures in Table NRb represent the lower limit of FDR and IDR for '</w:t>
      </w:r>
      <w:r>
        <w:rPr>
          <w:i/>
          <w:noProof/>
        </w:rPr>
        <w:t>intervention in agricultural markets</w:t>
      </w:r>
      <w:r>
        <w:rPr>
          <w:noProof/>
        </w:rPr>
        <w:t>' or '</w:t>
      </w:r>
      <w:r>
        <w:rPr>
          <w:i/>
          <w:noProof/>
        </w:rPr>
        <w:t>direct payments</w:t>
      </w:r>
      <w:r>
        <w:rPr>
          <w:noProof/>
        </w:rPr>
        <w:t>', as they exclude part of the amounts of the 'mixed' cases that could be related to the relevant types of expenditure.</w:t>
      </w:r>
      <w:r>
        <w:rPr>
          <w:noProof/>
          <w:color w:val="FF0000"/>
          <w:vertAlign w:val="superscript"/>
        </w:rPr>
        <w:t xml:space="preserve"> </w:t>
      </w:r>
      <w:r>
        <w:rPr>
          <w:noProof/>
          <w:vertAlign w:val="superscript"/>
        </w:rPr>
        <w:footnoteReference w:id="35"/>
      </w:r>
    </w:p>
    <w:p>
      <w:pPr>
        <w:pStyle w:val="Text1"/>
        <w:ind w:left="0"/>
        <w:rPr>
          <w:noProof/>
        </w:rPr>
      </w:pPr>
      <w:r>
        <w:rPr>
          <w:noProof/>
        </w:rPr>
        <w:t>As FDR and IDR in Tables NR16a and NR16b are similar, it can be concluded that they are not significantly sensitive to this 'mixed' cases issue.</w:t>
      </w:r>
    </w:p>
    <w:p>
      <w:pPr>
        <w:pStyle w:val="Text1"/>
        <w:ind w:left="0"/>
        <w:rPr>
          <w:i/>
          <w:noProof/>
        </w:rPr>
      </w:pPr>
      <w:r>
        <w:rPr>
          <w:i/>
          <w:noProof/>
        </w:rPr>
        <w:t>Rural development (RD) and support to agriculture (SA)</w:t>
      </w:r>
    </w:p>
    <w:p>
      <w:pPr>
        <w:pStyle w:val="Text1"/>
        <w:ind w:left="0"/>
        <w:rPr>
          <w:noProof/>
        </w:rPr>
      </w:pPr>
      <w:r>
        <w:rPr>
          <w:noProof/>
        </w:rPr>
        <w:t>FDR and IDR for '</w:t>
      </w:r>
      <w:r>
        <w:rPr>
          <w:i/>
          <w:noProof/>
        </w:rPr>
        <w:t>Support to agriculture</w:t>
      </w:r>
      <w:r>
        <w:rPr>
          <w:noProof/>
        </w:rPr>
        <w:t>' ('SA') is calculated on the basis of the amounts (of the irregularities or fraud) related to cases where only this type of expenditure is involved. The same applies with reference to FDR and IDR for '</w:t>
      </w:r>
      <w:r>
        <w:rPr>
          <w:i/>
          <w:noProof/>
        </w:rPr>
        <w:t>Rural development</w:t>
      </w:r>
      <w:r>
        <w:rPr>
          <w:noProof/>
        </w:rPr>
        <w:t>' ('RD'). Table NR16c shows the outcome of this calculation.</w:t>
      </w:r>
    </w:p>
    <w:p>
      <w:pPr>
        <w:pStyle w:val="Text1"/>
        <w:ind w:left="0"/>
        <w:rPr>
          <w:rFonts w:ascii="Arial" w:hAnsi="Arial" w:cs="Arial"/>
          <w:noProof/>
          <w:sz w:val="20"/>
          <w:szCs w:val="20"/>
        </w:rPr>
      </w:pPr>
      <w:r>
        <w:rPr>
          <w:noProof/>
        </w:rPr>
        <w:t>There are a number of cases that have not been classified as 'pure' 'RD' or 'SA' cases. They are reported as 'mixed' cases (RD/SA) or unclear cases. This implies that the total amounts (and the corresponding FDR and IDR) associated to 'RD' are somehow underestimated. The same applies with reference to 'SA'.</w:t>
      </w:r>
      <w:r>
        <w:rPr>
          <w:rFonts w:ascii="Arial" w:hAnsi="Arial" w:cs="Arial"/>
          <w:noProof/>
          <w:sz w:val="20"/>
          <w:szCs w:val="20"/>
        </w:rPr>
        <w:t xml:space="preserve"> </w:t>
      </w:r>
    </w:p>
    <w:p>
      <w:pPr>
        <w:pStyle w:val="Text1"/>
        <w:ind w:left="0"/>
        <w:rPr>
          <w:rFonts w:ascii="Arial" w:hAnsi="Arial" w:cs="Arial"/>
          <w:noProof/>
          <w:sz w:val="20"/>
          <w:szCs w:val="20"/>
        </w:rPr>
      </w:pPr>
      <w:r>
        <w:rPr>
          <w:noProof/>
        </w:rPr>
        <w:drawing>
          <wp:inline distT="0" distB="0" distL="0" distR="0">
            <wp:extent cx="5731510" cy="1088308"/>
            <wp:effectExtent l="0" t="0" r="254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1510" cy="1088308"/>
                    </a:xfrm>
                    <a:prstGeom prst="rect">
                      <a:avLst/>
                    </a:prstGeom>
                    <a:noFill/>
                    <a:ln>
                      <a:noFill/>
                    </a:ln>
                  </pic:spPr>
                </pic:pic>
              </a:graphicData>
            </a:graphic>
          </wp:inline>
        </w:drawing>
      </w:r>
    </w:p>
    <w:p>
      <w:pPr>
        <w:spacing w:before="12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An analysis is then warranted of how sensitive FDR and IDR are to the presence of these RD/SA 'mixed' cases and of unclear cases. As a first step, an assessment is required of the number of these 'mixed' or unclear cases and the amounts involved. Fig. NR4-NR6 show the outcome of this assessment, respectively for cases reported as fraudulent, not reported as fraudulent and for all cases together.</w:t>
      </w:r>
    </w:p>
    <w:p>
      <w:pPr>
        <w:pStyle w:val="Text1"/>
        <w:ind w:left="0"/>
        <w:rPr>
          <w:noProof/>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r>
        <w:rPr>
          <w:rFonts w:ascii="Arial" w:hAnsi="Arial" w:cs="Arial"/>
          <w:noProof/>
          <w:sz w:val="20"/>
          <w:szCs w:val="20"/>
          <w:lang w:eastAsia="en-GB"/>
        </w:rPr>
        <mc:AlternateContent>
          <mc:Choice Requires="wps">
            <w:drawing>
              <wp:anchor distT="0" distB="0" distL="114300" distR="114300" simplePos="0" relativeHeight="251674112" behindDoc="0" locked="0" layoutInCell="1" allowOverlap="1">
                <wp:simplePos x="0" y="0"/>
                <wp:positionH relativeFrom="column">
                  <wp:posOffset>3525216</wp:posOffset>
                </wp:positionH>
                <wp:positionV relativeFrom="paragraph">
                  <wp:posOffset>262034</wp:posOffset>
                </wp:positionV>
                <wp:extent cx="1261110" cy="494393"/>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1261110" cy="494393"/>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rPr>
                            </w:pPr>
                            <w:r>
                              <w:rPr>
                                <w:sz w:val="16"/>
                                <w:szCs w:val="16"/>
                              </w:rPr>
                              <w:t>Unclear</w:t>
                            </w:r>
                          </w:p>
                          <w:p>
                            <w:pPr>
                              <w:spacing w:after="0" w:line="240" w:lineRule="auto"/>
                              <w:jc w:val="center"/>
                              <w:rPr>
                                <w:sz w:val="16"/>
                                <w:szCs w:val="16"/>
                              </w:rPr>
                            </w:pPr>
                            <w:r>
                              <w:rPr>
                                <w:sz w:val="16"/>
                                <w:szCs w:val="16"/>
                              </w:rPr>
                              <w:t>1</w:t>
                            </w:r>
                          </w:p>
                          <w:p>
                            <w:pPr>
                              <w:spacing w:after="0" w:line="240" w:lineRule="auto"/>
                              <w:jc w:val="center"/>
                              <w:rPr>
                                <w:sz w:val="16"/>
                                <w:szCs w:val="16"/>
                              </w:rPr>
                            </w:pPr>
                            <w:r>
                              <w:rPr>
                                <w:sz w:val="16"/>
                                <w:szCs w:val="16"/>
                              </w:rPr>
                              <w:t>12 492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2" o:spid="_x0000_s1076" type="#_x0000_t202" style="position:absolute;margin-left:277.6pt;margin-top:20.65pt;width:99.3pt;height:38.9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" fillcolor="white [3212]" stroked="f" strokeweight=".5pt">
                <v:fill opacity="0"/>
                <v:textbox>
                  <w:txbxContent>
                    <w:p>
                      <w:pPr>
                        <w:spacing w:after="0" w:line="240" w:lineRule="auto"/>
                        <w:jc w:val="center"/>
                        <w:rPr>
                          <w:sz w:val="16"/>
                          <w:szCs w:val="16"/>
                        </w:rPr>
                      </w:pPr>
                      <w:r>
                        <w:rPr>
                          <w:sz w:val="16"/>
                          <w:szCs w:val="16"/>
                        </w:rPr>
                        <w:t>Unclear</w:t>
                      </w:r>
                    </w:p>
                    <w:p>
                      <w:pPr>
                        <w:spacing w:after="0" w:line="240" w:lineRule="auto"/>
                        <w:jc w:val="center"/>
                        <w:rPr>
                          <w:sz w:val="16"/>
                          <w:szCs w:val="16"/>
                        </w:rPr>
                      </w:pPr>
                      <w:r>
                        <w:rPr>
                          <w:sz w:val="16"/>
                          <w:szCs w:val="16"/>
                        </w:rPr>
                        <w:t>1</w:t>
                      </w:r>
                    </w:p>
                    <w:p>
                      <w:pPr>
                        <w:spacing w:after="0" w:line="240" w:lineRule="auto"/>
                        <w:jc w:val="center"/>
                        <w:rPr>
                          <w:sz w:val="16"/>
                          <w:szCs w:val="16"/>
                        </w:rPr>
                      </w:pPr>
                      <w:r>
                        <w:rPr>
                          <w:sz w:val="16"/>
                          <w:szCs w:val="16"/>
                        </w:rPr>
                        <w:t>12 492</w:t>
                      </w:r>
                    </w:p>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643392" behindDoc="0" locked="0" layoutInCell="1" allowOverlap="1">
                <wp:simplePos x="0" y="0"/>
                <wp:positionH relativeFrom="column">
                  <wp:posOffset>-31805</wp:posOffset>
                </wp:positionH>
                <wp:positionV relativeFrom="paragraph">
                  <wp:posOffset>-477078</wp:posOffset>
                </wp:positionV>
                <wp:extent cx="5049078" cy="2051436"/>
                <wp:effectExtent l="0" t="0" r="18415" b="25400"/>
                <wp:wrapNone/>
                <wp:docPr id="169" name="Rectangle 169"/>
                <wp:cNvGraphicFramePr/>
                <a:graphic xmlns:a="http://schemas.openxmlformats.org/drawingml/2006/main">
                  <a:graphicData uri="http://schemas.microsoft.com/office/word/2010/wordprocessingShape">
                    <wps:wsp>
                      <wps:cNvSpPr/>
                      <wps:spPr>
                        <a:xfrm>
                          <a:off x="0" y="0"/>
                          <a:ext cx="5049078" cy="205143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778D8D" id="Rectangle 169" o:spid="_x0000_s1026" style="position:absolute;margin-left:-2.5pt;margin-top:-37.55pt;width:397.55pt;height:161.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" fillcolor="white [3212]" strokecolor="#1f4d78 [1604]" strokeweight="1pt"/>
            </w:pict>
          </mc:Fallback>
        </mc:AlternateContent>
      </w:r>
      <w:r>
        <w:rPr>
          <w:rFonts w:ascii="Arial" w:hAnsi="Arial" w:cs="Arial"/>
          <w:noProof/>
          <w:sz w:val="20"/>
          <w:szCs w:val="20"/>
          <w:lang w:eastAsia="en-GB"/>
        </w:rPr>
        <mc:AlternateContent>
          <mc:Choice Requires="wps">
            <w:drawing>
              <wp:anchor distT="0" distB="0" distL="114300" distR="114300" simplePos="0" relativeHeight="251671040" behindDoc="0" locked="0" layoutInCell="1" allowOverlap="1">
                <wp:simplePos x="0" y="0"/>
                <wp:positionH relativeFrom="column">
                  <wp:posOffset>3556635</wp:posOffset>
                </wp:positionH>
                <wp:positionV relativeFrom="paragraph">
                  <wp:posOffset>24765</wp:posOffset>
                </wp:positionV>
                <wp:extent cx="1064895" cy="1066800"/>
                <wp:effectExtent l="0" t="0" r="20955" b="19050"/>
                <wp:wrapNone/>
                <wp:docPr id="251" name="Oval 251"/>
                <wp:cNvGraphicFramePr/>
                <a:graphic xmlns:a="http://schemas.openxmlformats.org/drawingml/2006/main">
                  <a:graphicData uri="http://schemas.microsoft.com/office/word/2010/wordprocessingShape">
                    <wps:wsp>
                      <wps:cNvSpPr/>
                      <wps:spPr>
                        <a:xfrm>
                          <a:off x="0" y="0"/>
                          <a:ext cx="1064895" cy="1066800"/>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4C3D10B" id="Oval 251" o:spid="_x0000_s1026" style="position:absolute;margin-left:280.05pt;margin-top:1.95pt;width:83.85pt;height:8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" fillcolor="#5b9bd5 [3204]" strokecolor="#1f4d78 [1604]" strokeweight="1pt">
                <v:fill opacity="7967f"/>
                <v:stroke joinstyle="miter"/>
              </v:oval>
            </w:pict>
          </mc:Fallback>
        </mc:AlternateContent>
      </w:r>
      <w:r>
        <w:rPr>
          <w:rFonts w:ascii="Arial" w:hAnsi="Arial" w:cs="Arial"/>
          <w:noProof/>
          <w:sz w:val="20"/>
          <w:szCs w:val="20"/>
          <w:lang w:eastAsia="en-GB"/>
        </w:rPr>
        <mc:AlternateContent>
          <mc:Choice Requires="wps">
            <w:drawing>
              <wp:anchor distT="0" distB="0" distL="114300" distR="114300" simplePos="0" relativeHeight="251658752" behindDoc="0" locked="0" layoutInCell="1" allowOverlap="1">
                <wp:simplePos x="0" y="0"/>
                <wp:positionH relativeFrom="column">
                  <wp:posOffset>-13335</wp:posOffset>
                </wp:positionH>
                <wp:positionV relativeFrom="paragraph">
                  <wp:posOffset>-422910</wp:posOffset>
                </wp:positionV>
                <wp:extent cx="4768215" cy="323215"/>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4768215" cy="3232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i/>
                              </w:rPr>
                            </w:pPr>
                            <w:r>
                              <w:rPr>
                                <w:b/>
                                <w:i/>
                                <w:sz w:val="18"/>
                                <w:szCs w:val="18"/>
                              </w:rPr>
                              <w:t>Fig. NR4: Irregularities and amounts reported as fraudulent by type of expenditure – 2015-2019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8" o:spid="_x0000_s1077" type="#_x0000_t202" style="position:absolute;margin-left:-1.05pt;margin-top:-33.3pt;width:375.45pt;height:25.4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" fillcolor="white [3201]" stroked="f" strokeweight=".5pt">
                <v:fill opacity="0"/>
                <v:textbox>
                  <w:txbxContent>
                    <w:p>
                      <w:pPr>
                        <w:rPr>
                          <w:i/>
                        </w:rPr>
                      </w:pPr>
                      <w:r>
                        <w:rPr>
                          <w:b/>
                          <w:i/>
                          <w:sz w:val="18"/>
                          <w:szCs w:val="18"/>
                        </w:rPr>
                        <w:t>Fig. NR4: Irregularities and amounts reported as fraudulent by type of expenditure – 2015-2019</w:t>
                      </w:r>
                    </w:p>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653632" behindDoc="0" locked="0" layoutInCell="1" allowOverlap="1">
                <wp:simplePos x="0" y="0"/>
                <wp:positionH relativeFrom="column">
                  <wp:posOffset>236220</wp:posOffset>
                </wp:positionH>
                <wp:positionV relativeFrom="paragraph">
                  <wp:posOffset>-101600</wp:posOffset>
                </wp:positionV>
                <wp:extent cx="2259330" cy="1369060"/>
                <wp:effectExtent l="0" t="0" r="26670" b="21590"/>
                <wp:wrapNone/>
                <wp:docPr id="170" name="Oval 170"/>
                <wp:cNvGraphicFramePr/>
                <a:graphic xmlns:a="http://schemas.openxmlformats.org/drawingml/2006/main">
                  <a:graphicData uri="http://schemas.microsoft.com/office/word/2010/wordprocessingShape">
                    <wps:wsp>
                      <wps:cNvSpPr/>
                      <wps:spPr>
                        <a:xfrm>
                          <a:off x="0" y="0"/>
                          <a:ext cx="2259330" cy="1369060"/>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D863BAD" id="Oval 170" o:spid="_x0000_s1026" style="position:absolute;margin-left:18.6pt;margin-top:-8pt;width:177.9pt;height:107.8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" fillcolor="#5b9bd5 [3204]" strokecolor="#1f4d78 [1604]" strokeweight="1pt">
                <v:fill opacity="7967f"/>
                <v:stroke joinstyle="miter"/>
              </v:oval>
            </w:pict>
          </mc:Fallback>
        </mc:AlternateContent>
      </w:r>
      <w:r>
        <w:rPr>
          <w:rFonts w:ascii="Arial" w:hAnsi="Arial" w:cs="Arial"/>
          <w:noProof/>
          <w:sz w:val="20"/>
          <w:szCs w:val="20"/>
          <w:lang w:eastAsia="en-GB"/>
        </w:rPr>
        <mc:AlternateContent>
          <mc:Choice Requires="wps">
            <w:drawing>
              <wp:anchor distT="0" distB="0" distL="114300" distR="114300" simplePos="0" relativeHeight="251645440" behindDoc="0" locked="0" layoutInCell="1" allowOverlap="1">
                <wp:simplePos x="0" y="0"/>
                <wp:positionH relativeFrom="column">
                  <wp:posOffset>1348105</wp:posOffset>
                </wp:positionH>
                <wp:positionV relativeFrom="paragraph">
                  <wp:posOffset>-48260</wp:posOffset>
                </wp:positionV>
                <wp:extent cx="2120900" cy="1369060"/>
                <wp:effectExtent l="0" t="0" r="12700" b="21590"/>
                <wp:wrapNone/>
                <wp:docPr id="172" name="Oval 172"/>
                <wp:cNvGraphicFramePr/>
                <a:graphic xmlns:a="http://schemas.openxmlformats.org/drawingml/2006/main">
                  <a:graphicData uri="http://schemas.microsoft.com/office/word/2010/wordprocessingShape">
                    <wps:wsp>
                      <wps:cNvSpPr/>
                      <wps:spPr>
                        <a:xfrm>
                          <a:off x="0" y="0"/>
                          <a:ext cx="2120900" cy="1369060"/>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FDF6788" id="Oval 172" o:spid="_x0000_s1026" style="position:absolute;margin-left:106.15pt;margin-top:-3.8pt;width:167pt;height:107.8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" fillcolor="#5b9bd5 [3204]" strokecolor="#1f4d78 [1604]" strokeweight="1pt">
                <v:fill opacity="7967f"/>
                <v:stroke joinstyle="miter"/>
              </v:oval>
            </w:pict>
          </mc:Fallback>
        </mc:AlternateContent>
      </w:r>
      <w:r>
        <w:rPr>
          <w:rFonts w:ascii="Arial" w:hAnsi="Arial" w:cs="Arial"/>
          <w:noProof/>
          <w:sz w:val="20"/>
          <w:szCs w:val="20"/>
          <w:lang w:eastAsia="en-GB"/>
        </w:rPr>
        <mc:AlternateContent>
          <mc:Choice Requires="wps">
            <w:drawing>
              <wp:anchor distT="0" distB="0" distL="114300" distR="114300" simplePos="0" relativeHeight="251655680" behindDoc="0" locked="0" layoutInCell="1" allowOverlap="1">
                <wp:simplePos x="0" y="0"/>
                <wp:positionH relativeFrom="column">
                  <wp:posOffset>231775</wp:posOffset>
                </wp:positionH>
                <wp:positionV relativeFrom="paragraph">
                  <wp:posOffset>311150</wp:posOffset>
                </wp:positionV>
                <wp:extent cx="1409700" cy="49530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1409700" cy="495300"/>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Support to agriculture</w:t>
                            </w:r>
                          </w:p>
                          <w:p>
                            <w:pPr>
                              <w:spacing w:after="0" w:line="240" w:lineRule="auto"/>
                              <w:jc w:val="center"/>
                              <w:rPr>
                                <w:sz w:val="16"/>
                                <w:szCs w:val="16"/>
                                <w:lang w:val="fr-BE"/>
                              </w:rPr>
                            </w:pPr>
                            <w:r>
                              <w:rPr>
                                <w:sz w:val="16"/>
                                <w:szCs w:val="16"/>
                                <w:lang w:val="fr-BE"/>
                              </w:rPr>
                              <w:t>676</w:t>
                            </w:r>
                          </w:p>
                          <w:p>
                            <w:pPr>
                              <w:spacing w:after="0" w:line="240" w:lineRule="auto"/>
                              <w:jc w:val="center"/>
                              <w:rPr>
                                <w:sz w:val="16"/>
                                <w:szCs w:val="16"/>
                                <w:lang w:val="fr-BE"/>
                              </w:rPr>
                            </w:pPr>
                            <w:r>
                              <w:rPr>
                                <w:sz w:val="16"/>
                                <w:szCs w:val="16"/>
                                <w:lang w:val="fr-BE"/>
                              </w:rPr>
                              <w:t>142 724 575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078" type="#_x0000_t202" style="position:absolute;margin-left:18.25pt;margin-top:24.5pt;width:111pt;height: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" fillcolor="white [3212]" stroked="f" strokeweight=".5pt">
                <v:fill opacity="0"/>
                <v:textbox>
                  <w:txbxContent>
                    <w:p>
                      <w:pPr>
                        <w:spacing w:after="0" w:line="240" w:lineRule="auto"/>
                        <w:jc w:val="center"/>
                        <w:rPr>
                          <w:sz w:val="16"/>
                          <w:szCs w:val="16"/>
                          <w:lang w:val="fr-BE"/>
                        </w:rPr>
                      </w:pPr>
                      <w:r>
                        <w:rPr>
                          <w:sz w:val="16"/>
                          <w:szCs w:val="16"/>
                          <w:lang w:val="fr-BE"/>
                        </w:rPr>
                        <w:t>Support to agriculture</w:t>
                      </w:r>
                    </w:p>
                    <w:p>
                      <w:pPr>
                        <w:spacing w:after="0" w:line="240" w:lineRule="auto"/>
                        <w:jc w:val="center"/>
                        <w:rPr>
                          <w:sz w:val="16"/>
                          <w:szCs w:val="16"/>
                          <w:lang w:val="fr-BE"/>
                        </w:rPr>
                      </w:pPr>
                      <w:r>
                        <w:rPr>
                          <w:sz w:val="16"/>
                          <w:szCs w:val="16"/>
                          <w:lang w:val="fr-BE"/>
                        </w:rPr>
                        <w:t>676</w:t>
                      </w:r>
                    </w:p>
                    <w:p>
                      <w:pPr>
                        <w:spacing w:after="0" w:line="240" w:lineRule="auto"/>
                        <w:jc w:val="center"/>
                        <w:rPr>
                          <w:sz w:val="16"/>
                          <w:szCs w:val="16"/>
                          <w:lang w:val="fr-BE"/>
                        </w:rPr>
                      </w:pPr>
                      <w:r>
                        <w:rPr>
                          <w:sz w:val="16"/>
                          <w:szCs w:val="16"/>
                          <w:lang w:val="fr-BE"/>
                        </w:rPr>
                        <w:t>142 724 575</w:t>
                      </w:r>
                    </w:p>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661824" behindDoc="0" locked="0" layoutInCell="1" allowOverlap="1">
                <wp:simplePos x="0" y="0"/>
                <wp:positionH relativeFrom="column">
                  <wp:posOffset>1304290</wp:posOffset>
                </wp:positionH>
                <wp:positionV relativeFrom="paragraph">
                  <wp:posOffset>322580</wp:posOffset>
                </wp:positionV>
                <wp:extent cx="1261110" cy="433705"/>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1261110" cy="43370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rPr>
                            </w:pPr>
                            <w:r>
                              <w:rPr>
                                <w:sz w:val="16"/>
                                <w:szCs w:val="16"/>
                              </w:rPr>
                              <w:t>48</w:t>
                            </w:r>
                          </w:p>
                          <w:p>
                            <w:pPr>
                              <w:spacing w:after="0" w:line="240" w:lineRule="auto"/>
                              <w:jc w:val="center"/>
                              <w:rPr>
                                <w:sz w:val="16"/>
                                <w:szCs w:val="16"/>
                              </w:rPr>
                            </w:pPr>
                            <w:r>
                              <w:rPr>
                                <w:sz w:val="16"/>
                                <w:szCs w:val="16"/>
                              </w:rPr>
                              <w:t>5 829 328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1" o:spid="_x0000_s1079" type="#_x0000_t202" style="position:absolute;margin-left:102.7pt;margin-top:25.4pt;width:99.3pt;height:34.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" fillcolor="white [3212]" stroked="f" strokeweight=".5pt">
                <v:fill opacity="0"/>
                <v:textbox>
                  <w:txbxContent>
                    <w:p>
                      <w:pPr>
                        <w:spacing w:after="0" w:line="240" w:lineRule="auto"/>
                        <w:jc w:val="center"/>
                        <w:rPr>
                          <w:sz w:val="16"/>
                          <w:szCs w:val="16"/>
                        </w:rPr>
                      </w:pPr>
                      <w:r>
                        <w:rPr>
                          <w:sz w:val="16"/>
                          <w:szCs w:val="16"/>
                        </w:rPr>
                        <w:t>48</w:t>
                      </w:r>
                    </w:p>
                    <w:p>
                      <w:pPr>
                        <w:spacing w:after="0" w:line="240" w:lineRule="auto"/>
                        <w:jc w:val="center"/>
                        <w:rPr>
                          <w:sz w:val="16"/>
                          <w:szCs w:val="16"/>
                        </w:rPr>
                      </w:pPr>
                      <w:r>
                        <w:rPr>
                          <w:sz w:val="16"/>
                          <w:szCs w:val="16"/>
                        </w:rPr>
                        <w:t>5 829 328</w:t>
                      </w:r>
                    </w:p>
                  </w:txbxContent>
                </v:textbox>
              </v:shape>
            </w:pict>
          </mc:Fallback>
        </mc:AlternateContent>
      </w:r>
    </w:p>
    <w:p>
      <w:pPr>
        <w:rPr>
          <w:rFonts w:ascii="Arial" w:hAnsi="Arial" w:cs="Arial"/>
          <w:noProof/>
          <w:sz w:val="20"/>
          <w:szCs w:val="20"/>
        </w:rPr>
      </w:pPr>
      <w:r>
        <w:rPr>
          <w:rFonts w:ascii="Arial" w:hAnsi="Arial" w:cs="Arial"/>
          <w:noProof/>
          <w:sz w:val="20"/>
          <w:szCs w:val="20"/>
          <w:lang w:eastAsia="en-GB"/>
        </w:rPr>
        <mc:AlternateContent>
          <mc:Choice Requires="wps">
            <w:drawing>
              <wp:anchor distT="0" distB="0" distL="114300" distR="114300" simplePos="0" relativeHeight="251651584" behindDoc="0" locked="0" layoutInCell="1" allowOverlap="1">
                <wp:simplePos x="0" y="0"/>
                <wp:positionH relativeFrom="column">
                  <wp:posOffset>2324514</wp:posOffset>
                </wp:positionH>
                <wp:positionV relativeFrom="paragraph">
                  <wp:posOffset>141467</wp:posOffset>
                </wp:positionV>
                <wp:extent cx="1352550" cy="50165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352550" cy="501650"/>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Rural development</w:t>
                            </w:r>
                          </w:p>
                          <w:p>
                            <w:pPr>
                              <w:spacing w:after="0" w:line="240" w:lineRule="auto"/>
                              <w:jc w:val="center"/>
                              <w:rPr>
                                <w:sz w:val="16"/>
                                <w:szCs w:val="16"/>
                                <w:lang w:val="fr-BE"/>
                              </w:rPr>
                            </w:pPr>
                            <w:r>
                              <w:rPr>
                                <w:sz w:val="16"/>
                                <w:szCs w:val="16"/>
                                <w:lang w:val="fr-BE"/>
                              </w:rPr>
                              <w:t>792</w:t>
                            </w:r>
                          </w:p>
                          <w:p>
                            <w:pPr>
                              <w:spacing w:after="0" w:line="240" w:lineRule="auto"/>
                              <w:jc w:val="center"/>
                              <w:rPr>
                                <w:sz w:val="16"/>
                                <w:szCs w:val="16"/>
                                <w:lang w:val="fr-BE"/>
                              </w:rPr>
                            </w:pPr>
                            <w:r>
                              <w:rPr>
                                <w:sz w:val="16"/>
                                <w:szCs w:val="16"/>
                                <w:lang w:val="fr-BE"/>
                              </w:rPr>
                              <w:t>120 777 108</w:t>
                            </w:r>
                          </w:p>
                          <w:p>
                            <w:pPr>
                              <w:spacing w:after="0" w:line="240" w:lineRule="auto"/>
                              <w:jc w:val="center"/>
                              <w:rPr>
                                <w:sz w:val="16"/>
                                <w:szCs w:val="16"/>
                                <w:lang w:val="fr-BE"/>
                              </w:rPr>
                            </w:pPr>
                          </w:p>
                          <w:p>
                            <w:pPr>
                              <w:spacing w:after="0" w:line="240" w:lineRule="auto"/>
                              <w:jc w:val="center"/>
                              <w:rPr>
                                <w:sz w:val="16"/>
                                <w:szCs w:val="1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80" type="#_x0000_t202" style="position:absolute;margin-left:183.05pt;margin-top:11.15pt;width:106.5pt;height: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" fillcolor="white [3212]" stroked="f" strokeweight=".5pt">
                <v:fill opacity="0"/>
                <v:textbox>
                  <w:txbxContent>
                    <w:p>
                      <w:pPr>
                        <w:spacing w:after="0" w:line="240" w:lineRule="auto"/>
                        <w:jc w:val="center"/>
                        <w:rPr>
                          <w:sz w:val="16"/>
                          <w:szCs w:val="16"/>
                          <w:lang w:val="fr-BE"/>
                        </w:rPr>
                      </w:pPr>
                      <w:r>
                        <w:rPr>
                          <w:sz w:val="16"/>
                          <w:szCs w:val="16"/>
                          <w:lang w:val="fr-BE"/>
                        </w:rPr>
                        <w:t>Rural development</w:t>
                      </w:r>
                    </w:p>
                    <w:p>
                      <w:pPr>
                        <w:spacing w:after="0" w:line="240" w:lineRule="auto"/>
                        <w:jc w:val="center"/>
                        <w:rPr>
                          <w:sz w:val="16"/>
                          <w:szCs w:val="16"/>
                          <w:lang w:val="fr-BE"/>
                        </w:rPr>
                      </w:pPr>
                      <w:r>
                        <w:rPr>
                          <w:sz w:val="16"/>
                          <w:szCs w:val="16"/>
                          <w:lang w:val="fr-BE"/>
                        </w:rPr>
                        <w:t>792</w:t>
                      </w:r>
                    </w:p>
                    <w:p>
                      <w:pPr>
                        <w:spacing w:after="0" w:line="240" w:lineRule="auto"/>
                        <w:jc w:val="center"/>
                        <w:rPr>
                          <w:sz w:val="16"/>
                          <w:szCs w:val="16"/>
                          <w:lang w:val="fr-BE"/>
                        </w:rPr>
                      </w:pPr>
                      <w:r>
                        <w:rPr>
                          <w:sz w:val="16"/>
                          <w:szCs w:val="16"/>
                          <w:lang w:val="fr-BE"/>
                        </w:rPr>
                        <w:t>120 777 108</w:t>
                      </w:r>
                    </w:p>
                    <w:p>
                      <w:pPr>
                        <w:spacing w:after="0" w:line="240" w:lineRule="auto"/>
                        <w:jc w:val="center"/>
                        <w:rPr>
                          <w:sz w:val="16"/>
                          <w:szCs w:val="16"/>
                          <w:lang w:val="fr-BE"/>
                        </w:rPr>
                      </w:pPr>
                    </w:p>
                    <w:p>
                      <w:pPr>
                        <w:spacing w:after="0" w:line="240" w:lineRule="auto"/>
                        <w:jc w:val="center"/>
                        <w:rPr>
                          <w:sz w:val="16"/>
                          <w:szCs w:val="16"/>
                          <w:lang w:val="fr-BE"/>
                        </w:rPr>
                      </w:pPr>
                    </w:p>
                  </w:txbxContent>
                </v:textbox>
              </v:shape>
            </w:pict>
          </mc:Fallback>
        </mc:AlternateContent>
      </w: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r>
        <w:rPr>
          <w:rFonts w:ascii="Arial" w:hAnsi="Arial" w:cs="Arial"/>
          <w:noProof/>
          <w:sz w:val="20"/>
          <w:szCs w:val="20"/>
          <w:lang w:eastAsia="en-GB"/>
        </w:rPr>
        <mc:AlternateContent>
          <mc:Choice Requires="wpg">
            <w:drawing>
              <wp:anchor distT="0" distB="0" distL="114300" distR="114300" simplePos="0" relativeHeight="251639296" behindDoc="0" locked="0" layoutInCell="1" allowOverlap="1">
                <wp:simplePos x="0" y="0"/>
                <wp:positionH relativeFrom="column">
                  <wp:posOffset>-38100</wp:posOffset>
                </wp:positionH>
                <wp:positionV relativeFrom="paragraph">
                  <wp:posOffset>279400</wp:posOffset>
                </wp:positionV>
                <wp:extent cx="5067300" cy="2143354"/>
                <wp:effectExtent l="0" t="0" r="19050" b="28575"/>
                <wp:wrapNone/>
                <wp:docPr id="184" name="Group 184"/>
                <wp:cNvGraphicFramePr/>
                <a:graphic xmlns:a="http://schemas.openxmlformats.org/drawingml/2006/main">
                  <a:graphicData uri="http://schemas.microsoft.com/office/word/2010/wordprocessingGroup">
                    <wpg:wgp>
                      <wpg:cNvGrpSpPr/>
                      <wpg:grpSpPr>
                        <a:xfrm>
                          <a:off x="0" y="0"/>
                          <a:ext cx="5067300" cy="2143354"/>
                          <a:chOff x="0" y="0"/>
                          <a:chExt cx="6019800" cy="3295650"/>
                        </a:xfrm>
                      </wpg:grpSpPr>
                      <wps:wsp>
                        <wps:cNvPr id="185" name="Rectangle 185"/>
                        <wps:cNvSpPr/>
                        <wps:spPr>
                          <a:xfrm>
                            <a:off x="0" y="0"/>
                            <a:ext cx="6019800" cy="3295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02"/>
                        <wps:cNvSpPr txBox="1"/>
                        <wps:spPr>
                          <a:xfrm>
                            <a:off x="57143" y="66627"/>
                            <a:ext cx="5900995" cy="622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i/>
                                  <w:sz w:val="18"/>
                                  <w:szCs w:val="18"/>
                                </w:rPr>
                              </w:pPr>
                              <w:r>
                                <w:rPr>
                                  <w:b/>
                                  <w:i/>
                                  <w:sz w:val="18"/>
                                  <w:szCs w:val="18"/>
                                </w:rPr>
                                <w:t>Fig. NR5: Irregularities and amounts not reported as fraudulent by type of expenditure – 2015-2019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4" o:spid="_x0000_s1081" style="position:absolute;margin-left:-3pt;margin-top:22pt;width:399pt;height:168.75pt;z-index:251639296;mso-width-relative:margin;mso-height-relative:margin" coordsize="60198,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">
                <v:rect id="Rectangle 185" o:spid="_x0000_s1082" style="position:absolute;width:60198;height:3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S8MA&#10;AADcAAAADwAAAGRycy9kb3ducmV2LnhtbERPTWsCMRC9F/ofwhR6KZrVoshqFFELlZ5cPXgcN9Ps&#10;0s1kSaLu/ntTKPQ2j/c5i1VnG3EjH2rHCkbDDARx6XTNRsHp+DGYgQgRWWPjmBT0FGC1fH5aYK7d&#10;nQ90K6IRKYRDjgqqGNtcylBWZDEMXUucuG/nLcYEvZHa4z2F20aOs2wqLdacGipsaVNR+VNcrYLd&#10;5OJD/7b1PP7qi/3ubN5Pa6PU60u3noOI1MV/8Z/7U6f5swn8PpM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WS8MAAADcAAAADwAAAAAAAAAAAAAAAACYAgAAZHJzL2Rv&#10;d25yZXYueG1sUEsFBgAAAAAEAAQA9QAAAIgDAAAAAA==&#10;" fillcolor="white [3212]" strokecolor="#1f4d78 [1604]" strokeweight="1pt"/>
                <v:shape id="Text Box 202" o:spid="_x0000_s1083" type="#_x0000_t202" style="position:absolute;left:571;top:666;width:59010;height:6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lbsYA&#10;AADcAAAADwAAAGRycy9kb3ducmV2LnhtbESPQWvCQBSE70L/w/IKvYhujNhKdBUpbZXearTF2yP7&#10;moRm34bsNon/3hUEj8PMfMMs172pREuNKy0rmIwjEMSZ1SXnCg7p+2gOwnlkjZVlUnAmB+vVw2CJ&#10;ibYdf1G797kIEHYJKii8rxMpXVaQQTe2NXHwfm1j0AfZ5FI32AW4qWQcRc/SYMlhocCaXgvK/vb/&#10;RsFpmP98uv7j2E1n0/pt26Yv3zpV6umx3yxAeOr9PXxr77SCOIrh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tlbsYAAADcAAAADwAAAAAAAAAAAAAAAACYAgAAZHJz&#10;L2Rvd25yZXYueG1sUEsFBgAAAAAEAAQA9QAAAIsDAAAAAA==&#10;" fillcolor="white [3201]" stroked="f" strokeweight=".5pt">
                  <v:textbox>
                    <w:txbxContent>
                      <w:p>
                        <w:pPr>
                          <w:rPr>
                            <w:b/>
                            <w:i/>
                            <w:sz w:val="18"/>
                            <w:szCs w:val="18"/>
                          </w:rPr>
                        </w:pPr>
                        <w:r>
                          <w:rPr>
                            <w:b/>
                            <w:i/>
                            <w:sz w:val="18"/>
                            <w:szCs w:val="18"/>
                          </w:rPr>
                          <w:t>Fig. NR5: Irregularities and amounts not reported as fraudulent by type of expenditure – 2015-2019</w:t>
                        </w:r>
                      </w:p>
                    </w:txbxContent>
                  </v:textbox>
                </v:shape>
              </v:group>
            </w:pict>
          </mc:Fallback>
        </mc:AlternateContent>
      </w:r>
    </w:p>
    <w:p>
      <w:pPr>
        <w:rPr>
          <w:rFonts w:ascii="Arial" w:hAnsi="Arial" w:cs="Arial"/>
          <w:noProof/>
          <w:sz w:val="20"/>
          <w:szCs w:val="20"/>
        </w:rPr>
      </w:pPr>
    </w:p>
    <w:p>
      <w:pPr>
        <w:rPr>
          <w:rFonts w:ascii="Arial" w:hAnsi="Arial" w:cs="Arial"/>
          <w:noProof/>
          <w:sz w:val="20"/>
          <w:szCs w:val="20"/>
        </w:rPr>
      </w:pPr>
      <w:r>
        <w:rPr>
          <w:rFonts w:ascii="Arial" w:hAnsi="Arial" w:cs="Arial"/>
          <w:noProof/>
          <w:sz w:val="20"/>
          <w:szCs w:val="20"/>
          <w:lang w:eastAsia="en-GB"/>
        </w:rPr>
        <mc:AlternateContent>
          <mc:Choice Requires="wps">
            <w:drawing>
              <wp:anchor distT="0" distB="0" distL="114300" distR="114300" simplePos="0" relativeHeight="251676160" behindDoc="0" locked="0" layoutInCell="1" allowOverlap="1">
                <wp:simplePos x="0" y="0"/>
                <wp:positionH relativeFrom="column">
                  <wp:posOffset>3839845</wp:posOffset>
                </wp:positionH>
                <wp:positionV relativeFrom="paragraph">
                  <wp:posOffset>290467</wp:posOffset>
                </wp:positionV>
                <wp:extent cx="1064895" cy="1066800"/>
                <wp:effectExtent l="0" t="0" r="20955" b="19050"/>
                <wp:wrapNone/>
                <wp:docPr id="253" name="Oval 253"/>
                <wp:cNvGraphicFramePr/>
                <a:graphic xmlns:a="http://schemas.openxmlformats.org/drawingml/2006/main">
                  <a:graphicData uri="http://schemas.microsoft.com/office/word/2010/wordprocessingShape">
                    <wps:wsp>
                      <wps:cNvSpPr/>
                      <wps:spPr>
                        <a:xfrm>
                          <a:off x="0" y="0"/>
                          <a:ext cx="1064895" cy="1066800"/>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54E634B" id="Oval 253" o:spid="_x0000_s1026" style="position:absolute;margin-left:302.35pt;margin-top:22.85pt;width:83.85pt;height:8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" fillcolor="#5b9bd5 [3204]" strokecolor="#1f4d78 [1604]" strokeweight="1pt">
                <v:fill opacity="7967f"/>
                <v:stroke joinstyle="miter"/>
              </v:oval>
            </w:pict>
          </mc:Fallback>
        </mc:AlternateContent>
      </w:r>
      <w:r>
        <w:rPr>
          <w:rFonts w:ascii="Arial" w:hAnsi="Arial" w:cs="Arial"/>
          <w:noProof/>
          <w:sz w:val="20"/>
          <w:szCs w:val="20"/>
          <w:lang w:eastAsia="en-GB"/>
        </w:rPr>
        <mc:AlternateContent>
          <mc:Choice Requires="wps">
            <w:drawing>
              <wp:anchor distT="0" distB="0" distL="114300" distR="114300" simplePos="0" relativeHeight="251641344" behindDoc="0" locked="0" layoutInCell="1" allowOverlap="1">
                <wp:simplePos x="0" y="0"/>
                <wp:positionH relativeFrom="column">
                  <wp:posOffset>1621155</wp:posOffset>
                </wp:positionH>
                <wp:positionV relativeFrom="paragraph">
                  <wp:posOffset>182880</wp:posOffset>
                </wp:positionV>
                <wp:extent cx="2120900" cy="1369060"/>
                <wp:effectExtent l="0" t="0" r="12700" b="21590"/>
                <wp:wrapNone/>
                <wp:docPr id="207" name="Oval 207"/>
                <wp:cNvGraphicFramePr/>
                <a:graphic xmlns:a="http://schemas.openxmlformats.org/drawingml/2006/main">
                  <a:graphicData uri="http://schemas.microsoft.com/office/word/2010/wordprocessingShape">
                    <wps:wsp>
                      <wps:cNvSpPr/>
                      <wps:spPr>
                        <a:xfrm>
                          <a:off x="0" y="0"/>
                          <a:ext cx="2120900" cy="1369060"/>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B9508F9" id="Oval 207" o:spid="_x0000_s1026" style="position:absolute;margin-left:127.65pt;margin-top:14.4pt;width:167pt;height:107.8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" fillcolor="#5b9bd5 [3204]" strokecolor="#1f4d78 [1604]" strokeweight="1pt">
                <v:fill opacity="7967f"/>
                <v:stroke joinstyle="miter"/>
              </v:oval>
            </w:pict>
          </mc:Fallback>
        </mc:AlternateContent>
      </w:r>
      <w:r>
        <w:rPr>
          <w:rFonts w:ascii="Arial" w:hAnsi="Arial" w:cs="Arial"/>
          <w:noProof/>
          <w:sz w:val="20"/>
          <w:szCs w:val="20"/>
          <w:lang w:eastAsia="en-GB"/>
        </w:rPr>
        <mc:AlternateContent>
          <mc:Choice Requires="wps">
            <w:drawing>
              <wp:anchor distT="0" distB="0" distL="114300" distR="114300" simplePos="0" relativeHeight="251640320" behindDoc="0" locked="0" layoutInCell="1" allowOverlap="1">
                <wp:simplePos x="0" y="0"/>
                <wp:positionH relativeFrom="column">
                  <wp:posOffset>187325</wp:posOffset>
                </wp:positionH>
                <wp:positionV relativeFrom="paragraph">
                  <wp:posOffset>194945</wp:posOffset>
                </wp:positionV>
                <wp:extent cx="2259330" cy="1369060"/>
                <wp:effectExtent l="0" t="0" r="26670" b="21590"/>
                <wp:wrapNone/>
                <wp:docPr id="214" name="Oval 214"/>
                <wp:cNvGraphicFramePr/>
                <a:graphic xmlns:a="http://schemas.openxmlformats.org/drawingml/2006/main">
                  <a:graphicData uri="http://schemas.microsoft.com/office/word/2010/wordprocessingShape">
                    <wps:wsp>
                      <wps:cNvSpPr/>
                      <wps:spPr>
                        <a:xfrm>
                          <a:off x="0" y="0"/>
                          <a:ext cx="2259330" cy="1369060"/>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5EE423D" id="Oval 214" o:spid="_x0000_s1026" style="position:absolute;margin-left:14.75pt;margin-top:15.35pt;width:177.9pt;height:107.8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" fillcolor="#5b9bd5 [3204]" strokecolor="#1f4d78 [1604]" strokeweight="1pt">
                <v:fill opacity="7967f"/>
                <v:stroke joinstyle="miter"/>
              </v:oval>
            </w:pict>
          </mc:Fallback>
        </mc:AlternateContent>
      </w:r>
      <w:r>
        <w:rPr>
          <w:rFonts w:ascii="Arial" w:hAnsi="Arial" w:cs="Arial"/>
          <w:noProof/>
          <w:sz w:val="20"/>
          <w:szCs w:val="20"/>
          <w:lang w:eastAsia="en-GB"/>
        </w:rPr>
        <mc:AlternateContent>
          <mc:Choice Requires="wps">
            <w:drawing>
              <wp:anchor distT="0" distB="0" distL="114300" distR="114300" simplePos="0" relativeHeight="251664896" behindDoc="0" locked="0" layoutInCell="1" allowOverlap="1">
                <wp:simplePos x="0" y="0"/>
                <wp:positionH relativeFrom="column">
                  <wp:posOffset>1442720</wp:posOffset>
                </wp:positionH>
                <wp:positionV relativeFrom="paragraph">
                  <wp:posOffset>586740</wp:posOffset>
                </wp:positionV>
                <wp:extent cx="1261110" cy="433705"/>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1261110" cy="43370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334</w:t>
                            </w:r>
                          </w:p>
                          <w:p>
                            <w:pPr>
                              <w:spacing w:after="0" w:line="240" w:lineRule="auto"/>
                              <w:jc w:val="center"/>
                              <w:rPr>
                                <w:sz w:val="16"/>
                                <w:szCs w:val="16"/>
                                <w:lang w:val="fr-BE"/>
                              </w:rPr>
                            </w:pPr>
                            <w:r>
                              <w:rPr>
                                <w:sz w:val="16"/>
                                <w:szCs w:val="16"/>
                                <w:lang w:val="fr-BE"/>
                              </w:rPr>
                              <w:t xml:space="preserve"> 22 492 236</w:t>
                            </w:r>
                          </w:p>
                          <w:p>
                            <w:pPr>
                              <w:spacing w:after="0" w:line="240" w:lineRule="auto"/>
                              <w:jc w:val="center"/>
                              <w:rPr>
                                <w:sz w:val="16"/>
                                <w:szCs w:val="1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5" o:spid="_x0000_s1084" type="#_x0000_t202" style="position:absolute;margin-left:113.6pt;margin-top:46.2pt;width:99.3pt;height:34.1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" fillcolor="white [3212]" stroked="f" strokeweight=".5pt">
                <v:fill opacity="0"/>
                <v:textbox>
                  <w:txbxContent>
                    <w:p>
                      <w:pPr>
                        <w:spacing w:after="0" w:line="240" w:lineRule="auto"/>
                        <w:jc w:val="center"/>
                        <w:rPr>
                          <w:sz w:val="16"/>
                          <w:szCs w:val="16"/>
                          <w:lang w:val="fr-BE"/>
                        </w:rPr>
                      </w:pPr>
                      <w:r>
                        <w:rPr>
                          <w:sz w:val="16"/>
                          <w:szCs w:val="16"/>
                          <w:lang w:val="fr-BE"/>
                        </w:rPr>
                        <w:t>334</w:t>
                      </w:r>
                    </w:p>
                    <w:p>
                      <w:pPr>
                        <w:spacing w:after="0" w:line="240" w:lineRule="auto"/>
                        <w:jc w:val="center"/>
                        <w:rPr>
                          <w:sz w:val="16"/>
                          <w:szCs w:val="16"/>
                          <w:lang w:val="fr-BE"/>
                        </w:rPr>
                      </w:pPr>
                      <w:r>
                        <w:rPr>
                          <w:sz w:val="16"/>
                          <w:szCs w:val="16"/>
                          <w:lang w:val="fr-BE"/>
                        </w:rPr>
                        <w:t xml:space="preserve"> 22 492 236</w:t>
                      </w:r>
                    </w:p>
                    <w:p>
                      <w:pPr>
                        <w:spacing w:after="0" w:line="240" w:lineRule="auto"/>
                        <w:jc w:val="center"/>
                        <w:rPr>
                          <w:sz w:val="16"/>
                          <w:szCs w:val="16"/>
                          <w:lang w:val="fr-BE"/>
                        </w:rPr>
                      </w:pPr>
                    </w:p>
                  </w:txbxContent>
                </v:textbox>
              </v:shape>
            </w:pict>
          </mc:Fallback>
        </mc:AlternateContent>
      </w:r>
      <w:r>
        <w:rPr>
          <w:noProof/>
          <w:lang w:eastAsia="en-GB"/>
        </w:rPr>
        <mc:AlternateContent>
          <mc:Choice Requires="wps">
            <w:drawing>
              <wp:anchor distT="0" distB="0" distL="114300" distR="114300" simplePos="0" relativeHeight="251665920" behindDoc="0" locked="0" layoutInCell="1" allowOverlap="1">
                <wp:simplePos x="0" y="0"/>
                <wp:positionH relativeFrom="column">
                  <wp:posOffset>2478405</wp:posOffset>
                </wp:positionH>
                <wp:positionV relativeFrom="paragraph">
                  <wp:posOffset>599440</wp:posOffset>
                </wp:positionV>
                <wp:extent cx="1318260" cy="44450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1318260" cy="444500"/>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Rural development</w:t>
                            </w:r>
                          </w:p>
                          <w:p>
                            <w:pPr>
                              <w:spacing w:after="0" w:line="240" w:lineRule="auto"/>
                              <w:jc w:val="center"/>
                              <w:rPr>
                                <w:sz w:val="16"/>
                                <w:szCs w:val="16"/>
                                <w:lang w:val="fr-BE"/>
                              </w:rPr>
                            </w:pPr>
                            <w:r>
                              <w:rPr>
                                <w:sz w:val="16"/>
                                <w:szCs w:val="16"/>
                                <w:lang w:val="fr-BE"/>
                              </w:rPr>
                              <w:t>10 506</w:t>
                            </w:r>
                          </w:p>
                          <w:p>
                            <w:pPr>
                              <w:spacing w:after="0" w:line="240" w:lineRule="auto"/>
                              <w:jc w:val="center"/>
                              <w:rPr>
                                <w:sz w:val="16"/>
                                <w:szCs w:val="16"/>
                                <w:lang w:val="fr-BE"/>
                              </w:rPr>
                            </w:pPr>
                            <w:r>
                              <w:rPr>
                                <w:sz w:val="16"/>
                                <w:szCs w:val="16"/>
                                <w:lang w:val="fr-BE"/>
                              </w:rPr>
                              <w:t>579 374 957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6" o:spid="_x0000_s1085" type="#_x0000_t202" style="position:absolute;margin-left:195.15pt;margin-top:47.2pt;width:103.8pt;height:3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" fillcolor="white [3212]" stroked="f" strokeweight=".5pt">
                <v:fill opacity="0"/>
                <v:textbox>
                  <w:txbxContent>
                    <w:p>
                      <w:pPr>
                        <w:spacing w:after="0" w:line="240" w:lineRule="auto"/>
                        <w:jc w:val="center"/>
                        <w:rPr>
                          <w:sz w:val="16"/>
                          <w:szCs w:val="16"/>
                          <w:lang w:val="fr-BE"/>
                        </w:rPr>
                      </w:pPr>
                      <w:r>
                        <w:rPr>
                          <w:sz w:val="16"/>
                          <w:szCs w:val="16"/>
                          <w:lang w:val="fr-BE"/>
                        </w:rPr>
                        <w:t>Rural development</w:t>
                      </w:r>
                    </w:p>
                    <w:p>
                      <w:pPr>
                        <w:spacing w:after="0" w:line="240" w:lineRule="auto"/>
                        <w:jc w:val="center"/>
                        <w:rPr>
                          <w:sz w:val="16"/>
                          <w:szCs w:val="16"/>
                          <w:lang w:val="fr-BE"/>
                        </w:rPr>
                      </w:pPr>
                      <w:r>
                        <w:rPr>
                          <w:sz w:val="16"/>
                          <w:szCs w:val="16"/>
                          <w:lang w:val="fr-BE"/>
                        </w:rPr>
                        <w:t>10 506</w:t>
                      </w:r>
                    </w:p>
                    <w:p>
                      <w:pPr>
                        <w:spacing w:after="0" w:line="240" w:lineRule="auto"/>
                        <w:jc w:val="center"/>
                        <w:rPr>
                          <w:sz w:val="16"/>
                          <w:szCs w:val="16"/>
                          <w:lang w:val="fr-BE"/>
                        </w:rPr>
                      </w:pPr>
                      <w:r>
                        <w:rPr>
                          <w:sz w:val="16"/>
                          <w:szCs w:val="16"/>
                          <w:lang w:val="fr-BE"/>
                        </w:rPr>
                        <w:t>579 374 957</w:t>
                      </w:r>
                    </w:p>
                  </w:txbxContent>
                </v:textbox>
              </v:shape>
            </w:pict>
          </mc:Fallback>
        </mc:AlternateContent>
      </w:r>
    </w:p>
    <w:p>
      <w:pPr>
        <w:rPr>
          <w:rFonts w:ascii="Arial" w:hAnsi="Arial" w:cs="Arial"/>
          <w:noProof/>
          <w:sz w:val="20"/>
          <w:szCs w:val="20"/>
        </w:rPr>
      </w:pPr>
      <w:r>
        <w:rPr>
          <w:rFonts w:ascii="Arial" w:hAnsi="Arial" w:cs="Arial"/>
          <w:noProof/>
          <w:sz w:val="20"/>
          <w:szCs w:val="20"/>
          <w:lang w:eastAsia="en-GB"/>
        </w:rPr>
        <mc:AlternateContent>
          <mc:Choice Requires="wps">
            <w:drawing>
              <wp:anchor distT="0" distB="0" distL="114300" distR="114300" simplePos="0" relativeHeight="251677184" behindDoc="0" locked="0" layoutInCell="1" allowOverlap="1">
                <wp:simplePos x="0" y="0"/>
                <wp:positionH relativeFrom="column">
                  <wp:posOffset>3740150</wp:posOffset>
                </wp:positionH>
                <wp:positionV relativeFrom="paragraph">
                  <wp:posOffset>275862</wp:posOffset>
                </wp:positionV>
                <wp:extent cx="1261110" cy="49403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1261110" cy="494030"/>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rPr>
                            </w:pPr>
                            <w:r>
                              <w:rPr>
                                <w:sz w:val="16"/>
                                <w:szCs w:val="16"/>
                              </w:rPr>
                              <w:t>Unclear</w:t>
                            </w:r>
                          </w:p>
                          <w:p>
                            <w:pPr>
                              <w:spacing w:after="0" w:line="240" w:lineRule="auto"/>
                              <w:jc w:val="center"/>
                              <w:rPr>
                                <w:sz w:val="16"/>
                                <w:szCs w:val="16"/>
                              </w:rPr>
                            </w:pPr>
                            <w:r>
                              <w:rPr>
                                <w:sz w:val="16"/>
                                <w:szCs w:val="16"/>
                              </w:rPr>
                              <w:t>25</w:t>
                            </w:r>
                          </w:p>
                          <w:p>
                            <w:pPr>
                              <w:spacing w:after="0" w:line="240" w:lineRule="auto"/>
                              <w:jc w:val="center"/>
                              <w:rPr>
                                <w:sz w:val="16"/>
                                <w:szCs w:val="16"/>
                              </w:rPr>
                            </w:pPr>
                            <w:r>
                              <w:rPr>
                                <w:sz w:val="16"/>
                                <w:szCs w:val="16"/>
                              </w:rPr>
                              <w:t>1 124 683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4" o:spid="_x0000_s1086" type="#_x0000_t202" style="position:absolute;margin-left:294.5pt;margin-top:21.7pt;width:99.3pt;height:38.9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" fillcolor="white [3212]" stroked="f" strokeweight=".5pt">
                <v:fill opacity="0"/>
                <v:textbox>
                  <w:txbxContent>
                    <w:p>
                      <w:pPr>
                        <w:spacing w:after="0" w:line="240" w:lineRule="auto"/>
                        <w:jc w:val="center"/>
                        <w:rPr>
                          <w:sz w:val="16"/>
                          <w:szCs w:val="16"/>
                        </w:rPr>
                      </w:pPr>
                      <w:r>
                        <w:rPr>
                          <w:sz w:val="16"/>
                          <w:szCs w:val="16"/>
                        </w:rPr>
                        <w:t>Unclear</w:t>
                      </w:r>
                    </w:p>
                    <w:p>
                      <w:pPr>
                        <w:spacing w:after="0" w:line="240" w:lineRule="auto"/>
                        <w:jc w:val="center"/>
                        <w:rPr>
                          <w:sz w:val="16"/>
                          <w:szCs w:val="16"/>
                        </w:rPr>
                      </w:pPr>
                      <w:r>
                        <w:rPr>
                          <w:sz w:val="16"/>
                          <w:szCs w:val="16"/>
                        </w:rPr>
                        <w:t>25</w:t>
                      </w:r>
                    </w:p>
                    <w:p>
                      <w:pPr>
                        <w:spacing w:after="0" w:line="240" w:lineRule="auto"/>
                        <w:jc w:val="center"/>
                        <w:rPr>
                          <w:sz w:val="16"/>
                          <w:szCs w:val="16"/>
                        </w:rPr>
                      </w:pPr>
                      <w:r>
                        <w:rPr>
                          <w:sz w:val="16"/>
                          <w:szCs w:val="16"/>
                        </w:rPr>
                        <w:t>1 124 683</w:t>
                      </w:r>
                    </w:p>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663872" behindDoc="0" locked="0" layoutInCell="1" allowOverlap="1">
                <wp:simplePos x="0" y="0"/>
                <wp:positionH relativeFrom="column">
                  <wp:posOffset>278493</wp:posOffset>
                </wp:positionH>
                <wp:positionV relativeFrom="paragraph">
                  <wp:posOffset>263525</wp:posOffset>
                </wp:positionV>
                <wp:extent cx="1346200" cy="5461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1346200" cy="546100"/>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Support to agriculture</w:t>
                            </w:r>
                          </w:p>
                          <w:p>
                            <w:pPr>
                              <w:spacing w:after="0" w:line="240" w:lineRule="auto"/>
                              <w:jc w:val="center"/>
                              <w:rPr>
                                <w:sz w:val="16"/>
                                <w:szCs w:val="16"/>
                                <w:lang w:val="fr-BE"/>
                              </w:rPr>
                            </w:pPr>
                            <w:r>
                              <w:rPr>
                                <w:sz w:val="16"/>
                                <w:szCs w:val="16"/>
                                <w:lang w:val="fr-BE"/>
                              </w:rPr>
                              <w:t>4 840</w:t>
                            </w:r>
                          </w:p>
                          <w:p>
                            <w:pPr>
                              <w:spacing w:after="0" w:line="240" w:lineRule="auto"/>
                              <w:jc w:val="center"/>
                              <w:rPr>
                                <w:sz w:val="16"/>
                                <w:szCs w:val="16"/>
                                <w:lang w:val="fr-BE"/>
                              </w:rPr>
                            </w:pPr>
                            <w:r>
                              <w:rPr>
                                <w:sz w:val="16"/>
                                <w:szCs w:val="16"/>
                                <w:lang w:val="fr-BE"/>
                              </w:rPr>
                              <w:t>427 544 212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087" type="#_x0000_t202" style="position:absolute;margin-left:21.95pt;margin-top:20.75pt;width:106pt;height: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" fillcolor="white [3212]" stroked="f" strokeweight=".5pt">
                <v:fill opacity="0"/>
                <v:textbox>
                  <w:txbxContent>
                    <w:p>
                      <w:pPr>
                        <w:spacing w:after="0" w:line="240" w:lineRule="auto"/>
                        <w:jc w:val="center"/>
                        <w:rPr>
                          <w:sz w:val="16"/>
                          <w:szCs w:val="16"/>
                          <w:lang w:val="fr-BE"/>
                        </w:rPr>
                      </w:pPr>
                      <w:r>
                        <w:rPr>
                          <w:sz w:val="16"/>
                          <w:szCs w:val="16"/>
                          <w:lang w:val="fr-BE"/>
                        </w:rPr>
                        <w:t>Support to agriculture</w:t>
                      </w:r>
                    </w:p>
                    <w:p>
                      <w:pPr>
                        <w:spacing w:after="0" w:line="240" w:lineRule="auto"/>
                        <w:jc w:val="center"/>
                        <w:rPr>
                          <w:sz w:val="16"/>
                          <w:szCs w:val="16"/>
                          <w:lang w:val="fr-BE"/>
                        </w:rPr>
                      </w:pPr>
                      <w:r>
                        <w:rPr>
                          <w:sz w:val="16"/>
                          <w:szCs w:val="16"/>
                          <w:lang w:val="fr-BE"/>
                        </w:rPr>
                        <w:t>4 840</w:t>
                      </w:r>
                    </w:p>
                    <w:p>
                      <w:pPr>
                        <w:spacing w:after="0" w:line="240" w:lineRule="auto"/>
                        <w:jc w:val="center"/>
                        <w:rPr>
                          <w:sz w:val="16"/>
                          <w:szCs w:val="16"/>
                          <w:lang w:val="fr-BE"/>
                        </w:rPr>
                      </w:pPr>
                      <w:r>
                        <w:rPr>
                          <w:sz w:val="16"/>
                          <w:szCs w:val="16"/>
                          <w:lang w:val="fr-BE"/>
                        </w:rPr>
                        <w:t>427 544 212</w:t>
                      </w:r>
                    </w:p>
                  </w:txbxContent>
                </v:textbox>
              </v:shape>
            </w:pict>
          </mc:Fallback>
        </mc:AlternateContent>
      </w: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r>
        <w:rPr>
          <w:rFonts w:ascii="Arial" w:hAnsi="Arial" w:cs="Arial"/>
          <w:noProof/>
          <w:sz w:val="20"/>
          <w:szCs w:val="20"/>
          <w:lang w:eastAsia="en-GB"/>
        </w:rPr>
        <mc:AlternateContent>
          <mc:Choice Requires="wps">
            <w:drawing>
              <wp:anchor distT="0" distB="0" distL="114300" distR="114300" simplePos="0" relativeHeight="251636224" behindDoc="0" locked="0" layoutInCell="1" allowOverlap="1">
                <wp:simplePos x="0" y="0"/>
                <wp:positionH relativeFrom="column">
                  <wp:posOffset>-47708</wp:posOffset>
                </wp:positionH>
                <wp:positionV relativeFrom="paragraph">
                  <wp:posOffset>58972</wp:posOffset>
                </wp:positionV>
                <wp:extent cx="5074285" cy="2242268"/>
                <wp:effectExtent l="0" t="0" r="12065" b="24765"/>
                <wp:wrapNone/>
                <wp:docPr id="219" name="Rectangle 219"/>
                <wp:cNvGraphicFramePr/>
                <a:graphic xmlns:a="http://schemas.openxmlformats.org/drawingml/2006/main">
                  <a:graphicData uri="http://schemas.microsoft.com/office/word/2010/wordprocessingShape">
                    <wps:wsp>
                      <wps:cNvSpPr/>
                      <wps:spPr>
                        <a:xfrm>
                          <a:off x="0" y="0"/>
                          <a:ext cx="5074285" cy="224226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1F5A9C" id="Rectangle 219" o:spid="_x0000_s1026" style="position:absolute;margin-left:-3.75pt;margin-top:4.65pt;width:399.55pt;height:176.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" fillcolor="white [3212]" strokecolor="#1f4d78 [1604]" strokeweight="1pt"/>
            </w:pict>
          </mc:Fallback>
        </mc:AlternateContent>
      </w:r>
      <w:r>
        <w:rPr>
          <w:rFonts w:ascii="Arial" w:hAnsi="Arial" w:cs="Arial"/>
          <w:noProof/>
          <w:sz w:val="20"/>
          <w:szCs w:val="20"/>
          <w:lang w:eastAsia="en-GB"/>
        </w:rPr>
        <mc:AlternateContent>
          <mc:Choice Requires="wps">
            <w:drawing>
              <wp:anchor distT="0" distB="0" distL="114300" distR="114300" simplePos="0" relativeHeight="251660800" behindDoc="0" locked="0" layoutInCell="1" allowOverlap="1">
                <wp:simplePos x="0" y="0"/>
                <wp:positionH relativeFrom="column">
                  <wp:posOffset>6985</wp:posOffset>
                </wp:positionH>
                <wp:positionV relativeFrom="paragraph">
                  <wp:posOffset>99365</wp:posOffset>
                </wp:positionV>
                <wp:extent cx="4279265" cy="255905"/>
                <wp:effectExtent l="0" t="0" r="6985" b="0"/>
                <wp:wrapNone/>
                <wp:docPr id="218" name="Text Box 218"/>
                <wp:cNvGraphicFramePr/>
                <a:graphic xmlns:a="http://schemas.openxmlformats.org/drawingml/2006/main">
                  <a:graphicData uri="http://schemas.microsoft.com/office/word/2010/wordprocessingShape">
                    <wps:wsp>
                      <wps:cNvSpPr txBox="1"/>
                      <wps:spPr>
                        <a:xfrm>
                          <a:off x="0" y="0"/>
                          <a:ext cx="4279265"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i/>
                                <w:sz w:val="18"/>
                                <w:szCs w:val="18"/>
                              </w:rPr>
                            </w:pPr>
                            <w:r>
                              <w:rPr>
                                <w:b/>
                                <w:i/>
                                <w:sz w:val="18"/>
                                <w:szCs w:val="18"/>
                              </w:rPr>
                              <w:t>Fig. NR6: Irregularities and amounts reported by type of expenditure – 2015-2019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088" type="#_x0000_t202" style="position:absolute;margin-left:.55pt;margin-top:7.8pt;width:336.95pt;height:2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" fillcolor="white [3201]" stroked="f" strokeweight=".5pt">
                <v:textbox>
                  <w:txbxContent>
                    <w:p>
                      <w:pPr>
                        <w:rPr>
                          <w:b/>
                          <w:i/>
                          <w:sz w:val="18"/>
                          <w:szCs w:val="18"/>
                        </w:rPr>
                      </w:pPr>
                      <w:r>
                        <w:rPr>
                          <w:b/>
                          <w:i/>
                          <w:sz w:val="18"/>
                          <w:szCs w:val="18"/>
                        </w:rPr>
                        <w:t>Fig. NR6: Irregularities and amounts reported by type of expenditure – 2015-2019</w:t>
                      </w:r>
                    </w:p>
                  </w:txbxContent>
                </v:textbox>
              </v:shape>
            </w:pict>
          </mc:Fallback>
        </mc:AlternateContent>
      </w:r>
    </w:p>
    <w:p>
      <w:pPr>
        <w:rPr>
          <w:rFonts w:ascii="Arial" w:hAnsi="Arial" w:cs="Arial"/>
          <w:noProof/>
          <w:sz w:val="20"/>
          <w:szCs w:val="20"/>
        </w:rPr>
      </w:pPr>
      <w:r>
        <w:rPr>
          <w:rFonts w:ascii="Arial" w:hAnsi="Arial" w:cs="Arial"/>
          <w:noProof/>
          <w:sz w:val="20"/>
          <w:szCs w:val="20"/>
          <w:lang w:eastAsia="en-GB"/>
        </w:rPr>
        <mc:AlternateContent>
          <mc:Choice Requires="wps">
            <w:drawing>
              <wp:anchor distT="0" distB="0" distL="114300" distR="114300" simplePos="0" relativeHeight="251637248" behindDoc="0" locked="0" layoutInCell="1" allowOverlap="1">
                <wp:simplePos x="0" y="0"/>
                <wp:positionH relativeFrom="column">
                  <wp:posOffset>1661823</wp:posOffset>
                </wp:positionH>
                <wp:positionV relativeFrom="paragraph">
                  <wp:posOffset>137408</wp:posOffset>
                </wp:positionV>
                <wp:extent cx="2120900" cy="1463040"/>
                <wp:effectExtent l="0" t="0" r="12700" b="22860"/>
                <wp:wrapNone/>
                <wp:docPr id="220" name="Oval 220"/>
                <wp:cNvGraphicFramePr/>
                <a:graphic xmlns:a="http://schemas.openxmlformats.org/drawingml/2006/main">
                  <a:graphicData uri="http://schemas.microsoft.com/office/word/2010/wordprocessingShape">
                    <wps:wsp>
                      <wps:cNvSpPr/>
                      <wps:spPr>
                        <a:xfrm>
                          <a:off x="0" y="0"/>
                          <a:ext cx="2120900" cy="1463040"/>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766CF59" id="Oval 220" o:spid="_x0000_s1026" style="position:absolute;margin-left:130.85pt;margin-top:10.8pt;width:167pt;height:115.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" fillcolor="#5b9bd5 [3204]" strokecolor="#1f4d78 [1604]" strokeweight="1pt">
                <v:fill opacity="7967f"/>
                <v:stroke joinstyle="miter"/>
              </v:oval>
            </w:pict>
          </mc:Fallback>
        </mc:AlternateContent>
      </w:r>
      <w:r>
        <w:rPr>
          <w:rFonts w:ascii="Arial" w:hAnsi="Arial" w:cs="Arial"/>
          <w:noProof/>
          <w:sz w:val="20"/>
          <w:szCs w:val="20"/>
          <w:lang w:eastAsia="en-GB"/>
        </w:rPr>
        <mc:AlternateContent>
          <mc:Choice Requires="wps">
            <w:drawing>
              <wp:anchor distT="0" distB="0" distL="114300" distR="114300" simplePos="0" relativeHeight="251679232" behindDoc="0" locked="0" layoutInCell="1" allowOverlap="1">
                <wp:simplePos x="0" y="0"/>
                <wp:positionH relativeFrom="column">
                  <wp:posOffset>3783330</wp:posOffset>
                </wp:positionH>
                <wp:positionV relativeFrom="paragraph">
                  <wp:posOffset>532765</wp:posOffset>
                </wp:positionV>
                <wp:extent cx="1261110" cy="49403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1261110" cy="494030"/>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rPr>
                            </w:pPr>
                            <w:r>
                              <w:rPr>
                                <w:sz w:val="16"/>
                                <w:szCs w:val="16"/>
                              </w:rPr>
                              <w:t>Unclear</w:t>
                            </w:r>
                          </w:p>
                          <w:p>
                            <w:pPr>
                              <w:spacing w:after="0" w:line="240" w:lineRule="auto"/>
                              <w:jc w:val="center"/>
                              <w:rPr>
                                <w:sz w:val="16"/>
                                <w:szCs w:val="16"/>
                              </w:rPr>
                            </w:pPr>
                            <w:r>
                              <w:rPr>
                                <w:sz w:val="16"/>
                                <w:szCs w:val="16"/>
                              </w:rPr>
                              <w:t>26</w:t>
                            </w:r>
                          </w:p>
                          <w:p>
                            <w:pPr>
                              <w:spacing w:after="0" w:line="240" w:lineRule="auto"/>
                              <w:jc w:val="center"/>
                              <w:rPr>
                                <w:sz w:val="16"/>
                                <w:szCs w:val="16"/>
                              </w:rPr>
                            </w:pPr>
                            <w:r>
                              <w:rPr>
                                <w:sz w:val="16"/>
                                <w:szCs w:val="16"/>
                              </w:rPr>
                              <w:t>1 137 175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5" o:spid="_x0000_s1089" type="#_x0000_t202" style="position:absolute;margin-left:297.9pt;margin-top:41.95pt;width:99.3pt;height:38.9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" fillcolor="white [3212]" stroked="f" strokeweight=".5pt">
                <v:fill opacity="0"/>
                <v:textbox>
                  <w:txbxContent>
                    <w:p>
                      <w:pPr>
                        <w:spacing w:after="0" w:line="240" w:lineRule="auto"/>
                        <w:jc w:val="center"/>
                        <w:rPr>
                          <w:sz w:val="16"/>
                          <w:szCs w:val="16"/>
                        </w:rPr>
                      </w:pPr>
                      <w:r>
                        <w:rPr>
                          <w:sz w:val="16"/>
                          <w:szCs w:val="16"/>
                        </w:rPr>
                        <w:t>Unclear</w:t>
                      </w:r>
                    </w:p>
                    <w:p>
                      <w:pPr>
                        <w:spacing w:after="0" w:line="240" w:lineRule="auto"/>
                        <w:jc w:val="center"/>
                        <w:rPr>
                          <w:sz w:val="16"/>
                          <w:szCs w:val="16"/>
                        </w:rPr>
                      </w:pPr>
                      <w:r>
                        <w:rPr>
                          <w:sz w:val="16"/>
                          <w:szCs w:val="16"/>
                        </w:rPr>
                        <w:t>26</w:t>
                      </w:r>
                    </w:p>
                    <w:p>
                      <w:pPr>
                        <w:spacing w:after="0" w:line="240" w:lineRule="auto"/>
                        <w:jc w:val="center"/>
                        <w:rPr>
                          <w:sz w:val="16"/>
                          <w:szCs w:val="16"/>
                        </w:rPr>
                      </w:pPr>
                      <w:r>
                        <w:rPr>
                          <w:sz w:val="16"/>
                          <w:szCs w:val="16"/>
                        </w:rPr>
                        <w:t>1 137 175</w:t>
                      </w:r>
                    </w:p>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678208" behindDoc="0" locked="0" layoutInCell="1" allowOverlap="1">
                <wp:simplePos x="0" y="0"/>
                <wp:positionH relativeFrom="column">
                  <wp:posOffset>3883025</wp:posOffset>
                </wp:positionH>
                <wp:positionV relativeFrom="paragraph">
                  <wp:posOffset>252730</wp:posOffset>
                </wp:positionV>
                <wp:extent cx="1064895" cy="1066800"/>
                <wp:effectExtent l="0" t="0" r="20955" b="19050"/>
                <wp:wrapNone/>
                <wp:docPr id="256" name="Oval 256"/>
                <wp:cNvGraphicFramePr/>
                <a:graphic xmlns:a="http://schemas.openxmlformats.org/drawingml/2006/main">
                  <a:graphicData uri="http://schemas.microsoft.com/office/word/2010/wordprocessingShape">
                    <wps:wsp>
                      <wps:cNvSpPr/>
                      <wps:spPr>
                        <a:xfrm>
                          <a:off x="0" y="0"/>
                          <a:ext cx="1064895" cy="1066800"/>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F62D0A5" id="Oval 256" o:spid="_x0000_s1026" style="position:absolute;margin-left:305.75pt;margin-top:19.9pt;width:83.85pt;height:8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" fillcolor="#5b9bd5 [3204]" strokecolor="#1f4d78 [1604]" strokeweight="1pt">
                <v:fill opacity="7967f"/>
                <v:stroke joinstyle="miter"/>
              </v:oval>
            </w:pict>
          </mc:Fallback>
        </mc:AlternateContent>
      </w:r>
      <w:r>
        <w:rPr>
          <w:rFonts w:ascii="Arial" w:hAnsi="Arial" w:cs="Arial"/>
          <w:noProof/>
          <w:sz w:val="20"/>
          <w:szCs w:val="20"/>
          <w:lang w:eastAsia="en-GB"/>
        </w:rPr>
        <mc:AlternateContent>
          <mc:Choice Requires="wps">
            <w:drawing>
              <wp:anchor distT="0" distB="0" distL="114300" distR="114300" simplePos="0" relativeHeight="251667968" behindDoc="0" locked="0" layoutInCell="1" allowOverlap="1">
                <wp:simplePos x="0" y="0"/>
                <wp:positionH relativeFrom="column">
                  <wp:posOffset>1522095</wp:posOffset>
                </wp:positionH>
                <wp:positionV relativeFrom="paragraph">
                  <wp:posOffset>587375</wp:posOffset>
                </wp:positionV>
                <wp:extent cx="1261110" cy="433705"/>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261110" cy="433705"/>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382</w:t>
                            </w:r>
                          </w:p>
                          <w:p>
                            <w:pPr>
                              <w:spacing w:after="0" w:line="240" w:lineRule="auto"/>
                              <w:jc w:val="center"/>
                              <w:rPr>
                                <w:sz w:val="16"/>
                                <w:szCs w:val="16"/>
                                <w:lang w:val="fr-BE"/>
                              </w:rPr>
                            </w:pPr>
                            <w:r>
                              <w:rPr>
                                <w:sz w:val="16"/>
                                <w:szCs w:val="16"/>
                                <w:lang w:val="fr-BE"/>
                              </w:rPr>
                              <w:t>28 321 564</w:t>
                            </w:r>
                          </w:p>
                          <w:p>
                            <w:pPr>
                              <w:spacing w:after="0" w:line="240" w:lineRule="auto"/>
                              <w:jc w:val="center"/>
                              <w:rPr>
                                <w:sz w:val="16"/>
                                <w:szCs w:val="1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7" o:spid="_x0000_s1090" type="#_x0000_t202" style="position:absolute;margin-left:119.85pt;margin-top:46.25pt;width:99.3pt;height:34.1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" fillcolor="white [3212]" stroked="f" strokeweight=".5pt">
                <v:fill opacity="0"/>
                <v:textbox>
                  <w:txbxContent>
                    <w:p>
                      <w:pPr>
                        <w:spacing w:after="0" w:line="240" w:lineRule="auto"/>
                        <w:jc w:val="center"/>
                        <w:rPr>
                          <w:sz w:val="16"/>
                          <w:szCs w:val="16"/>
                          <w:lang w:val="fr-BE"/>
                        </w:rPr>
                      </w:pPr>
                      <w:r>
                        <w:rPr>
                          <w:sz w:val="16"/>
                          <w:szCs w:val="16"/>
                          <w:lang w:val="fr-BE"/>
                        </w:rPr>
                        <w:t>382</w:t>
                      </w:r>
                    </w:p>
                    <w:p>
                      <w:pPr>
                        <w:spacing w:after="0" w:line="240" w:lineRule="auto"/>
                        <w:jc w:val="center"/>
                        <w:rPr>
                          <w:sz w:val="16"/>
                          <w:szCs w:val="16"/>
                          <w:lang w:val="fr-BE"/>
                        </w:rPr>
                      </w:pPr>
                      <w:r>
                        <w:rPr>
                          <w:sz w:val="16"/>
                          <w:szCs w:val="16"/>
                          <w:lang w:val="fr-BE"/>
                        </w:rPr>
                        <w:t>28 321 564</w:t>
                      </w:r>
                    </w:p>
                    <w:p>
                      <w:pPr>
                        <w:spacing w:after="0" w:line="240" w:lineRule="auto"/>
                        <w:jc w:val="center"/>
                        <w:rPr>
                          <w:sz w:val="16"/>
                          <w:szCs w:val="16"/>
                          <w:lang w:val="fr-BE"/>
                        </w:rPr>
                      </w:pPr>
                    </w:p>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638272" behindDoc="0" locked="0" layoutInCell="1" allowOverlap="1">
                <wp:simplePos x="0" y="0"/>
                <wp:positionH relativeFrom="column">
                  <wp:posOffset>231140</wp:posOffset>
                </wp:positionH>
                <wp:positionV relativeFrom="paragraph">
                  <wp:posOffset>146685</wp:posOffset>
                </wp:positionV>
                <wp:extent cx="2259330" cy="1369060"/>
                <wp:effectExtent l="0" t="0" r="26670" b="21590"/>
                <wp:wrapNone/>
                <wp:docPr id="221" name="Oval 221"/>
                <wp:cNvGraphicFramePr/>
                <a:graphic xmlns:a="http://schemas.openxmlformats.org/drawingml/2006/main">
                  <a:graphicData uri="http://schemas.microsoft.com/office/word/2010/wordprocessingShape">
                    <wps:wsp>
                      <wps:cNvSpPr/>
                      <wps:spPr>
                        <a:xfrm>
                          <a:off x="0" y="0"/>
                          <a:ext cx="2259330" cy="1369060"/>
                        </a:xfrm>
                        <a:prstGeom prst="ellipse">
                          <a:avLst/>
                        </a:prstGeom>
                        <a:solidFill>
                          <a:schemeClr val="accent1">
                            <a:alpha val="1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C992BAB" id="Oval 221" o:spid="_x0000_s1026" style="position:absolute;margin-left:18.2pt;margin-top:11.55pt;width:177.9pt;height:107.8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" fillcolor="#5b9bd5 [3204]" strokecolor="#1f4d78 [1604]" strokeweight="1pt">
                <v:fill opacity="7967f"/>
                <v:stroke joinstyle="miter"/>
              </v:oval>
            </w:pict>
          </mc:Fallback>
        </mc:AlternateContent>
      </w:r>
    </w:p>
    <w:p>
      <w:pPr>
        <w:rPr>
          <w:rFonts w:ascii="Arial" w:hAnsi="Arial" w:cs="Arial"/>
          <w:noProof/>
          <w:sz w:val="20"/>
          <w:szCs w:val="20"/>
        </w:rPr>
      </w:pPr>
      <w:r>
        <w:rPr>
          <w:rFonts w:ascii="Arial" w:hAnsi="Arial" w:cs="Arial"/>
          <w:noProof/>
          <w:sz w:val="20"/>
          <w:szCs w:val="20"/>
          <w:lang w:eastAsia="en-GB"/>
        </w:rPr>
        <mc:AlternateContent>
          <mc:Choice Requires="wps">
            <w:drawing>
              <wp:anchor distT="0" distB="0" distL="114300" distR="114300" simplePos="0" relativeHeight="251668992" behindDoc="0" locked="0" layoutInCell="1" allowOverlap="1">
                <wp:simplePos x="0" y="0"/>
                <wp:positionH relativeFrom="column">
                  <wp:posOffset>2401294</wp:posOffset>
                </wp:positionH>
                <wp:positionV relativeFrom="paragraph">
                  <wp:posOffset>264188</wp:posOffset>
                </wp:positionV>
                <wp:extent cx="1318260" cy="524786"/>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1318260" cy="524786"/>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Rural development</w:t>
                            </w:r>
                          </w:p>
                          <w:p>
                            <w:pPr>
                              <w:spacing w:after="0" w:line="240" w:lineRule="auto"/>
                              <w:jc w:val="center"/>
                              <w:rPr>
                                <w:sz w:val="16"/>
                                <w:szCs w:val="16"/>
                                <w:lang w:val="fr-BE"/>
                              </w:rPr>
                            </w:pPr>
                            <w:r>
                              <w:rPr>
                                <w:sz w:val="16"/>
                                <w:szCs w:val="16"/>
                                <w:lang w:val="fr-BE"/>
                              </w:rPr>
                              <w:t>11 298</w:t>
                            </w:r>
                          </w:p>
                          <w:p>
                            <w:pPr>
                              <w:spacing w:after="0" w:line="240" w:lineRule="auto"/>
                              <w:jc w:val="center"/>
                              <w:rPr>
                                <w:sz w:val="16"/>
                                <w:szCs w:val="16"/>
                                <w:lang w:val="fr-BE"/>
                              </w:rPr>
                            </w:pPr>
                            <w:r>
                              <w:rPr>
                                <w:sz w:val="16"/>
                                <w:szCs w:val="16"/>
                                <w:lang w:val="fr-BE"/>
                              </w:rPr>
                              <w:t>700 152 065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3" o:spid="_x0000_s1091" type="#_x0000_t202" style="position:absolute;margin-left:189.1pt;margin-top:20.8pt;width:103.8pt;height:41.3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" fillcolor="white [3212]" stroked="f" strokeweight=".5pt">
                <v:fill opacity="0"/>
                <v:textbox>
                  <w:txbxContent>
                    <w:p>
                      <w:pPr>
                        <w:spacing w:after="0" w:line="240" w:lineRule="auto"/>
                        <w:jc w:val="center"/>
                        <w:rPr>
                          <w:sz w:val="16"/>
                          <w:szCs w:val="16"/>
                          <w:lang w:val="fr-BE"/>
                        </w:rPr>
                      </w:pPr>
                      <w:r>
                        <w:rPr>
                          <w:sz w:val="16"/>
                          <w:szCs w:val="16"/>
                          <w:lang w:val="fr-BE"/>
                        </w:rPr>
                        <w:t>Rural development</w:t>
                      </w:r>
                    </w:p>
                    <w:p>
                      <w:pPr>
                        <w:spacing w:after="0" w:line="240" w:lineRule="auto"/>
                        <w:jc w:val="center"/>
                        <w:rPr>
                          <w:sz w:val="16"/>
                          <w:szCs w:val="16"/>
                          <w:lang w:val="fr-BE"/>
                        </w:rPr>
                      </w:pPr>
                      <w:r>
                        <w:rPr>
                          <w:sz w:val="16"/>
                          <w:szCs w:val="16"/>
                          <w:lang w:val="fr-BE"/>
                        </w:rPr>
                        <w:t>11 298</w:t>
                      </w:r>
                    </w:p>
                    <w:p>
                      <w:pPr>
                        <w:spacing w:after="0" w:line="240" w:lineRule="auto"/>
                        <w:jc w:val="center"/>
                        <w:rPr>
                          <w:sz w:val="16"/>
                          <w:szCs w:val="16"/>
                          <w:lang w:val="fr-BE"/>
                        </w:rPr>
                      </w:pPr>
                      <w:r>
                        <w:rPr>
                          <w:sz w:val="16"/>
                          <w:szCs w:val="16"/>
                          <w:lang w:val="fr-BE"/>
                        </w:rPr>
                        <w:t>700 152 065</w:t>
                      </w:r>
                    </w:p>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666944" behindDoc="0" locked="0" layoutInCell="1" allowOverlap="1">
                <wp:simplePos x="0" y="0"/>
                <wp:positionH relativeFrom="column">
                  <wp:posOffset>458198</wp:posOffset>
                </wp:positionH>
                <wp:positionV relativeFrom="paragraph">
                  <wp:posOffset>265430</wp:posOffset>
                </wp:positionV>
                <wp:extent cx="1390650" cy="53975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1390650" cy="539750"/>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16"/>
                                <w:szCs w:val="16"/>
                                <w:lang w:val="fr-BE"/>
                              </w:rPr>
                            </w:pPr>
                            <w:r>
                              <w:rPr>
                                <w:sz w:val="16"/>
                                <w:szCs w:val="16"/>
                                <w:lang w:val="fr-BE"/>
                              </w:rPr>
                              <w:t>Support to agriculture</w:t>
                            </w:r>
                          </w:p>
                          <w:p>
                            <w:pPr>
                              <w:spacing w:after="0" w:line="240" w:lineRule="auto"/>
                              <w:jc w:val="center"/>
                              <w:rPr>
                                <w:sz w:val="16"/>
                                <w:szCs w:val="16"/>
                                <w:lang w:val="fr-BE"/>
                              </w:rPr>
                            </w:pPr>
                            <w:r>
                              <w:rPr>
                                <w:sz w:val="16"/>
                                <w:szCs w:val="16"/>
                                <w:lang w:val="fr-BE"/>
                              </w:rPr>
                              <w:t>5 516</w:t>
                            </w:r>
                          </w:p>
                          <w:p>
                            <w:pPr>
                              <w:spacing w:after="0" w:line="240" w:lineRule="auto"/>
                              <w:jc w:val="center"/>
                              <w:rPr>
                                <w:sz w:val="16"/>
                                <w:szCs w:val="16"/>
                                <w:lang w:val="fr-BE"/>
                              </w:rPr>
                            </w:pPr>
                            <w:r>
                              <w:rPr>
                                <w:sz w:val="16"/>
                                <w:szCs w:val="16"/>
                                <w:lang w:val="fr-BE"/>
                              </w:rPr>
                              <w:t>570 268 787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92" type="#_x0000_t202" style="position:absolute;margin-left:36.1pt;margin-top:20.9pt;width:109.5pt;height: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" fillcolor="white [3212]" stroked="f" strokeweight=".5pt">
                <v:fill opacity="0"/>
                <v:textbox>
                  <w:txbxContent>
                    <w:p>
                      <w:pPr>
                        <w:spacing w:after="0" w:line="240" w:lineRule="auto"/>
                        <w:jc w:val="center"/>
                        <w:rPr>
                          <w:sz w:val="16"/>
                          <w:szCs w:val="16"/>
                          <w:lang w:val="fr-BE"/>
                        </w:rPr>
                      </w:pPr>
                      <w:r>
                        <w:rPr>
                          <w:sz w:val="16"/>
                          <w:szCs w:val="16"/>
                          <w:lang w:val="fr-BE"/>
                        </w:rPr>
                        <w:t>Support to agriculture</w:t>
                      </w:r>
                    </w:p>
                    <w:p>
                      <w:pPr>
                        <w:spacing w:after="0" w:line="240" w:lineRule="auto"/>
                        <w:jc w:val="center"/>
                        <w:rPr>
                          <w:sz w:val="16"/>
                          <w:szCs w:val="16"/>
                          <w:lang w:val="fr-BE"/>
                        </w:rPr>
                      </w:pPr>
                      <w:r>
                        <w:rPr>
                          <w:sz w:val="16"/>
                          <w:szCs w:val="16"/>
                          <w:lang w:val="fr-BE"/>
                        </w:rPr>
                        <w:t>5 516</w:t>
                      </w:r>
                    </w:p>
                    <w:p>
                      <w:pPr>
                        <w:spacing w:after="0" w:line="240" w:lineRule="auto"/>
                        <w:jc w:val="center"/>
                        <w:rPr>
                          <w:sz w:val="16"/>
                          <w:szCs w:val="16"/>
                          <w:lang w:val="fr-BE"/>
                        </w:rPr>
                      </w:pPr>
                      <w:r>
                        <w:rPr>
                          <w:sz w:val="16"/>
                          <w:szCs w:val="16"/>
                          <w:lang w:val="fr-BE"/>
                        </w:rPr>
                        <w:t>570 268 787</w:t>
                      </w:r>
                    </w:p>
                  </w:txbxContent>
                </v:textbox>
              </v:shape>
            </w:pict>
          </mc:Fallback>
        </mc:AlternateContent>
      </w: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rPr>
          <w:rFonts w:ascii="Arial" w:hAnsi="Arial" w:cs="Arial"/>
          <w:noProof/>
          <w:sz w:val="20"/>
          <w:szCs w:val="20"/>
        </w:rPr>
      </w:pPr>
    </w:p>
    <w:p>
      <w:pPr>
        <w:pStyle w:val="Text1"/>
        <w:ind w:left="0"/>
        <w:rPr>
          <w:noProof/>
        </w:rPr>
      </w:pPr>
      <w:r>
        <w:rPr>
          <w:noProof/>
        </w:rPr>
        <w:t>Table NR16d shows FDR and IDR where 'mixed' and unclear cases are added both for '</w:t>
      </w:r>
      <w:r>
        <w:rPr>
          <w:i/>
          <w:noProof/>
        </w:rPr>
        <w:t>rural development</w:t>
      </w:r>
      <w:r>
        <w:rPr>
          <w:noProof/>
        </w:rPr>
        <w:t>' and '</w:t>
      </w:r>
      <w:r>
        <w:rPr>
          <w:i/>
          <w:noProof/>
        </w:rPr>
        <w:t>support to agriculture</w:t>
      </w:r>
      <w:r>
        <w:rPr>
          <w:noProof/>
        </w:rPr>
        <w:t>'. In practice, for '</w:t>
      </w:r>
      <w:r>
        <w:rPr>
          <w:i/>
          <w:noProof/>
        </w:rPr>
        <w:t>rural development</w:t>
      </w:r>
      <w:r>
        <w:rPr>
          <w:noProof/>
        </w:rPr>
        <w:t>', also all the amounts related to 'mixed' and unclear cases are added to the amounts related to the 'pure' rural development cases (i.e. EUR 5 829 328+12 492 for the FDR). The same applies to '</w:t>
      </w:r>
      <w:r>
        <w:rPr>
          <w:i/>
          <w:noProof/>
        </w:rPr>
        <w:t>support to agriculture</w:t>
      </w:r>
      <w:r>
        <w:rPr>
          <w:noProof/>
        </w:rPr>
        <w:t xml:space="preserve">'. Therefore, FDR and IDR in Table NR16d are somehow inflated and represent the upper limit.  </w:t>
      </w:r>
    </w:p>
    <w:p>
      <w:pPr>
        <w:pStyle w:val="Text1"/>
        <w:ind w:left="0"/>
        <w:rPr>
          <w:noProof/>
        </w:rPr>
      </w:pPr>
      <w:r>
        <w:rPr>
          <w:noProof/>
        </w:rPr>
        <w:drawing>
          <wp:inline distT="0" distB="0" distL="0" distR="0">
            <wp:extent cx="5334636" cy="1160891"/>
            <wp:effectExtent l="0" t="0" r="0"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75042" cy="1169684"/>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FDR and IDR in Tables NR16c and NR16d are similar, it can be concluded that they are not significantly sensitive to this 'mixed' cases issue. The biggest variation concerns IDR for RD and it is just 0.04. </w:t>
      </w:r>
      <w:r>
        <w:rPr>
          <w:rFonts w:ascii="Times New Roman" w:hAnsi="Times New Roman" w:cs="Times New Roman"/>
          <w:noProof/>
          <w:sz w:val="24"/>
          <w:szCs w:val="24"/>
        </w:rPr>
        <w:br w:type="page"/>
      </w:r>
    </w:p>
    <w:p>
      <w:pPr>
        <w:tabs>
          <w:tab w:val="left" w:pos="3261"/>
        </w:tabs>
        <w:spacing w:after="0" w:line="240" w:lineRule="auto"/>
        <w:jc w:val="center"/>
        <w:rPr>
          <w:noProof/>
          <w:sz w:val="32"/>
          <w:szCs w:val="32"/>
        </w:rPr>
      </w:pPr>
      <w:r>
        <w:rPr>
          <w:rFonts w:ascii="Times New Roman" w:hAnsi="Times New Roman" w:cs="Times New Roman"/>
          <w:b/>
          <w:noProof/>
          <w:sz w:val="32"/>
          <w:szCs w:val="32"/>
        </w:rPr>
        <w:t>ANNEX 15</w:t>
      </w:r>
    </w:p>
    <w:p>
      <w:pPr>
        <w:tabs>
          <w:tab w:val="left" w:pos="3261"/>
        </w:tabs>
        <w:spacing w:after="0" w:line="240" w:lineRule="auto"/>
        <w:jc w:val="center"/>
        <w:rPr>
          <w:rFonts w:ascii="Times New Roman" w:hAnsi="Times New Roman" w:cs="Times New Roman"/>
          <w:i/>
          <w:noProof/>
          <w:sz w:val="32"/>
          <w:szCs w:val="32"/>
        </w:rPr>
      </w:pPr>
      <w:r>
        <w:rPr>
          <w:rFonts w:ascii="Times New Roman" w:hAnsi="Times New Roman" w:cs="Times New Roman"/>
          <w:i/>
          <w:noProof/>
          <w:sz w:val="32"/>
          <w:szCs w:val="32"/>
        </w:rPr>
        <w:t>Classification of Legal Entity Types by Country and Category</w:t>
      </w:r>
    </w:p>
    <w:tbl>
      <w:tblPr>
        <w:tblStyle w:val="TableGrid"/>
        <w:tblW w:w="9606" w:type="dxa"/>
        <w:tblLayout w:type="fixed"/>
        <w:tblLook w:val="04A0" w:firstRow="1" w:lastRow="0" w:firstColumn="1" w:lastColumn="0" w:noHBand="0" w:noVBand="1"/>
      </w:tblPr>
      <w:tblGrid>
        <w:gridCol w:w="534"/>
        <w:gridCol w:w="1512"/>
        <w:gridCol w:w="1512"/>
        <w:gridCol w:w="1512"/>
        <w:gridCol w:w="1512"/>
        <w:gridCol w:w="1512"/>
        <w:gridCol w:w="1512"/>
      </w:tblGrid>
      <w:tr>
        <w:tc>
          <w:tcPr>
            <w:tcW w:w="534" w:type="dxa"/>
            <w:vAlign w:val="center"/>
          </w:tcPr>
          <w:p>
            <w:pPr>
              <w:jc w:val="center"/>
              <w:rPr>
                <w:rFonts w:ascii="Times New Roman" w:hAnsi="Times New Roman" w:cs="Times New Roman"/>
                <w:b/>
                <w:noProof/>
                <w:sz w:val="18"/>
                <w:szCs w:val="18"/>
              </w:rPr>
            </w:pPr>
          </w:p>
        </w:tc>
        <w:tc>
          <w:tcPr>
            <w:tcW w:w="1512" w:type="dxa"/>
            <w:vAlign w:val="center"/>
          </w:tcPr>
          <w:p>
            <w:pPr>
              <w:ind w:left="-105" w:right="-151"/>
              <w:jc w:val="center"/>
              <w:rPr>
                <w:rFonts w:ascii="Times New Roman" w:hAnsi="Times New Roman" w:cs="Times New Roman"/>
                <w:b/>
                <w:noProof/>
                <w:color w:val="000000"/>
                <w:sz w:val="18"/>
                <w:szCs w:val="18"/>
              </w:rPr>
            </w:pPr>
            <w:r>
              <w:rPr>
                <w:rFonts w:ascii="Times New Roman" w:hAnsi="Times New Roman" w:cs="Times New Roman"/>
                <w:b/>
                <w:noProof/>
                <w:color w:val="000000"/>
                <w:sz w:val="18"/>
                <w:szCs w:val="18"/>
              </w:rPr>
              <w:t>Private Company</w:t>
            </w:r>
          </w:p>
        </w:tc>
        <w:tc>
          <w:tcPr>
            <w:tcW w:w="1512" w:type="dxa"/>
            <w:vAlign w:val="center"/>
          </w:tcPr>
          <w:p>
            <w:pPr>
              <w:jc w:val="center"/>
              <w:rPr>
                <w:rFonts w:ascii="Times New Roman" w:hAnsi="Times New Roman" w:cs="Times New Roman"/>
                <w:b/>
                <w:noProof/>
                <w:color w:val="000000"/>
                <w:sz w:val="18"/>
                <w:szCs w:val="18"/>
              </w:rPr>
            </w:pPr>
            <w:r>
              <w:rPr>
                <w:rFonts w:ascii="Times New Roman" w:hAnsi="Times New Roman" w:cs="Times New Roman"/>
                <w:b/>
                <w:noProof/>
                <w:color w:val="000000"/>
                <w:sz w:val="18"/>
                <w:szCs w:val="18"/>
              </w:rPr>
              <w:t>Public Company</w:t>
            </w:r>
          </w:p>
        </w:tc>
        <w:tc>
          <w:tcPr>
            <w:tcW w:w="1512" w:type="dxa"/>
            <w:vAlign w:val="center"/>
          </w:tcPr>
          <w:p>
            <w:pPr>
              <w:ind w:left="-158" w:right="-112"/>
              <w:jc w:val="center"/>
              <w:rPr>
                <w:rFonts w:ascii="Times New Roman" w:hAnsi="Times New Roman" w:cs="Times New Roman"/>
                <w:b/>
                <w:noProof/>
                <w:color w:val="000000"/>
                <w:sz w:val="18"/>
                <w:szCs w:val="18"/>
              </w:rPr>
            </w:pPr>
            <w:r>
              <w:rPr>
                <w:rFonts w:ascii="Times New Roman" w:hAnsi="Times New Roman" w:cs="Times New Roman"/>
                <w:b/>
                <w:noProof/>
                <w:color w:val="000000"/>
                <w:sz w:val="18"/>
                <w:szCs w:val="18"/>
              </w:rPr>
              <w:t>Simple Structures</w:t>
            </w:r>
          </w:p>
        </w:tc>
        <w:tc>
          <w:tcPr>
            <w:tcW w:w="1512" w:type="dxa"/>
            <w:shd w:val="clear" w:color="auto" w:fill="auto"/>
            <w:vAlign w:val="center"/>
          </w:tcPr>
          <w:p>
            <w:pPr>
              <w:jc w:val="center"/>
              <w:rPr>
                <w:rFonts w:ascii="Times New Roman" w:hAnsi="Times New Roman" w:cs="Times New Roman"/>
                <w:b/>
                <w:noProof/>
                <w:color w:val="000000"/>
                <w:sz w:val="18"/>
                <w:szCs w:val="18"/>
              </w:rPr>
            </w:pPr>
            <w:r>
              <w:rPr>
                <w:rFonts w:ascii="Times New Roman" w:hAnsi="Times New Roman" w:cs="Times New Roman"/>
                <w:b/>
                <w:noProof/>
                <w:color w:val="000000"/>
                <w:sz w:val="18"/>
                <w:szCs w:val="18"/>
              </w:rPr>
              <w:t>Non-Profit &amp; Cooperatives</w:t>
            </w:r>
          </w:p>
        </w:tc>
        <w:tc>
          <w:tcPr>
            <w:tcW w:w="1512" w:type="dxa"/>
            <w:vAlign w:val="center"/>
          </w:tcPr>
          <w:p>
            <w:pPr>
              <w:jc w:val="center"/>
              <w:rPr>
                <w:rFonts w:ascii="Times New Roman" w:hAnsi="Times New Roman" w:cs="Times New Roman"/>
                <w:b/>
                <w:noProof/>
                <w:color w:val="000000"/>
                <w:sz w:val="18"/>
                <w:szCs w:val="18"/>
              </w:rPr>
            </w:pPr>
            <w:r>
              <w:rPr>
                <w:rFonts w:ascii="Times New Roman" w:hAnsi="Times New Roman" w:cs="Times New Roman"/>
                <w:b/>
                <w:noProof/>
                <w:color w:val="000000"/>
                <w:sz w:val="18"/>
                <w:szCs w:val="18"/>
              </w:rPr>
              <w:t>Nat'l Gov't</w:t>
            </w:r>
          </w:p>
        </w:tc>
        <w:tc>
          <w:tcPr>
            <w:tcW w:w="1512" w:type="dxa"/>
            <w:vAlign w:val="center"/>
          </w:tcPr>
          <w:p>
            <w:pPr>
              <w:jc w:val="center"/>
              <w:rPr>
                <w:rFonts w:ascii="Times New Roman" w:hAnsi="Times New Roman" w:cs="Times New Roman"/>
                <w:b/>
                <w:noProof/>
                <w:color w:val="000000"/>
                <w:sz w:val="18"/>
                <w:szCs w:val="18"/>
              </w:rPr>
            </w:pPr>
            <w:r>
              <w:rPr>
                <w:rFonts w:ascii="Times New Roman" w:hAnsi="Times New Roman" w:cs="Times New Roman"/>
                <w:b/>
                <w:noProof/>
                <w:color w:val="000000"/>
                <w:sz w:val="18"/>
                <w:szCs w:val="18"/>
              </w:rPr>
              <w:t>Sub-nat’l Gov't</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AT</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GmbH</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Verein</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BG</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ООД; ЕООД</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АД</w:t>
            </w:r>
          </w:p>
        </w:tc>
        <w:tc>
          <w:tcPr>
            <w:tcW w:w="1512" w:type="dxa"/>
            <w:vAlign w:val="center"/>
          </w:tcPr>
          <w:p>
            <w:pP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ml:space="preserve">ЕТ; ЕАД </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Religious body; Асоциация; Съюз</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Община</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CY</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Ltd</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CZ</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s.r.o.</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a.s.</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Škola; univerzita; Vysoké učení; o.s.; o.p.s.; z.s.</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Ministerstvo</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Obec; Kraj; Mesto</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DE</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oHG; KG; GmbH; GmbH &amp; Co.KG; gGmbH; UG</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AG</w:t>
            </w:r>
          </w:p>
        </w:tc>
        <w:tc>
          <w:tcPr>
            <w:tcW w:w="1512" w:type="dxa"/>
            <w:vAlign w:val="center"/>
          </w:tcPr>
          <w:p>
            <w:pPr>
              <w:rPr>
                <w:rFonts w:ascii="Times New Roman" w:eastAsia="Times New Roman" w:hAnsi="Times New Roman" w:cs="Times New Roman"/>
                <w:strike/>
                <w:noProof/>
                <w:color w:val="000000"/>
                <w:sz w:val="18"/>
                <w:szCs w:val="18"/>
                <w:lang w:eastAsia="en-GB"/>
              </w:rPr>
            </w:pPr>
            <w:r>
              <w:rPr>
                <w:rFonts w:ascii="Times New Roman" w:eastAsia="Times New Roman" w:hAnsi="Times New Roman" w:cs="Times New Roman"/>
                <w:noProof/>
                <w:color w:val="000000"/>
                <w:sz w:val="18"/>
                <w:szCs w:val="18"/>
                <w:lang w:eastAsia="en-GB"/>
              </w:rPr>
              <w:t xml:space="preserve">e.K.; </w:t>
            </w:r>
          </w:p>
          <w:p>
            <w:pP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Partnerschaft</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 xml:space="preserve">eG; e.V.; Stiftungen </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Gemeinde</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DK</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 xml:space="preserve">Ltd; </w:t>
            </w:r>
            <w:r>
              <w:rPr>
                <w:rFonts w:ascii="Times New Roman" w:hAnsi="Times New Roman" w:cs="Times New Roman"/>
                <w:noProof/>
                <w:sz w:val="18"/>
                <w:szCs w:val="18"/>
              </w:rPr>
              <w:t>ApS</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A/S; IVS</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K/S</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EE</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OÜ</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AS</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Mittetulundusühing; Sihtasutus</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Vallavalitsus</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ES</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S.L.</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S.A.</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S.C.</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Asociación; Fundación</w:t>
            </w:r>
          </w:p>
        </w:tc>
        <w:tc>
          <w:tcPr>
            <w:tcW w:w="1512" w:type="dxa"/>
            <w:vAlign w:val="center"/>
          </w:tcPr>
          <w:p>
            <w:pPr>
              <w:rPr>
                <w:rFonts w:ascii="Times New Roman" w:hAnsi="Times New Roman" w:cs="Times New Roman"/>
                <w:noProof/>
                <w:sz w:val="18"/>
                <w:szCs w:val="18"/>
                <w:lang w:val="fr-BE"/>
              </w:rPr>
            </w:pPr>
            <w:r>
              <w:rPr>
                <w:rFonts w:ascii="Times New Roman" w:hAnsi="Times New Roman" w:cs="Times New Roman"/>
                <w:noProof/>
                <w:sz w:val="18"/>
                <w:szCs w:val="18"/>
                <w:lang w:val="fr-BE"/>
              </w:rPr>
              <w:t>Departamentos ministeriales, Organismos Autónomos, Agencias Estatales, Entidades Públicas Empresariales; Autoridades Administrativas Independientes</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 xml:space="preserve">Comunidades Autónomas/Entidades Locales; </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FI</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Oy</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FR</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EARL; SARL; SAS</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SA</w:t>
            </w:r>
          </w:p>
        </w:tc>
        <w:tc>
          <w:tcPr>
            <w:tcW w:w="1512" w:type="dxa"/>
            <w:vAlign w:val="center"/>
          </w:tcPr>
          <w:p>
            <w:pP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EURL; SCA; SCEA</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Association; Union</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 xml:space="preserve">Établissement public administratif </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CCAS</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GR</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M.E.P.E</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A.E</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Ε.Ε.; Ο.Ε.</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eastAsia="Times New Roman" w:hAnsi="Times New Roman" w:cs="Times New Roman"/>
                <w:iCs/>
                <w:noProof/>
                <w:color w:val="000000"/>
                <w:sz w:val="18"/>
                <w:szCs w:val="18"/>
                <w:lang w:eastAsia="en-GB"/>
              </w:rPr>
            </w:pPr>
          </w:p>
        </w:tc>
        <w:tc>
          <w:tcPr>
            <w:tcW w:w="1512" w:type="dxa"/>
            <w:vAlign w:val="center"/>
          </w:tcPr>
          <w:p>
            <w:pPr>
              <w:rPr>
                <w:rFonts w:ascii="Times New Roman" w:hAnsi="Times New Roman" w:cs="Times New Roman"/>
                <w:noProof/>
                <w:sz w:val="18"/>
                <w:szCs w:val="18"/>
              </w:rPr>
            </w:pP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HR</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d.o.o.</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d.d.</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Ministarstvo</w:t>
            </w:r>
          </w:p>
        </w:tc>
        <w:tc>
          <w:tcPr>
            <w:tcW w:w="1512" w:type="dxa"/>
            <w:vAlign w:val="center"/>
          </w:tcPr>
          <w:p>
            <w:pPr>
              <w:rPr>
                <w:rFonts w:ascii="Times New Roman" w:hAnsi="Times New Roman" w:cs="Times New Roman"/>
                <w:noProof/>
                <w:sz w:val="18"/>
                <w:szCs w:val="18"/>
              </w:rPr>
            </w:pP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HU</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 xml:space="preserve">Kft.; </w:t>
            </w:r>
            <w:r>
              <w:rPr>
                <w:rFonts w:ascii="Times New Roman" w:hAnsi="Times New Roman" w:cs="Times New Roman"/>
                <w:noProof/>
                <w:sz w:val="18"/>
                <w:szCs w:val="18"/>
              </w:rPr>
              <w:t>zrt.</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bt.</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 xml:space="preserve">Szöv; </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Önkormányzat</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IE</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Partnership</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IT</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S.r.l.; S.c.a.r.l.</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S.p.a.</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S.a.S.; S.s.</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Consorzio; Societa Cooperativa; Associazione</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Comune</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LT</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UAB</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MB</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Asociacija</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departamentas</w:t>
            </w:r>
          </w:p>
        </w:tc>
        <w:tc>
          <w:tcPr>
            <w:tcW w:w="1512" w:type="dxa"/>
            <w:vAlign w:val="center"/>
          </w:tcPr>
          <w:p>
            <w:pP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savivaldybės administracija</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LV</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SIA</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AS</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IK</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Asociācija; biedrība; nodibinājums</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Valsts pārvaldes iestāde; Ministrija</w:t>
            </w:r>
          </w:p>
        </w:tc>
        <w:tc>
          <w:tcPr>
            <w:tcW w:w="1512" w:type="dxa"/>
            <w:vAlign w:val="center"/>
          </w:tcPr>
          <w:p>
            <w:pPr>
              <w:rPr>
                <w:rFonts w:ascii="Times New Roman" w:hAnsi="Times New Roman" w:cs="Times New Roman"/>
                <w:noProof/>
                <w:sz w:val="18"/>
                <w:szCs w:val="18"/>
                <w:lang w:val="it-IT"/>
              </w:rPr>
            </w:pPr>
            <w:r>
              <w:rPr>
                <w:rFonts w:ascii="Times New Roman" w:hAnsi="Times New Roman" w:cs="Times New Roman"/>
                <w:noProof/>
                <w:sz w:val="18"/>
                <w:szCs w:val="18"/>
                <w:lang w:val="it-IT"/>
              </w:rPr>
              <w:t xml:space="preserve">novada dome; Pilsētas dome; Novada pašvaldība; Pagasta  pārvalde; </w:t>
            </w:r>
          </w:p>
          <w:p>
            <w:pPr>
              <w:rPr>
                <w:rFonts w:ascii="Times New Roman" w:hAnsi="Times New Roman" w:cs="Times New Roman"/>
                <w:noProof/>
                <w:sz w:val="18"/>
                <w:szCs w:val="18"/>
              </w:rPr>
            </w:pPr>
            <w:r>
              <w:rPr>
                <w:rFonts w:ascii="Times New Roman" w:hAnsi="Times New Roman" w:cs="Times New Roman"/>
                <w:noProof/>
                <w:sz w:val="18"/>
                <w:szCs w:val="18"/>
              </w:rPr>
              <w:t>Plānošanas reģions</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MT</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Ltd</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eastAsia="Times New Roman" w:hAnsi="Times New Roman" w:cs="Times New Roman"/>
                <w:iCs/>
                <w:noProof/>
                <w:color w:val="000000"/>
                <w:sz w:val="18"/>
                <w:szCs w:val="18"/>
                <w:lang w:eastAsia="en-GB"/>
              </w:rPr>
            </w:pPr>
          </w:p>
        </w:tc>
        <w:tc>
          <w:tcPr>
            <w:tcW w:w="1512" w:type="dxa"/>
            <w:vAlign w:val="center"/>
          </w:tcPr>
          <w:p>
            <w:pPr>
              <w:rPr>
                <w:rFonts w:ascii="Times New Roman" w:hAnsi="Times New Roman" w:cs="Times New Roman"/>
                <w:noProof/>
                <w:sz w:val="18"/>
                <w:szCs w:val="18"/>
              </w:rPr>
            </w:pP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NL</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bv</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nv</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Mts</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Stichting</w:t>
            </w:r>
          </w:p>
        </w:tc>
        <w:tc>
          <w:tcPr>
            <w:tcW w:w="1512" w:type="dxa"/>
            <w:vAlign w:val="center"/>
          </w:tcPr>
          <w:p>
            <w:pPr>
              <w:rPr>
                <w:rFonts w:ascii="Times New Roman" w:eastAsia="Times New Roman" w:hAnsi="Times New Roman" w:cs="Times New Roman"/>
                <w:noProof/>
                <w:sz w:val="18"/>
                <w:szCs w:val="18"/>
                <w:lang w:eastAsia="en-GB"/>
              </w:rPr>
            </w:pPr>
          </w:p>
        </w:tc>
        <w:tc>
          <w:tcPr>
            <w:tcW w:w="1512" w:type="dxa"/>
            <w:vAlign w:val="center"/>
          </w:tcPr>
          <w:p>
            <w:pPr>
              <w:rPr>
                <w:rFonts w:ascii="Times New Roman" w:hAnsi="Times New Roman" w:cs="Times New Roman"/>
                <w:noProof/>
                <w:sz w:val="18"/>
                <w:szCs w:val="18"/>
              </w:rPr>
            </w:pP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PL</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Sp. z o.o.</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s.a.</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s.c.; sp.j.;</w:t>
            </w:r>
            <w:r>
              <w:rPr>
                <w:noProof/>
              </w:rPr>
              <w:t xml:space="preserve"> </w:t>
            </w:r>
            <w:r>
              <w:rPr>
                <w:rFonts w:ascii="Times New Roman" w:hAnsi="Times New Roman" w:cs="Times New Roman"/>
                <w:noProof/>
                <w:sz w:val="18"/>
                <w:szCs w:val="18"/>
              </w:rPr>
              <w:t>sp.k; sp.p.</w:t>
            </w:r>
          </w:p>
          <w:p>
            <w:pPr>
              <w:rPr>
                <w:rFonts w:ascii="Times New Roman" w:hAnsi="Times New Roman" w:cs="Times New Roman"/>
                <w:strike/>
                <w:noProof/>
                <w:sz w:val="18"/>
                <w:szCs w:val="18"/>
              </w:rPr>
            </w:pP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 xml:space="preserve">Uniwersytet; Spółdzielnia; </w:t>
            </w:r>
          </w:p>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Religious body</w:t>
            </w:r>
            <w:r>
              <w:rPr>
                <w:rFonts w:ascii="Times New Roman" w:hAnsi="Times New Roman" w:cs="Times New Roman"/>
                <w:noProof/>
                <w:sz w:val="18"/>
                <w:szCs w:val="18"/>
              </w:rPr>
              <w:t xml:space="preserve">; Izba; Stowarzyszenie ; Unia; Zrzeszenie; </w:t>
            </w:r>
          </w:p>
          <w:p>
            <w:pPr>
              <w:rPr>
                <w:rFonts w:ascii="Times New Roman" w:hAnsi="Times New Roman" w:cs="Times New Roman"/>
                <w:noProof/>
                <w:sz w:val="18"/>
                <w:szCs w:val="18"/>
              </w:rPr>
            </w:pPr>
            <w:r>
              <w:rPr>
                <w:rFonts w:ascii="Times New Roman" w:hAnsi="Times New Roman" w:cs="Times New Roman"/>
                <w:noProof/>
                <w:sz w:val="18"/>
                <w:szCs w:val="18"/>
              </w:rPr>
              <w:t>Fundacja</w:t>
            </w:r>
            <w:r>
              <w:rPr>
                <w:rFonts w:ascii="Times New Roman" w:hAnsi="Times New Roman" w:cs="Times New Roman"/>
                <w:noProof/>
                <w:sz w:val="18"/>
                <w:szCs w:val="18"/>
              </w:rPr>
              <w:tab/>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Ministerstwo</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Miasto; Gmina; Powiat</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PT</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Lda</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S.A.</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lang w:val="it-IT"/>
              </w:rPr>
            </w:pPr>
            <w:r>
              <w:rPr>
                <w:rFonts w:ascii="Times New Roman" w:hAnsi="Times New Roman" w:cs="Times New Roman"/>
                <w:noProof/>
                <w:sz w:val="18"/>
                <w:szCs w:val="18"/>
                <w:lang w:val="it-IT"/>
              </w:rPr>
              <w:t>Escola Profissional;</w:t>
            </w:r>
          </w:p>
          <w:p>
            <w:pPr>
              <w:rPr>
                <w:rFonts w:ascii="Times New Roman" w:hAnsi="Times New Roman" w:cs="Times New Roman"/>
                <w:noProof/>
                <w:sz w:val="18"/>
                <w:szCs w:val="18"/>
                <w:lang w:val="it-IT"/>
              </w:rPr>
            </w:pPr>
            <w:r>
              <w:rPr>
                <w:rFonts w:ascii="Times New Roman" w:hAnsi="Times New Roman" w:cs="Times New Roman"/>
                <w:noProof/>
                <w:sz w:val="18"/>
                <w:szCs w:val="18"/>
                <w:lang w:val="it-IT"/>
              </w:rPr>
              <w:t xml:space="preserve">Universidade; </w:t>
            </w:r>
            <w:r>
              <w:rPr>
                <w:rFonts w:ascii="Times New Roman" w:eastAsia="Times New Roman" w:hAnsi="Times New Roman" w:cs="Times New Roman"/>
                <w:noProof/>
                <w:color w:val="000000"/>
                <w:sz w:val="18"/>
                <w:szCs w:val="18"/>
                <w:lang w:val="it-IT" w:eastAsia="en-GB"/>
              </w:rPr>
              <w:t xml:space="preserve">CRL; Associação; </w:t>
            </w:r>
          </w:p>
        </w:tc>
        <w:tc>
          <w:tcPr>
            <w:tcW w:w="1512" w:type="dxa"/>
            <w:vAlign w:val="center"/>
          </w:tcPr>
          <w:p>
            <w:pPr>
              <w:rPr>
                <w:rFonts w:ascii="Times New Roman" w:hAnsi="Times New Roman" w:cs="Times New Roman"/>
                <w:noProof/>
                <w:sz w:val="18"/>
                <w:szCs w:val="18"/>
                <w:lang w:val="it-IT"/>
              </w:rPr>
            </w:pP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Municipio</w:t>
            </w:r>
          </w:p>
        </w:tc>
      </w:tr>
      <w:tr>
        <w:tc>
          <w:tcPr>
            <w:tcW w:w="534" w:type="dxa"/>
            <w:vAlign w:val="center"/>
          </w:tcPr>
          <w:p>
            <w:pPr>
              <w:rPr>
                <w:rFonts w:ascii="Times New Roman" w:eastAsia="Times New Roman" w:hAnsi="Times New Roman" w:cs="Times New Roman"/>
                <w:b/>
                <w:iCs/>
                <w:noProof/>
                <w:color w:val="000000"/>
                <w:sz w:val="18"/>
                <w:szCs w:val="18"/>
                <w:lang w:eastAsia="en-GB"/>
              </w:rPr>
            </w:pPr>
            <w:r>
              <w:rPr>
                <w:rFonts w:ascii="Times New Roman" w:eastAsia="Times New Roman" w:hAnsi="Times New Roman" w:cs="Times New Roman"/>
                <w:b/>
                <w:iCs/>
                <w:noProof/>
                <w:color w:val="000000"/>
                <w:sz w:val="18"/>
                <w:szCs w:val="18"/>
                <w:lang w:eastAsia="en-GB"/>
              </w:rPr>
              <w:t>RO</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S.R.L.</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S.A.</w:t>
            </w:r>
          </w:p>
        </w:tc>
        <w:tc>
          <w:tcPr>
            <w:tcW w:w="1512" w:type="dxa"/>
            <w:vAlign w:val="center"/>
          </w:tcPr>
          <w:p>
            <w:pP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PFA; II</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 xml:space="preserve">Academia; Colegiul; Universitatea; </w:t>
            </w:r>
            <w:r>
              <w:rPr>
                <w:rFonts w:ascii="Times New Roman" w:eastAsia="Times New Roman" w:hAnsi="Times New Roman" w:cs="Times New Roman"/>
                <w:noProof/>
                <w:color w:val="000000"/>
                <w:sz w:val="18"/>
                <w:szCs w:val="18"/>
                <w:lang w:eastAsia="en-GB"/>
              </w:rPr>
              <w:t>Societate Cooperativa; Religious body; Asociatia; Fundatia; Federatia; NGO</w:t>
            </w:r>
          </w:p>
        </w:tc>
        <w:tc>
          <w:tcPr>
            <w:tcW w:w="1512" w:type="dxa"/>
            <w:vAlign w:val="center"/>
          </w:tcPr>
          <w:p>
            <w:pPr>
              <w:rPr>
                <w:rFonts w:ascii="Times New Roman" w:hAnsi="Times New Roman" w:cs="Times New Roman"/>
                <w:noProof/>
                <w:sz w:val="18"/>
                <w:szCs w:val="18"/>
                <w:lang w:val="it-IT"/>
              </w:rPr>
            </w:pPr>
            <w:r>
              <w:rPr>
                <w:rFonts w:ascii="Times New Roman" w:hAnsi="Times New Roman" w:cs="Times New Roman"/>
                <w:noProof/>
                <w:sz w:val="18"/>
                <w:szCs w:val="18"/>
                <w:lang w:val="it-IT"/>
              </w:rPr>
              <w:t xml:space="preserve">Agenţia Naţională; </w:t>
            </w:r>
          </w:p>
          <w:p>
            <w:pPr>
              <w:rPr>
                <w:rFonts w:ascii="Times New Roman" w:hAnsi="Times New Roman" w:cs="Times New Roman"/>
                <w:noProof/>
                <w:sz w:val="18"/>
                <w:szCs w:val="18"/>
                <w:lang w:val="it-IT"/>
              </w:rPr>
            </w:pPr>
            <w:r>
              <w:rPr>
                <w:rFonts w:ascii="Times New Roman" w:hAnsi="Times New Roman" w:cs="Times New Roman"/>
                <w:noProof/>
                <w:sz w:val="18"/>
                <w:szCs w:val="18"/>
                <w:lang w:val="it-IT"/>
              </w:rPr>
              <w:t xml:space="preserve">Compania Nationala; </w:t>
            </w:r>
          </w:p>
          <w:p>
            <w:pPr>
              <w:rPr>
                <w:rFonts w:ascii="Times New Roman" w:hAnsi="Times New Roman" w:cs="Times New Roman"/>
                <w:noProof/>
                <w:sz w:val="18"/>
                <w:szCs w:val="18"/>
                <w:lang w:val="it-IT"/>
              </w:rPr>
            </w:pPr>
            <w:r>
              <w:rPr>
                <w:rFonts w:ascii="Times New Roman" w:hAnsi="Times New Roman" w:cs="Times New Roman"/>
                <w:noProof/>
                <w:sz w:val="18"/>
                <w:szCs w:val="18"/>
                <w:lang w:val="it-IT"/>
              </w:rPr>
              <w:t>Ministry</w:t>
            </w:r>
          </w:p>
        </w:tc>
        <w:tc>
          <w:tcPr>
            <w:tcW w:w="1512" w:type="dxa"/>
            <w:vAlign w:val="center"/>
          </w:tcPr>
          <w:p>
            <w:pPr>
              <w:rPr>
                <w:rFonts w:ascii="Times New Roman" w:hAnsi="Times New Roman" w:cs="Times New Roman"/>
                <w:noProof/>
                <w:sz w:val="18"/>
                <w:szCs w:val="18"/>
                <w:lang w:val="it-IT"/>
              </w:rPr>
            </w:pPr>
            <w:r>
              <w:rPr>
                <w:rFonts w:ascii="Times New Roman" w:hAnsi="Times New Roman" w:cs="Times New Roman"/>
                <w:noProof/>
                <w:sz w:val="18"/>
                <w:szCs w:val="18"/>
                <w:lang w:val="it-IT"/>
              </w:rPr>
              <w:t xml:space="preserve">Comuna; Obstea; Primaria Municipiului; </w:t>
            </w:r>
          </w:p>
          <w:p>
            <w:pPr>
              <w:rPr>
                <w:rFonts w:ascii="Times New Roman" w:hAnsi="Times New Roman" w:cs="Times New Roman"/>
                <w:noProof/>
                <w:sz w:val="18"/>
                <w:szCs w:val="18"/>
                <w:lang w:val="it-IT"/>
              </w:rPr>
            </w:pPr>
            <w:r>
              <w:rPr>
                <w:rFonts w:ascii="Times New Roman" w:hAnsi="Times New Roman" w:cs="Times New Roman"/>
                <w:noProof/>
                <w:sz w:val="18"/>
                <w:szCs w:val="18"/>
                <w:lang w:val="it-IT"/>
              </w:rPr>
              <w:t>UAT</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SE</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eastAsia="Times New Roman" w:hAnsi="Times New Roman" w:cs="Times New Roman"/>
                <w:noProof/>
                <w:color w:val="000000"/>
                <w:sz w:val="18"/>
                <w:szCs w:val="18"/>
                <w:lang w:eastAsia="en-GB"/>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Kommun</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SI</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d.o.o.</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d.d.</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noProof/>
                <w:color w:val="000000"/>
                <w:sz w:val="18"/>
                <w:szCs w:val="18"/>
                <w:lang w:eastAsia="en-GB"/>
              </w:rPr>
              <w:t>Občina</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SK</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s.r.o.</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a.s.</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 xml:space="preserve">University; škola; </w:t>
            </w:r>
          </w:p>
          <w:p>
            <w:pPr>
              <w:rPr>
                <w:rFonts w:ascii="Times New Roman" w:hAnsi="Times New Roman" w:cs="Times New Roman"/>
                <w:noProof/>
                <w:sz w:val="18"/>
                <w:szCs w:val="18"/>
              </w:rPr>
            </w:pPr>
            <w:r>
              <w:rPr>
                <w:rFonts w:ascii="Times New Roman" w:hAnsi="Times New Roman" w:cs="Times New Roman"/>
                <w:noProof/>
                <w:sz w:val="18"/>
                <w:szCs w:val="18"/>
              </w:rPr>
              <w:t>Vysoká škola; Asociácia; Združenie</w:t>
            </w: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Ministerstvo</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Obec; Mesto; Kraj</w:t>
            </w:r>
          </w:p>
        </w:tc>
      </w:tr>
      <w:tr>
        <w:tc>
          <w:tcPr>
            <w:tcW w:w="534" w:type="dxa"/>
            <w:vAlign w:val="center"/>
          </w:tcPr>
          <w:p>
            <w:pPr>
              <w:rPr>
                <w:rFonts w:ascii="Times New Roman" w:eastAsia="Times New Roman" w:hAnsi="Times New Roman" w:cs="Times New Roman"/>
                <w:b/>
                <w:noProof/>
                <w:color w:val="000000"/>
                <w:sz w:val="18"/>
                <w:szCs w:val="18"/>
                <w:lang w:eastAsia="en-GB"/>
              </w:rPr>
            </w:pPr>
            <w:r>
              <w:rPr>
                <w:rFonts w:ascii="Times New Roman" w:eastAsia="Times New Roman" w:hAnsi="Times New Roman" w:cs="Times New Roman"/>
                <w:b/>
                <w:noProof/>
                <w:color w:val="000000"/>
                <w:sz w:val="18"/>
                <w:szCs w:val="18"/>
                <w:lang w:eastAsia="en-GB"/>
              </w:rPr>
              <w:t>UK</w:t>
            </w:r>
          </w:p>
        </w:tc>
        <w:tc>
          <w:tcPr>
            <w:tcW w:w="1512" w:type="dxa"/>
            <w:vAlign w:val="center"/>
          </w:tcPr>
          <w:p>
            <w:pPr>
              <w:rPr>
                <w:rFonts w:ascii="Times New Roman" w:eastAsia="Times New Roman" w:hAnsi="Times New Roman" w:cs="Times New Roman"/>
                <w:iCs/>
                <w:noProof/>
                <w:color w:val="000000"/>
                <w:sz w:val="18"/>
                <w:szCs w:val="18"/>
                <w:lang w:eastAsia="en-GB"/>
              </w:rPr>
            </w:pPr>
            <w:r>
              <w:rPr>
                <w:rFonts w:ascii="Times New Roman" w:eastAsia="Times New Roman" w:hAnsi="Times New Roman" w:cs="Times New Roman"/>
                <w:iCs/>
                <w:noProof/>
                <w:color w:val="000000"/>
                <w:sz w:val="18"/>
                <w:szCs w:val="18"/>
                <w:lang w:eastAsia="en-GB"/>
              </w:rPr>
              <w:t>Ltd.</w:t>
            </w: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p>
        </w:tc>
        <w:tc>
          <w:tcPr>
            <w:tcW w:w="1512" w:type="dxa"/>
            <w:vAlign w:val="center"/>
          </w:tcPr>
          <w:p>
            <w:pPr>
              <w:rPr>
                <w:rFonts w:ascii="Times New Roman" w:hAnsi="Times New Roman" w:cs="Times New Roman"/>
                <w:noProof/>
                <w:sz w:val="18"/>
                <w:szCs w:val="18"/>
              </w:rPr>
            </w:pPr>
            <w:r>
              <w:rPr>
                <w:rFonts w:ascii="Times New Roman" w:eastAsia="Times New Roman" w:hAnsi="Times New Roman" w:cs="Times New Roman"/>
                <w:iCs/>
                <w:noProof/>
                <w:color w:val="000000"/>
                <w:sz w:val="18"/>
                <w:szCs w:val="18"/>
                <w:lang w:eastAsia="en-GB"/>
              </w:rPr>
              <w:t>Department; Agency</w:t>
            </w:r>
          </w:p>
        </w:tc>
        <w:tc>
          <w:tcPr>
            <w:tcW w:w="1512" w:type="dxa"/>
            <w:vAlign w:val="center"/>
          </w:tcPr>
          <w:p>
            <w:pPr>
              <w:rPr>
                <w:rFonts w:ascii="Times New Roman" w:hAnsi="Times New Roman" w:cs="Times New Roman"/>
                <w:noProof/>
                <w:sz w:val="18"/>
                <w:szCs w:val="18"/>
              </w:rPr>
            </w:pPr>
            <w:r>
              <w:rPr>
                <w:rFonts w:ascii="Times New Roman" w:hAnsi="Times New Roman" w:cs="Times New Roman"/>
                <w:noProof/>
                <w:sz w:val="18"/>
                <w:szCs w:val="18"/>
              </w:rPr>
              <w:t>Council</w:t>
            </w:r>
          </w:p>
        </w:tc>
      </w:tr>
    </w:tbl>
    <w:p>
      <w:pPr>
        <w:pStyle w:val="Text1"/>
        <w:ind w:left="0"/>
        <w:rPr>
          <w:noProof/>
          <w:color w:val="FF0000"/>
        </w:rPr>
      </w:pPr>
      <w:r>
        <w:rPr>
          <w:noProof/>
          <w:color w:val="FF0000"/>
        </w:rPr>
        <w:br w:type="page"/>
      </w:r>
    </w:p>
    <w:p>
      <w:pPr>
        <w:pStyle w:val="ChapterTitle"/>
        <w:rPr>
          <w:noProof/>
        </w:rPr>
      </w:pPr>
      <w:bookmarkStart w:id="273" w:name="_Toc424911648"/>
      <w:r>
        <w:rPr>
          <w:noProof/>
        </w:rPr>
        <w:t>ANNEX 1</w:t>
      </w:r>
      <w:bookmarkEnd w:id="273"/>
      <w:r>
        <w:rPr>
          <w:noProof/>
        </w:rPr>
        <w:t>6</w:t>
      </w:r>
    </w:p>
    <w:p>
      <w:pPr>
        <w:pStyle w:val="Text1"/>
        <w:rPr>
          <w:noProof/>
        </w:rPr>
      </w:pPr>
    </w:p>
    <w:p>
      <w:pPr>
        <w:pStyle w:val="Text1"/>
        <w:rPr>
          <w:noProof/>
        </w:rPr>
      </w:pPr>
    </w:p>
    <w:p>
      <w:pPr>
        <w:pStyle w:val="Text1"/>
        <w:rPr>
          <w:b/>
          <w:noProof/>
        </w:rPr>
      </w:pPr>
      <w:r>
        <w:rPr>
          <w:b/>
          <w:noProof/>
        </w:rPr>
        <w:t>Legenda</w:t>
      </w:r>
    </w:p>
    <w:p>
      <w:pPr>
        <w:pStyle w:val="Text1"/>
        <w:rPr>
          <w:b/>
          <w:noProof/>
        </w:rPr>
      </w:pPr>
    </w:p>
    <w:p>
      <w:pPr>
        <w:pStyle w:val="Text1"/>
        <w:rPr>
          <w:noProof/>
        </w:rPr>
      </w:pPr>
      <w:r>
        <w:rPr>
          <w:noProof/>
        </w:rPr>
        <w:t>SA: Support to Agriculture</w:t>
      </w:r>
    </w:p>
    <w:p>
      <w:pPr>
        <w:pStyle w:val="Text1"/>
        <w:rPr>
          <w:noProof/>
        </w:rPr>
      </w:pPr>
      <w:r>
        <w:rPr>
          <w:noProof/>
        </w:rPr>
        <w:t>RD: Rural Development</w:t>
      </w:r>
    </w:p>
    <w:p>
      <w:pPr>
        <w:pStyle w:val="Text1"/>
        <w:rPr>
          <w:noProof/>
        </w:rPr>
      </w:pPr>
      <w:r>
        <w:rPr>
          <w:noProof/>
        </w:rPr>
        <w:t>SA/RD: Support to Agriculture/ Rural Development</w:t>
      </w:r>
    </w:p>
    <w:p>
      <w:pPr>
        <w:pStyle w:val="Text1"/>
        <w:rPr>
          <w:noProof/>
        </w:rPr>
      </w:pPr>
      <w:r>
        <w:rPr>
          <w:noProof/>
        </w:rPr>
        <w:t>GUID: European Agricultural Guarantee and Guidance Fund – Section Guidance</w:t>
      </w:r>
    </w:p>
    <w:p>
      <w:pPr>
        <w:pStyle w:val="Text1"/>
        <w:rPr>
          <w:noProof/>
        </w:rPr>
      </w:pPr>
      <w:r>
        <w:rPr>
          <w:noProof/>
        </w:rPr>
        <w:t>EFF: European Fisheries Fund</w:t>
      </w:r>
    </w:p>
    <w:p>
      <w:pPr>
        <w:pStyle w:val="Text1"/>
        <w:rPr>
          <w:noProof/>
        </w:rPr>
      </w:pPr>
      <w:r>
        <w:rPr>
          <w:noProof/>
        </w:rPr>
        <w:t>EMFF: European Maritime and Fisheries Fund</w:t>
      </w:r>
    </w:p>
    <w:p>
      <w:pPr>
        <w:pStyle w:val="Text1"/>
        <w:rPr>
          <w:noProof/>
        </w:rPr>
      </w:pPr>
      <w:r>
        <w:rPr>
          <w:noProof/>
        </w:rPr>
        <w:t>CF: Cohesion Fund</w:t>
      </w:r>
    </w:p>
    <w:p>
      <w:pPr>
        <w:pStyle w:val="Text1"/>
        <w:rPr>
          <w:noProof/>
        </w:rPr>
      </w:pPr>
      <w:r>
        <w:rPr>
          <w:noProof/>
        </w:rPr>
        <w:t>ERDF: European Regional and Development Fund</w:t>
      </w:r>
    </w:p>
    <w:p>
      <w:pPr>
        <w:pStyle w:val="Text1"/>
        <w:rPr>
          <w:noProof/>
        </w:rPr>
      </w:pPr>
      <w:r>
        <w:rPr>
          <w:noProof/>
        </w:rPr>
        <w:t>ESF: European Social Fund</w:t>
      </w:r>
    </w:p>
    <w:p>
      <w:pPr>
        <w:pStyle w:val="Text1"/>
        <w:rPr>
          <w:noProof/>
        </w:rPr>
      </w:pPr>
      <w:r>
        <w:rPr>
          <w:noProof/>
        </w:rPr>
        <w:t>AMIF: Asylum, Migration and Integration Fund</w:t>
      </w:r>
    </w:p>
    <w:p>
      <w:pPr>
        <w:pStyle w:val="Text1"/>
        <w:rPr>
          <w:noProof/>
        </w:rPr>
      </w:pPr>
      <w:r>
        <w:rPr>
          <w:noProof/>
        </w:rPr>
        <w:t>YEI: Youth Employment Initiative</w:t>
      </w:r>
    </w:p>
    <w:p>
      <w:pPr>
        <w:pStyle w:val="Text1"/>
        <w:rPr>
          <w:noProof/>
        </w:rPr>
      </w:pPr>
      <w:r>
        <w:rPr>
          <w:noProof/>
        </w:rPr>
        <w:t>HRD: pre-accession, Human Resources Development component</w:t>
      </w:r>
    </w:p>
    <w:p>
      <w:pPr>
        <w:pStyle w:val="Text1"/>
        <w:rPr>
          <w:noProof/>
        </w:rPr>
      </w:pPr>
      <w:r>
        <w:rPr>
          <w:noProof/>
        </w:rPr>
        <w:t>IPARD: Instrument for Pre-Accession for Rural Development</w:t>
      </w:r>
    </w:p>
    <w:p>
      <w:pPr>
        <w:pStyle w:val="Text1"/>
        <w:rPr>
          <w:noProof/>
        </w:rPr>
      </w:pPr>
      <w:r>
        <w:rPr>
          <w:noProof/>
        </w:rPr>
        <w:t>PHARE: Pre-accession assistance programme</w:t>
      </w:r>
    </w:p>
    <w:p>
      <w:pPr>
        <w:pStyle w:val="Text1"/>
        <w:rPr>
          <w:noProof/>
        </w:rPr>
      </w:pPr>
      <w:r>
        <w:rPr>
          <w:noProof/>
        </w:rPr>
        <w:t>REGD: pre-accession, Regional Development component</w:t>
      </w:r>
    </w:p>
    <w:p>
      <w:pPr>
        <w:pStyle w:val="Text1"/>
        <w:rPr>
          <w:noProof/>
        </w:rPr>
      </w:pPr>
      <w:r>
        <w:rPr>
          <w:noProof/>
        </w:rPr>
        <w:t>TAIB: Transition Assistance and Institution Building</w:t>
      </w:r>
    </w:p>
    <w:p>
      <w:pPr>
        <w:pStyle w:val="Text1"/>
        <w:rPr>
          <w:noProof/>
        </w:rPr>
      </w:pPr>
      <w:r>
        <w:rPr>
          <w:noProof/>
        </w:rPr>
        <w:t>TIPAA: Turkey Instrument for Pre-accession Assistance</w:t>
      </w:r>
    </w:p>
    <w:p>
      <w:pPr>
        <w:pStyle w:val="Text1"/>
        <w:rPr>
          <w:noProof/>
        </w:rPr>
      </w:pPr>
      <w:r>
        <w:rPr>
          <w:noProof/>
        </w:rPr>
        <w:t>CBC: pre-accession, Cross-Border Cooperation component</w:t>
      </w:r>
    </w:p>
    <w:p>
      <w:pPr>
        <w:pStyle w:val="Text1"/>
        <w:ind w:left="0"/>
        <w:rPr>
          <w:noProof/>
          <w:color w:val="FF0000"/>
        </w:rPr>
      </w:pPr>
    </w:p>
    <w:p>
      <w:pPr>
        <w:pStyle w:val="Text1"/>
        <w:ind w:left="0"/>
        <w:rPr>
          <w:noProof/>
          <w:color w:val="FF0000"/>
        </w:rPr>
      </w:pPr>
    </w:p>
    <w:p>
      <w:pPr>
        <w:pStyle w:val="Text1"/>
        <w:ind w:left="0"/>
        <w:rPr>
          <w:noProof/>
          <w:color w:val="FF0000"/>
        </w:rPr>
      </w:pPr>
    </w:p>
    <w:p>
      <w:pPr>
        <w:pStyle w:val="Text1"/>
        <w:ind w:left="0"/>
        <w:rPr>
          <w:noProof/>
          <w:color w:val="FF0000"/>
        </w:rPr>
      </w:pPr>
    </w:p>
    <w:p>
      <w:pPr>
        <w:pStyle w:val="Text1"/>
        <w:ind w:left="0"/>
        <w:rPr>
          <w:noProof/>
          <w:color w:val="FF0000"/>
        </w:rPr>
      </w:pPr>
    </w:p>
    <w:p>
      <w:pPr>
        <w:pStyle w:val="Text1"/>
        <w:ind w:left="0"/>
        <w:rPr>
          <w:noProof/>
          <w:color w:val="FF0000"/>
        </w:rPr>
      </w:pPr>
      <w:r>
        <w:rPr>
          <w:noProof/>
          <w:color w:val="FF0000"/>
        </w:rPr>
        <w:br w:type="page"/>
      </w:r>
    </w:p>
    <w:p>
      <w:pPr>
        <w:pStyle w:val="Text1"/>
        <w:ind w:left="0"/>
        <w:rPr>
          <w:noProof/>
          <w:color w:val="FF0000"/>
        </w:rPr>
        <w:sectPr>
          <w:headerReference w:type="even" r:id="rId195"/>
          <w:headerReference w:type="default" r:id="rId196"/>
          <w:footerReference w:type="even" r:id="rId197"/>
          <w:footerReference w:type="default" r:id="rId198"/>
          <w:headerReference w:type="first" r:id="rId199"/>
          <w:footerReference w:type="first" r:id="rId200"/>
          <w:pgSz w:w="11906" w:h="16838"/>
          <w:pgMar w:top="1440" w:right="1440" w:bottom="1440" w:left="1440" w:header="708" w:footer="708" w:gutter="0"/>
          <w:cols w:space="708"/>
          <w:docGrid w:linePitch="360"/>
        </w:sectPr>
      </w:pPr>
    </w:p>
    <w:p>
      <w:pPr>
        <w:pStyle w:val="Text1"/>
        <w:ind w:left="0"/>
        <w:rPr>
          <w:noProof/>
          <w:color w:val="FF0000"/>
        </w:rPr>
      </w:pPr>
    </w:p>
    <w:p>
      <w:pPr>
        <w:pStyle w:val="Text1"/>
        <w:ind w:left="0"/>
        <w:rPr>
          <w:noProof/>
          <w:color w:val="FF0000"/>
        </w:rPr>
      </w:pPr>
      <w:r>
        <w:rPr>
          <w:noProof/>
        </w:rPr>
        <w:drawing>
          <wp:inline distT="0" distB="0" distL="0" distR="0">
            <wp:extent cx="8753128" cy="5208104"/>
            <wp:effectExtent l="0" t="0" r="0" b="0"/>
            <wp:docPr id="1092796" name="Picture 109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770545" cy="5218467"/>
                    </a:xfrm>
                    <a:prstGeom prst="rect">
                      <a:avLst/>
                    </a:prstGeom>
                    <a:noFill/>
                    <a:ln>
                      <a:noFill/>
                    </a:ln>
                  </pic:spPr>
                </pic:pic>
              </a:graphicData>
            </a:graphic>
          </wp:inline>
        </w:drawing>
      </w:r>
    </w:p>
    <w:p>
      <w:pPr>
        <w:pStyle w:val="Text1"/>
        <w:ind w:left="0"/>
        <w:rPr>
          <w:i/>
          <w:noProof/>
        </w:rPr>
      </w:pPr>
      <w:r>
        <w:rPr>
          <w:noProof/>
        </w:rPr>
        <w:drawing>
          <wp:inline distT="0" distB="0" distL="0" distR="0">
            <wp:extent cx="8863330" cy="5035550"/>
            <wp:effectExtent l="0" t="0" r="0" b="0"/>
            <wp:docPr id="1092797" name="Picture 109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863330" cy="5035550"/>
                    </a:xfrm>
                    <a:prstGeom prst="rect">
                      <a:avLst/>
                    </a:prstGeom>
                    <a:noFill/>
                    <a:ln>
                      <a:noFill/>
                    </a:ln>
                  </pic:spPr>
                </pic:pic>
              </a:graphicData>
            </a:graphic>
          </wp:inline>
        </w:drawing>
      </w:r>
    </w:p>
    <w:p>
      <w:pPr>
        <w:pStyle w:val="Text1"/>
        <w:rPr>
          <w:noProof/>
        </w:rPr>
      </w:pPr>
    </w:p>
    <w:sectPr>
      <w:headerReference w:type="even" r:id="rId203"/>
      <w:headerReference w:type="default" r:id="rId204"/>
      <w:footerReference w:type="even" r:id="rId205"/>
      <w:footerReference w:type="default" r:id="rId206"/>
      <w:headerReference w:type="first" r:id="rId207"/>
      <w:footerReference w:type="first" r:id="rId208"/>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okChampa">
    <w:altName w:val="Microsoft Sans Serif"/>
    <w:panose1 w:val="020B0604020202020204"/>
    <w:charset w:val="00"/>
    <w:family w:val="swiss"/>
    <w:pitch w:val="variable"/>
    <w:sig w:usb0="03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263200"/>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227</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781840"/>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228</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71005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229</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696434840"/>
      <w:docPartObj>
        <w:docPartGallery w:val="Page Numbers (Bottom of Page)"/>
        <w:docPartUnique/>
      </w:docPartObj>
    </w:sdtPr>
    <w:sdtEndPr>
      <w:rPr>
        <w:noProof/>
      </w:rPr>
    </w:sdtEndPr>
    <w:sdtContent>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231</w:t>
        </w:r>
        <w:r>
          <w:rPr>
            <w:rFonts w:ascii="Times New Roman" w:hAnsi="Times New Roman" w:cs="Times New Roman"/>
            <w:noProof/>
          </w:rPr>
          <w:fldChar w:fldCharType="end"/>
        </w:r>
      </w:p>
    </w:sdtContent>
  </w:sdt>
  <w:p>
    <w:pPr>
      <w:pStyle w:val="Footer"/>
      <w:rPr>
        <w:rFonts w:ascii="Times New Roman" w:hAnsi="Times New Roman" w:cs="Times New Roman"/>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611613"/>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246</w:t>
        </w:r>
        <w:r>
          <w:rPr>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810659"/>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248</w:t>
        </w:r>
        <w:r>
          <w:rPr>
            <w:noProof/>
          </w:rPr>
          <w:fldChar w:fldCharType="end"/>
        </w:r>
      </w:p>
    </w:sdtContent>
  </w:sdt>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311944"/>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160</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01908"/>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225</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ind w:left="284" w:hanging="284"/>
        <w:rPr>
          <w:rFonts w:ascii="Times New Roman" w:hAnsi="Times New Roman" w:cs="Times New Roman"/>
          <w:sz w:val="18"/>
          <w:szCs w:val="18"/>
          <w:lang w:val="fr-BE"/>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BE"/>
        </w:rPr>
        <w:t xml:space="preserve"> </w:t>
      </w:r>
      <w:r>
        <w:rPr>
          <w:rFonts w:ascii="Times New Roman" w:hAnsi="Times New Roman" w:cs="Times New Roman"/>
          <w:sz w:val="18"/>
          <w:szCs w:val="18"/>
          <w:lang w:val="fr-BE"/>
        </w:rPr>
        <w:tab/>
        <w:t xml:space="preserve">Source: </w:t>
      </w:r>
      <w:hyperlink r:id="rId1" w:history="1">
        <w:r>
          <w:rPr>
            <w:rStyle w:val="Hyperlink"/>
            <w:rFonts w:ascii="Times New Roman" w:hAnsi="Times New Roman" w:cs="Times New Roman"/>
            <w:sz w:val="18"/>
            <w:szCs w:val="18"/>
            <w:lang w:val="fr-BE"/>
          </w:rPr>
          <w:t>https://ec.europa.eu/neighbourhood-enlargement/policy/glossary/terms/preaccession-assistance_en</w:t>
        </w:r>
      </w:hyperlink>
    </w:p>
  </w:footnote>
  <w:footnote w:id="2">
    <w:p>
      <w:pPr>
        <w:pStyle w:val="FootnoteText"/>
        <w:spacing w:before="60"/>
        <w:ind w:left="284" w:hanging="284"/>
        <w:jc w:val="both"/>
        <w:rPr>
          <w:rFonts w:ascii="Times New Roman" w:hAnsi="Times New Roman" w:cs="Times New Roman"/>
          <w:sz w:val="18"/>
          <w:szCs w:val="18"/>
          <w:lang w:val="fr-B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iCs/>
          <w:sz w:val="18"/>
          <w:szCs w:val="18"/>
        </w:rPr>
        <w:t>This designation is without prejudice to positions on status, and is in line with UNSCR 1244/1999 and the ICJ Opinion on the Kosovo declaration of independence</w:t>
      </w:r>
      <w:r>
        <w:rPr>
          <w:rFonts w:ascii="Times New Roman" w:hAnsi="Times New Roman" w:cs="Times New Roman"/>
          <w:sz w:val="18"/>
          <w:szCs w:val="18"/>
        </w:rPr>
        <w:t xml:space="preserve">. </w:t>
      </w:r>
      <w:r>
        <w:rPr>
          <w:rFonts w:ascii="Times New Roman" w:hAnsi="Times New Roman" w:cs="Times New Roman"/>
          <w:sz w:val="18"/>
          <w:szCs w:val="18"/>
          <w:lang w:val="fr-BE"/>
        </w:rPr>
        <w:t xml:space="preserve">Source: </w:t>
      </w:r>
      <w:hyperlink r:id="rId2" w:history="1">
        <w:r>
          <w:rPr>
            <w:rStyle w:val="Hyperlink"/>
            <w:rFonts w:ascii="Times New Roman" w:hAnsi="Times New Roman" w:cs="Times New Roman"/>
            <w:sz w:val="18"/>
            <w:szCs w:val="18"/>
            <w:lang w:val="fr-BE"/>
          </w:rPr>
          <w:t>https://europa.eu/european-union/about-eu/countries_en</w:t>
        </w:r>
      </w:hyperlink>
      <w:r>
        <w:rPr>
          <w:rFonts w:ascii="Times New Roman" w:hAnsi="Times New Roman" w:cs="Times New Roman"/>
          <w:sz w:val="18"/>
          <w:szCs w:val="18"/>
          <w:lang w:val="fr-BE"/>
        </w:rPr>
        <w:t xml:space="preserve">. </w:t>
      </w:r>
    </w:p>
  </w:footnote>
  <w:footnote w:id="3">
    <w:p>
      <w:pPr>
        <w:pStyle w:val="FootnoteText"/>
        <w:ind w:left="284" w:hanging="284"/>
        <w:rPr>
          <w:rFonts w:ascii="Times New Roman" w:hAnsi="Times New Roman" w:cs="Times New Roman"/>
          <w:sz w:val="18"/>
          <w:szCs w:val="18"/>
          <w:lang w:val="it-IT"/>
        </w:rPr>
      </w:pPr>
      <w:r>
        <w:rPr>
          <w:rStyle w:val="FootnoteReference"/>
          <w:rFonts w:ascii="Times New Roman" w:hAnsi="Times New Roman" w:cs="Times New Roman"/>
          <w:sz w:val="18"/>
          <w:szCs w:val="18"/>
        </w:rPr>
        <w:footnoteRef/>
      </w:r>
      <w:r>
        <w:rPr>
          <w:rFonts w:ascii="Times New Roman" w:hAnsi="Times New Roman" w:cs="Times New Roman"/>
          <w:sz w:val="18"/>
          <w:szCs w:val="18"/>
          <w:lang w:val="it-IT"/>
        </w:rPr>
        <w:t xml:space="preserve"> </w:t>
      </w:r>
      <w:r>
        <w:rPr>
          <w:rFonts w:ascii="Times New Roman" w:hAnsi="Times New Roman" w:cs="Times New Roman"/>
          <w:sz w:val="18"/>
          <w:szCs w:val="18"/>
          <w:lang w:val="it-IT"/>
        </w:rPr>
        <w:tab/>
        <w:t>Cyprus, Czechia, Estonia, Hungary, Latvia, Lithuania, Malta, Poland, Slovakia, and Slovenia.</w:t>
      </w:r>
    </w:p>
  </w:footnote>
  <w:footnote w:id="4">
    <w:p>
      <w:pPr>
        <w:pStyle w:val="FootnoteText"/>
        <w:ind w:left="284" w:hanging="284"/>
        <w:rPr>
          <w:rFonts w:ascii="Times New Roman" w:hAnsi="Times New Roman" w:cs="Times New Roman"/>
          <w:sz w:val="18"/>
          <w:szCs w:val="18"/>
          <w:lang w:val="fr-BE"/>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BE"/>
        </w:rPr>
        <w:t xml:space="preserve"> </w:t>
      </w:r>
      <w:r>
        <w:rPr>
          <w:rFonts w:ascii="Times New Roman" w:hAnsi="Times New Roman" w:cs="Times New Roman"/>
          <w:sz w:val="18"/>
          <w:szCs w:val="18"/>
          <w:lang w:val="fr-BE"/>
        </w:rPr>
        <w:tab/>
        <w:t xml:space="preserve">Source: </w:t>
      </w:r>
      <w:hyperlink r:id="rId3" w:history="1">
        <w:r>
          <w:rPr>
            <w:rStyle w:val="Hyperlink"/>
            <w:rFonts w:ascii="Times New Roman" w:hAnsi="Times New Roman" w:cs="Times New Roman"/>
            <w:sz w:val="18"/>
            <w:szCs w:val="18"/>
            <w:lang w:val="fr-BE"/>
          </w:rPr>
          <w:t>https://ec.europa.eu/neighbourhood-enlargement/instruments/former-assistance_en</w:t>
        </w:r>
      </w:hyperlink>
      <w:r>
        <w:rPr>
          <w:rFonts w:ascii="Times New Roman" w:hAnsi="Times New Roman" w:cs="Times New Roman"/>
          <w:sz w:val="18"/>
          <w:szCs w:val="18"/>
          <w:lang w:val="fr-BE"/>
        </w:rPr>
        <w:t>.</w:t>
      </w:r>
    </w:p>
  </w:footnote>
  <w:footnote w:id="5">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See Council Regulation (EC) 1085/2006 of 17 July 2006, OJ L 210, 31.7.2006, p. 82-93.</w:t>
      </w:r>
    </w:p>
  </w:footnote>
  <w:footnote w:id="6">
    <w:p>
      <w:pPr>
        <w:pStyle w:val="FootnoteText"/>
        <w:ind w:left="284" w:hanging="284"/>
        <w:rPr>
          <w:rFonts w:ascii="Times New Roman" w:hAnsi="Times New Roman" w:cs="Times New Roman"/>
          <w:sz w:val="18"/>
          <w:szCs w:val="18"/>
          <w:lang w:val="fr-BE"/>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BE"/>
        </w:rPr>
        <w:t xml:space="preserve"> </w:t>
      </w:r>
      <w:r>
        <w:rPr>
          <w:rFonts w:ascii="Times New Roman" w:hAnsi="Times New Roman" w:cs="Times New Roman"/>
          <w:sz w:val="18"/>
          <w:szCs w:val="18"/>
          <w:lang w:val="fr-BE"/>
        </w:rPr>
        <w:tab/>
        <w:t xml:space="preserve">Source: </w:t>
      </w:r>
      <w:hyperlink r:id="rId4" w:history="1">
        <w:r>
          <w:rPr>
            <w:rStyle w:val="Hyperlink"/>
            <w:rFonts w:ascii="Times New Roman" w:hAnsi="Times New Roman" w:cs="Times New Roman"/>
            <w:sz w:val="18"/>
            <w:szCs w:val="18"/>
            <w:lang w:val="fr-BE"/>
          </w:rPr>
          <w:t>https://ec.europa.eu/neighbourhood-enlargement/instruments/overview_en</w:t>
        </w:r>
      </w:hyperlink>
      <w:r>
        <w:rPr>
          <w:rFonts w:ascii="Times New Roman" w:hAnsi="Times New Roman" w:cs="Times New Roman"/>
          <w:sz w:val="18"/>
          <w:szCs w:val="18"/>
          <w:lang w:val="fr-BE"/>
        </w:rPr>
        <w:t>.</w:t>
      </w:r>
    </w:p>
  </w:footnote>
  <w:footnote w:id="7">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Managed by DG NEAR.</w:t>
      </w:r>
    </w:p>
  </w:footnote>
  <w:footnote w:id="8">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M</w:t>
      </w:r>
      <w:r>
        <w:rPr>
          <w:rFonts w:ascii="Times New Roman" w:hAnsi="Times New Roman" w:cs="Times New Roman"/>
          <w:noProof/>
          <w:sz w:val="18"/>
          <w:szCs w:val="18"/>
        </w:rPr>
        <w:t xml:space="preserve">anaged in part by DG NEAR and in part, under shared management with Member States, by the </w:t>
      </w:r>
      <w:r>
        <w:rPr>
          <w:rFonts w:ascii="Times New Roman" w:hAnsi="Times New Roman" w:cs="Times New Roman"/>
          <w:sz w:val="18"/>
          <w:szCs w:val="18"/>
        </w:rPr>
        <w:t xml:space="preserve">Directorate-General for Regional and Urban Policy </w:t>
      </w:r>
      <w:r>
        <w:rPr>
          <w:rFonts w:ascii="Times New Roman" w:hAnsi="Times New Roman" w:cs="Times New Roman"/>
          <w:noProof/>
          <w:sz w:val="18"/>
          <w:szCs w:val="18"/>
        </w:rPr>
        <w:t>(DG REGIO).</w:t>
      </w:r>
    </w:p>
  </w:footnote>
  <w:footnote w:id="9">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Managed by DG REGIO.</w:t>
      </w:r>
    </w:p>
  </w:footnote>
  <w:footnote w:id="10">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Managed by the Directorate-General for Employment, Social Affairs and Inclusion (DG EMPL).</w:t>
      </w:r>
    </w:p>
  </w:footnote>
  <w:footnote w:id="11">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Managed by the Directorate-General for Agriculture and Rural Development (DG AGRI).</w:t>
      </w:r>
    </w:p>
  </w:footnote>
  <w:footnote w:id="12">
    <w:p>
      <w:pPr>
        <w:pStyle w:val="FootnoteText"/>
        <w:ind w:left="284" w:hanging="284"/>
        <w:rPr>
          <w:rFonts w:ascii="Times New Roman" w:hAnsi="Times New Roman" w:cs="Times New Roman"/>
          <w:sz w:val="18"/>
          <w:szCs w:val="18"/>
          <w:lang w:val="fr-BE"/>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BE"/>
        </w:rPr>
        <w:t xml:space="preserve"> </w:t>
      </w:r>
      <w:r>
        <w:rPr>
          <w:rFonts w:ascii="Times New Roman" w:hAnsi="Times New Roman" w:cs="Times New Roman"/>
          <w:sz w:val="18"/>
          <w:szCs w:val="18"/>
          <w:lang w:val="fr-BE"/>
        </w:rPr>
        <w:tab/>
        <w:t xml:space="preserve">Source: </w:t>
      </w:r>
      <w:hyperlink r:id="rId5" w:history="1">
        <w:r>
          <w:rPr>
            <w:rStyle w:val="Hyperlink"/>
            <w:rFonts w:ascii="Times New Roman" w:hAnsi="Times New Roman" w:cs="Times New Roman"/>
            <w:sz w:val="18"/>
            <w:szCs w:val="18"/>
            <w:lang w:val="fr-BE"/>
          </w:rPr>
          <w:t>https://ec.europa.eu/regional_policy/en/funding/ipa/</w:t>
        </w:r>
      </w:hyperlink>
      <w:r>
        <w:rPr>
          <w:rStyle w:val="Hyperlink"/>
          <w:rFonts w:ascii="Times New Roman" w:hAnsi="Times New Roman" w:cs="Times New Roman"/>
          <w:sz w:val="18"/>
          <w:szCs w:val="18"/>
          <w:lang w:val="fr-BE"/>
        </w:rPr>
        <w:t>.</w:t>
      </w:r>
    </w:p>
  </w:footnote>
  <w:footnote w:id="13">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See Regulation (EU) 231/2014 of the European Parliament and of the Council of 11 March 2014 establishing an Instrument for Pre-accession Assistance (IPA II), OJ L 77, 15.3.2014, p. 11–26.; Source: </w:t>
      </w:r>
      <w:hyperlink r:id="rId6" w:history="1">
        <w:r>
          <w:rPr>
            <w:rStyle w:val="Hyperlink"/>
            <w:rFonts w:ascii="Times New Roman" w:hAnsi="Times New Roman" w:cs="Times New Roman"/>
            <w:sz w:val="18"/>
            <w:szCs w:val="18"/>
          </w:rPr>
          <w:t>https://ec.europa.eu/neighbourhood-enlargement/instruments/overview_en</w:t>
        </w:r>
      </w:hyperlink>
      <w:r>
        <w:rPr>
          <w:rFonts w:ascii="Times New Roman" w:hAnsi="Times New Roman" w:cs="Times New Roman"/>
          <w:sz w:val="18"/>
          <w:szCs w:val="18"/>
        </w:rPr>
        <w:t xml:space="preserve">. </w:t>
      </w:r>
    </w:p>
  </w:footnote>
  <w:footnote w:id="14">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See Regulation (EU) 231/2014 of the European Parliament and of the Council of 11 March 2014 establishing an Instrument for Pre-accession Assistance (IPA II), OJ L 77, 15.3.2014, p. 11–26.</w:t>
      </w:r>
    </w:p>
  </w:footnote>
  <w:footnote w:id="15">
    <w:p>
      <w:pPr>
        <w:pStyle w:val="FootnoteText"/>
        <w:ind w:left="284" w:hanging="284"/>
        <w:rPr>
          <w:rFonts w:ascii="Times New Roman" w:hAnsi="Times New Roman" w:cs="Times New Roman"/>
          <w:sz w:val="18"/>
          <w:szCs w:val="18"/>
          <w:lang w:val="fr-BE"/>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BE"/>
        </w:rPr>
        <w:t xml:space="preserve"> </w:t>
      </w:r>
      <w:r>
        <w:rPr>
          <w:rFonts w:ascii="Times New Roman" w:hAnsi="Times New Roman" w:cs="Times New Roman"/>
          <w:sz w:val="18"/>
          <w:szCs w:val="18"/>
          <w:lang w:val="fr-BE"/>
        </w:rPr>
        <w:tab/>
        <w:t xml:space="preserve">Source: </w:t>
      </w:r>
      <w:hyperlink r:id="rId7" w:history="1">
        <w:r>
          <w:rPr>
            <w:rStyle w:val="Hyperlink"/>
            <w:rFonts w:ascii="Times New Roman" w:hAnsi="Times New Roman" w:cs="Times New Roman"/>
            <w:sz w:val="18"/>
            <w:szCs w:val="18"/>
            <w:lang w:val="fr-BE"/>
          </w:rPr>
          <w:t>https://ec.europa.eu/neighbourhood-enlargement/instruments/overview_en</w:t>
        </w:r>
      </w:hyperlink>
      <w:r>
        <w:rPr>
          <w:rFonts w:ascii="Times New Roman" w:hAnsi="Times New Roman" w:cs="Times New Roman"/>
          <w:sz w:val="18"/>
          <w:szCs w:val="18"/>
          <w:lang w:val="fr-BE"/>
        </w:rPr>
        <w:t xml:space="preserve">. </w:t>
      </w:r>
    </w:p>
  </w:footnote>
  <w:footnote w:id="16">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“Instrument for Pre-Accession Assistance (IPA II)” Multi-Country Indicative Strategy Paper (2014-2020) adopted on 30/06/2014 available at: </w:t>
      </w:r>
      <w:hyperlink r:id="rId8" w:history="1">
        <w:r>
          <w:rPr>
            <w:rStyle w:val="Hyperlink"/>
            <w:rFonts w:ascii="Times New Roman" w:hAnsi="Times New Roman" w:cs="Times New Roman"/>
            <w:sz w:val="18"/>
            <w:szCs w:val="18"/>
          </w:rPr>
          <w:t>http://ec.europa.eu/enlargement/pdf/key_documents/2014/20140919-multi-country-strategy-paper.pdf</w:t>
        </w:r>
      </w:hyperlink>
      <w:r>
        <w:rPr>
          <w:rFonts w:ascii="Times New Roman" w:hAnsi="Times New Roman" w:cs="Times New Roman"/>
          <w:sz w:val="18"/>
          <w:szCs w:val="18"/>
        </w:rPr>
        <w:t xml:space="preserve"> . </w:t>
      </w:r>
    </w:p>
  </w:footnote>
  <w:footnote w:id="17">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PHARE, SAPARD, TIPAA and ISPA.</w:t>
      </w:r>
    </w:p>
  </w:footnote>
  <w:footnote w:id="18">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CBC-IPA, HRD, IPARD, REGD and TAIB.</w:t>
      </w:r>
    </w:p>
  </w:footnote>
  <w:footnote w:id="19">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CBC-IPA, IPARD, REGD and TAIB.</w:t>
      </w:r>
    </w:p>
  </w:footnote>
  <w:footnote w:id="20">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This includes charts PA2, PA3, PA5, PA6, PA8, PA9 and PA10.</w:t>
      </w:r>
    </w:p>
  </w:footnote>
  <w:footnote w:id="21">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A person involved is anyone who had or has a substantial role in the irregularity. This could be the beneficiary, the person who initiated the irregularity (such as the manager, consultant or adviser), the person who committed the irregularity, etc.</w:t>
      </w:r>
    </w:p>
  </w:footnote>
  <w:footnote w:id="22">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For the purpose of this analysis, when reference is made to person or entity, without further specification, it is a </w:t>
      </w:r>
      <w:r>
        <w:rPr>
          <w:rStyle w:val="FootnoteReference"/>
          <w:rFonts w:ascii="Times New Roman" w:hAnsi="Times New Roman" w:cs="Times New Roman"/>
          <w:vertAlign w:val="baseline"/>
        </w:rPr>
        <w:t>reference</w:t>
      </w:r>
      <w:r>
        <w:rPr>
          <w:rFonts w:ascii="Times New Roman" w:hAnsi="Times New Roman" w:cs="Times New Roman"/>
        </w:rPr>
        <w:t xml:space="preserve"> to both type of person/entity (natural and legal). When reference is only to natural or to legal person/entity, this is specified.</w:t>
      </w:r>
    </w:p>
  </w:footnote>
  <w:footnote w:id="23">
    <w:p>
      <w:pPr>
        <w:pStyle w:val="FootnoteText"/>
        <w:ind w:left="284" w:hanging="284"/>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noProof/>
          <w:sz w:val="18"/>
          <w:szCs w:val="18"/>
        </w:rPr>
        <w:t>The actual organisational status has not been verified on the basis of searches of the specific entities involved, but it has been deduced based on identifiers in the names of the persons involved (i.e., companies with “Ltd” in their name were identified as private limited companies, etc.).</w:t>
      </w:r>
    </w:p>
  </w:footnote>
  <w:footnote w:id="24">
    <w:p>
      <w:pPr>
        <w:pStyle w:val="FootnoteText"/>
        <w:jc w:val="both"/>
        <w:rPr>
          <w:rFonts w:ascii="Times New Roman" w:hAnsi="Times New Roman" w:cs="Times New Roman"/>
          <w:sz w:val="18"/>
          <w:szCs w:val="18"/>
        </w:rPr>
      </w:pPr>
      <w:r>
        <w:rPr>
          <w:rStyle w:val="FootnoteReference"/>
        </w:rPr>
        <w:footnoteRef/>
      </w:r>
      <w:r>
        <w:rPr>
          <w:szCs w:val="16"/>
        </w:rPr>
        <w:t xml:space="preserve"> </w:t>
      </w:r>
      <w:r>
        <w:rPr>
          <w:rFonts w:ascii="Times New Roman" w:hAnsi="Times New Roman" w:cs="Times New Roman"/>
          <w:sz w:val="18"/>
          <w:szCs w:val="18"/>
        </w:rPr>
        <w:t>Regulation (EU, Euratom) 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Euratom) No 966/2012PE/13/2018/REV/1, OJ L 193, 30.7.2018, p. 1–222</w:t>
      </w:r>
    </w:p>
  </w:footnote>
  <w:footnote w:id="25">
    <w:p>
      <w:pPr>
        <w:pStyle w:val="FootnoteText"/>
        <w:rPr>
          <w:sz w:val="24"/>
        </w:rPr>
      </w:pPr>
      <w:r>
        <w:rPr>
          <w:rStyle w:val="FootnoteReference"/>
        </w:rPr>
        <w:footnoteRef/>
      </w:r>
      <w:r>
        <w:t xml:space="preserve"> </w:t>
      </w:r>
      <w:r>
        <w:rPr>
          <w:rFonts w:ascii="Times New Roman" w:hAnsi="Times New Roman" w:cs="Times New Roman"/>
          <w:sz w:val="18"/>
          <w:szCs w:val="18"/>
        </w:rPr>
        <w:t>Excluding administrative expenditure. Own calculation based on ABAC data.</w:t>
      </w:r>
    </w:p>
  </w:footnote>
  <w:footnote w:id="26">
    <w:p>
      <w:pPr>
        <w:pStyle w:val="FootnoteText"/>
        <w:jc w:val="both"/>
      </w:pPr>
      <w:r>
        <w:rPr>
          <w:rStyle w:val="FootnoteReference"/>
        </w:rPr>
        <w:footnoteRef/>
      </w:r>
      <w:r>
        <w:t xml:space="preserve"> </w:t>
      </w:r>
      <w:r>
        <w:rPr>
          <w:rFonts w:ascii="Times New Roman" w:hAnsi="Times New Roman" w:cs="Times New Roman"/>
          <w:sz w:val="18"/>
          <w:szCs w:val="18"/>
        </w:rPr>
        <w:t>Recovery items mean ‘recovery context’ elements in ABAC. There can be more recovery context elements associated to one recovery order issued.</w:t>
      </w:r>
    </w:p>
  </w:footnote>
  <w:footnote w:id="27">
    <w:p>
      <w:pPr>
        <w:pStyle w:val="FootnoteText"/>
        <w:jc w:val="both"/>
      </w:pPr>
      <w:r>
        <w:rPr>
          <w:rStyle w:val="FootnoteReference"/>
        </w:rPr>
        <w:footnoteRef/>
      </w:r>
      <w:r>
        <w:t xml:space="preserve"> </w:t>
      </w:r>
      <w:r>
        <w:rPr>
          <w:rFonts w:ascii="Times New Roman" w:hAnsi="Times New Roman" w:cs="Times New Roman"/>
          <w:sz w:val="18"/>
          <w:szCs w:val="18"/>
        </w:rPr>
        <w:t>‘Irregularities reported as fraudulent’ are cases of recovery items qualified in the ABAC system as ‘OLAF notified’</w:t>
      </w:r>
      <w:r>
        <w:t>.</w:t>
      </w:r>
    </w:p>
  </w:footnote>
  <w:footnote w:id="28">
    <w:p>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Most of these cases have the field 'Fund' filled in as 'EAFRD/EAGF', but the Budget line or the Budget post that are explicitly mentioned lead to classify the case in this category RD (7 439 cases out of 11,920). In the category 'RD', also cases are included where the field 'Fund' was filled in as 'EAGF' and the budget line/post includes only RD budget codes (39 irregularities).</w:t>
      </w:r>
    </w:p>
  </w:footnote>
  <w:footnote w:id="29">
    <w:p>
      <w:pPr>
        <w:pStyle w:val="FootnoteText"/>
        <w:spacing w:before="60"/>
        <w:jc w:val="both"/>
        <w:rPr>
          <w:rFonts w:ascii="Times New Roman" w:hAnsi="Times New Roman" w:cs="Times New Roman"/>
        </w:rPr>
      </w:pPr>
      <w:r>
        <w:rPr>
          <w:rStyle w:val="FootnoteReference"/>
        </w:rPr>
        <w:footnoteRef/>
      </w:r>
      <w:r>
        <w:rPr>
          <w:rFonts w:ascii="Times New Roman" w:hAnsi="Times New Roman" w:cs="Times New Roman"/>
        </w:rPr>
        <w:t xml:space="preserve"> Chapter 504 is split in the following titles: 050401 'r.d. in the EAGGF – Guarantee section' (later with the addition 'Completion of earlier programme 2000-2006'), 050402 'r.d. in the EAGGF – Guidance section' (later with the addition 'Completion of earlier programme'), 050403 'Other measures', 050404 'Transitional instrument for the financing of r.d. by the EAGGF – Guarantee section for the new MS' (later with the addition 'Completion of earlier programmes 2004-2006), 050405 'r.d. financed by EAFRD (2007-2013)' (from 2007. As from 2014, it becomes 'completion of …'), 050460 'EAFRD (2014-2020)' (from 2014).</w:t>
      </w:r>
    </w:p>
  </w:footnote>
  <w:footnote w:id="30">
    <w:p>
      <w:pPr>
        <w:pStyle w:val="FootnoteText"/>
        <w:spacing w:before="60"/>
        <w:jc w:val="both"/>
      </w:pPr>
      <w:r>
        <w:rPr>
          <w:rStyle w:val="FootnoteReference"/>
        </w:rPr>
        <w:footnoteRef/>
      </w:r>
      <w:r>
        <w:t xml:space="preserve"> </w:t>
      </w:r>
      <w:r>
        <w:rPr>
          <w:rFonts w:ascii="Times New Roman" w:hAnsi="Times New Roman" w:cs="Times New Roman"/>
        </w:rPr>
        <w:t>Most of these cases have the field 'Fund' filled in as 'EAFRD/EAGF', but the Budget line/post includes only SA budget codes (3 386 cases out of 5 660).</w:t>
      </w:r>
    </w:p>
  </w:footnote>
  <w:footnote w:id="31">
    <w:p>
      <w:pPr>
        <w:pStyle w:val="FootnoteText"/>
        <w:spacing w:before="60"/>
        <w:jc w:val="both"/>
      </w:pPr>
      <w:r>
        <w:rPr>
          <w:rStyle w:val="FootnoteReference"/>
        </w:rPr>
        <w:footnoteRef/>
      </w:r>
      <w:r>
        <w:t xml:space="preserve"> </w:t>
      </w:r>
      <w:r>
        <w:rPr>
          <w:rFonts w:ascii="Times New Roman" w:hAnsi="Times New Roman" w:cs="Times New Roman"/>
        </w:rPr>
        <w:t>Most of these cases have the field 'Fund' filled in as 'EAFRD/EAGF' and the Budget line/post includes both SA and RD budget codes (258 out of 369 cases).</w:t>
      </w:r>
    </w:p>
  </w:footnote>
  <w:footnote w:id="32">
    <w:p>
      <w:pPr>
        <w:pStyle w:val="FootnoteText"/>
        <w:spacing w:before="60"/>
        <w:jc w:val="both"/>
        <w:rPr>
          <w:rFonts w:ascii="Times New Roman" w:hAnsi="Times New Roman" w:cs="Times New Roman"/>
        </w:rPr>
      </w:pPr>
      <w:r>
        <w:rPr>
          <w:rStyle w:val="FootnoteReference"/>
        </w:rPr>
        <w:footnoteRef/>
      </w:r>
      <w:r>
        <w:rPr>
          <w:rFonts w:ascii="Times New Roman" w:hAnsi="Times New Roman" w:cs="Times New Roman"/>
        </w:rPr>
        <w:t xml:space="preserve"> See above. </w:t>
      </w:r>
    </w:p>
  </w:footnote>
  <w:footnote w:id="33">
    <w:p>
      <w:pPr>
        <w:pStyle w:val="FootnoteText"/>
        <w:spacing w:before="60"/>
        <w:jc w:val="both"/>
        <w:rPr>
          <w:rFonts w:ascii="Times New Roman" w:hAnsi="Times New Roman" w:cs="Times New Roman"/>
        </w:rPr>
      </w:pPr>
      <w:r>
        <w:rPr>
          <w:rStyle w:val="FootnoteReference"/>
        </w:rPr>
        <w:footnoteRef/>
      </w:r>
      <w:r>
        <w:rPr>
          <w:rFonts w:ascii="Times New Roman" w:hAnsi="Times New Roman" w:cs="Times New Roman"/>
        </w:rPr>
        <w:t xml:space="preserve"> The other chapters of Title 05 'Agriculture and rural development' are: 0501 'Administrative expenditure', 0504 'Rural development', 0505 'SAPARD' (later 'Instrument for pre-accession assistance'), 0506 'External relations' (later 'International aspects'), 0507 'Audit', 0508 'Policy strategy and coordination', 0549 'Expenditure on administrative management' (until 2013), 0509 'Horizon 2020 – Research and innovation' (from 2014). </w:t>
      </w:r>
    </w:p>
  </w:footnote>
  <w:footnote w:id="34">
    <w:p>
      <w:pPr>
        <w:pStyle w:val="FootnoteText"/>
        <w:spacing w:before="60"/>
        <w:rPr>
          <w:rFonts w:ascii="Times New Roman" w:hAnsi="Times New Roman" w:cs="Times New Roman"/>
        </w:rPr>
      </w:pPr>
      <w:r>
        <w:rPr>
          <w:rStyle w:val="FootnoteReference"/>
        </w:rPr>
        <w:footnoteRef/>
      </w:r>
      <w:r>
        <w:rPr>
          <w:rFonts w:ascii="Times New Roman" w:hAnsi="Times New Roman" w:cs="Times New Roman"/>
        </w:rPr>
        <w:t xml:space="preserve"> B01-3 covered "Ancillary expenditure", B01-6 "Monetary reserve".</w:t>
      </w:r>
    </w:p>
  </w:footnote>
  <w:footnote w:id="35">
    <w:p>
      <w:pPr>
        <w:pStyle w:val="FootnoteText"/>
        <w:spacing w:before="60"/>
        <w:jc w:val="both"/>
        <w:rPr>
          <w:rFonts w:ascii="Times New Roman" w:hAnsi="Times New Roman" w:cs="Times New Roman"/>
        </w:rPr>
      </w:pPr>
      <w:r>
        <w:rPr>
          <w:rStyle w:val="FootnoteReference"/>
        </w:rPr>
        <w:footnoteRef/>
      </w:r>
      <w:r>
        <w:rPr>
          <w:rFonts w:ascii="Times New Roman" w:hAnsi="Times New Roman" w:cs="Times New Roman"/>
        </w:rPr>
        <w:t xml:space="preserve"> This analysis takes into consideration the combination of '</w:t>
      </w:r>
      <w:r>
        <w:rPr>
          <w:rFonts w:ascii="Times New Roman" w:hAnsi="Times New Roman" w:cs="Times New Roman"/>
          <w:i/>
        </w:rPr>
        <w:t>intervention in agricultural markets</w:t>
      </w:r>
      <w:r>
        <w:rPr>
          <w:rFonts w:ascii="Times New Roman" w:hAnsi="Times New Roman" w:cs="Times New Roman"/>
        </w:rPr>
        <w:t>' (budget line B0502, since 2006 – see above) with '</w:t>
      </w:r>
      <w:r>
        <w:rPr>
          <w:rFonts w:ascii="Times New Roman" w:hAnsi="Times New Roman" w:cs="Times New Roman"/>
          <w:i/>
        </w:rPr>
        <w:t>rural development</w:t>
      </w:r>
      <w:r>
        <w:rPr>
          <w:rFonts w:ascii="Times New Roman" w:hAnsi="Times New Roman" w:cs="Times New Roman"/>
        </w:rPr>
        <w:t>' or with '</w:t>
      </w:r>
      <w:r>
        <w:rPr>
          <w:rFonts w:ascii="Times New Roman" w:hAnsi="Times New Roman" w:cs="Times New Roman"/>
          <w:i/>
        </w:rPr>
        <w:t>direct payments</w:t>
      </w:r>
      <w:r>
        <w:rPr>
          <w:rFonts w:ascii="Times New Roman" w:hAnsi="Times New Roman" w:cs="Times New Roman"/>
        </w:rPr>
        <w:t>' (budget line B0503, since 2006 – see above). This applied also to 'direct payments'. Nevertheless, there are also cases were '</w:t>
      </w:r>
      <w:r>
        <w:rPr>
          <w:rFonts w:ascii="Times New Roman" w:hAnsi="Times New Roman" w:cs="Times New Roman"/>
          <w:i/>
        </w:rPr>
        <w:t>direct payments</w:t>
      </w:r>
      <w:r>
        <w:rPr>
          <w:rFonts w:ascii="Times New Roman" w:hAnsi="Times New Roman" w:cs="Times New Roman"/>
        </w:rPr>
        <w:t xml:space="preserve">' is combined with other budget codes from years before 2006. Excluding also these cases would lower the indicators further.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D5E27"/>
    <w:multiLevelType w:val="hybridMultilevel"/>
    <w:tmpl w:val="7BCA5252"/>
    <w:name w:val="Bullet 222"/>
    <w:lvl w:ilvl="0" w:tplc="BEE4EA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507E2E"/>
    <w:multiLevelType w:val="hybridMultilevel"/>
    <w:tmpl w:val="E4BCA5B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B3C78B8"/>
    <w:multiLevelType w:val="multilevel"/>
    <w:tmpl w:val="048CD8DA"/>
    <w:name w:val="Point"/>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numb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numb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numb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numb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4">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A512D65"/>
    <w:multiLevelType w:val="hybridMultilevel"/>
    <w:tmpl w:val="7AEAE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32E70DF4"/>
    <w:multiLevelType w:val="hybridMultilevel"/>
    <w:tmpl w:val="0F70930E"/>
    <w:name w:val="Bullet 22"/>
    <w:lvl w:ilvl="0" w:tplc="D5DCF8C4">
      <w:start w:val="1"/>
      <w:numFmt w:val="decimal"/>
      <w:lvlText w:val="%1)"/>
      <w:lvlJc w:val="left"/>
      <w:pPr>
        <w:ind w:left="1570" w:hanging="360"/>
      </w:pPr>
      <w:rPr>
        <w:rFonts w:hint="default"/>
      </w:rPr>
    </w:lvl>
    <w:lvl w:ilvl="1" w:tplc="08090019">
      <w:start w:val="1"/>
      <w:numFmt w:val="lowerLetter"/>
      <w:lvlText w:val="%2."/>
      <w:lvlJc w:val="left"/>
      <w:pPr>
        <w:ind w:left="2290" w:hanging="360"/>
      </w:pPr>
    </w:lvl>
    <w:lvl w:ilvl="2" w:tplc="0809001B">
      <w:start w:val="1"/>
      <w:numFmt w:val="lowerRoman"/>
      <w:lvlText w:val="%3."/>
      <w:lvlJc w:val="right"/>
      <w:pPr>
        <w:ind w:left="3010" w:hanging="180"/>
      </w:pPr>
    </w:lvl>
    <w:lvl w:ilvl="3" w:tplc="08090003">
      <w:start w:val="1"/>
      <w:numFmt w:val="bullet"/>
      <w:lvlText w:val="o"/>
      <w:lvlJc w:val="left"/>
      <w:pPr>
        <w:ind w:left="3730" w:hanging="360"/>
      </w:pPr>
      <w:rPr>
        <w:rFonts w:ascii="Courier New" w:hAnsi="Courier New" w:cs="Courier New" w:hint="default"/>
      </w:rPr>
    </w:lvl>
    <w:lvl w:ilvl="4" w:tplc="08090019" w:tentative="1">
      <w:start w:val="1"/>
      <w:numFmt w:val="lowerLetter"/>
      <w:lvlText w:val="%5."/>
      <w:lvlJc w:val="left"/>
      <w:pPr>
        <w:ind w:left="4450" w:hanging="360"/>
      </w:pPr>
    </w:lvl>
    <w:lvl w:ilvl="5" w:tplc="0809001B" w:tentative="1">
      <w:start w:val="1"/>
      <w:numFmt w:val="lowerRoman"/>
      <w:lvlText w:val="%6."/>
      <w:lvlJc w:val="right"/>
      <w:pPr>
        <w:ind w:left="5170" w:hanging="180"/>
      </w:pPr>
    </w:lvl>
    <w:lvl w:ilvl="6" w:tplc="0809000F" w:tentative="1">
      <w:start w:val="1"/>
      <w:numFmt w:val="decimal"/>
      <w:lvlText w:val="%7."/>
      <w:lvlJc w:val="left"/>
      <w:pPr>
        <w:ind w:left="5890" w:hanging="360"/>
      </w:pPr>
    </w:lvl>
    <w:lvl w:ilvl="7" w:tplc="08090019" w:tentative="1">
      <w:start w:val="1"/>
      <w:numFmt w:val="lowerLetter"/>
      <w:lvlText w:val="%8."/>
      <w:lvlJc w:val="left"/>
      <w:pPr>
        <w:ind w:left="6610" w:hanging="360"/>
      </w:pPr>
    </w:lvl>
    <w:lvl w:ilvl="8" w:tplc="0809001B" w:tentative="1">
      <w:start w:val="1"/>
      <w:numFmt w:val="lowerRoman"/>
      <w:lvlText w:val="%9."/>
      <w:lvlJc w:val="right"/>
      <w:pPr>
        <w:ind w:left="7330" w:hanging="180"/>
      </w:pPr>
    </w:lvl>
  </w:abstractNum>
  <w:abstractNum w:abstractNumId="9">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373F1EB1"/>
    <w:multiLevelType w:val="multilevel"/>
    <w:tmpl w:val="637E5610"/>
    <w:lvl w:ilvl="0">
      <w:start w:val="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3">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4">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5">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7">
    <w:nsid w:val="58D12224"/>
    <w:multiLevelType w:val="multilevel"/>
    <w:tmpl w:val="9BEE65E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8301" w:hanging="504"/>
      </w:pPr>
      <w:rPr>
        <w:rFonts w:hint="default"/>
      </w:rPr>
    </w:lvl>
    <w:lvl w:ilvl="3">
      <w:start w:val="1"/>
      <w:numFmt w:val="decimal"/>
      <w:lvlText w:val="%1.%2.%3.%4."/>
      <w:lvlJc w:val="left"/>
      <w:pPr>
        <w:ind w:left="1925"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9">
    <w:nsid w:val="5C056EE5"/>
    <w:multiLevelType w:val="singleLevel"/>
    <w:tmpl w:val="F7924A66"/>
    <w:lvl w:ilvl="0">
      <w:start w:val="1"/>
      <w:numFmt w:val="bullet"/>
      <w:pStyle w:val="Bullet2"/>
      <w:lvlText w:val=""/>
      <w:lvlJc w:val="left"/>
      <w:pPr>
        <w:ind w:left="720" w:hanging="360"/>
      </w:pPr>
      <w:rPr>
        <w:rFonts w:ascii="Symbol" w:hAnsi="Symbol" w:hint="default"/>
      </w:rPr>
    </w:lvl>
  </w:abstractNum>
  <w:abstractNum w:abstractNumId="20">
    <w:nsid w:val="5C865B8F"/>
    <w:multiLevelType w:val="hybridMultilevel"/>
    <w:tmpl w:val="960A67D2"/>
    <w:lvl w:ilvl="0" w:tplc="08090001">
      <w:start w:val="1"/>
      <w:numFmt w:val="bullet"/>
      <w:lvlText w:val=""/>
      <w:lvlJc w:val="left"/>
      <w:pPr>
        <w:ind w:left="766" w:hanging="360"/>
      </w:pPr>
      <w:rPr>
        <w:rFonts w:ascii="Symbol" w:hAnsi="Symbol" w:hint="default"/>
      </w:rPr>
    </w:lvl>
    <w:lvl w:ilvl="1" w:tplc="08090003">
      <w:start w:val="1"/>
      <w:numFmt w:val="bullet"/>
      <w:lvlText w:val="o"/>
      <w:lvlJc w:val="left"/>
      <w:pPr>
        <w:ind w:left="1486" w:hanging="360"/>
      </w:pPr>
      <w:rPr>
        <w:rFonts w:ascii="Courier New" w:hAnsi="Courier New" w:cs="Courier New" w:hint="default"/>
      </w:rPr>
    </w:lvl>
    <w:lvl w:ilvl="2" w:tplc="08090005">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4">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6">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8"/>
    <w:lvlOverride w:ilvl="0">
      <w:startOverride w:val="1"/>
    </w:lvlOverride>
  </w:num>
  <w:num w:numId="3">
    <w:abstractNumId w:val="19"/>
  </w:num>
  <w:num w:numId="4">
    <w:abstractNumId w:val="11"/>
  </w:num>
  <w:num w:numId="5">
    <w:abstractNumId w:val="13"/>
  </w:num>
  <w:num w:numId="6">
    <w:abstractNumId w:val="6"/>
  </w:num>
  <w:num w:numId="7">
    <w:abstractNumId w:val="12"/>
  </w:num>
  <w:num w:numId="8">
    <w:abstractNumId w:val="23"/>
  </w:num>
  <w:num w:numId="9">
    <w:abstractNumId w:val="25"/>
  </w:num>
  <w:num w:numId="10">
    <w:abstractNumId w:val="9"/>
  </w:num>
  <w:num w:numId="11">
    <w:abstractNumId w:val="22"/>
  </w:num>
  <w:num w:numId="12">
    <w:abstractNumId w:val="21"/>
  </w:num>
  <w:num w:numId="13">
    <w:abstractNumId w:val="15"/>
  </w:num>
  <w:num w:numId="14">
    <w:abstractNumId w:val="16"/>
  </w:num>
  <w:num w:numId="15">
    <w:abstractNumId w:val="4"/>
  </w:num>
  <w:num w:numId="16">
    <w:abstractNumId w:val="10"/>
  </w:num>
  <w:num w:numId="17">
    <w:abstractNumId w:val="2"/>
  </w:num>
  <w:num w:numId="18">
    <w:abstractNumId w:val="7"/>
  </w:num>
  <w:num w:numId="19">
    <w:abstractNumId w:val="26"/>
  </w:num>
  <w:num w:numId="20">
    <w:abstractNumId w:val="20"/>
  </w:num>
  <w:num w:numId="21">
    <w:abstractNumId w:val="1"/>
  </w:num>
  <w:num w:numId="22">
    <w:abstractNumId w:val="3"/>
  </w:num>
  <w:num w:numId="23">
    <w:abstractNumId w:val="14"/>
    <w:lvlOverride w:ilvl="0">
      <w:startOverride w:val="1"/>
    </w:lvlOverride>
  </w:num>
  <w:num w:numId="24">
    <w:abstractNumId w:val="5"/>
  </w:num>
  <w:num w:numId="25">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de-DE" w:vendorID="64" w:dllVersion="131078" w:nlCheck="1" w:checkStyle="0"/>
  <w:revisionView w:markup="0"/>
  <w:defaultTabStop w:val="720"/>
  <w:characterSpacingControl w:val="doNotCompress"/>
  <w:hdrShapeDefaults>
    <o:shapedefaults v:ext="edit" spidmax="20481"/>
  </w:hdrShapeDefaults>
  <w:footnotePr>
    <w:numStart w:val="168"/>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3333F7B2-DD9A-4E8F-8E58-000D8641CAF3"/>
    <w:docVar w:name="LW_COVERPAGE_TYPE" w:val="1"/>
    <w:docVar w:name="LW_CROSSREFERENCE" w:val="{COM(2020) 363 final} - {SWD(2020) 156 final} - {SWD(2020) 157 final} - {SWD(2020) 158 final} - {SWD(2020) 159 final}"/>
    <w:docVar w:name="LW_DocType" w:val="NORMAL"/>
    <w:docVar w:name="LW_EMISSION" w:val="3.9.2020"/>
    <w:docVar w:name="LW_EMISSION_ISODATE" w:val="2020-09-03"/>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31&lt;FMT:Superscript&gt;st&lt;/FMT&gt; Annual Report on the protection of the European Union's financial interests - Fight against fraud - 2019"/>
    <w:docVar w:name="LW_PART_NBR" w:val="3"/>
    <w:docVar w:name="LW_PART_NBR_TOTAL" w:val="3"/>
    <w:docVar w:name="LW_REF.INST.NEW" w:val="SWD"/>
    <w:docVar w:name="LW_REF.INST.NEW_ADOPTED" w:val="final"/>
    <w:docVar w:name="LW_REF.INST.NEW_TEXT" w:val="(2020) 16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tatistical evaluation of irregularities reported for 2019: own resources, agriculture, cohesion and fisheries policies, pre-accession and direct expenditure"/>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pPr>
      <w:keepNext/>
      <w:spacing w:before="240" w:after="60" w:line="276" w:lineRule="auto"/>
      <w:outlineLvl w:val="1"/>
    </w:pPr>
    <w:rPr>
      <w:rFonts w:ascii="Times New Roman" w:eastAsia="Times New Roman" w:hAnsi="Times New Roman" w:cs="DokChampa"/>
      <w:bCs/>
      <w:i/>
      <w:iCs/>
      <w:sz w:val="24"/>
      <w:szCs w:val="28"/>
      <w:lang w:bidi="lo-LA"/>
    </w:rPr>
  </w:style>
  <w:style w:type="paragraph" w:styleId="Heading3">
    <w:name w:val="heading 3"/>
    <w:basedOn w:val="Normal"/>
    <w:next w:val="Normal"/>
    <w:link w:val="Heading3Char"/>
    <w:autoRedefine/>
    <w:uiPriority w:val="9"/>
    <w:unhideWhenUsed/>
    <w:qFormat/>
    <w:pPr>
      <w:keepNext/>
      <w:spacing w:before="240" w:after="60" w:line="276" w:lineRule="auto"/>
      <w:outlineLvl w:val="2"/>
    </w:pPr>
    <w:rPr>
      <w:rFonts w:ascii="Times New Roman" w:eastAsia="Times New Roman" w:hAnsi="Times New Roman" w:cs="DokChampa"/>
      <w:bCs/>
      <w:i/>
      <w:sz w:val="24"/>
      <w:szCs w:val="26"/>
      <w:lang w:bidi="lo-LA"/>
    </w:rPr>
  </w:style>
  <w:style w:type="paragraph" w:styleId="Heading4">
    <w:name w:val="heading 4"/>
    <w:basedOn w:val="Normal"/>
    <w:next w:val="Normal"/>
    <w:link w:val="Heading4Char"/>
    <w:autoRedefine/>
    <w:uiPriority w:val="9"/>
    <w:unhideWhenUsed/>
    <w:qFormat/>
    <w:pPr>
      <w:keepNext/>
      <w:spacing w:before="240" w:after="60" w:line="276" w:lineRule="auto"/>
      <w:outlineLvl w:val="3"/>
    </w:pPr>
    <w:rPr>
      <w:rFonts w:ascii="Times New Roman" w:eastAsia="Times New Roman" w:hAnsi="Times New Roman" w:cs="DokChampa"/>
      <w:bCs/>
      <w:i/>
      <w:sz w:val="24"/>
      <w:szCs w:val="28"/>
      <w:lang w:bidi="lo-L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lang w:eastAsia="en-GB"/>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basedOn w:val="DefaultParagraphFont"/>
    <w:uiPriority w:val="99"/>
    <w:unhideWhenUsed/>
    <w:qFormat/>
    <w:rPr>
      <w:vertAlign w:val="superscript"/>
    </w:rPr>
  </w:style>
  <w:style w:type="paragraph" w:customStyle="1" w:styleId="Bullet1">
    <w:name w:val="Bullet 1"/>
    <w:basedOn w:val="Normal"/>
    <w:pPr>
      <w:numPr>
        <w:numId w:val="2"/>
      </w:numPr>
      <w:spacing w:before="120" w:after="120" w:line="240" w:lineRule="auto"/>
      <w:jc w:val="both"/>
    </w:pPr>
    <w:rPr>
      <w:rFonts w:ascii="Times New Roman" w:eastAsia="Times New Roman" w:hAnsi="Times New Roman" w:cs="Times New Roman"/>
      <w:sz w:val="24"/>
      <w:lang w:eastAsia="en-GB"/>
    </w:rPr>
  </w:style>
  <w:style w:type="paragraph" w:customStyle="1" w:styleId="Bullet2">
    <w:name w:val="Bullet 2"/>
    <w:basedOn w:val="Normal"/>
    <w:pPr>
      <w:numPr>
        <w:numId w:val="3"/>
      </w:numPr>
      <w:spacing w:before="120" w:after="120" w:line="240" w:lineRule="auto"/>
      <w:jc w:val="both"/>
    </w:pPr>
    <w:rPr>
      <w:rFonts w:ascii="Times New Roman" w:eastAsia="Times New Roman" w:hAnsi="Times New Roman" w:cs="Times New Roman"/>
      <w:sz w:val="24"/>
      <w:lang w:eastAsia="en-GB"/>
    </w:r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2">
    <w:name w:val="List Table 4 Accent 2"/>
    <w:basedOn w:val="TableNormal"/>
    <w:uiPriority w:val="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
    <w:name w:val="Grid Table 4 Accent 2"/>
    <w:basedOn w:val="TableNormal"/>
    <w:uiPriority w:val="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pPr>
      <w:outlineLvl w:val="9"/>
    </w:pPr>
    <w:rPr>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lang w:eastAsia="en-GB"/>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eastAsia="Times New Roman" w:hAnsi="Times New Roman" w:cs="Times New Roman"/>
      <w:sz w:val="24"/>
      <w:szCs w:val="24"/>
      <w:lang w:eastAsia="en-GB"/>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lang w:eastAsia="en-GB"/>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eastAsia="Times New Roman" w:hAnsi="Times New Roman" w:cs="Times New Roman"/>
      <w:bCs/>
      <w:i/>
      <w:iCs/>
      <w:sz w:val="24"/>
      <w:lang w:eastAsia="en-GB"/>
    </w:rPr>
  </w:style>
  <w:style w:type="character" w:customStyle="1" w:styleId="Heading2Char">
    <w:name w:val="Heading 2 Char"/>
    <w:basedOn w:val="DefaultParagraphFont"/>
    <w:link w:val="Heading2"/>
    <w:uiPriority w:val="9"/>
    <w:rPr>
      <w:rFonts w:ascii="Times New Roman" w:eastAsia="Times New Roman" w:hAnsi="Times New Roman" w:cs="DokChampa"/>
      <w:bCs/>
      <w:i/>
      <w:iCs/>
      <w:sz w:val="24"/>
      <w:szCs w:val="28"/>
      <w:lang w:bidi="lo-LA"/>
    </w:rPr>
  </w:style>
  <w:style w:type="character" w:customStyle="1" w:styleId="Heading3Char">
    <w:name w:val="Heading 3 Char"/>
    <w:basedOn w:val="DefaultParagraphFont"/>
    <w:link w:val="Heading3"/>
    <w:uiPriority w:val="9"/>
    <w:rPr>
      <w:rFonts w:ascii="Times New Roman" w:eastAsia="Times New Roman" w:hAnsi="Times New Roman" w:cs="DokChampa"/>
      <w:bCs/>
      <w:i/>
      <w:sz w:val="24"/>
      <w:szCs w:val="26"/>
      <w:lang w:bidi="lo-LA"/>
    </w:rPr>
  </w:style>
  <w:style w:type="character" w:customStyle="1" w:styleId="Heading4Char">
    <w:name w:val="Heading 4 Char"/>
    <w:basedOn w:val="DefaultParagraphFont"/>
    <w:link w:val="Heading4"/>
    <w:uiPriority w:val="9"/>
    <w:rPr>
      <w:rFonts w:ascii="Times New Roman" w:eastAsia="Times New Roman" w:hAnsi="Times New Roman" w:cs="DokChampa"/>
      <w:bCs/>
      <w:i/>
      <w:sz w:val="24"/>
      <w:szCs w:val="28"/>
      <w:lang w:bidi="lo-LA"/>
    </w:rPr>
  </w:style>
  <w:style w:type="paragraph" w:styleId="TOC4">
    <w:name w:val="toc 4"/>
    <w:basedOn w:val="Normal"/>
    <w:next w:val="Normal"/>
    <w:autoRedefine/>
    <w:uiPriority w:val="39"/>
    <w:unhideWhenUsed/>
    <w:pPr>
      <w:tabs>
        <w:tab w:val="right" w:leader="dot" w:pos="8789"/>
      </w:tabs>
      <w:spacing w:after="200" w:line="276" w:lineRule="auto"/>
    </w:pPr>
    <w:rPr>
      <w:rFonts w:ascii="Times New Roman" w:eastAsia="Calibri" w:hAnsi="Times New Roman" w:cs="DokChampa"/>
      <w:lang w:bidi="lo-LA"/>
    </w:rPr>
  </w:style>
  <w:style w:type="paragraph" w:styleId="ListNumber">
    <w:name w:val="List Number"/>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Text3">
    <w:name w:val="Text 3"/>
    <w:basedOn w:val="Normal"/>
    <w:pPr>
      <w:spacing w:before="120" w:after="120" w:line="240" w:lineRule="auto"/>
      <w:ind w:left="850"/>
      <w:jc w:val="both"/>
    </w:pPr>
    <w:rPr>
      <w:rFonts w:ascii="Times New Roman" w:eastAsia="Times New Roman" w:hAnsi="Times New Roman" w:cs="Times New Roman"/>
      <w:sz w:val="24"/>
      <w:szCs w:val="20"/>
      <w:lang w:eastAsia="zh-CN"/>
    </w:rPr>
  </w:style>
  <w:style w:type="paragraph" w:styleId="EndnoteText">
    <w:name w:val="endnote text"/>
    <w:basedOn w:val="Normal"/>
    <w:link w:val="EndnoteTextChar"/>
    <w:uiPriority w:val="99"/>
    <w:semiHidden/>
    <w:unhideWhenUsed/>
    <w:pPr>
      <w:spacing w:after="200" w:line="276" w:lineRule="auto"/>
    </w:pPr>
    <w:rPr>
      <w:rFonts w:ascii="Calibri" w:eastAsia="Calibri" w:hAnsi="Calibri" w:cs="DokChampa"/>
      <w:sz w:val="20"/>
      <w:szCs w:val="20"/>
      <w:lang w:bidi="lo-LA"/>
    </w:rPr>
  </w:style>
  <w:style w:type="character" w:customStyle="1" w:styleId="EndnoteTextChar">
    <w:name w:val="Endnote Text Char"/>
    <w:basedOn w:val="DefaultParagraphFont"/>
    <w:link w:val="EndnoteText"/>
    <w:uiPriority w:val="99"/>
    <w:semiHidden/>
    <w:rPr>
      <w:rFonts w:ascii="Calibri" w:eastAsia="Calibri" w:hAnsi="Calibri" w:cs="DokChampa"/>
      <w:sz w:val="20"/>
      <w:szCs w:val="20"/>
      <w:lang w:bidi="lo-LA"/>
    </w:rPr>
  </w:style>
  <w:style w:type="character" w:styleId="EndnoteReference">
    <w:name w:val="endnote reference"/>
    <w:uiPriority w:val="99"/>
    <w:semiHidden/>
    <w:unhideWhenUsed/>
    <w:rPr>
      <w:vertAlign w:val="superscript"/>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5"/>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6"/>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7"/>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Text3"/>
    <w:pPr>
      <w:numPr>
        <w:numId w:val="8"/>
      </w:numPr>
      <w:spacing w:before="0" w:after="240"/>
    </w:pPr>
    <w:rPr>
      <w:lang w:eastAsia="en-US"/>
    </w:rPr>
  </w:style>
  <w:style w:type="paragraph" w:styleId="ListBullet4">
    <w:name w:val="List Bullet 4"/>
    <w:basedOn w:val="Normal"/>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1"/>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Text3"/>
    <w:pPr>
      <w:numPr>
        <w:numId w:val="13"/>
      </w:numPr>
      <w:spacing w:before="0" w:after="240"/>
    </w:pPr>
    <w:rPr>
      <w:lang w:eastAsia="en-US"/>
    </w:rPr>
  </w:style>
  <w:style w:type="paragraph" w:customStyle="1" w:styleId="ListDash4">
    <w:name w:val="List Dash 4"/>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6"/>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Text3"/>
    <w:pPr>
      <w:numPr>
        <w:numId w:val="18"/>
      </w:numPr>
      <w:spacing w:before="0" w:after="240"/>
    </w:pPr>
    <w:rPr>
      <w:lang w:eastAsia="en-US"/>
    </w:rPr>
  </w:style>
  <w:style w:type="paragraph" w:styleId="ListNumber4">
    <w:name w:val="List Number 4"/>
    <w:basedOn w:val="Normal"/>
    <w:pPr>
      <w:numPr>
        <w:numId w:val="19"/>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Text3"/>
    <w:pPr>
      <w:numPr>
        <w:ilvl w:val="1"/>
        <w:numId w:val="18"/>
      </w:numPr>
      <w:spacing w:before="0" w:after="240"/>
    </w:pPr>
    <w:rPr>
      <w:lang w:eastAsia="en-US"/>
    </w:rPr>
  </w:style>
  <w:style w:type="paragraph" w:customStyle="1" w:styleId="ListNumber4Level2">
    <w:name w:val="List Number 4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Text3"/>
    <w:pPr>
      <w:numPr>
        <w:ilvl w:val="2"/>
        <w:numId w:val="18"/>
      </w:numPr>
      <w:spacing w:before="0" w:after="240"/>
    </w:pPr>
    <w:rPr>
      <w:lang w:eastAsia="en-US"/>
    </w:rPr>
  </w:style>
  <w:style w:type="paragraph" w:customStyle="1" w:styleId="ListNumber4Level3">
    <w:name w:val="List Number 4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17"/>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Text3"/>
    <w:pPr>
      <w:numPr>
        <w:ilvl w:val="3"/>
        <w:numId w:val="18"/>
      </w:numPr>
      <w:spacing w:before="0" w:after="240"/>
    </w:pPr>
    <w:rPr>
      <w:lang w:eastAsia="en-US"/>
    </w:rPr>
  </w:style>
  <w:style w:type="paragraph" w:customStyle="1" w:styleId="ListNumber4Level4">
    <w:name w:val="List Number 4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character" w:customStyle="1" w:styleId="hps">
    <w:name w:val="hps"/>
  </w:style>
  <w:style w:type="table" w:styleId="ColorfulList-Accent2">
    <w:name w:val="Colorful List Accent 2"/>
    <w:basedOn w:val="TableNormal"/>
    <w:uiPriority w:val="72"/>
    <w:pPr>
      <w:spacing w:after="0" w:line="240" w:lineRule="auto"/>
    </w:pPr>
    <w:rPr>
      <w:rFonts w:ascii="Calibri" w:eastAsia="Calibri" w:hAnsi="Calibri" w:cs="DokChampa"/>
      <w:color w:val="000000"/>
      <w:sz w:val="20"/>
      <w:szCs w:val="20"/>
      <w:lang w:eastAsia="en-GB"/>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PIFtable">
    <w:name w:val="PIF table"/>
    <w:basedOn w:val="TableNormal"/>
    <w:uiPriority w:val="99"/>
    <w:pPr>
      <w:spacing w:after="0" w:line="240" w:lineRule="auto"/>
    </w:pPr>
    <w:rPr>
      <w:rFonts w:ascii="Calibri" w:eastAsia="Calibri" w:hAnsi="Calibri" w:cs="DokChampa"/>
      <w:sz w:val="20"/>
      <w:szCs w:val="20"/>
      <w:lang w:eastAsia="en-GB"/>
    </w:rPr>
    <w:tblPr>
      <w:tblStyleRowBandSize w:val="1"/>
    </w:tblPr>
    <w:tcPr>
      <w:shd w:val="clear" w:color="auto" w:fill="990000"/>
    </w:tcPr>
    <w:tblStylePr w:type="firstRow">
      <w:rPr>
        <w:rFonts w:ascii="Arial" w:hAnsi="Arial"/>
        <w:b/>
        <w:sz w:val="18"/>
      </w:rPr>
    </w:tblStylePr>
    <w:tblStylePr w:type="lastRow">
      <w:rPr>
        <w:rFonts w:ascii="Arial" w:hAnsi="Arial"/>
        <w:b/>
        <w:sz w:val="18"/>
      </w:rPr>
      <w:tblPr/>
      <w:tcPr>
        <w:shd w:val="clear" w:color="auto" w:fill="990000"/>
      </w:tcPr>
    </w:tblStylePr>
    <w:tblStylePr w:type="band1Horz">
      <w:rPr>
        <w:rFonts w:ascii="Arial" w:hAnsi="Arial"/>
        <w:sz w:val="18"/>
      </w:rPr>
      <w:tblPr/>
      <w:tcPr>
        <w:shd w:val="clear" w:color="auto" w:fill="FFFFFF"/>
      </w:tcPr>
    </w:tblStylePr>
    <w:tblStylePr w:type="band2Horz">
      <w:rPr>
        <w:rFonts w:ascii="Arial" w:hAnsi="Arial"/>
        <w:sz w:val="18"/>
      </w:rPr>
      <w:tblPr/>
      <w:tcPr>
        <w:shd w:val="clear" w:color="auto" w:fill="FF9999"/>
      </w:tcPr>
    </w:tblStylePr>
  </w:style>
  <w:style w:type="paragraph" w:styleId="IntenseQuote">
    <w:name w:val="Intense Quote"/>
    <w:basedOn w:val="Normal"/>
    <w:next w:val="Normal"/>
    <w:link w:val="IntenseQuoteChar"/>
    <w:uiPriority w:val="30"/>
    <w:qFormat/>
    <w:pPr>
      <w:pBdr>
        <w:top w:val="single" w:sz="4" w:space="10" w:color="5B9BD5"/>
        <w:bottom w:val="single" w:sz="4" w:space="10" w:color="5B9BD5"/>
      </w:pBdr>
      <w:spacing w:before="360" w:after="360" w:line="276" w:lineRule="auto"/>
      <w:ind w:left="864" w:right="864"/>
      <w:jc w:val="center"/>
    </w:pPr>
    <w:rPr>
      <w:rFonts w:ascii="Calibri" w:eastAsia="Calibri" w:hAnsi="Calibri" w:cs="DokChampa"/>
      <w:i/>
      <w:iCs/>
      <w:color w:val="5B9BD5"/>
      <w:lang w:bidi="lo-LA"/>
    </w:rPr>
  </w:style>
  <w:style w:type="character" w:customStyle="1" w:styleId="IntenseQuoteChar">
    <w:name w:val="Intense Quote Char"/>
    <w:basedOn w:val="DefaultParagraphFont"/>
    <w:link w:val="IntenseQuote"/>
    <w:uiPriority w:val="30"/>
    <w:rPr>
      <w:rFonts w:ascii="Calibri" w:eastAsia="Calibri" w:hAnsi="Calibri" w:cs="DokChampa"/>
      <w:i/>
      <w:iCs/>
      <w:color w:val="5B9BD5"/>
      <w:lang w:bidi="lo-LA"/>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pPr>
      <w:spacing w:before="240" w:after="60" w:line="276" w:lineRule="auto"/>
      <w:jc w:val="center"/>
      <w:outlineLvl w:val="0"/>
    </w:pPr>
    <w:rPr>
      <w:rFonts w:ascii="Calibri Light" w:eastAsia="Times New Roman" w:hAnsi="Calibri Light" w:cs="Times New Roman"/>
      <w:b/>
      <w:bCs/>
      <w:kern w:val="28"/>
      <w:sz w:val="32"/>
      <w:szCs w:val="32"/>
      <w:lang w:bidi="lo-LA"/>
    </w:rPr>
  </w:style>
  <w:style w:type="character" w:customStyle="1" w:styleId="TitleChar">
    <w:name w:val="Title Char"/>
    <w:basedOn w:val="DefaultParagraphFont"/>
    <w:link w:val="Title"/>
    <w:uiPriority w:val="10"/>
    <w:rPr>
      <w:rFonts w:ascii="Calibri Light" w:eastAsia="Times New Roman" w:hAnsi="Calibri Light" w:cs="Times New Roman"/>
      <w:b/>
      <w:bCs/>
      <w:kern w:val="28"/>
      <w:sz w:val="32"/>
      <w:szCs w:val="32"/>
      <w:lang w:bidi="lo-LA"/>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Point0number">
    <w:name w:val="Point 0 (number)"/>
    <w:basedOn w:val="Normal"/>
    <w:pPr>
      <w:numPr>
        <w:ilvl w:val="1"/>
        <w:numId w:val="22"/>
      </w:numPr>
      <w:spacing w:before="120" w:after="120" w:line="240" w:lineRule="auto"/>
      <w:jc w:val="both"/>
    </w:pPr>
    <w:rPr>
      <w:rFonts w:ascii="Times New Roman" w:eastAsia="Times New Roman" w:hAnsi="Times New Roman" w:cs="Times New Roman"/>
      <w:sz w:val="24"/>
      <w:lang w:eastAsia="en-GB"/>
    </w:rPr>
  </w:style>
  <w:style w:type="paragraph" w:customStyle="1" w:styleId="Point1number">
    <w:name w:val="Point 1 (number)"/>
    <w:basedOn w:val="Normal"/>
    <w:pPr>
      <w:numPr>
        <w:ilvl w:val="3"/>
        <w:numId w:val="22"/>
      </w:numPr>
      <w:spacing w:before="120" w:after="120" w:line="240" w:lineRule="auto"/>
      <w:jc w:val="both"/>
    </w:pPr>
    <w:rPr>
      <w:rFonts w:ascii="Times New Roman" w:eastAsia="Times New Roman" w:hAnsi="Times New Roman" w:cs="Times New Roman"/>
      <w:sz w:val="24"/>
      <w:lang w:eastAsia="en-GB"/>
    </w:rPr>
  </w:style>
  <w:style w:type="paragraph" w:customStyle="1" w:styleId="Point2number">
    <w:name w:val="Point 2 (number)"/>
    <w:basedOn w:val="Normal"/>
    <w:pPr>
      <w:numPr>
        <w:ilvl w:val="5"/>
        <w:numId w:val="22"/>
      </w:numPr>
      <w:spacing w:before="120" w:after="120" w:line="240" w:lineRule="auto"/>
      <w:jc w:val="both"/>
    </w:pPr>
    <w:rPr>
      <w:rFonts w:ascii="Times New Roman" w:eastAsia="Times New Roman" w:hAnsi="Times New Roman" w:cs="Times New Roman"/>
      <w:sz w:val="24"/>
      <w:lang w:eastAsia="en-GB"/>
    </w:rPr>
  </w:style>
  <w:style w:type="paragraph" w:customStyle="1" w:styleId="Point3number">
    <w:name w:val="Point 3 (number)"/>
    <w:basedOn w:val="Normal"/>
    <w:pPr>
      <w:numPr>
        <w:ilvl w:val="7"/>
        <w:numId w:val="22"/>
      </w:numPr>
      <w:spacing w:before="120" w:after="120" w:line="240" w:lineRule="auto"/>
      <w:jc w:val="both"/>
    </w:pPr>
    <w:rPr>
      <w:rFonts w:ascii="Times New Roman" w:eastAsia="Times New Roman" w:hAnsi="Times New Roman" w:cs="Times New Roman"/>
      <w:sz w:val="24"/>
      <w:lang w:eastAsia="en-GB"/>
    </w:rPr>
  </w:style>
  <w:style w:type="paragraph" w:customStyle="1" w:styleId="Point0letter">
    <w:name w:val="Point 0 (letter)"/>
    <w:basedOn w:val="Normal"/>
    <w:pPr>
      <w:tabs>
        <w:tab w:val="num" w:pos="850"/>
      </w:tabs>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Point1letter">
    <w:name w:val="Point 1 (letter)"/>
    <w:basedOn w:val="Normal"/>
    <w:pPr>
      <w:tabs>
        <w:tab w:val="num" w:pos="1417"/>
      </w:tabs>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Point2letter">
    <w:name w:val="Point 2 (letter)"/>
    <w:basedOn w:val="Normal"/>
    <w:pPr>
      <w:tabs>
        <w:tab w:val="num" w:pos="1984"/>
      </w:tabs>
      <w:spacing w:before="120" w:after="120" w:line="240" w:lineRule="auto"/>
      <w:ind w:left="1984" w:hanging="567"/>
      <w:jc w:val="both"/>
    </w:pPr>
    <w:rPr>
      <w:rFonts w:ascii="Times New Roman" w:eastAsia="Times New Roman" w:hAnsi="Times New Roman" w:cs="Times New Roman"/>
      <w:sz w:val="24"/>
      <w:lang w:eastAsia="en-GB"/>
    </w:rPr>
  </w:style>
  <w:style w:type="paragraph" w:customStyle="1" w:styleId="Point3letter">
    <w:name w:val="Point 3 (letter)"/>
    <w:basedOn w:val="Normal"/>
    <w:pPr>
      <w:tabs>
        <w:tab w:val="num" w:pos="2551"/>
      </w:tabs>
      <w:spacing w:before="120" w:after="120" w:line="240" w:lineRule="auto"/>
      <w:ind w:left="2551" w:hanging="567"/>
      <w:jc w:val="both"/>
    </w:pPr>
    <w:rPr>
      <w:rFonts w:ascii="Times New Roman" w:eastAsia="Times New Roman" w:hAnsi="Times New Roman" w:cs="Times New Roman"/>
      <w:sz w:val="24"/>
      <w:lang w:eastAsia="en-GB"/>
    </w:rPr>
  </w:style>
  <w:style w:type="paragraph" w:customStyle="1" w:styleId="Point4letter">
    <w:name w:val="Point 4 (letter)"/>
    <w:basedOn w:val="Normal"/>
    <w:pPr>
      <w:tabs>
        <w:tab w:val="num" w:pos="3118"/>
      </w:tabs>
      <w:spacing w:before="120" w:after="120" w:line="240" w:lineRule="auto"/>
      <w:ind w:left="3118" w:hanging="567"/>
      <w:jc w:val="both"/>
    </w:pPr>
    <w:rPr>
      <w:rFonts w:ascii="Times New Roman" w:eastAsia="Times New Roman" w:hAnsi="Times New Roman" w:cs="Times New Roman"/>
      <w:sz w:val="24"/>
      <w:lang w:eastAsia="en-GB"/>
    </w:rPr>
  </w:style>
  <w:style w:type="paragraph" w:customStyle="1" w:styleId="ChapterTitle">
    <w:name w:val="ChapterTitle"/>
    <w:basedOn w:val="Normal"/>
    <w:next w:val="Normal"/>
    <w:link w:val="ChapterTitleChar"/>
    <w:pPr>
      <w:keepNext/>
      <w:spacing w:before="120" w:after="360" w:line="240" w:lineRule="auto"/>
      <w:jc w:val="center"/>
    </w:pPr>
    <w:rPr>
      <w:rFonts w:ascii="Times New Roman" w:eastAsia="Times New Roman" w:hAnsi="Times New Roman" w:cs="Times New Roman"/>
      <w:b/>
      <w:sz w:val="32"/>
      <w:lang w:eastAsia="en-GB"/>
    </w:rPr>
  </w:style>
  <w:style w:type="character" w:customStyle="1" w:styleId="ChapterTitleChar">
    <w:name w:val="ChapterTitle Char"/>
    <w:basedOn w:val="DefaultParagraphFont"/>
    <w:link w:val="ChapterTitle"/>
    <w:rPr>
      <w:rFonts w:ascii="Times New Roman" w:eastAsia="Times New Roman" w:hAnsi="Times New Roman" w:cs="Times New Roman"/>
      <w:b/>
      <w:sz w:val="32"/>
      <w:lang w:eastAsia="en-GB"/>
    </w:rPr>
  </w:style>
  <w:style w:type="paragraph" w:customStyle="1" w:styleId="Tiret1">
    <w:name w:val="Tiret 1"/>
    <w:basedOn w:val="Normal"/>
    <w:pPr>
      <w:numPr>
        <w:numId w:val="23"/>
      </w:numPr>
      <w:spacing w:before="120" w:after="120" w:line="240" w:lineRule="auto"/>
      <w:jc w:val="both"/>
    </w:pPr>
    <w:rPr>
      <w:rFonts w:ascii="Times New Roman" w:eastAsia="Times New Roman" w:hAnsi="Times New Roman" w:cs="Times New Roman"/>
      <w:sz w:val="24"/>
      <w:lang w:eastAsia="en-GB"/>
    </w:r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cs="Times New Roman"/>
      <w:b/>
      <w:smallCaps/>
      <w:sz w:val="28"/>
      <w:lang w:eastAsia="en-GB"/>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cs="Times New Roman"/>
      <w:b/>
      <w:sz w:val="36"/>
      <w:lang w:eastAsia="en-GB"/>
    </w:rPr>
  </w:style>
  <w:style w:type="paragraph" w:styleId="TOC6">
    <w:name w:val="toc 6"/>
    <w:basedOn w:val="Normal"/>
    <w:next w:val="Normal"/>
    <w:autoRedefine/>
    <w:uiPriority w:val="39"/>
    <w:unhideWhenUsed/>
    <w:pPr>
      <w:spacing w:after="100" w:line="276" w:lineRule="auto"/>
      <w:ind w:left="1100"/>
    </w:pPr>
    <w:rPr>
      <w:rFonts w:eastAsiaTheme="minorEastAsia"/>
      <w:lang w:eastAsia="en-GB"/>
    </w:rPr>
  </w:style>
  <w:style w:type="paragraph" w:styleId="TOC7">
    <w:name w:val="toc 7"/>
    <w:basedOn w:val="Normal"/>
    <w:next w:val="Normal"/>
    <w:autoRedefine/>
    <w:uiPriority w:val="39"/>
    <w:unhideWhenUsed/>
    <w:pPr>
      <w:spacing w:after="100" w:line="276" w:lineRule="auto"/>
      <w:ind w:left="1320"/>
    </w:pPr>
    <w:rPr>
      <w:rFonts w:eastAsiaTheme="minorEastAsia"/>
      <w:lang w:eastAsia="en-GB"/>
    </w:rPr>
  </w:style>
  <w:style w:type="paragraph" w:styleId="TOC8">
    <w:name w:val="toc 8"/>
    <w:basedOn w:val="Normal"/>
    <w:next w:val="Normal"/>
    <w:autoRedefine/>
    <w:uiPriority w:val="39"/>
    <w:unhideWhenUsed/>
    <w:pPr>
      <w:spacing w:after="100" w:line="276" w:lineRule="auto"/>
      <w:ind w:left="1540"/>
    </w:pPr>
    <w:rPr>
      <w:rFonts w:eastAsiaTheme="minorEastAsia"/>
      <w:lang w:eastAsia="en-GB"/>
    </w:rPr>
  </w:style>
  <w:style w:type="paragraph" w:styleId="TOC9">
    <w:name w:val="toc 9"/>
    <w:basedOn w:val="Normal"/>
    <w:next w:val="Normal"/>
    <w:autoRedefine/>
    <w:uiPriority w:val="39"/>
    <w:unhideWhenUsed/>
    <w:pPr>
      <w:spacing w:after="100" w:line="276" w:lineRule="auto"/>
      <w:ind w:left="1760"/>
    </w:pPr>
    <w:rPr>
      <w:rFonts w:eastAsiaTheme="minorEastAsia"/>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table" w:customStyle="1" w:styleId="GridTable4-Accent21">
    <w:name w:val="Grid Table 4 - Accent 21"/>
    <w:basedOn w:val="TableNormal"/>
    <w:uiPriority w:val="49"/>
    <w:pPr>
      <w:spacing w:after="0" w:line="240" w:lineRule="auto"/>
    </w:pPr>
    <w:rPr>
      <w:rFonts w:ascii="Calibri" w:eastAsia="Calibri" w:hAnsi="Calibri" w:cs="DokChampa"/>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
    <w:name w:val="Grid Table 4 Accent 6"/>
    <w:basedOn w:val="TableNormal"/>
    <w:uiPriority w:val="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pPr>
      <w:keepNext/>
      <w:spacing w:before="240" w:after="60" w:line="276" w:lineRule="auto"/>
      <w:outlineLvl w:val="1"/>
    </w:pPr>
    <w:rPr>
      <w:rFonts w:ascii="Times New Roman" w:eastAsia="Times New Roman" w:hAnsi="Times New Roman" w:cs="DokChampa"/>
      <w:bCs/>
      <w:i/>
      <w:iCs/>
      <w:sz w:val="24"/>
      <w:szCs w:val="28"/>
      <w:lang w:bidi="lo-LA"/>
    </w:rPr>
  </w:style>
  <w:style w:type="paragraph" w:styleId="Heading3">
    <w:name w:val="heading 3"/>
    <w:basedOn w:val="Normal"/>
    <w:next w:val="Normal"/>
    <w:link w:val="Heading3Char"/>
    <w:autoRedefine/>
    <w:uiPriority w:val="9"/>
    <w:unhideWhenUsed/>
    <w:qFormat/>
    <w:pPr>
      <w:keepNext/>
      <w:spacing w:before="240" w:after="60" w:line="276" w:lineRule="auto"/>
      <w:outlineLvl w:val="2"/>
    </w:pPr>
    <w:rPr>
      <w:rFonts w:ascii="Times New Roman" w:eastAsia="Times New Roman" w:hAnsi="Times New Roman" w:cs="DokChampa"/>
      <w:bCs/>
      <w:i/>
      <w:sz w:val="24"/>
      <w:szCs w:val="26"/>
      <w:lang w:bidi="lo-LA"/>
    </w:rPr>
  </w:style>
  <w:style w:type="paragraph" w:styleId="Heading4">
    <w:name w:val="heading 4"/>
    <w:basedOn w:val="Normal"/>
    <w:next w:val="Normal"/>
    <w:link w:val="Heading4Char"/>
    <w:autoRedefine/>
    <w:uiPriority w:val="9"/>
    <w:unhideWhenUsed/>
    <w:qFormat/>
    <w:pPr>
      <w:keepNext/>
      <w:spacing w:before="240" w:after="60" w:line="276" w:lineRule="auto"/>
      <w:outlineLvl w:val="3"/>
    </w:pPr>
    <w:rPr>
      <w:rFonts w:ascii="Times New Roman" w:eastAsia="Times New Roman" w:hAnsi="Times New Roman" w:cs="DokChampa"/>
      <w:bCs/>
      <w:i/>
      <w:sz w:val="24"/>
      <w:szCs w:val="28"/>
      <w:lang w:bidi="lo-L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lang w:eastAsia="en-GB"/>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basedOn w:val="DefaultParagraphFont"/>
    <w:uiPriority w:val="99"/>
    <w:unhideWhenUsed/>
    <w:qFormat/>
    <w:rPr>
      <w:vertAlign w:val="superscript"/>
    </w:rPr>
  </w:style>
  <w:style w:type="paragraph" w:customStyle="1" w:styleId="Bullet1">
    <w:name w:val="Bullet 1"/>
    <w:basedOn w:val="Normal"/>
    <w:pPr>
      <w:numPr>
        <w:numId w:val="2"/>
      </w:numPr>
      <w:spacing w:before="120" w:after="120" w:line="240" w:lineRule="auto"/>
      <w:jc w:val="both"/>
    </w:pPr>
    <w:rPr>
      <w:rFonts w:ascii="Times New Roman" w:eastAsia="Times New Roman" w:hAnsi="Times New Roman" w:cs="Times New Roman"/>
      <w:sz w:val="24"/>
      <w:lang w:eastAsia="en-GB"/>
    </w:rPr>
  </w:style>
  <w:style w:type="paragraph" w:customStyle="1" w:styleId="Bullet2">
    <w:name w:val="Bullet 2"/>
    <w:basedOn w:val="Normal"/>
    <w:pPr>
      <w:numPr>
        <w:numId w:val="3"/>
      </w:numPr>
      <w:spacing w:before="120" w:after="120" w:line="240" w:lineRule="auto"/>
      <w:jc w:val="both"/>
    </w:pPr>
    <w:rPr>
      <w:rFonts w:ascii="Times New Roman" w:eastAsia="Times New Roman" w:hAnsi="Times New Roman" w:cs="Times New Roman"/>
      <w:sz w:val="24"/>
      <w:lang w:eastAsia="en-GB"/>
    </w:r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2">
    <w:name w:val="List Table 4 Accent 2"/>
    <w:basedOn w:val="TableNormal"/>
    <w:uiPriority w:val="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
    <w:name w:val="Grid Table 4 Accent 2"/>
    <w:basedOn w:val="TableNormal"/>
    <w:uiPriority w:val="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pPr>
      <w:outlineLvl w:val="9"/>
    </w:pPr>
    <w:rPr>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lang w:eastAsia="en-GB"/>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eastAsia="Times New Roman" w:hAnsi="Times New Roman" w:cs="Times New Roman"/>
      <w:sz w:val="24"/>
      <w:szCs w:val="24"/>
      <w:lang w:eastAsia="en-GB"/>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lang w:eastAsia="en-GB"/>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eastAsia="Times New Roman" w:hAnsi="Times New Roman" w:cs="Times New Roman"/>
      <w:bCs/>
      <w:i/>
      <w:iCs/>
      <w:sz w:val="24"/>
      <w:lang w:eastAsia="en-GB"/>
    </w:rPr>
  </w:style>
  <w:style w:type="character" w:customStyle="1" w:styleId="Heading2Char">
    <w:name w:val="Heading 2 Char"/>
    <w:basedOn w:val="DefaultParagraphFont"/>
    <w:link w:val="Heading2"/>
    <w:uiPriority w:val="9"/>
    <w:rPr>
      <w:rFonts w:ascii="Times New Roman" w:eastAsia="Times New Roman" w:hAnsi="Times New Roman" w:cs="DokChampa"/>
      <w:bCs/>
      <w:i/>
      <w:iCs/>
      <w:sz w:val="24"/>
      <w:szCs w:val="28"/>
      <w:lang w:bidi="lo-LA"/>
    </w:rPr>
  </w:style>
  <w:style w:type="character" w:customStyle="1" w:styleId="Heading3Char">
    <w:name w:val="Heading 3 Char"/>
    <w:basedOn w:val="DefaultParagraphFont"/>
    <w:link w:val="Heading3"/>
    <w:uiPriority w:val="9"/>
    <w:rPr>
      <w:rFonts w:ascii="Times New Roman" w:eastAsia="Times New Roman" w:hAnsi="Times New Roman" w:cs="DokChampa"/>
      <w:bCs/>
      <w:i/>
      <w:sz w:val="24"/>
      <w:szCs w:val="26"/>
      <w:lang w:bidi="lo-LA"/>
    </w:rPr>
  </w:style>
  <w:style w:type="character" w:customStyle="1" w:styleId="Heading4Char">
    <w:name w:val="Heading 4 Char"/>
    <w:basedOn w:val="DefaultParagraphFont"/>
    <w:link w:val="Heading4"/>
    <w:uiPriority w:val="9"/>
    <w:rPr>
      <w:rFonts w:ascii="Times New Roman" w:eastAsia="Times New Roman" w:hAnsi="Times New Roman" w:cs="DokChampa"/>
      <w:bCs/>
      <w:i/>
      <w:sz w:val="24"/>
      <w:szCs w:val="28"/>
      <w:lang w:bidi="lo-LA"/>
    </w:rPr>
  </w:style>
  <w:style w:type="paragraph" w:styleId="TOC4">
    <w:name w:val="toc 4"/>
    <w:basedOn w:val="Normal"/>
    <w:next w:val="Normal"/>
    <w:autoRedefine/>
    <w:uiPriority w:val="39"/>
    <w:unhideWhenUsed/>
    <w:pPr>
      <w:tabs>
        <w:tab w:val="right" w:leader="dot" w:pos="8789"/>
      </w:tabs>
      <w:spacing w:after="200" w:line="276" w:lineRule="auto"/>
    </w:pPr>
    <w:rPr>
      <w:rFonts w:ascii="Times New Roman" w:eastAsia="Calibri" w:hAnsi="Times New Roman" w:cs="DokChampa"/>
      <w:lang w:bidi="lo-LA"/>
    </w:rPr>
  </w:style>
  <w:style w:type="paragraph" w:styleId="ListNumber">
    <w:name w:val="List Number"/>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Text3">
    <w:name w:val="Text 3"/>
    <w:basedOn w:val="Normal"/>
    <w:pPr>
      <w:spacing w:before="120" w:after="120" w:line="240" w:lineRule="auto"/>
      <w:ind w:left="850"/>
      <w:jc w:val="both"/>
    </w:pPr>
    <w:rPr>
      <w:rFonts w:ascii="Times New Roman" w:eastAsia="Times New Roman" w:hAnsi="Times New Roman" w:cs="Times New Roman"/>
      <w:sz w:val="24"/>
      <w:szCs w:val="20"/>
      <w:lang w:eastAsia="zh-CN"/>
    </w:rPr>
  </w:style>
  <w:style w:type="paragraph" w:styleId="EndnoteText">
    <w:name w:val="endnote text"/>
    <w:basedOn w:val="Normal"/>
    <w:link w:val="EndnoteTextChar"/>
    <w:uiPriority w:val="99"/>
    <w:semiHidden/>
    <w:unhideWhenUsed/>
    <w:pPr>
      <w:spacing w:after="200" w:line="276" w:lineRule="auto"/>
    </w:pPr>
    <w:rPr>
      <w:rFonts w:ascii="Calibri" w:eastAsia="Calibri" w:hAnsi="Calibri" w:cs="DokChampa"/>
      <w:sz w:val="20"/>
      <w:szCs w:val="20"/>
      <w:lang w:bidi="lo-LA"/>
    </w:rPr>
  </w:style>
  <w:style w:type="character" w:customStyle="1" w:styleId="EndnoteTextChar">
    <w:name w:val="Endnote Text Char"/>
    <w:basedOn w:val="DefaultParagraphFont"/>
    <w:link w:val="EndnoteText"/>
    <w:uiPriority w:val="99"/>
    <w:semiHidden/>
    <w:rPr>
      <w:rFonts w:ascii="Calibri" w:eastAsia="Calibri" w:hAnsi="Calibri" w:cs="DokChampa"/>
      <w:sz w:val="20"/>
      <w:szCs w:val="20"/>
      <w:lang w:bidi="lo-LA"/>
    </w:rPr>
  </w:style>
  <w:style w:type="character" w:styleId="EndnoteReference">
    <w:name w:val="endnote reference"/>
    <w:uiPriority w:val="99"/>
    <w:semiHidden/>
    <w:unhideWhenUsed/>
    <w:rPr>
      <w:vertAlign w:val="superscript"/>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5"/>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6"/>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7"/>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Text3"/>
    <w:pPr>
      <w:numPr>
        <w:numId w:val="8"/>
      </w:numPr>
      <w:spacing w:before="0" w:after="240"/>
    </w:pPr>
    <w:rPr>
      <w:lang w:eastAsia="en-US"/>
    </w:rPr>
  </w:style>
  <w:style w:type="paragraph" w:styleId="ListBullet4">
    <w:name w:val="List Bullet 4"/>
    <w:basedOn w:val="Normal"/>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1"/>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Text3"/>
    <w:pPr>
      <w:numPr>
        <w:numId w:val="13"/>
      </w:numPr>
      <w:spacing w:before="0" w:after="240"/>
    </w:pPr>
    <w:rPr>
      <w:lang w:eastAsia="en-US"/>
    </w:rPr>
  </w:style>
  <w:style w:type="paragraph" w:customStyle="1" w:styleId="ListDash4">
    <w:name w:val="List Dash 4"/>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6"/>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Text3"/>
    <w:pPr>
      <w:numPr>
        <w:numId w:val="18"/>
      </w:numPr>
      <w:spacing w:before="0" w:after="240"/>
    </w:pPr>
    <w:rPr>
      <w:lang w:eastAsia="en-US"/>
    </w:rPr>
  </w:style>
  <w:style w:type="paragraph" w:styleId="ListNumber4">
    <w:name w:val="List Number 4"/>
    <w:basedOn w:val="Normal"/>
    <w:pPr>
      <w:numPr>
        <w:numId w:val="19"/>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Text3"/>
    <w:pPr>
      <w:numPr>
        <w:ilvl w:val="1"/>
        <w:numId w:val="18"/>
      </w:numPr>
      <w:spacing w:before="0" w:after="240"/>
    </w:pPr>
    <w:rPr>
      <w:lang w:eastAsia="en-US"/>
    </w:rPr>
  </w:style>
  <w:style w:type="paragraph" w:customStyle="1" w:styleId="ListNumber4Level2">
    <w:name w:val="List Number 4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Text3"/>
    <w:pPr>
      <w:numPr>
        <w:ilvl w:val="2"/>
        <w:numId w:val="18"/>
      </w:numPr>
      <w:spacing w:before="0" w:after="240"/>
    </w:pPr>
    <w:rPr>
      <w:lang w:eastAsia="en-US"/>
    </w:rPr>
  </w:style>
  <w:style w:type="paragraph" w:customStyle="1" w:styleId="ListNumber4Level3">
    <w:name w:val="List Number 4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17"/>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Text3"/>
    <w:pPr>
      <w:numPr>
        <w:ilvl w:val="3"/>
        <w:numId w:val="18"/>
      </w:numPr>
      <w:spacing w:before="0" w:after="240"/>
    </w:pPr>
    <w:rPr>
      <w:lang w:eastAsia="en-US"/>
    </w:rPr>
  </w:style>
  <w:style w:type="paragraph" w:customStyle="1" w:styleId="ListNumber4Level4">
    <w:name w:val="List Number 4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character" w:customStyle="1" w:styleId="hps">
    <w:name w:val="hps"/>
  </w:style>
  <w:style w:type="table" w:styleId="ColorfulList-Accent2">
    <w:name w:val="Colorful List Accent 2"/>
    <w:basedOn w:val="TableNormal"/>
    <w:uiPriority w:val="72"/>
    <w:pPr>
      <w:spacing w:after="0" w:line="240" w:lineRule="auto"/>
    </w:pPr>
    <w:rPr>
      <w:rFonts w:ascii="Calibri" w:eastAsia="Calibri" w:hAnsi="Calibri" w:cs="DokChampa"/>
      <w:color w:val="000000"/>
      <w:sz w:val="20"/>
      <w:szCs w:val="20"/>
      <w:lang w:eastAsia="en-GB"/>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PIFtable">
    <w:name w:val="PIF table"/>
    <w:basedOn w:val="TableNormal"/>
    <w:uiPriority w:val="99"/>
    <w:pPr>
      <w:spacing w:after="0" w:line="240" w:lineRule="auto"/>
    </w:pPr>
    <w:rPr>
      <w:rFonts w:ascii="Calibri" w:eastAsia="Calibri" w:hAnsi="Calibri" w:cs="DokChampa"/>
      <w:sz w:val="20"/>
      <w:szCs w:val="20"/>
      <w:lang w:eastAsia="en-GB"/>
    </w:rPr>
    <w:tblPr>
      <w:tblStyleRowBandSize w:val="1"/>
    </w:tblPr>
    <w:tcPr>
      <w:shd w:val="clear" w:color="auto" w:fill="990000"/>
    </w:tcPr>
    <w:tblStylePr w:type="firstRow">
      <w:rPr>
        <w:rFonts w:ascii="Arial" w:hAnsi="Arial"/>
        <w:b/>
        <w:sz w:val="18"/>
      </w:rPr>
    </w:tblStylePr>
    <w:tblStylePr w:type="lastRow">
      <w:rPr>
        <w:rFonts w:ascii="Arial" w:hAnsi="Arial"/>
        <w:b/>
        <w:sz w:val="18"/>
      </w:rPr>
      <w:tblPr/>
      <w:tcPr>
        <w:shd w:val="clear" w:color="auto" w:fill="990000"/>
      </w:tcPr>
    </w:tblStylePr>
    <w:tblStylePr w:type="band1Horz">
      <w:rPr>
        <w:rFonts w:ascii="Arial" w:hAnsi="Arial"/>
        <w:sz w:val="18"/>
      </w:rPr>
      <w:tblPr/>
      <w:tcPr>
        <w:shd w:val="clear" w:color="auto" w:fill="FFFFFF"/>
      </w:tcPr>
    </w:tblStylePr>
    <w:tblStylePr w:type="band2Horz">
      <w:rPr>
        <w:rFonts w:ascii="Arial" w:hAnsi="Arial"/>
        <w:sz w:val="18"/>
      </w:rPr>
      <w:tblPr/>
      <w:tcPr>
        <w:shd w:val="clear" w:color="auto" w:fill="FF9999"/>
      </w:tcPr>
    </w:tblStylePr>
  </w:style>
  <w:style w:type="paragraph" w:styleId="IntenseQuote">
    <w:name w:val="Intense Quote"/>
    <w:basedOn w:val="Normal"/>
    <w:next w:val="Normal"/>
    <w:link w:val="IntenseQuoteChar"/>
    <w:uiPriority w:val="30"/>
    <w:qFormat/>
    <w:pPr>
      <w:pBdr>
        <w:top w:val="single" w:sz="4" w:space="10" w:color="5B9BD5"/>
        <w:bottom w:val="single" w:sz="4" w:space="10" w:color="5B9BD5"/>
      </w:pBdr>
      <w:spacing w:before="360" w:after="360" w:line="276" w:lineRule="auto"/>
      <w:ind w:left="864" w:right="864"/>
      <w:jc w:val="center"/>
    </w:pPr>
    <w:rPr>
      <w:rFonts w:ascii="Calibri" w:eastAsia="Calibri" w:hAnsi="Calibri" w:cs="DokChampa"/>
      <w:i/>
      <w:iCs/>
      <w:color w:val="5B9BD5"/>
      <w:lang w:bidi="lo-LA"/>
    </w:rPr>
  </w:style>
  <w:style w:type="character" w:customStyle="1" w:styleId="IntenseQuoteChar">
    <w:name w:val="Intense Quote Char"/>
    <w:basedOn w:val="DefaultParagraphFont"/>
    <w:link w:val="IntenseQuote"/>
    <w:uiPriority w:val="30"/>
    <w:rPr>
      <w:rFonts w:ascii="Calibri" w:eastAsia="Calibri" w:hAnsi="Calibri" w:cs="DokChampa"/>
      <w:i/>
      <w:iCs/>
      <w:color w:val="5B9BD5"/>
      <w:lang w:bidi="lo-LA"/>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pPr>
      <w:spacing w:before="240" w:after="60" w:line="276" w:lineRule="auto"/>
      <w:jc w:val="center"/>
      <w:outlineLvl w:val="0"/>
    </w:pPr>
    <w:rPr>
      <w:rFonts w:ascii="Calibri Light" w:eastAsia="Times New Roman" w:hAnsi="Calibri Light" w:cs="Times New Roman"/>
      <w:b/>
      <w:bCs/>
      <w:kern w:val="28"/>
      <w:sz w:val="32"/>
      <w:szCs w:val="32"/>
      <w:lang w:bidi="lo-LA"/>
    </w:rPr>
  </w:style>
  <w:style w:type="character" w:customStyle="1" w:styleId="TitleChar">
    <w:name w:val="Title Char"/>
    <w:basedOn w:val="DefaultParagraphFont"/>
    <w:link w:val="Title"/>
    <w:uiPriority w:val="10"/>
    <w:rPr>
      <w:rFonts w:ascii="Calibri Light" w:eastAsia="Times New Roman" w:hAnsi="Calibri Light" w:cs="Times New Roman"/>
      <w:b/>
      <w:bCs/>
      <w:kern w:val="28"/>
      <w:sz w:val="32"/>
      <w:szCs w:val="32"/>
      <w:lang w:bidi="lo-LA"/>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Point0number">
    <w:name w:val="Point 0 (number)"/>
    <w:basedOn w:val="Normal"/>
    <w:pPr>
      <w:numPr>
        <w:ilvl w:val="1"/>
        <w:numId w:val="22"/>
      </w:numPr>
      <w:spacing w:before="120" w:after="120" w:line="240" w:lineRule="auto"/>
      <w:jc w:val="both"/>
    </w:pPr>
    <w:rPr>
      <w:rFonts w:ascii="Times New Roman" w:eastAsia="Times New Roman" w:hAnsi="Times New Roman" w:cs="Times New Roman"/>
      <w:sz w:val="24"/>
      <w:lang w:eastAsia="en-GB"/>
    </w:rPr>
  </w:style>
  <w:style w:type="paragraph" w:customStyle="1" w:styleId="Point1number">
    <w:name w:val="Point 1 (number)"/>
    <w:basedOn w:val="Normal"/>
    <w:pPr>
      <w:numPr>
        <w:ilvl w:val="3"/>
        <w:numId w:val="22"/>
      </w:numPr>
      <w:spacing w:before="120" w:after="120" w:line="240" w:lineRule="auto"/>
      <w:jc w:val="both"/>
    </w:pPr>
    <w:rPr>
      <w:rFonts w:ascii="Times New Roman" w:eastAsia="Times New Roman" w:hAnsi="Times New Roman" w:cs="Times New Roman"/>
      <w:sz w:val="24"/>
      <w:lang w:eastAsia="en-GB"/>
    </w:rPr>
  </w:style>
  <w:style w:type="paragraph" w:customStyle="1" w:styleId="Point2number">
    <w:name w:val="Point 2 (number)"/>
    <w:basedOn w:val="Normal"/>
    <w:pPr>
      <w:numPr>
        <w:ilvl w:val="5"/>
        <w:numId w:val="22"/>
      </w:numPr>
      <w:spacing w:before="120" w:after="120" w:line="240" w:lineRule="auto"/>
      <w:jc w:val="both"/>
    </w:pPr>
    <w:rPr>
      <w:rFonts w:ascii="Times New Roman" w:eastAsia="Times New Roman" w:hAnsi="Times New Roman" w:cs="Times New Roman"/>
      <w:sz w:val="24"/>
      <w:lang w:eastAsia="en-GB"/>
    </w:rPr>
  </w:style>
  <w:style w:type="paragraph" w:customStyle="1" w:styleId="Point3number">
    <w:name w:val="Point 3 (number)"/>
    <w:basedOn w:val="Normal"/>
    <w:pPr>
      <w:numPr>
        <w:ilvl w:val="7"/>
        <w:numId w:val="22"/>
      </w:numPr>
      <w:spacing w:before="120" w:after="120" w:line="240" w:lineRule="auto"/>
      <w:jc w:val="both"/>
    </w:pPr>
    <w:rPr>
      <w:rFonts w:ascii="Times New Roman" w:eastAsia="Times New Roman" w:hAnsi="Times New Roman" w:cs="Times New Roman"/>
      <w:sz w:val="24"/>
      <w:lang w:eastAsia="en-GB"/>
    </w:rPr>
  </w:style>
  <w:style w:type="paragraph" w:customStyle="1" w:styleId="Point0letter">
    <w:name w:val="Point 0 (letter)"/>
    <w:basedOn w:val="Normal"/>
    <w:pPr>
      <w:tabs>
        <w:tab w:val="num" w:pos="850"/>
      </w:tabs>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Point1letter">
    <w:name w:val="Point 1 (letter)"/>
    <w:basedOn w:val="Normal"/>
    <w:pPr>
      <w:tabs>
        <w:tab w:val="num" w:pos="1417"/>
      </w:tabs>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Point2letter">
    <w:name w:val="Point 2 (letter)"/>
    <w:basedOn w:val="Normal"/>
    <w:pPr>
      <w:tabs>
        <w:tab w:val="num" w:pos="1984"/>
      </w:tabs>
      <w:spacing w:before="120" w:after="120" w:line="240" w:lineRule="auto"/>
      <w:ind w:left="1984" w:hanging="567"/>
      <w:jc w:val="both"/>
    </w:pPr>
    <w:rPr>
      <w:rFonts w:ascii="Times New Roman" w:eastAsia="Times New Roman" w:hAnsi="Times New Roman" w:cs="Times New Roman"/>
      <w:sz w:val="24"/>
      <w:lang w:eastAsia="en-GB"/>
    </w:rPr>
  </w:style>
  <w:style w:type="paragraph" w:customStyle="1" w:styleId="Point3letter">
    <w:name w:val="Point 3 (letter)"/>
    <w:basedOn w:val="Normal"/>
    <w:pPr>
      <w:tabs>
        <w:tab w:val="num" w:pos="2551"/>
      </w:tabs>
      <w:spacing w:before="120" w:after="120" w:line="240" w:lineRule="auto"/>
      <w:ind w:left="2551" w:hanging="567"/>
      <w:jc w:val="both"/>
    </w:pPr>
    <w:rPr>
      <w:rFonts w:ascii="Times New Roman" w:eastAsia="Times New Roman" w:hAnsi="Times New Roman" w:cs="Times New Roman"/>
      <w:sz w:val="24"/>
      <w:lang w:eastAsia="en-GB"/>
    </w:rPr>
  </w:style>
  <w:style w:type="paragraph" w:customStyle="1" w:styleId="Point4letter">
    <w:name w:val="Point 4 (letter)"/>
    <w:basedOn w:val="Normal"/>
    <w:pPr>
      <w:tabs>
        <w:tab w:val="num" w:pos="3118"/>
      </w:tabs>
      <w:spacing w:before="120" w:after="120" w:line="240" w:lineRule="auto"/>
      <w:ind w:left="3118" w:hanging="567"/>
      <w:jc w:val="both"/>
    </w:pPr>
    <w:rPr>
      <w:rFonts w:ascii="Times New Roman" w:eastAsia="Times New Roman" w:hAnsi="Times New Roman" w:cs="Times New Roman"/>
      <w:sz w:val="24"/>
      <w:lang w:eastAsia="en-GB"/>
    </w:rPr>
  </w:style>
  <w:style w:type="paragraph" w:customStyle="1" w:styleId="ChapterTitle">
    <w:name w:val="ChapterTitle"/>
    <w:basedOn w:val="Normal"/>
    <w:next w:val="Normal"/>
    <w:link w:val="ChapterTitleChar"/>
    <w:pPr>
      <w:keepNext/>
      <w:spacing w:before="120" w:after="360" w:line="240" w:lineRule="auto"/>
      <w:jc w:val="center"/>
    </w:pPr>
    <w:rPr>
      <w:rFonts w:ascii="Times New Roman" w:eastAsia="Times New Roman" w:hAnsi="Times New Roman" w:cs="Times New Roman"/>
      <w:b/>
      <w:sz w:val="32"/>
      <w:lang w:eastAsia="en-GB"/>
    </w:rPr>
  </w:style>
  <w:style w:type="character" w:customStyle="1" w:styleId="ChapterTitleChar">
    <w:name w:val="ChapterTitle Char"/>
    <w:basedOn w:val="DefaultParagraphFont"/>
    <w:link w:val="ChapterTitle"/>
    <w:rPr>
      <w:rFonts w:ascii="Times New Roman" w:eastAsia="Times New Roman" w:hAnsi="Times New Roman" w:cs="Times New Roman"/>
      <w:b/>
      <w:sz w:val="32"/>
      <w:lang w:eastAsia="en-GB"/>
    </w:rPr>
  </w:style>
  <w:style w:type="paragraph" w:customStyle="1" w:styleId="Tiret1">
    <w:name w:val="Tiret 1"/>
    <w:basedOn w:val="Normal"/>
    <w:pPr>
      <w:numPr>
        <w:numId w:val="23"/>
      </w:numPr>
      <w:spacing w:before="120" w:after="120" w:line="240" w:lineRule="auto"/>
      <w:jc w:val="both"/>
    </w:pPr>
    <w:rPr>
      <w:rFonts w:ascii="Times New Roman" w:eastAsia="Times New Roman" w:hAnsi="Times New Roman" w:cs="Times New Roman"/>
      <w:sz w:val="24"/>
      <w:lang w:eastAsia="en-GB"/>
    </w:r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cs="Times New Roman"/>
      <w:b/>
      <w:smallCaps/>
      <w:sz w:val="28"/>
      <w:lang w:eastAsia="en-GB"/>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cs="Times New Roman"/>
      <w:b/>
      <w:sz w:val="36"/>
      <w:lang w:eastAsia="en-GB"/>
    </w:rPr>
  </w:style>
  <w:style w:type="paragraph" w:styleId="TOC6">
    <w:name w:val="toc 6"/>
    <w:basedOn w:val="Normal"/>
    <w:next w:val="Normal"/>
    <w:autoRedefine/>
    <w:uiPriority w:val="39"/>
    <w:unhideWhenUsed/>
    <w:pPr>
      <w:spacing w:after="100" w:line="276" w:lineRule="auto"/>
      <w:ind w:left="1100"/>
    </w:pPr>
    <w:rPr>
      <w:rFonts w:eastAsiaTheme="minorEastAsia"/>
      <w:lang w:eastAsia="en-GB"/>
    </w:rPr>
  </w:style>
  <w:style w:type="paragraph" w:styleId="TOC7">
    <w:name w:val="toc 7"/>
    <w:basedOn w:val="Normal"/>
    <w:next w:val="Normal"/>
    <w:autoRedefine/>
    <w:uiPriority w:val="39"/>
    <w:unhideWhenUsed/>
    <w:pPr>
      <w:spacing w:after="100" w:line="276" w:lineRule="auto"/>
      <w:ind w:left="1320"/>
    </w:pPr>
    <w:rPr>
      <w:rFonts w:eastAsiaTheme="minorEastAsia"/>
      <w:lang w:eastAsia="en-GB"/>
    </w:rPr>
  </w:style>
  <w:style w:type="paragraph" w:styleId="TOC8">
    <w:name w:val="toc 8"/>
    <w:basedOn w:val="Normal"/>
    <w:next w:val="Normal"/>
    <w:autoRedefine/>
    <w:uiPriority w:val="39"/>
    <w:unhideWhenUsed/>
    <w:pPr>
      <w:spacing w:after="100" w:line="276" w:lineRule="auto"/>
      <w:ind w:left="1540"/>
    </w:pPr>
    <w:rPr>
      <w:rFonts w:eastAsiaTheme="minorEastAsia"/>
      <w:lang w:eastAsia="en-GB"/>
    </w:rPr>
  </w:style>
  <w:style w:type="paragraph" w:styleId="TOC9">
    <w:name w:val="toc 9"/>
    <w:basedOn w:val="Normal"/>
    <w:next w:val="Normal"/>
    <w:autoRedefine/>
    <w:uiPriority w:val="39"/>
    <w:unhideWhenUsed/>
    <w:pPr>
      <w:spacing w:after="100" w:line="276" w:lineRule="auto"/>
      <w:ind w:left="1760"/>
    </w:pPr>
    <w:rPr>
      <w:rFonts w:eastAsiaTheme="minorEastAsia"/>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table" w:customStyle="1" w:styleId="GridTable4-Accent21">
    <w:name w:val="Grid Table 4 - Accent 21"/>
    <w:basedOn w:val="TableNormal"/>
    <w:uiPriority w:val="49"/>
    <w:pPr>
      <w:spacing w:after="0" w:line="240" w:lineRule="auto"/>
    </w:pPr>
    <w:rPr>
      <w:rFonts w:ascii="Calibri" w:eastAsia="Calibri" w:hAnsi="Calibri" w:cs="DokChampa"/>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
    <w:name w:val="Grid Table 4 Accent 6"/>
    <w:basedOn w:val="TableNormal"/>
    <w:uiPriority w:val="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2512">
      <w:bodyDiv w:val="1"/>
      <w:marLeft w:val="0"/>
      <w:marRight w:val="0"/>
      <w:marTop w:val="0"/>
      <w:marBottom w:val="0"/>
      <w:divBdr>
        <w:top w:val="none" w:sz="0" w:space="0" w:color="auto"/>
        <w:left w:val="none" w:sz="0" w:space="0" w:color="auto"/>
        <w:bottom w:val="none" w:sz="0" w:space="0" w:color="auto"/>
        <w:right w:val="none" w:sz="0" w:space="0" w:color="auto"/>
      </w:divBdr>
    </w:div>
    <w:div w:id="64227184">
      <w:bodyDiv w:val="1"/>
      <w:marLeft w:val="0"/>
      <w:marRight w:val="0"/>
      <w:marTop w:val="0"/>
      <w:marBottom w:val="0"/>
      <w:divBdr>
        <w:top w:val="none" w:sz="0" w:space="0" w:color="auto"/>
        <w:left w:val="none" w:sz="0" w:space="0" w:color="auto"/>
        <w:bottom w:val="none" w:sz="0" w:space="0" w:color="auto"/>
        <w:right w:val="none" w:sz="0" w:space="0" w:color="auto"/>
      </w:divBdr>
    </w:div>
    <w:div w:id="114033082">
      <w:bodyDiv w:val="1"/>
      <w:marLeft w:val="0"/>
      <w:marRight w:val="0"/>
      <w:marTop w:val="0"/>
      <w:marBottom w:val="0"/>
      <w:divBdr>
        <w:top w:val="none" w:sz="0" w:space="0" w:color="auto"/>
        <w:left w:val="none" w:sz="0" w:space="0" w:color="auto"/>
        <w:bottom w:val="none" w:sz="0" w:space="0" w:color="auto"/>
        <w:right w:val="none" w:sz="0" w:space="0" w:color="auto"/>
      </w:divBdr>
    </w:div>
    <w:div w:id="117339552">
      <w:bodyDiv w:val="1"/>
      <w:marLeft w:val="0"/>
      <w:marRight w:val="0"/>
      <w:marTop w:val="0"/>
      <w:marBottom w:val="0"/>
      <w:divBdr>
        <w:top w:val="none" w:sz="0" w:space="0" w:color="auto"/>
        <w:left w:val="none" w:sz="0" w:space="0" w:color="auto"/>
        <w:bottom w:val="none" w:sz="0" w:space="0" w:color="auto"/>
        <w:right w:val="none" w:sz="0" w:space="0" w:color="auto"/>
      </w:divBdr>
    </w:div>
    <w:div w:id="141779664">
      <w:bodyDiv w:val="1"/>
      <w:marLeft w:val="0"/>
      <w:marRight w:val="0"/>
      <w:marTop w:val="0"/>
      <w:marBottom w:val="0"/>
      <w:divBdr>
        <w:top w:val="none" w:sz="0" w:space="0" w:color="auto"/>
        <w:left w:val="none" w:sz="0" w:space="0" w:color="auto"/>
        <w:bottom w:val="none" w:sz="0" w:space="0" w:color="auto"/>
        <w:right w:val="none" w:sz="0" w:space="0" w:color="auto"/>
      </w:divBdr>
    </w:div>
    <w:div w:id="366561519">
      <w:bodyDiv w:val="1"/>
      <w:marLeft w:val="0"/>
      <w:marRight w:val="0"/>
      <w:marTop w:val="0"/>
      <w:marBottom w:val="0"/>
      <w:divBdr>
        <w:top w:val="none" w:sz="0" w:space="0" w:color="auto"/>
        <w:left w:val="none" w:sz="0" w:space="0" w:color="auto"/>
        <w:bottom w:val="none" w:sz="0" w:space="0" w:color="auto"/>
        <w:right w:val="none" w:sz="0" w:space="0" w:color="auto"/>
      </w:divBdr>
    </w:div>
    <w:div w:id="415901321">
      <w:bodyDiv w:val="1"/>
      <w:marLeft w:val="0"/>
      <w:marRight w:val="0"/>
      <w:marTop w:val="0"/>
      <w:marBottom w:val="0"/>
      <w:divBdr>
        <w:top w:val="none" w:sz="0" w:space="0" w:color="auto"/>
        <w:left w:val="none" w:sz="0" w:space="0" w:color="auto"/>
        <w:bottom w:val="none" w:sz="0" w:space="0" w:color="auto"/>
        <w:right w:val="none" w:sz="0" w:space="0" w:color="auto"/>
      </w:divBdr>
    </w:div>
    <w:div w:id="454101157">
      <w:bodyDiv w:val="1"/>
      <w:marLeft w:val="0"/>
      <w:marRight w:val="0"/>
      <w:marTop w:val="0"/>
      <w:marBottom w:val="0"/>
      <w:divBdr>
        <w:top w:val="none" w:sz="0" w:space="0" w:color="auto"/>
        <w:left w:val="none" w:sz="0" w:space="0" w:color="auto"/>
        <w:bottom w:val="none" w:sz="0" w:space="0" w:color="auto"/>
        <w:right w:val="none" w:sz="0" w:space="0" w:color="auto"/>
      </w:divBdr>
    </w:div>
    <w:div w:id="501243731">
      <w:bodyDiv w:val="1"/>
      <w:marLeft w:val="0"/>
      <w:marRight w:val="0"/>
      <w:marTop w:val="0"/>
      <w:marBottom w:val="0"/>
      <w:divBdr>
        <w:top w:val="none" w:sz="0" w:space="0" w:color="auto"/>
        <w:left w:val="none" w:sz="0" w:space="0" w:color="auto"/>
        <w:bottom w:val="none" w:sz="0" w:space="0" w:color="auto"/>
        <w:right w:val="none" w:sz="0" w:space="0" w:color="auto"/>
      </w:divBdr>
    </w:div>
    <w:div w:id="524640050">
      <w:bodyDiv w:val="1"/>
      <w:marLeft w:val="0"/>
      <w:marRight w:val="0"/>
      <w:marTop w:val="0"/>
      <w:marBottom w:val="0"/>
      <w:divBdr>
        <w:top w:val="none" w:sz="0" w:space="0" w:color="auto"/>
        <w:left w:val="none" w:sz="0" w:space="0" w:color="auto"/>
        <w:bottom w:val="none" w:sz="0" w:space="0" w:color="auto"/>
        <w:right w:val="none" w:sz="0" w:space="0" w:color="auto"/>
      </w:divBdr>
    </w:div>
    <w:div w:id="685979503">
      <w:bodyDiv w:val="1"/>
      <w:marLeft w:val="0"/>
      <w:marRight w:val="0"/>
      <w:marTop w:val="0"/>
      <w:marBottom w:val="0"/>
      <w:divBdr>
        <w:top w:val="none" w:sz="0" w:space="0" w:color="auto"/>
        <w:left w:val="none" w:sz="0" w:space="0" w:color="auto"/>
        <w:bottom w:val="none" w:sz="0" w:space="0" w:color="auto"/>
        <w:right w:val="none" w:sz="0" w:space="0" w:color="auto"/>
      </w:divBdr>
    </w:div>
    <w:div w:id="709262870">
      <w:bodyDiv w:val="1"/>
      <w:marLeft w:val="0"/>
      <w:marRight w:val="0"/>
      <w:marTop w:val="0"/>
      <w:marBottom w:val="0"/>
      <w:divBdr>
        <w:top w:val="none" w:sz="0" w:space="0" w:color="auto"/>
        <w:left w:val="none" w:sz="0" w:space="0" w:color="auto"/>
        <w:bottom w:val="none" w:sz="0" w:space="0" w:color="auto"/>
        <w:right w:val="none" w:sz="0" w:space="0" w:color="auto"/>
      </w:divBdr>
    </w:div>
    <w:div w:id="735202471">
      <w:bodyDiv w:val="1"/>
      <w:marLeft w:val="0"/>
      <w:marRight w:val="0"/>
      <w:marTop w:val="0"/>
      <w:marBottom w:val="0"/>
      <w:divBdr>
        <w:top w:val="none" w:sz="0" w:space="0" w:color="auto"/>
        <w:left w:val="none" w:sz="0" w:space="0" w:color="auto"/>
        <w:bottom w:val="none" w:sz="0" w:space="0" w:color="auto"/>
        <w:right w:val="none" w:sz="0" w:space="0" w:color="auto"/>
      </w:divBdr>
    </w:div>
    <w:div w:id="764233924">
      <w:bodyDiv w:val="1"/>
      <w:marLeft w:val="0"/>
      <w:marRight w:val="0"/>
      <w:marTop w:val="0"/>
      <w:marBottom w:val="0"/>
      <w:divBdr>
        <w:top w:val="none" w:sz="0" w:space="0" w:color="auto"/>
        <w:left w:val="none" w:sz="0" w:space="0" w:color="auto"/>
        <w:bottom w:val="none" w:sz="0" w:space="0" w:color="auto"/>
        <w:right w:val="none" w:sz="0" w:space="0" w:color="auto"/>
      </w:divBdr>
    </w:div>
    <w:div w:id="1032655249">
      <w:bodyDiv w:val="1"/>
      <w:marLeft w:val="0"/>
      <w:marRight w:val="0"/>
      <w:marTop w:val="0"/>
      <w:marBottom w:val="0"/>
      <w:divBdr>
        <w:top w:val="none" w:sz="0" w:space="0" w:color="auto"/>
        <w:left w:val="none" w:sz="0" w:space="0" w:color="auto"/>
        <w:bottom w:val="none" w:sz="0" w:space="0" w:color="auto"/>
        <w:right w:val="none" w:sz="0" w:space="0" w:color="auto"/>
      </w:divBdr>
    </w:div>
    <w:div w:id="1067462055">
      <w:bodyDiv w:val="1"/>
      <w:marLeft w:val="0"/>
      <w:marRight w:val="0"/>
      <w:marTop w:val="0"/>
      <w:marBottom w:val="0"/>
      <w:divBdr>
        <w:top w:val="none" w:sz="0" w:space="0" w:color="auto"/>
        <w:left w:val="none" w:sz="0" w:space="0" w:color="auto"/>
        <w:bottom w:val="none" w:sz="0" w:space="0" w:color="auto"/>
        <w:right w:val="none" w:sz="0" w:space="0" w:color="auto"/>
      </w:divBdr>
    </w:div>
    <w:div w:id="1268585564">
      <w:bodyDiv w:val="1"/>
      <w:marLeft w:val="0"/>
      <w:marRight w:val="0"/>
      <w:marTop w:val="0"/>
      <w:marBottom w:val="0"/>
      <w:divBdr>
        <w:top w:val="none" w:sz="0" w:space="0" w:color="auto"/>
        <w:left w:val="none" w:sz="0" w:space="0" w:color="auto"/>
        <w:bottom w:val="none" w:sz="0" w:space="0" w:color="auto"/>
        <w:right w:val="none" w:sz="0" w:space="0" w:color="auto"/>
      </w:divBdr>
    </w:div>
    <w:div w:id="1340038968">
      <w:bodyDiv w:val="1"/>
      <w:marLeft w:val="0"/>
      <w:marRight w:val="0"/>
      <w:marTop w:val="0"/>
      <w:marBottom w:val="0"/>
      <w:divBdr>
        <w:top w:val="none" w:sz="0" w:space="0" w:color="auto"/>
        <w:left w:val="none" w:sz="0" w:space="0" w:color="auto"/>
        <w:bottom w:val="none" w:sz="0" w:space="0" w:color="auto"/>
        <w:right w:val="none" w:sz="0" w:space="0" w:color="auto"/>
      </w:divBdr>
    </w:div>
    <w:div w:id="1372269985">
      <w:bodyDiv w:val="1"/>
      <w:marLeft w:val="0"/>
      <w:marRight w:val="0"/>
      <w:marTop w:val="0"/>
      <w:marBottom w:val="0"/>
      <w:divBdr>
        <w:top w:val="none" w:sz="0" w:space="0" w:color="auto"/>
        <w:left w:val="none" w:sz="0" w:space="0" w:color="auto"/>
        <w:bottom w:val="none" w:sz="0" w:space="0" w:color="auto"/>
        <w:right w:val="none" w:sz="0" w:space="0" w:color="auto"/>
      </w:divBdr>
    </w:div>
    <w:div w:id="1450513563">
      <w:bodyDiv w:val="1"/>
      <w:marLeft w:val="0"/>
      <w:marRight w:val="0"/>
      <w:marTop w:val="0"/>
      <w:marBottom w:val="0"/>
      <w:divBdr>
        <w:top w:val="none" w:sz="0" w:space="0" w:color="auto"/>
        <w:left w:val="none" w:sz="0" w:space="0" w:color="auto"/>
        <w:bottom w:val="none" w:sz="0" w:space="0" w:color="auto"/>
        <w:right w:val="none" w:sz="0" w:space="0" w:color="auto"/>
      </w:divBdr>
    </w:div>
    <w:div w:id="1613168665">
      <w:bodyDiv w:val="1"/>
      <w:marLeft w:val="0"/>
      <w:marRight w:val="0"/>
      <w:marTop w:val="0"/>
      <w:marBottom w:val="0"/>
      <w:divBdr>
        <w:top w:val="none" w:sz="0" w:space="0" w:color="auto"/>
        <w:left w:val="none" w:sz="0" w:space="0" w:color="auto"/>
        <w:bottom w:val="none" w:sz="0" w:space="0" w:color="auto"/>
        <w:right w:val="none" w:sz="0" w:space="0" w:color="auto"/>
      </w:divBdr>
    </w:div>
    <w:div w:id="1664701867">
      <w:bodyDiv w:val="1"/>
      <w:marLeft w:val="0"/>
      <w:marRight w:val="0"/>
      <w:marTop w:val="0"/>
      <w:marBottom w:val="0"/>
      <w:divBdr>
        <w:top w:val="none" w:sz="0" w:space="0" w:color="auto"/>
        <w:left w:val="none" w:sz="0" w:space="0" w:color="auto"/>
        <w:bottom w:val="none" w:sz="0" w:space="0" w:color="auto"/>
        <w:right w:val="none" w:sz="0" w:space="0" w:color="auto"/>
      </w:divBdr>
    </w:div>
    <w:div w:id="1713338430">
      <w:bodyDiv w:val="1"/>
      <w:marLeft w:val="0"/>
      <w:marRight w:val="0"/>
      <w:marTop w:val="0"/>
      <w:marBottom w:val="0"/>
      <w:divBdr>
        <w:top w:val="none" w:sz="0" w:space="0" w:color="auto"/>
        <w:left w:val="none" w:sz="0" w:space="0" w:color="auto"/>
        <w:bottom w:val="none" w:sz="0" w:space="0" w:color="auto"/>
        <w:right w:val="none" w:sz="0" w:space="0" w:color="auto"/>
      </w:divBdr>
    </w:div>
    <w:div w:id="1745376398">
      <w:bodyDiv w:val="1"/>
      <w:marLeft w:val="0"/>
      <w:marRight w:val="0"/>
      <w:marTop w:val="0"/>
      <w:marBottom w:val="0"/>
      <w:divBdr>
        <w:top w:val="none" w:sz="0" w:space="0" w:color="auto"/>
        <w:left w:val="none" w:sz="0" w:space="0" w:color="auto"/>
        <w:bottom w:val="none" w:sz="0" w:space="0" w:color="auto"/>
        <w:right w:val="none" w:sz="0" w:space="0" w:color="auto"/>
      </w:divBdr>
    </w:div>
    <w:div w:id="1752191491">
      <w:bodyDiv w:val="1"/>
      <w:marLeft w:val="0"/>
      <w:marRight w:val="0"/>
      <w:marTop w:val="0"/>
      <w:marBottom w:val="0"/>
      <w:divBdr>
        <w:top w:val="none" w:sz="0" w:space="0" w:color="auto"/>
        <w:left w:val="none" w:sz="0" w:space="0" w:color="auto"/>
        <w:bottom w:val="none" w:sz="0" w:space="0" w:color="auto"/>
        <w:right w:val="none" w:sz="0" w:space="0" w:color="auto"/>
      </w:divBdr>
    </w:div>
    <w:div w:id="1885289999">
      <w:bodyDiv w:val="1"/>
      <w:marLeft w:val="0"/>
      <w:marRight w:val="0"/>
      <w:marTop w:val="0"/>
      <w:marBottom w:val="0"/>
      <w:divBdr>
        <w:top w:val="none" w:sz="0" w:space="0" w:color="auto"/>
        <w:left w:val="none" w:sz="0" w:space="0" w:color="auto"/>
        <w:bottom w:val="none" w:sz="0" w:space="0" w:color="auto"/>
        <w:right w:val="none" w:sz="0" w:space="0" w:color="auto"/>
      </w:divBdr>
    </w:div>
    <w:div w:id="1903059859">
      <w:bodyDiv w:val="1"/>
      <w:marLeft w:val="0"/>
      <w:marRight w:val="0"/>
      <w:marTop w:val="0"/>
      <w:marBottom w:val="0"/>
      <w:divBdr>
        <w:top w:val="none" w:sz="0" w:space="0" w:color="auto"/>
        <w:left w:val="none" w:sz="0" w:space="0" w:color="auto"/>
        <w:bottom w:val="none" w:sz="0" w:space="0" w:color="auto"/>
        <w:right w:val="none" w:sz="0" w:space="0" w:color="auto"/>
      </w:divBdr>
    </w:div>
    <w:div w:id="1963684977">
      <w:bodyDiv w:val="1"/>
      <w:marLeft w:val="0"/>
      <w:marRight w:val="0"/>
      <w:marTop w:val="0"/>
      <w:marBottom w:val="0"/>
      <w:divBdr>
        <w:top w:val="none" w:sz="0" w:space="0" w:color="auto"/>
        <w:left w:val="none" w:sz="0" w:space="0" w:color="auto"/>
        <w:bottom w:val="none" w:sz="0" w:space="0" w:color="auto"/>
        <w:right w:val="none" w:sz="0" w:space="0" w:color="auto"/>
      </w:divBdr>
    </w:div>
    <w:div w:id="2030062683">
      <w:bodyDiv w:val="1"/>
      <w:marLeft w:val="0"/>
      <w:marRight w:val="0"/>
      <w:marTop w:val="0"/>
      <w:marBottom w:val="0"/>
      <w:divBdr>
        <w:top w:val="none" w:sz="0" w:space="0" w:color="auto"/>
        <w:left w:val="none" w:sz="0" w:space="0" w:color="auto"/>
        <w:bottom w:val="none" w:sz="0" w:space="0" w:color="auto"/>
        <w:right w:val="none" w:sz="0" w:space="0" w:color="auto"/>
      </w:divBdr>
    </w:div>
    <w:div w:id="213051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5.emf"/><Relationship Id="rId21" Type="http://schemas.openxmlformats.org/officeDocument/2006/relationships/chart" Target="charts/chart3.xml"/><Relationship Id="rId42" Type="http://schemas.openxmlformats.org/officeDocument/2006/relationships/image" Target="media/image10.emf"/><Relationship Id="rId63" Type="http://schemas.openxmlformats.org/officeDocument/2006/relationships/image" Target="media/image31.emf"/><Relationship Id="rId84" Type="http://schemas.openxmlformats.org/officeDocument/2006/relationships/image" Target="media/image52.emf"/><Relationship Id="rId138" Type="http://schemas.openxmlformats.org/officeDocument/2006/relationships/image" Target="media/image106.emf"/><Relationship Id="rId159" Type="http://schemas.openxmlformats.org/officeDocument/2006/relationships/header" Target="header6.xml"/><Relationship Id="rId170" Type="http://schemas.openxmlformats.org/officeDocument/2006/relationships/footer" Target="footer11.xml"/><Relationship Id="rId191" Type="http://schemas.openxmlformats.org/officeDocument/2006/relationships/image" Target="media/image123.emf"/><Relationship Id="rId205" Type="http://schemas.openxmlformats.org/officeDocument/2006/relationships/footer" Target="footer25.xml"/><Relationship Id="rId16" Type="http://schemas.openxmlformats.org/officeDocument/2006/relationships/hyperlink" Target="http://ec.europa.eu/enlargement/how-does-it-work/financial-assistance/planning-ipa_en.htm" TargetMode="External"/><Relationship Id="rId107" Type="http://schemas.openxmlformats.org/officeDocument/2006/relationships/image" Target="media/image75.emf"/><Relationship Id="rId11" Type="http://schemas.openxmlformats.org/officeDocument/2006/relationships/header" Target="header2.xml"/><Relationship Id="rId32" Type="http://schemas.openxmlformats.org/officeDocument/2006/relationships/image" Target="media/image2.png"/><Relationship Id="rId37" Type="http://schemas.openxmlformats.org/officeDocument/2006/relationships/image" Target="media/image5.emf"/><Relationship Id="rId53" Type="http://schemas.openxmlformats.org/officeDocument/2006/relationships/image" Target="media/image21.emf"/><Relationship Id="rId58" Type="http://schemas.openxmlformats.org/officeDocument/2006/relationships/image" Target="media/image26.emf"/><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image" Target="media/image70.emf"/><Relationship Id="rId123" Type="http://schemas.openxmlformats.org/officeDocument/2006/relationships/image" Target="media/image91.emf"/><Relationship Id="rId128" Type="http://schemas.openxmlformats.org/officeDocument/2006/relationships/image" Target="media/image96.emf"/><Relationship Id="rId144" Type="http://schemas.openxmlformats.org/officeDocument/2006/relationships/image" Target="media/image112.emf"/><Relationship Id="rId149" Type="http://schemas.openxmlformats.org/officeDocument/2006/relationships/image" Target="media/image117.emf"/><Relationship Id="rId5" Type="http://schemas.openxmlformats.org/officeDocument/2006/relationships/settings" Target="settings.xml"/><Relationship Id="rId90" Type="http://schemas.openxmlformats.org/officeDocument/2006/relationships/image" Target="media/image58.emf"/><Relationship Id="rId95" Type="http://schemas.openxmlformats.org/officeDocument/2006/relationships/image" Target="media/image63.emf"/><Relationship Id="rId160" Type="http://schemas.openxmlformats.org/officeDocument/2006/relationships/footer" Target="footer6.xml"/><Relationship Id="rId165" Type="http://schemas.openxmlformats.org/officeDocument/2006/relationships/header" Target="header9.xml"/><Relationship Id="rId181" Type="http://schemas.openxmlformats.org/officeDocument/2006/relationships/footer" Target="footer16.xml"/><Relationship Id="rId186" Type="http://schemas.openxmlformats.org/officeDocument/2006/relationships/header" Target="header20.xml"/><Relationship Id="rId22" Type="http://schemas.openxmlformats.org/officeDocument/2006/relationships/chart" Target="charts/chart4.xml"/><Relationship Id="rId27" Type="http://schemas.openxmlformats.org/officeDocument/2006/relationships/chart" Target="charts/chart8.xml"/><Relationship Id="rId43" Type="http://schemas.openxmlformats.org/officeDocument/2006/relationships/image" Target="media/image11.emf"/><Relationship Id="rId48" Type="http://schemas.openxmlformats.org/officeDocument/2006/relationships/image" Target="media/image16.emf"/><Relationship Id="rId64" Type="http://schemas.openxmlformats.org/officeDocument/2006/relationships/image" Target="media/image32.emf"/><Relationship Id="rId69" Type="http://schemas.openxmlformats.org/officeDocument/2006/relationships/image" Target="media/image37.emf"/><Relationship Id="rId113" Type="http://schemas.openxmlformats.org/officeDocument/2006/relationships/image" Target="media/image81.emf"/><Relationship Id="rId118" Type="http://schemas.openxmlformats.org/officeDocument/2006/relationships/image" Target="media/image86.emf"/><Relationship Id="rId134" Type="http://schemas.openxmlformats.org/officeDocument/2006/relationships/image" Target="media/image102.emf"/><Relationship Id="rId139" Type="http://schemas.openxmlformats.org/officeDocument/2006/relationships/image" Target="media/image107.emf"/><Relationship Id="rId80" Type="http://schemas.openxmlformats.org/officeDocument/2006/relationships/image" Target="media/image48.emf"/><Relationship Id="rId85" Type="http://schemas.openxmlformats.org/officeDocument/2006/relationships/image" Target="media/image53.emf"/><Relationship Id="rId150" Type="http://schemas.openxmlformats.org/officeDocument/2006/relationships/image" Target="media/image118.emf"/><Relationship Id="rId155" Type="http://schemas.openxmlformats.org/officeDocument/2006/relationships/header" Target="header4.xml"/><Relationship Id="rId171" Type="http://schemas.openxmlformats.org/officeDocument/2006/relationships/header" Target="header12.xml"/><Relationship Id="rId176" Type="http://schemas.openxmlformats.org/officeDocument/2006/relationships/footer" Target="footer14.xml"/><Relationship Id="rId192" Type="http://schemas.openxmlformats.org/officeDocument/2006/relationships/image" Target="media/image124.emf"/><Relationship Id="rId197" Type="http://schemas.openxmlformats.org/officeDocument/2006/relationships/footer" Target="footer22.xml"/><Relationship Id="rId206" Type="http://schemas.openxmlformats.org/officeDocument/2006/relationships/footer" Target="footer26.xml"/><Relationship Id="rId201" Type="http://schemas.openxmlformats.org/officeDocument/2006/relationships/image" Target="media/image127.emf"/><Relationship Id="rId12" Type="http://schemas.openxmlformats.org/officeDocument/2006/relationships/footer" Target="footer1.xml"/><Relationship Id="rId17" Type="http://schemas.openxmlformats.org/officeDocument/2006/relationships/hyperlink" Target="http://ec.europa.eu/enlargement/how-does-it-work/financial-assistance/planning-ipa_en.htm" TargetMode="External"/><Relationship Id="rId33" Type="http://schemas.openxmlformats.org/officeDocument/2006/relationships/chart" Target="charts/chart13.xml"/><Relationship Id="rId38" Type="http://schemas.openxmlformats.org/officeDocument/2006/relationships/image" Target="media/image6.emf"/><Relationship Id="rId59" Type="http://schemas.openxmlformats.org/officeDocument/2006/relationships/image" Target="media/image27.emf"/><Relationship Id="rId103" Type="http://schemas.openxmlformats.org/officeDocument/2006/relationships/image" Target="media/image71.emf"/><Relationship Id="rId108" Type="http://schemas.openxmlformats.org/officeDocument/2006/relationships/image" Target="media/image76.emf"/><Relationship Id="rId124" Type="http://schemas.openxmlformats.org/officeDocument/2006/relationships/image" Target="media/image92.emf"/><Relationship Id="rId129" Type="http://schemas.openxmlformats.org/officeDocument/2006/relationships/image" Target="media/image97.emf"/><Relationship Id="rId54" Type="http://schemas.openxmlformats.org/officeDocument/2006/relationships/image" Target="media/image22.emf"/><Relationship Id="rId70" Type="http://schemas.openxmlformats.org/officeDocument/2006/relationships/image" Target="media/image38.emf"/><Relationship Id="rId75" Type="http://schemas.openxmlformats.org/officeDocument/2006/relationships/image" Target="media/image43.emf"/><Relationship Id="rId91" Type="http://schemas.openxmlformats.org/officeDocument/2006/relationships/image" Target="media/image59.emf"/><Relationship Id="rId96" Type="http://schemas.openxmlformats.org/officeDocument/2006/relationships/image" Target="media/image64.emf"/><Relationship Id="rId140" Type="http://schemas.openxmlformats.org/officeDocument/2006/relationships/image" Target="media/image108.emf"/><Relationship Id="rId145" Type="http://schemas.openxmlformats.org/officeDocument/2006/relationships/image" Target="media/image113.emf"/><Relationship Id="rId161" Type="http://schemas.openxmlformats.org/officeDocument/2006/relationships/header" Target="header7.xml"/><Relationship Id="rId166" Type="http://schemas.openxmlformats.org/officeDocument/2006/relationships/footer" Target="footer9.xml"/><Relationship Id="rId182" Type="http://schemas.openxmlformats.org/officeDocument/2006/relationships/footer" Target="footer17.xml"/><Relationship Id="rId187"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5.xml"/><Relationship Id="rId28" Type="http://schemas.openxmlformats.org/officeDocument/2006/relationships/chart" Target="charts/chart9.xml"/><Relationship Id="rId49" Type="http://schemas.openxmlformats.org/officeDocument/2006/relationships/image" Target="media/image17.emf"/><Relationship Id="rId114" Type="http://schemas.openxmlformats.org/officeDocument/2006/relationships/image" Target="media/image82.emf"/><Relationship Id="rId119" Type="http://schemas.openxmlformats.org/officeDocument/2006/relationships/image" Target="media/image87.emf"/><Relationship Id="rId44" Type="http://schemas.openxmlformats.org/officeDocument/2006/relationships/image" Target="media/image12.emf"/><Relationship Id="rId60" Type="http://schemas.openxmlformats.org/officeDocument/2006/relationships/image" Target="media/image28.emf"/><Relationship Id="rId65" Type="http://schemas.openxmlformats.org/officeDocument/2006/relationships/image" Target="media/image33.emf"/><Relationship Id="rId81" Type="http://schemas.openxmlformats.org/officeDocument/2006/relationships/image" Target="media/image49.emf"/><Relationship Id="rId86" Type="http://schemas.openxmlformats.org/officeDocument/2006/relationships/image" Target="media/image54.emf"/><Relationship Id="rId130" Type="http://schemas.openxmlformats.org/officeDocument/2006/relationships/image" Target="media/image98.emf"/><Relationship Id="rId135" Type="http://schemas.openxmlformats.org/officeDocument/2006/relationships/image" Target="media/image103.emf"/><Relationship Id="rId151" Type="http://schemas.openxmlformats.org/officeDocument/2006/relationships/image" Target="media/image119.emf"/><Relationship Id="rId156" Type="http://schemas.openxmlformats.org/officeDocument/2006/relationships/header" Target="header5.xml"/><Relationship Id="rId177" Type="http://schemas.openxmlformats.org/officeDocument/2006/relationships/header" Target="header15.xml"/><Relationship Id="rId198" Type="http://schemas.openxmlformats.org/officeDocument/2006/relationships/footer" Target="footer23.xml"/><Relationship Id="rId172" Type="http://schemas.openxmlformats.org/officeDocument/2006/relationships/footer" Target="footer12.xml"/><Relationship Id="rId193" Type="http://schemas.openxmlformats.org/officeDocument/2006/relationships/image" Target="media/image125.emf"/><Relationship Id="rId202" Type="http://schemas.openxmlformats.org/officeDocument/2006/relationships/image" Target="media/image128.emf"/><Relationship Id="rId207" Type="http://schemas.openxmlformats.org/officeDocument/2006/relationships/header" Target="header27.xml"/><Relationship Id="rId13" Type="http://schemas.openxmlformats.org/officeDocument/2006/relationships/footer" Target="footer2.xml"/><Relationship Id="rId18" Type="http://schemas.openxmlformats.org/officeDocument/2006/relationships/hyperlink" Target="http://ec.europa.eu/anti-%20fraud/sites/antifraud/files/methodology_statistical_evaluation_2015_en.pdf" TargetMode="External"/><Relationship Id="rId39" Type="http://schemas.openxmlformats.org/officeDocument/2006/relationships/image" Target="media/image7.emf"/><Relationship Id="rId109" Type="http://schemas.openxmlformats.org/officeDocument/2006/relationships/image" Target="media/image77.emf"/><Relationship Id="rId34" Type="http://schemas.openxmlformats.org/officeDocument/2006/relationships/chart" Target="charts/chart14.xml"/><Relationship Id="rId50" Type="http://schemas.openxmlformats.org/officeDocument/2006/relationships/image" Target="media/image18.emf"/><Relationship Id="rId55" Type="http://schemas.openxmlformats.org/officeDocument/2006/relationships/image" Target="media/image23.emf"/><Relationship Id="rId76" Type="http://schemas.openxmlformats.org/officeDocument/2006/relationships/image" Target="media/image44.emf"/><Relationship Id="rId97" Type="http://schemas.openxmlformats.org/officeDocument/2006/relationships/image" Target="media/image65.emf"/><Relationship Id="rId104" Type="http://schemas.openxmlformats.org/officeDocument/2006/relationships/image" Target="media/image72.emf"/><Relationship Id="rId120" Type="http://schemas.openxmlformats.org/officeDocument/2006/relationships/image" Target="media/image88.emf"/><Relationship Id="rId125" Type="http://schemas.openxmlformats.org/officeDocument/2006/relationships/image" Target="media/image93.emf"/><Relationship Id="rId141" Type="http://schemas.openxmlformats.org/officeDocument/2006/relationships/image" Target="media/image109.emf"/><Relationship Id="rId146" Type="http://schemas.openxmlformats.org/officeDocument/2006/relationships/image" Target="media/image114.emf"/><Relationship Id="rId167" Type="http://schemas.openxmlformats.org/officeDocument/2006/relationships/header" Target="header10.xml"/><Relationship Id="rId188" Type="http://schemas.openxmlformats.org/officeDocument/2006/relationships/footer" Target="footer20.xml"/><Relationship Id="rId7" Type="http://schemas.openxmlformats.org/officeDocument/2006/relationships/footnotes" Target="footnotes.xml"/><Relationship Id="rId71" Type="http://schemas.openxmlformats.org/officeDocument/2006/relationships/image" Target="media/image39.emf"/><Relationship Id="rId92" Type="http://schemas.openxmlformats.org/officeDocument/2006/relationships/image" Target="media/image60.emf"/><Relationship Id="rId162" Type="http://schemas.openxmlformats.org/officeDocument/2006/relationships/header" Target="header8.xml"/><Relationship Id="rId183"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6.xml"/><Relationship Id="rId40" Type="http://schemas.openxmlformats.org/officeDocument/2006/relationships/image" Target="media/image8.emf"/><Relationship Id="rId45" Type="http://schemas.openxmlformats.org/officeDocument/2006/relationships/image" Target="media/image13.emf"/><Relationship Id="rId66" Type="http://schemas.openxmlformats.org/officeDocument/2006/relationships/image" Target="media/image34.emf"/><Relationship Id="rId87" Type="http://schemas.openxmlformats.org/officeDocument/2006/relationships/image" Target="media/image55.emf"/><Relationship Id="rId110" Type="http://schemas.openxmlformats.org/officeDocument/2006/relationships/image" Target="media/image78.emf"/><Relationship Id="rId115" Type="http://schemas.openxmlformats.org/officeDocument/2006/relationships/image" Target="media/image83.emf"/><Relationship Id="rId131" Type="http://schemas.openxmlformats.org/officeDocument/2006/relationships/image" Target="media/image99.emf"/><Relationship Id="rId136" Type="http://schemas.openxmlformats.org/officeDocument/2006/relationships/image" Target="media/image104.emf"/><Relationship Id="rId157" Type="http://schemas.openxmlformats.org/officeDocument/2006/relationships/footer" Target="footer4.xml"/><Relationship Id="rId178" Type="http://schemas.openxmlformats.org/officeDocument/2006/relationships/footer" Target="footer15.xml"/><Relationship Id="rId61" Type="http://schemas.openxmlformats.org/officeDocument/2006/relationships/image" Target="media/image29.emf"/><Relationship Id="rId82" Type="http://schemas.openxmlformats.org/officeDocument/2006/relationships/image" Target="media/image50.emf"/><Relationship Id="rId152" Type="http://schemas.openxmlformats.org/officeDocument/2006/relationships/image" Target="media/image120.emf"/><Relationship Id="rId173" Type="http://schemas.openxmlformats.org/officeDocument/2006/relationships/header" Target="header13.xml"/><Relationship Id="rId194" Type="http://schemas.openxmlformats.org/officeDocument/2006/relationships/image" Target="media/image126.emf"/><Relationship Id="rId199" Type="http://schemas.openxmlformats.org/officeDocument/2006/relationships/header" Target="header24.xml"/><Relationship Id="rId203" Type="http://schemas.openxmlformats.org/officeDocument/2006/relationships/header" Target="header25.xml"/><Relationship Id="rId208" Type="http://schemas.openxmlformats.org/officeDocument/2006/relationships/footer" Target="footer27.xml"/><Relationship Id="rId19" Type="http://schemas.openxmlformats.org/officeDocument/2006/relationships/chart" Target="charts/chart1.xml"/><Relationship Id="rId14" Type="http://schemas.openxmlformats.org/officeDocument/2006/relationships/header" Target="header3.xml"/><Relationship Id="rId30" Type="http://schemas.openxmlformats.org/officeDocument/2006/relationships/chart" Target="charts/chart11.xml"/><Relationship Id="rId35" Type="http://schemas.openxmlformats.org/officeDocument/2006/relationships/image" Target="media/image3.emf"/><Relationship Id="rId56" Type="http://schemas.openxmlformats.org/officeDocument/2006/relationships/image" Target="media/image24.emf"/><Relationship Id="rId77" Type="http://schemas.openxmlformats.org/officeDocument/2006/relationships/image" Target="media/image45.emf"/><Relationship Id="rId100" Type="http://schemas.openxmlformats.org/officeDocument/2006/relationships/image" Target="media/image68.emf"/><Relationship Id="rId105" Type="http://schemas.openxmlformats.org/officeDocument/2006/relationships/image" Target="media/image73.emf"/><Relationship Id="rId126" Type="http://schemas.openxmlformats.org/officeDocument/2006/relationships/image" Target="media/image94.emf"/><Relationship Id="rId147" Type="http://schemas.openxmlformats.org/officeDocument/2006/relationships/image" Target="media/image115.emf"/><Relationship Id="rId168"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image" Target="media/image40.emf"/><Relationship Id="rId93" Type="http://schemas.openxmlformats.org/officeDocument/2006/relationships/image" Target="media/image61.emf"/><Relationship Id="rId98" Type="http://schemas.openxmlformats.org/officeDocument/2006/relationships/image" Target="media/image66.emf"/><Relationship Id="rId121" Type="http://schemas.openxmlformats.org/officeDocument/2006/relationships/image" Target="media/image89.emf"/><Relationship Id="rId142" Type="http://schemas.openxmlformats.org/officeDocument/2006/relationships/image" Target="media/image110.emf"/><Relationship Id="rId163" Type="http://schemas.openxmlformats.org/officeDocument/2006/relationships/footer" Target="footer7.xml"/><Relationship Id="rId184" Type="http://schemas.openxmlformats.org/officeDocument/2006/relationships/footer" Target="footer18.xml"/><Relationship Id="rId189" Type="http://schemas.openxmlformats.org/officeDocument/2006/relationships/header" Target="header21.xml"/><Relationship Id="rId3" Type="http://schemas.openxmlformats.org/officeDocument/2006/relationships/styles" Target="styles.xml"/><Relationship Id="rId25" Type="http://schemas.openxmlformats.org/officeDocument/2006/relationships/chart" Target="charts/chart7.xml"/><Relationship Id="rId46" Type="http://schemas.openxmlformats.org/officeDocument/2006/relationships/image" Target="media/image14.emf"/><Relationship Id="rId67" Type="http://schemas.openxmlformats.org/officeDocument/2006/relationships/image" Target="media/image35.emf"/><Relationship Id="rId116" Type="http://schemas.openxmlformats.org/officeDocument/2006/relationships/image" Target="media/image84.emf"/><Relationship Id="rId137" Type="http://schemas.openxmlformats.org/officeDocument/2006/relationships/image" Target="media/image105.emf"/><Relationship Id="rId158" Type="http://schemas.openxmlformats.org/officeDocument/2006/relationships/footer" Target="footer5.xml"/><Relationship Id="rId20" Type="http://schemas.openxmlformats.org/officeDocument/2006/relationships/chart" Target="charts/chart2.xml"/><Relationship Id="rId41" Type="http://schemas.openxmlformats.org/officeDocument/2006/relationships/image" Target="media/image9.emf"/><Relationship Id="rId62" Type="http://schemas.openxmlformats.org/officeDocument/2006/relationships/image" Target="media/image30.emf"/><Relationship Id="rId83" Type="http://schemas.openxmlformats.org/officeDocument/2006/relationships/image" Target="media/image51.emf"/><Relationship Id="rId88" Type="http://schemas.openxmlformats.org/officeDocument/2006/relationships/image" Target="media/image56.emf"/><Relationship Id="rId111" Type="http://schemas.openxmlformats.org/officeDocument/2006/relationships/image" Target="media/image79.emf"/><Relationship Id="rId132" Type="http://schemas.openxmlformats.org/officeDocument/2006/relationships/image" Target="media/image100.emf"/><Relationship Id="rId153" Type="http://schemas.openxmlformats.org/officeDocument/2006/relationships/image" Target="media/image121.emf"/><Relationship Id="rId174" Type="http://schemas.openxmlformats.org/officeDocument/2006/relationships/header" Target="header14.xml"/><Relationship Id="rId179" Type="http://schemas.openxmlformats.org/officeDocument/2006/relationships/header" Target="header16.xml"/><Relationship Id="rId195" Type="http://schemas.openxmlformats.org/officeDocument/2006/relationships/header" Target="header22.xml"/><Relationship Id="rId209" Type="http://schemas.openxmlformats.org/officeDocument/2006/relationships/fontTable" Target="fontTable.xml"/><Relationship Id="rId190" Type="http://schemas.openxmlformats.org/officeDocument/2006/relationships/footer" Target="footer21.xml"/><Relationship Id="rId204" Type="http://schemas.openxmlformats.org/officeDocument/2006/relationships/header" Target="header26.xml"/><Relationship Id="rId15" Type="http://schemas.openxmlformats.org/officeDocument/2006/relationships/footer" Target="footer3.xml"/><Relationship Id="rId36" Type="http://schemas.openxmlformats.org/officeDocument/2006/relationships/image" Target="media/image4.emf"/><Relationship Id="rId57" Type="http://schemas.openxmlformats.org/officeDocument/2006/relationships/image" Target="media/image25.emf"/><Relationship Id="rId106" Type="http://schemas.openxmlformats.org/officeDocument/2006/relationships/image" Target="media/image74.emf"/><Relationship Id="rId127" Type="http://schemas.openxmlformats.org/officeDocument/2006/relationships/image" Target="media/image95.emf"/><Relationship Id="rId10" Type="http://schemas.openxmlformats.org/officeDocument/2006/relationships/header" Target="header1.xml"/><Relationship Id="rId31" Type="http://schemas.openxmlformats.org/officeDocument/2006/relationships/chart" Target="charts/chart12.xml"/><Relationship Id="rId52" Type="http://schemas.openxmlformats.org/officeDocument/2006/relationships/image" Target="media/image20.emf"/><Relationship Id="rId73" Type="http://schemas.openxmlformats.org/officeDocument/2006/relationships/image" Target="media/image41.emf"/><Relationship Id="rId78" Type="http://schemas.openxmlformats.org/officeDocument/2006/relationships/image" Target="media/image46.emf"/><Relationship Id="rId94" Type="http://schemas.openxmlformats.org/officeDocument/2006/relationships/image" Target="media/image62.emf"/><Relationship Id="rId99" Type="http://schemas.openxmlformats.org/officeDocument/2006/relationships/image" Target="media/image67.emf"/><Relationship Id="rId101" Type="http://schemas.openxmlformats.org/officeDocument/2006/relationships/image" Target="media/image69.emf"/><Relationship Id="rId122" Type="http://schemas.openxmlformats.org/officeDocument/2006/relationships/image" Target="media/image90.emf"/><Relationship Id="rId143" Type="http://schemas.openxmlformats.org/officeDocument/2006/relationships/image" Target="media/image111.emf"/><Relationship Id="rId148" Type="http://schemas.openxmlformats.org/officeDocument/2006/relationships/image" Target="media/image116.emf"/><Relationship Id="rId164" Type="http://schemas.openxmlformats.org/officeDocument/2006/relationships/footer" Target="footer8.xml"/><Relationship Id="rId169" Type="http://schemas.openxmlformats.org/officeDocument/2006/relationships/footer" Target="footer10.xml"/><Relationship Id="rId185"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eader" Target="header17.xml"/><Relationship Id="rId210" Type="http://schemas.openxmlformats.org/officeDocument/2006/relationships/theme" Target="theme/theme1.xml"/><Relationship Id="rId26" Type="http://schemas.openxmlformats.org/officeDocument/2006/relationships/hyperlink" Target="http://ec.europa.eu/anti-%20fraud/sites/antifraud/files/methodology_statistical_evaluation_2015_en.pdf" TargetMode="External"/><Relationship Id="rId47" Type="http://schemas.openxmlformats.org/officeDocument/2006/relationships/image" Target="media/image15.emf"/><Relationship Id="rId68" Type="http://schemas.openxmlformats.org/officeDocument/2006/relationships/image" Target="media/image36.emf"/><Relationship Id="rId89" Type="http://schemas.openxmlformats.org/officeDocument/2006/relationships/image" Target="media/image57.emf"/><Relationship Id="rId112" Type="http://schemas.openxmlformats.org/officeDocument/2006/relationships/image" Target="media/image80.emf"/><Relationship Id="rId133" Type="http://schemas.openxmlformats.org/officeDocument/2006/relationships/image" Target="media/image101.emf"/><Relationship Id="rId154" Type="http://schemas.openxmlformats.org/officeDocument/2006/relationships/image" Target="media/image122.emf"/><Relationship Id="rId175" Type="http://schemas.openxmlformats.org/officeDocument/2006/relationships/footer" Target="footer13.xml"/><Relationship Id="rId196" Type="http://schemas.openxmlformats.org/officeDocument/2006/relationships/header" Target="header23.xml"/><Relationship Id="rId200" Type="http://schemas.openxmlformats.org/officeDocument/2006/relationships/footer" Target="footer24.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nlargement/pdf/key_documents/2014/20140919-multi-country-strategy-paper.pdf" TargetMode="External"/><Relationship Id="rId3" Type="http://schemas.openxmlformats.org/officeDocument/2006/relationships/hyperlink" Target="https://ec.europa.eu/neighbourhood-enlargement/instruments/former-assistance_en" TargetMode="External"/><Relationship Id="rId7" Type="http://schemas.openxmlformats.org/officeDocument/2006/relationships/hyperlink" Target="https://ec.europa.eu/neighbourhood-enlargement/instruments/overview_en" TargetMode="External"/><Relationship Id="rId2" Type="http://schemas.openxmlformats.org/officeDocument/2006/relationships/hyperlink" Target="https://europa.eu/european-union/about-eu/countries_en" TargetMode="External"/><Relationship Id="rId1" Type="http://schemas.openxmlformats.org/officeDocument/2006/relationships/hyperlink" Target="https://ec.europa.eu/neighbourhood-enlargement/policy/glossary/terms/preaccession-assistance_en" TargetMode="External"/><Relationship Id="rId6" Type="http://schemas.openxmlformats.org/officeDocument/2006/relationships/hyperlink" Target="https://ec.europa.eu/neighbourhood-enlargement/instruments/overview_en" TargetMode="External"/><Relationship Id="rId5" Type="http://schemas.openxmlformats.org/officeDocument/2006/relationships/hyperlink" Target="https://ec.europa.eu/regional_policy/en/funding/ipa/" TargetMode="External"/><Relationship Id="rId4" Type="http://schemas.openxmlformats.org/officeDocument/2006/relationships/hyperlink" Target="https://ec.europa.eu/neighbourhood-enlargement/instruments/overview_en"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S-OLAF-FAS14h\agri_vol\Sector_v\PIF\2019\zz_Maurice\PerpProfiles\1.%20PIF_PAA\20200506_PAA_charts.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file:///\\s-olaf-ldms\USERHOME\multmau\Desktop\DesktopStuff\2.%20PIF\1.%20Pre-Accession\20200427_paa_pivots.xlsx"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file:///\\s-olaf-ldms\USERHOME\multmau\Desktop\DesktopStuff\2.%20PIF\1.%20Pre-Accession\20200427_paa_pivots.xlsx"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oleObject" Target="file:///\\s-olaf-ldms\USERHOME\multmau\Desktop\20200427_paa_pivots.xlsx" TargetMode="External"/></Relationships>
</file>

<file path=word/charts/_rels/chart13.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oleObject" Target="file:///\\s-olaf-ldms\USERHOME\multmau\Desktop\20200427_paa_pivots.xlsx" TargetMode="External"/></Relationships>
</file>

<file path=word/charts/_rels/chart14.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oleObject" Target="file:///\\s-olaf-ldms\USERHOME\multmau\Desktop\20200427_paa_pivots.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s-olaf-ldms\USERHOME\multmau\Desktop\20200427_paa_pivots.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S-OLAF-FAS14h\agri_vol\Sector_v\PIF\2019\zz_Maurice\PerpProfiles\1.%20PIF_PAA\20200506_PAA_charts.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S-OLAF-FAS14h\agri_vol\Sector_v\PIF\2019\zz_Maurice\PerpProfiles\1.%20PIF_PAA\20200506_PAA_charts.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s-olaf-ldms\USERHOME\multmau\Desktop\DesktopStuff\2.%20PIF\1.%20Pre-Accession\20200427_paa_pivots.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s-olaf-ldms\USERHOME\multmau\Desktop\DesktopStuff\2.%20PIF\1.%20Pre-Accession\20200427_paa_pivots.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s-olaf-ldms\USERHOME\multmau\Desktop\20200427_paa_pivots.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s-olaf-ldms\USERHOME\multmau\Desktop\DesktopStuff\2.%20PIF\1.%20Pre-Accession\20200525_paa_pivots.xlsx" TargetMode="External"/></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file:///\\s-olaf-ldms\USERHOME\multmau\Desktop\DesktopStuff\2.%20PIF\1.%20Pre-Accession\20200525_paa_pivo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'531'!$B$2</c:f>
              <c:strCache>
                <c:ptCount val="1"/>
                <c:pt idx="0">
                  <c:v>Non-Fraud</c:v>
                </c:pt>
              </c:strCache>
            </c:strRef>
          </c:tx>
          <c:spPr>
            <a:solidFill>
              <a:schemeClr val="accent1"/>
            </a:solidFill>
            <a:ln>
              <a:noFill/>
            </a:ln>
            <a:effectLst/>
          </c:spPr>
          <c:invertIfNegative val="0"/>
          <c:cat>
            <c:numRef>
              <c:f>'531'!$A$3:$A$7</c:f>
              <c:numCache>
                <c:formatCode>General</c:formatCode>
                <c:ptCount val="5"/>
                <c:pt idx="0">
                  <c:v>2015</c:v>
                </c:pt>
                <c:pt idx="1">
                  <c:v>2016</c:v>
                </c:pt>
                <c:pt idx="2">
                  <c:v>2017</c:v>
                </c:pt>
                <c:pt idx="3">
                  <c:v>2018</c:v>
                </c:pt>
                <c:pt idx="4">
                  <c:v>2019</c:v>
                </c:pt>
              </c:numCache>
            </c:numRef>
          </c:cat>
          <c:val>
            <c:numRef>
              <c:f>'531'!$B$3:$B$7</c:f>
              <c:numCache>
                <c:formatCode>General</c:formatCode>
                <c:ptCount val="5"/>
                <c:pt idx="0">
                  <c:v>102</c:v>
                </c:pt>
                <c:pt idx="1">
                  <c:v>97</c:v>
                </c:pt>
                <c:pt idx="2">
                  <c:v>106</c:v>
                </c:pt>
                <c:pt idx="3">
                  <c:v>128</c:v>
                </c:pt>
                <c:pt idx="4">
                  <c:v>153</c:v>
                </c:pt>
              </c:numCache>
            </c:numRef>
          </c:val>
          <c:extLst xmlns:c16r2="http://schemas.microsoft.com/office/drawing/2015/06/chart">
            <c:ext xmlns:c16="http://schemas.microsoft.com/office/drawing/2014/chart" uri="{C3380CC4-5D6E-409C-BE32-E72D297353CC}">
              <c16:uniqueId val="{00000000-ED83-4335-A642-E7A47CE4EEB8}"/>
            </c:ext>
          </c:extLst>
        </c:ser>
        <c:ser>
          <c:idx val="1"/>
          <c:order val="1"/>
          <c:tx>
            <c:strRef>
              <c:f>'531'!$C$2</c:f>
              <c:strCache>
                <c:ptCount val="1"/>
                <c:pt idx="0">
                  <c:v>Fraud</c:v>
                </c:pt>
              </c:strCache>
            </c:strRef>
          </c:tx>
          <c:spPr>
            <a:solidFill>
              <a:schemeClr val="accent2"/>
            </a:solidFill>
            <a:ln>
              <a:noFill/>
            </a:ln>
            <a:effectLst/>
          </c:spPr>
          <c:invertIfNegative val="0"/>
          <c:cat>
            <c:numRef>
              <c:f>'531'!$A$3:$A$7</c:f>
              <c:numCache>
                <c:formatCode>General</c:formatCode>
                <c:ptCount val="5"/>
                <c:pt idx="0">
                  <c:v>2015</c:v>
                </c:pt>
                <c:pt idx="1">
                  <c:v>2016</c:v>
                </c:pt>
                <c:pt idx="2">
                  <c:v>2017</c:v>
                </c:pt>
                <c:pt idx="3">
                  <c:v>2018</c:v>
                </c:pt>
                <c:pt idx="4">
                  <c:v>2019</c:v>
                </c:pt>
              </c:numCache>
            </c:numRef>
          </c:cat>
          <c:val>
            <c:numRef>
              <c:f>'531'!$C$3:$C$7</c:f>
              <c:numCache>
                <c:formatCode>General</c:formatCode>
                <c:ptCount val="5"/>
                <c:pt idx="0">
                  <c:v>26</c:v>
                </c:pt>
                <c:pt idx="1">
                  <c:v>20</c:v>
                </c:pt>
                <c:pt idx="2">
                  <c:v>18</c:v>
                </c:pt>
                <c:pt idx="3">
                  <c:v>20</c:v>
                </c:pt>
                <c:pt idx="4">
                  <c:v>51</c:v>
                </c:pt>
              </c:numCache>
            </c:numRef>
          </c:val>
          <c:extLst xmlns:c16r2="http://schemas.microsoft.com/office/drawing/2015/06/chart">
            <c:ext xmlns:c16="http://schemas.microsoft.com/office/drawing/2014/chart" uri="{C3380CC4-5D6E-409C-BE32-E72D297353CC}">
              <c16:uniqueId val="{00000001-ED83-4335-A642-E7A47CE4EEB8}"/>
            </c:ext>
          </c:extLst>
        </c:ser>
        <c:dLbls>
          <c:showLegendKey val="0"/>
          <c:showVal val="0"/>
          <c:showCatName val="0"/>
          <c:showSerName val="0"/>
          <c:showPercent val="0"/>
          <c:showBubbleSize val="0"/>
        </c:dLbls>
        <c:gapWidth val="219"/>
        <c:overlap val="100"/>
        <c:axId val="53904128"/>
        <c:axId val="53905664"/>
      </c:barChart>
      <c:lineChart>
        <c:grouping val="standard"/>
        <c:varyColors val="0"/>
        <c:ser>
          <c:idx val="2"/>
          <c:order val="2"/>
          <c:tx>
            <c:strRef>
              <c:f>'531'!$D$2</c:f>
              <c:strCache>
                <c:ptCount val="1"/>
                <c:pt idx="0">
                  <c:v>%</c:v>
                </c:pt>
              </c:strCache>
            </c:strRef>
          </c:tx>
          <c:spPr>
            <a:ln w="28575" cap="rnd">
              <a:solidFill>
                <a:schemeClr val="accent3"/>
              </a:solidFill>
              <a:round/>
            </a:ln>
            <a:effectLst/>
          </c:spPr>
          <c:marker>
            <c:symbol val="none"/>
          </c:marker>
          <c:cat>
            <c:numRef>
              <c:f>'531'!$A$3:$A$7</c:f>
              <c:numCache>
                <c:formatCode>General</c:formatCode>
                <c:ptCount val="5"/>
                <c:pt idx="0">
                  <c:v>2015</c:v>
                </c:pt>
                <c:pt idx="1">
                  <c:v>2016</c:v>
                </c:pt>
                <c:pt idx="2">
                  <c:v>2017</c:v>
                </c:pt>
                <c:pt idx="3">
                  <c:v>2018</c:v>
                </c:pt>
                <c:pt idx="4">
                  <c:v>2019</c:v>
                </c:pt>
              </c:numCache>
            </c:numRef>
          </c:cat>
          <c:val>
            <c:numRef>
              <c:f>'531'!$D$3:$D$7</c:f>
              <c:numCache>
                <c:formatCode>0%</c:formatCode>
                <c:ptCount val="5"/>
                <c:pt idx="0">
                  <c:v>0.203125</c:v>
                </c:pt>
                <c:pt idx="1">
                  <c:v>0.17094017094017094</c:v>
                </c:pt>
                <c:pt idx="2">
                  <c:v>0.14516129032258066</c:v>
                </c:pt>
                <c:pt idx="3">
                  <c:v>0.13513513513513514</c:v>
                </c:pt>
                <c:pt idx="4">
                  <c:v>0.25</c:v>
                </c:pt>
              </c:numCache>
            </c:numRef>
          </c:val>
          <c:smooth val="0"/>
          <c:extLst xmlns:c16r2="http://schemas.microsoft.com/office/drawing/2015/06/chart">
            <c:ext xmlns:c16="http://schemas.microsoft.com/office/drawing/2014/chart" uri="{C3380CC4-5D6E-409C-BE32-E72D297353CC}">
              <c16:uniqueId val="{00000002-ED83-4335-A642-E7A47CE4EEB8}"/>
            </c:ext>
          </c:extLst>
        </c:ser>
        <c:dLbls>
          <c:showLegendKey val="0"/>
          <c:showVal val="0"/>
          <c:showCatName val="0"/>
          <c:showSerName val="0"/>
          <c:showPercent val="0"/>
          <c:showBubbleSize val="0"/>
        </c:dLbls>
        <c:marker val="1"/>
        <c:smooth val="0"/>
        <c:axId val="53917952"/>
        <c:axId val="53916032"/>
      </c:lineChart>
      <c:catAx>
        <c:axId val="5390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05664"/>
        <c:crosses val="autoZero"/>
        <c:auto val="1"/>
        <c:lblAlgn val="ctr"/>
        <c:lblOffset val="100"/>
        <c:noMultiLvlLbl val="0"/>
      </c:catAx>
      <c:valAx>
        <c:axId val="53905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Irregularities Reported</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04128"/>
        <c:crosses val="autoZero"/>
        <c:crossBetween val="between"/>
      </c:valAx>
      <c:valAx>
        <c:axId val="5391603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FFL</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17952"/>
        <c:crosses val="max"/>
        <c:crossBetween val="between"/>
      </c:valAx>
      <c:catAx>
        <c:axId val="53917952"/>
        <c:scaling>
          <c:orientation val="minMax"/>
        </c:scaling>
        <c:delete val="1"/>
        <c:axPos val="b"/>
        <c:numFmt formatCode="General" sourceLinked="1"/>
        <c:majorTickMark val="out"/>
        <c:minorTickMark val="none"/>
        <c:tickLblPos val="nextTo"/>
        <c:crossAx val="53916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'5343ipa1'!$E$7</c:f>
              <c:strCache>
                <c:ptCount val="1"/>
                <c:pt idx="0">
                  <c:v>BG (EUR)</c:v>
                </c:pt>
              </c:strCache>
            </c:strRef>
          </c:tx>
          <c:spPr>
            <a:solidFill>
              <a:schemeClr val="accent1"/>
            </a:solidFill>
            <a:ln>
              <a:noFill/>
            </a:ln>
            <a:effectLst/>
          </c:spPr>
          <c:invertIfNegative val="0"/>
          <c:cat>
            <c:numRef>
              <c:f>'5343ipa1'!$D$8:$D$18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numCache>
            </c:numRef>
          </c:cat>
          <c:val>
            <c:numRef>
              <c:f>'5343ipa1'!$E$8:$E$18</c:f>
              <c:numCache>
                <c:formatCode>#,##0</c:formatCode>
                <c:ptCount val="11"/>
                <c:pt idx="0">
                  <c:v>0</c:v>
                </c:pt>
                <c:pt idx="1">
                  <c:v>0</c:v>
                </c:pt>
                <c:pt idx="2">
                  <c:v>0</c:v>
                </c:pt>
                <c:pt idx="3">
                  <c:v>163599</c:v>
                </c:pt>
                <c:pt idx="4">
                  <c:v>54319</c:v>
                </c:pt>
                <c:pt idx="5">
                  <c:v>78754</c:v>
                </c:pt>
                <c:pt idx="6">
                  <c:v>85483</c:v>
                </c:pt>
                <c:pt idx="7">
                  <c:v>20932</c:v>
                </c:pt>
                <c:pt idx="8">
                  <c:v>23405</c:v>
                </c:pt>
                <c:pt idx="9">
                  <c:v>0</c:v>
                </c:pt>
              </c:numCache>
            </c:numRef>
          </c:val>
          <c:extLst xmlns:c16r2="http://schemas.microsoft.com/office/drawing/2015/06/chart">
            <c:ext xmlns:c16="http://schemas.microsoft.com/office/drawing/2014/chart" uri="{C3380CC4-5D6E-409C-BE32-E72D297353CC}">
              <c16:uniqueId val="{00000000-2E57-48CA-8BA0-9FC20C22B05C}"/>
            </c:ext>
          </c:extLst>
        </c:ser>
        <c:ser>
          <c:idx val="2"/>
          <c:order val="2"/>
          <c:tx>
            <c:strRef>
              <c:f>'5343ipa1'!$G$7</c:f>
              <c:strCache>
                <c:ptCount val="1"/>
                <c:pt idx="0">
                  <c:v>GR (EUR)</c:v>
                </c:pt>
              </c:strCache>
            </c:strRef>
          </c:tx>
          <c:spPr>
            <a:solidFill>
              <a:schemeClr val="accent2"/>
            </a:solidFill>
            <a:ln>
              <a:noFill/>
            </a:ln>
            <a:effectLst/>
          </c:spPr>
          <c:invertIfNegative val="0"/>
          <c:cat>
            <c:numRef>
              <c:f>'5343ipa1'!$D$8:$D$18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numCache>
            </c:numRef>
          </c:cat>
          <c:val>
            <c:numRef>
              <c:f>'5343ipa1'!$G$8:$G$18</c:f>
              <c:numCache>
                <c:formatCode>#,##0</c:formatCode>
                <c:ptCount val="11"/>
                <c:pt idx="0">
                  <c:v>0</c:v>
                </c:pt>
                <c:pt idx="1">
                  <c:v>0</c:v>
                </c:pt>
                <c:pt idx="2">
                  <c:v>0</c:v>
                </c:pt>
                <c:pt idx="3">
                  <c:v>0</c:v>
                </c:pt>
                <c:pt idx="4">
                  <c:v>0</c:v>
                </c:pt>
                <c:pt idx="5">
                  <c:v>0</c:v>
                </c:pt>
                <c:pt idx="6">
                  <c:v>0</c:v>
                </c:pt>
                <c:pt idx="7">
                  <c:v>41681</c:v>
                </c:pt>
                <c:pt idx="8">
                  <c:v>148364</c:v>
                </c:pt>
                <c:pt idx="9">
                  <c:v>0</c:v>
                </c:pt>
              </c:numCache>
            </c:numRef>
          </c:val>
          <c:extLst xmlns:c16r2="http://schemas.microsoft.com/office/drawing/2015/06/chart">
            <c:ext xmlns:c16="http://schemas.microsoft.com/office/drawing/2014/chart" uri="{C3380CC4-5D6E-409C-BE32-E72D297353CC}">
              <c16:uniqueId val="{00000001-2E57-48CA-8BA0-9FC20C22B05C}"/>
            </c:ext>
          </c:extLst>
        </c:ser>
        <c:ser>
          <c:idx val="4"/>
          <c:order val="4"/>
          <c:tx>
            <c:strRef>
              <c:f>'5343ipa1'!$I$7</c:f>
              <c:strCache>
                <c:ptCount val="1"/>
                <c:pt idx="0">
                  <c:v>HR (EUR)</c:v>
                </c:pt>
              </c:strCache>
            </c:strRef>
          </c:tx>
          <c:spPr>
            <a:solidFill>
              <a:schemeClr val="accent3"/>
            </a:solidFill>
            <a:ln>
              <a:noFill/>
            </a:ln>
            <a:effectLst/>
          </c:spPr>
          <c:invertIfNegative val="0"/>
          <c:cat>
            <c:numRef>
              <c:f>'5343ipa1'!$D$8:$D$18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numCache>
            </c:numRef>
          </c:cat>
          <c:val>
            <c:numRef>
              <c:f>'5343ipa1'!$I$8:$I$18</c:f>
              <c:numCache>
                <c:formatCode>#,##0</c:formatCode>
                <c:ptCount val="11"/>
                <c:pt idx="0">
                  <c:v>991000</c:v>
                </c:pt>
                <c:pt idx="1">
                  <c:v>17700</c:v>
                </c:pt>
                <c:pt idx="2">
                  <c:v>217699</c:v>
                </c:pt>
                <c:pt idx="3">
                  <c:v>239117</c:v>
                </c:pt>
                <c:pt idx="4">
                  <c:v>197081</c:v>
                </c:pt>
                <c:pt idx="5">
                  <c:v>717492</c:v>
                </c:pt>
                <c:pt idx="6">
                  <c:v>165788</c:v>
                </c:pt>
                <c:pt idx="7">
                  <c:v>1368047</c:v>
                </c:pt>
                <c:pt idx="8">
                  <c:v>103600</c:v>
                </c:pt>
                <c:pt idx="9">
                  <c:v>9081</c:v>
                </c:pt>
              </c:numCache>
            </c:numRef>
          </c:val>
          <c:extLst xmlns:c16r2="http://schemas.microsoft.com/office/drawing/2015/06/chart">
            <c:ext xmlns:c16="http://schemas.microsoft.com/office/drawing/2014/chart" uri="{C3380CC4-5D6E-409C-BE32-E72D297353CC}">
              <c16:uniqueId val="{00000002-2E57-48CA-8BA0-9FC20C22B05C}"/>
            </c:ext>
          </c:extLst>
        </c:ser>
        <c:ser>
          <c:idx val="6"/>
          <c:order val="6"/>
          <c:tx>
            <c:strRef>
              <c:f>'5343ipa1'!$K$7</c:f>
              <c:strCache>
                <c:ptCount val="1"/>
                <c:pt idx="0">
                  <c:v>IT (EUR)</c:v>
                </c:pt>
              </c:strCache>
            </c:strRef>
          </c:tx>
          <c:spPr>
            <a:solidFill>
              <a:schemeClr val="accent4"/>
            </a:solidFill>
            <a:ln>
              <a:noFill/>
            </a:ln>
            <a:effectLst/>
          </c:spPr>
          <c:invertIfNegative val="0"/>
          <c:cat>
            <c:numRef>
              <c:f>'5343ipa1'!$D$8:$D$18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numCache>
            </c:numRef>
          </c:cat>
          <c:val>
            <c:numRef>
              <c:f>'5343ipa1'!$K$8:$K$18</c:f>
              <c:numCache>
                <c:formatCode>#,##0</c:formatCode>
                <c:ptCount val="11"/>
                <c:pt idx="0">
                  <c:v>0</c:v>
                </c:pt>
                <c:pt idx="1">
                  <c:v>856800</c:v>
                </c:pt>
                <c:pt idx="2">
                  <c:v>0</c:v>
                </c:pt>
                <c:pt idx="3">
                  <c:v>0</c:v>
                </c:pt>
                <c:pt idx="4">
                  <c:v>0</c:v>
                </c:pt>
                <c:pt idx="5">
                  <c:v>553935</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3-2E57-48CA-8BA0-9FC20C22B05C}"/>
            </c:ext>
          </c:extLst>
        </c:ser>
        <c:ser>
          <c:idx val="8"/>
          <c:order val="8"/>
          <c:tx>
            <c:strRef>
              <c:f>'5343ipa1'!$M$7</c:f>
              <c:strCache>
                <c:ptCount val="1"/>
                <c:pt idx="0">
                  <c:v>RO (EUR)</c:v>
                </c:pt>
              </c:strCache>
            </c:strRef>
          </c:tx>
          <c:spPr>
            <a:solidFill>
              <a:schemeClr val="accent6"/>
            </a:solidFill>
            <a:ln>
              <a:noFill/>
            </a:ln>
            <a:effectLst/>
          </c:spPr>
          <c:invertIfNegative val="0"/>
          <c:cat>
            <c:numRef>
              <c:f>'5343ipa1'!$D$8:$D$18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numCache>
            </c:numRef>
          </c:cat>
          <c:val>
            <c:numRef>
              <c:f>'5343ipa1'!$M$8:$M$18</c:f>
              <c:numCache>
                <c:formatCode>#,##0</c:formatCode>
                <c:ptCount val="11"/>
                <c:pt idx="0">
                  <c:v>0</c:v>
                </c:pt>
                <c:pt idx="1">
                  <c:v>0</c:v>
                </c:pt>
                <c:pt idx="2">
                  <c:v>0</c:v>
                </c:pt>
                <c:pt idx="3">
                  <c:v>0</c:v>
                </c:pt>
                <c:pt idx="4">
                  <c:v>42128</c:v>
                </c:pt>
                <c:pt idx="5">
                  <c:v>29067</c:v>
                </c:pt>
                <c:pt idx="6">
                  <c:v>0</c:v>
                </c:pt>
                <c:pt idx="7">
                  <c:v>649636</c:v>
                </c:pt>
                <c:pt idx="8">
                  <c:v>0</c:v>
                </c:pt>
                <c:pt idx="9">
                  <c:v>0</c:v>
                </c:pt>
              </c:numCache>
            </c:numRef>
          </c:val>
          <c:extLst xmlns:c16r2="http://schemas.microsoft.com/office/drawing/2015/06/chart">
            <c:ext xmlns:c16="http://schemas.microsoft.com/office/drawing/2014/chart" uri="{C3380CC4-5D6E-409C-BE32-E72D297353CC}">
              <c16:uniqueId val="{00000004-2E57-48CA-8BA0-9FC20C22B05C}"/>
            </c:ext>
          </c:extLst>
        </c:ser>
        <c:dLbls>
          <c:showLegendKey val="0"/>
          <c:showVal val="0"/>
          <c:showCatName val="0"/>
          <c:showSerName val="0"/>
          <c:showPercent val="0"/>
          <c:showBubbleSize val="0"/>
        </c:dLbls>
        <c:gapWidth val="150"/>
        <c:axId val="110584576"/>
        <c:axId val="110586112"/>
        <c:extLst xmlns:c16r2="http://schemas.microsoft.com/office/drawing/2015/06/chart">
          <c:ext xmlns:c15="http://schemas.microsoft.com/office/drawing/2012/chart" uri="{02D57815-91ED-43cb-92C2-25804820EDAC}">
            <c15:filteredBarSeries>
              <c15:ser>
                <c:idx val="10"/>
                <c:order val="10"/>
                <c:tx>
                  <c:strRef>
                    <c:extLst>
                      <c:ext uri="{02D57815-91ED-43cb-92C2-25804820EDAC}">
                        <c15:formulaRef>
                          <c15:sqref>'5343ipa1'!$O$7</c15:sqref>
                        </c15:formulaRef>
                      </c:ext>
                    </c:extLst>
                    <c:strCache>
                      <c:ptCount val="1"/>
                    </c:strCache>
                  </c:strRef>
                </c:tx>
                <c:spPr>
                  <a:solidFill>
                    <a:schemeClr val="accent5">
                      <a:lumMod val="60000"/>
                    </a:schemeClr>
                  </a:solidFill>
                  <a:ln>
                    <a:noFill/>
                  </a:ln>
                  <a:effectLst/>
                </c:spPr>
                <c:invertIfNegative val="0"/>
                <c:cat>
                  <c:numRef>
                    <c:extLst>
                      <c:ext uri="{02D57815-91ED-43cb-92C2-25804820EDAC}">
                        <c15:formulaRef>
                          <c15:sqref>'5343ipa1'!$D$8:$D$18</c15:sqref>
                        </c15:formulaRef>
                      </c:ext>
                    </c:extLst>
                    <c:numCache>
                      <c:formatCode>General</c:formatCode>
                      <c:ptCount val="11"/>
                      <c:pt idx="0">
                        <c:v>2010</c:v>
                      </c:pt>
                      <c:pt idx="1">
                        <c:v>2011</c:v>
                      </c:pt>
                      <c:pt idx="2">
                        <c:v>2012</c:v>
                      </c:pt>
                      <c:pt idx="3">
                        <c:v>2013</c:v>
                      </c:pt>
                      <c:pt idx="4">
                        <c:v>2014</c:v>
                      </c:pt>
                      <c:pt idx="5">
                        <c:v>2015</c:v>
                      </c:pt>
                      <c:pt idx="6">
                        <c:v>2016</c:v>
                      </c:pt>
                      <c:pt idx="7">
                        <c:v>2017</c:v>
                      </c:pt>
                      <c:pt idx="8">
                        <c:v>2018</c:v>
                      </c:pt>
                      <c:pt idx="9">
                        <c:v>2019</c:v>
                      </c:pt>
                    </c:numCache>
                  </c:numRef>
                </c:cat>
                <c:val>
                  <c:numRef>
                    <c:extLst>
                      <c:ext uri="{02D57815-91ED-43cb-92C2-25804820EDAC}">
                        <c15:formulaRef>
                          <c15:sqref>'5343ipa1'!$O$8:$O$18</c15:sqref>
                        </c15:formulaRef>
                      </c:ext>
                    </c:extLst>
                    <c:numCache>
                      <c:formatCode>General</c:formatCode>
                      <c:ptCount val="11"/>
                    </c:numCache>
                  </c:numRef>
                </c:val>
                <c:extLst>
                  <c:ext xmlns:c16="http://schemas.microsoft.com/office/drawing/2014/chart" uri="{C3380CC4-5D6E-409C-BE32-E72D297353CC}">
                    <c16:uniqueId val="{0000000A-2E57-48CA-8BA0-9FC20C22B05C}"/>
                  </c:ext>
                </c:extLst>
              </c15:ser>
            </c15:filteredBarSeries>
          </c:ext>
        </c:extLst>
      </c:barChart>
      <c:lineChart>
        <c:grouping val="standard"/>
        <c:varyColors val="0"/>
        <c:ser>
          <c:idx val="1"/>
          <c:order val="1"/>
          <c:tx>
            <c:strRef>
              <c:f>'5343ipa1'!$F$7</c:f>
              <c:strCache>
                <c:ptCount val="1"/>
                <c:pt idx="0">
                  <c:v>BG (#)</c:v>
                </c:pt>
              </c:strCache>
            </c:strRef>
          </c:tx>
          <c:spPr>
            <a:ln w="28575" cap="rnd">
              <a:solidFill>
                <a:schemeClr val="accent1"/>
              </a:solidFill>
              <a:round/>
            </a:ln>
            <a:effectLst/>
          </c:spPr>
          <c:marker>
            <c:symbol val="none"/>
          </c:marker>
          <c:cat>
            <c:numRef>
              <c:f>'5343ipa1'!$D$8:$D$18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numCache>
            </c:numRef>
          </c:cat>
          <c:val>
            <c:numRef>
              <c:f>'5343ipa1'!$F$8:$F$18</c:f>
              <c:numCache>
                <c:formatCode>#,##0</c:formatCode>
                <c:ptCount val="11"/>
                <c:pt idx="0">
                  <c:v>0</c:v>
                </c:pt>
                <c:pt idx="1">
                  <c:v>0</c:v>
                </c:pt>
                <c:pt idx="2">
                  <c:v>0</c:v>
                </c:pt>
                <c:pt idx="3">
                  <c:v>11</c:v>
                </c:pt>
                <c:pt idx="4">
                  <c:v>21</c:v>
                </c:pt>
                <c:pt idx="5">
                  <c:v>27</c:v>
                </c:pt>
                <c:pt idx="6">
                  <c:v>31</c:v>
                </c:pt>
                <c:pt idx="7">
                  <c:v>15</c:v>
                </c:pt>
                <c:pt idx="8">
                  <c:v>9</c:v>
                </c:pt>
                <c:pt idx="9">
                  <c:v>0</c:v>
                </c:pt>
              </c:numCache>
            </c:numRef>
          </c:val>
          <c:smooth val="0"/>
          <c:extLst xmlns:c16r2="http://schemas.microsoft.com/office/drawing/2015/06/chart">
            <c:ext xmlns:c16="http://schemas.microsoft.com/office/drawing/2014/chart" uri="{C3380CC4-5D6E-409C-BE32-E72D297353CC}">
              <c16:uniqueId val="{00000005-2E57-48CA-8BA0-9FC20C22B05C}"/>
            </c:ext>
          </c:extLst>
        </c:ser>
        <c:ser>
          <c:idx val="3"/>
          <c:order val="3"/>
          <c:tx>
            <c:strRef>
              <c:f>'5343ipa1'!$H$7</c:f>
              <c:strCache>
                <c:ptCount val="1"/>
                <c:pt idx="0">
                  <c:v>GR (#)</c:v>
                </c:pt>
              </c:strCache>
            </c:strRef>
          </c:tx>
          <c:spPr>
            <a:ln w="28575" cap="rnd">
              <a:solidFill>
                <a:schemeClr val="accent2"/>
              </a:solidFill>
              <a:round/>
            </a:ln>
            <a:effectLst/>
          </c:spPr>
          <c:marker>
            <c:symbol val="none"/>
          </c:marker>
          <c:cat>
            <c:numRef>
              <c:f>'5343ipa1'!$D$8:$D$18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numCache>
            </c:numRef>
          </c:cat>
          <c:val>
            <c:numRef>
              <c:f>'5343ipa1'!$H$8:$H$18</c:f>
              <c:numCache>
                <c:formatCode>#,##0</c:formatCode>
                <c:ptCount val="11"/>
                <c:pt idx="0">
                  <c:v>0</c:v>
                </c:pt>
                <c:pt idx="1">
                  <c:v>0</c:v>
                </c:pt>
                <c:pt idx="2">
                  <c:v>0</c:v>
                </c:pt>
                <c:pt idx="3">
                  <c:v>0</c:v>
                </c:pt>
                <c:pt idx="4">
                  <c:v>0</c:v>
                </c:pt>
                <c:pt idx="5">
                  <c:v>0</c:v>
                </c:pt>
                <c:pt idx="6">
                  <c:v>0</c:v>
                </c:pt>
                <c:pt idx="7">
                  <c:v>1</c:v>
                </c:pt>
                <c:pt idx="8">
                  <c:v>2</c:v>
                </c:pt>
                <c:pt idx="9">
                  <c:v>0</c:v>
                </c:pt>
              </c:numCache>
            </c:numRef>
          </c:val>
          <c:smooth val="0"/>
          <c:extLst xmlns:c16r2="http://schemas.microsoft.com/office/drawing/2015/06/chart">
            <c:ext xmlns:c16="http://schemas.microsoft.com/office/drawing/2014/chart" uri="{C3380CC4-5D6E-409C-BE32-E72D297353CC}">
              <c16:uniqueId val="{00000006-2E57-48CA-8BA0-9FC20C22B05C}"/>
            </c:ext>
          </c:extLst>
        </c:ser>
        <c:ser>
          <c:idx val="5"/>
          <c:order val="5"/>
          <c:tx>
            <c:strRef>
              <c:f>'5343ipa1'!$J$7</c:f>
              <c:strCache>
                <c:ptCount val="1"/>
                <c:pt idx="0">
                  <c:v>HR (#)</c:v>
                </c:pt>
              </c:strCache>
            </c:strRef>
          </c:tx>
          <c:spPr>
            <a:ln w="28575" cap="rnd">
              <a:solidFill>
                <a:schemeClr val="accent3"/>
              </a:solidFill>
              <a:round/>
            </a:ln>
            <a:effectLst/>
          </c:spPr>
          <c:marker>
            <c:symbol val="none"/>
          </c:marker>
          <c:cat>
            <c:numRef>
              <c:f>'5343ipa1'!$D$8:$D$18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numCache>
            </c:numRef>
          </c:cat>
          <c:val>
            <c:numRef>
              <c:f>'5343ipa1'!$J$8:$J$18</c:f>
              <c:numCache>
                <c:formatCode>#,##0</c:formatCode>
                <c:ptCount val="11"/>
                <c:pt idx="0">
                  <c:v>1</c:v>
                </c:pt>
                <c:pt idx="1">
                  <c:v>1</c:v>
                </c:pt>
                <c:pt idx="2">
                  <c:v>5</c:v>
                </c:pt>
                <c:pt idx="3">
                  <c:v>18</c:v>
                </c:pt>
                <c:pt idx="4">
                  <c:v>28</c:v>
                </c:pt>
                <c:pt idx="5">
                  <c:v>25</c:v>
                </c:pt>
                <c:pt idx="6">
                  <c:v>9</c:v>
                </c:pt>
                <c:pt idx="7">
                  <c:v>10</c:v>
                </c:pt>
                <c:pt idx="8">
                  <c:v>7</c:v>
                </c:pt>
                <c:pt idx="9">
                  <c:v>2</c:v>
                </c:pt>
              </c:numCache>
            </c:numRef>
          </c:val>
          <c:smooth val="0"/>
          <c:extLst xmlns:c16r2="http://schemas.microsoft.com/office/drawing/2015/06/chart">
            <c:ext xmlns:c16="http://schemas.microsoft.com/office/drawing/2014/chart" uri="{C3380CC4-5D6E-409C-BE32-E72D297353CC}">
              <c16:uniqueId val="{00000007-2E57-48CA-8BA0-9FC20C22B05C}"/>
            </c:ext>
          </c:extLst>
        </c:ser>
        <c:ser>
          <c:idx val="7"/>
          <c:order val="7"/>
          <c:tx>
            <c:strRef>
              <c:f>'5343ipa1'!$L$7</c:f>
              <c:strCache>
                <c:ptCount val="1"/>
                <c:pt idx="0">
                  <c:v>IT (#)</c:v>
                </c:pt>
              </c:strCache>
            </c:strRef>
          </c:tx>
          <c:spPr>
            <a:ln w="28575" cap="rnd">
              <a:solidFill>
                <a:schemeClr val="accent4"/>
              </a:solidFill>
              <a:round/>
            </a:ln>
            <a:effectLst/>
          </c:spPr>
          <c:marker>
            <c:symbol val="none"/>
          </c:marker>
          <c:cat>
            <c:numRef>
              <c:f>'5343ipa1'!$D$8:$D$18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numCache>
            </c:numRef>
          </c:cat>
          <c:val>
            <c:numRef>
              <c:f>'5343ipa1'!$L$8:$L$18</c:f>
              <c:numCache>
                <c:formatCode>#,##0</c:formatCode>
                <c:ptCount val="11"/>
                <c:pt idx="0">
                  <c:v>0</c:v>
                </c:pt>
                <c:pt idx="1">
                  <c:v>1</c:v>
                </c:pt>
                <c:pt idx="2">
                  <c:v>0</c:v>
                </c:pt>
                <c:pt idx="3">
                  <c:v>0</c:v>
                </c:pt>
                <c:pt idx="4">
                  <c:v>0</c:v>
                </c:pt>
                <c:pt idx="5">
                  <c:v>3</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8-2E57-48CA-8BA0-9FC20C22B05C}"/>
            </c:ext>
          </c:extLst>
        </c:ser>
        <c:ser>
          <c:idx val="9"/>
          <c:order val="9"/>
          <c:tx>
            <c:strRef>
              <c:f>'5343ipa1'!$N$7</c:f>
              <c:strCache>
                <c:ptCount val="1"/>
                <c:pt idx="0">
                  <c:v>RO (#)</c:v>
                </c:pt>
              </c:strCache>
            </c:strRef>
          </c:tx>
          <c:spPr>
            <a:ln w="28575" cap="rnd">
              <a:solidFill>
                <a:schemeClr val="accent6"/>
              </a:solidFill>
              <a:round/>
            </a:ln>
            <a:effectLst/>
          </c:spPr>
          <c:marker>
            <c:symbol val="none"/>
          </c:marker>
          <c:cat>
            <c:numRef>
              <c:f>'5343ipa1'!$D$8:$D$18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numCache>
            </c:numRef>
          </c:cat>
          <c:val>
            <c:numRef>
              <c:f>'5343ipa1'!$N$8:$N$18</c:f>
              <c:numCache>
                <c:formatCode>#,##0</c:formatCode>
                <c:ptCount val="11"/>
                <c:pt idx="0">
                  <c:v>0</c:v>
                </c:pt>
                <c:pt idx="1">
                  <c:v>0</c:v>
                </c:pt>
                <c:pt idx="2">
                  <c:v>0</c:v>
                </c:pt>
                <c:pt idx="3">
                  <c:v>0</c:v>
                </c:pt>
                <c:pt idx="4">
                  <c:v>2</c:v>
                </c:pt>
                <c:pt idx="5">
                  <c:v>1</c:v>
                </c:pt>
                <c:pt idx="6">
                  <c:v>0</c:v>
                </c:pt>
                <c:pt idx="7">
                  <c:v>1</c:v>
                </c:pt>
                <c:pt idx="8">
                  <c:v>0</c:v>
                </c:pt>
                <c:pt idx="9">
                  <c:v>0</c:v>
                </c:pt>
              </c:numCache>
            </c:numRef>
          </c:val>
          <c:smooth val="0"/>
          <c:extLst xmlns:c16r2="http://schemas.microsoft.com/office/drawing/2015/06/chart">
            <c:ext xmlns:c16="http://schemas.microsoft.com/office/drawing/2014/chart" uri="{C3380CC4-5D6E-409C-BE32-E72D297353CC}">
              <c16:uniqueId val="{00000009-2E57-48CA-8BA0-9FC20C22B05C}"/>
            </c:ext>
          </c:extLst>
        </c:ser>
        <c:dLbls>
          <c:showLegendKey val="0"/>
          <c:showVal val="0"/>
          <c:showCatName val="0"/>
          <c:showSerName val="0"/>
          <c:showPercent val="0"/>
          <c:showBubbleSize val="0"/>
        </c:dLbls>
        <c:marker val="1"/>
        <c:smooth val="0"/>
        <c:axId val="110602496"/>
        <c:axId val="110600576"/>
      </c:lineChart>
      <c:catAx>
        <c:axId val="110584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86112"/>
        <c:crosses val="autoZero"/>
        <c:auto val="1"/>
        <c:lblAlgn val="ctr"/>
        <c:lblOffset val="100"/>
        <c:noMultiLvlLbl val="0"/>
      </c:catAx>
      <c:valAx>
        <c:axId val="11058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Irregularity Amount (EUR)</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84576"/>
        <c:crosses val="autoZero"/>
        <c:crossBetween val="between"/>
      </c:valAx>
      <c:valAx>
        <c:axId val="11060057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Reported Irregularities</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02496"/>
        <c:crosses val="max"/>
        <c:crossBetween val="between"/>
      </c:valAx>
      <c:catAx>
        <c:axId val="110602496"/>
        <c:scaling>
          <c:orientation val="minMax"/>
        </c:scaling>
        <c:delete val="1"/>
        <c:axPos val="t"/>
        <c:numFmt formatCode="General" sourceLinked="1"/>
        <c:majorTickMark val="out"/>
        <c:minorTickMark val="none"/>
        <c:tickLblPos val="nextTo"/>
        <c:crossAx val="110600576"/>
        <c:crosses val="max"/>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'5343ipa1'!$E$22</c:f>
              <c:strCache>
                <c:ptCount val="1"/>
                <c:pt idx="0">
                  <c:v>AL (EUR)</c:v>
                </c:pt>
              </c:strCache>
            </c:strRef>
          </c:tx>
          <c:spPr>
            <a:solidFill>
              <a:schemeClr val="accent1"/>
            </a:solidFill>
            <a:ln>
              <a:noFill/>
            </a:ln>
            <a:effectLst/>
          </c:spPr>
          <c:invertIfNegative val="0"/>
          <c:cat>
            <c:numRef>
              <c:f>'5343ipa1'!$D$23:$D$32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'5343ipa1'!$E$23:$E$32</c:f>
              <c:numCache>
                <c:formatCode>#,##0</c:formatCode>
                <c:ptCount val="10"/>
                <c:pt idx="0">
                  <c:v>0</c:v>
                </c:pt>
                <c:pt idx="1">
                  <c:v>0</c:v>
                </c:pt>
                <c:pt idx="2">
                  <c:v>0</c:v>
                </c:pt>
                <c:pt idx="3">
                  <c:v>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0-D75E-4160-90A4-E07D041D758F}"/>
            </c:ext>
          </c:extLst>
        </c:ser>
        <c:ser>
          <c:idx val="2"/>
          <c:order val="2"/>
          <c:tx>
            <c:strRef>
              <c:f>'5343ipa1'!$G$22</c:f>
              <c:strCache>
                <c:ptCount val="1"/>
                <c:pt idx="0">
                  <c:v>ME (EUR)</c:v>
                </c:pt>
              </c:strCache>
            </c:strRef>
          </c:tx>
          <c:spPr>
            <a:solidFill>
              <a:schemeClr val="accent2"/>
            </a:solidFill>
            <a:ln>
              <a:noFill/>
            </a:ln>
            <a:effectLst/>
          </c:spPr>
          <c:invertIfNegative val="0"/>
          <c:cat>
            <c:numRef>
              <c:f>'5343ipa1'!$D$23:$D$32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'5343ipa1'!$G$23:$G$32</c:f>
              <c:numCache>
                <c:formatCode>#,##0</c:formatCode>
                <c:ptCount val="10"/>
                <c:pt idx="0">
                  <c:v>0</c:v>
                </c:pt>
                <c:pt idx="1">
                  <c:v>0</c:v>
                </c:pt>
                <c:pt idx="2">
                  <c:v>0</c:v>
                </c:pt>
                <c:pt idx="3">
                  <c:v>0</c:v>
                </c:pt>
                <c:pt idx="4">
                  <c:v>0</c:v>
                </c:pt>
                <c:pt idx="5">
                  <c:v>0</c:v>
                </c:pt>
                <c:pt idx="6">
                  <c:v>0</c:v>
                </c:pt>
                <c:pt idx="7">
                  <c:v>0</c:v>
                </c:pt>
                <c:pt idx="8">
                  <c:v>36647</c:v>
                </c:pt>
                <c:pt idx="9">
                  <c:v>70418</c:v>
                </c:pt>
              </c:numCache>
            </c:numRef>
          </c:val>
          <c:extLst xmlns:c16r2="http://schemas.microsoft.com/office/drawing/2015/06/chart">
            <c:ext xmlns:c16="http://schemas.microsoft.com/office/drawing/2014/chart" uri="{C3380CC4-5D6E-409C-BE32-E72D297353CC}">
              <c16:uniqueId val="{00000001-D75E-4160-90A4-E07D041D758F}"/>
            </c:ext>
          </c:extLst>
        </c:ser>
        <c:ser>
          <c:idx val="4"/>
          <c:order val="4"/>
          <c:tx>
            <c:strRef>
              <c:f>'5343ipa1'!$I$22</c:f>
              <c:strCache>
                <c:ptCount val="1"/>
                <c:pt idx="0">
                  <c:v>MK (EUR)</c:v>
                </c:pt>
              </c:strCache>
            </c:strRef>
          </c:tx>
          <c:spPr>
            <a:solidFill>
              <a:schemeClr val="accent3"/>
            </a:solidFill>
            <a:ln>
              <a:noFill/>
            </a:ln>
            <a:effectLst/>
          </c:spPr>
          <c:invertIfNegative val="0"/>
          <c:cat>
            <c:numRef>
              <c:f>'5343ipa1'!$D$23:$D$32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'5343ipa1'!$I$23:$I$32</c:f>
              <c:numCache>
                <c:formatCode>#,##0</c:formatCode>
                <c:ptCount val="10"/>
                <c:pt idx="0">
                  <c:v>0</c:v>
                </c:pt>
                <c:pt idx="1">
                  <c:v>87159</c:v>
                </c:pt>
                <c:pt idx="2">
                  <c:v>75716</c:v>
                </c:pt>
                <c:pt idx="3">
                  <c:v>201721</c:v>
                </c:pt>
                <c:pt idx="4">
                  <c:v>33569</c:v>
                </c:pt>
                <c:pt idx="5">
                  <c:v>0</c:v>
                </c:pt>
                <c:pt idx="6">
                  <c:v>6500</c:v>
                </c:pt>
                <c:pt idx="7">
                  <c:v>27950</c:v>
                </c:pt>
                <c:pt idx="8">
                  <c:v>0</c:v>
                </c:pt>
                <c:pt idx="9">
                  <c:v>26183</c:v>
                </c:pt>
              </c:numCache>
            </c:numRef>
          </c:val>
          <c:extLst xmlns:c16r2="http://schemas.microsoft.com/office/drawing/2015/06/chart">
            <c:ext xmlns:c16="http://schemas.microsoft.com/office/drawing/2014/chart" uri="{C3380CC4-5D6E-409C-BE32-E72D297353CC}">
              <c16:uniqueId val="{00000002-D75E-4160-90A4-E07D041D758F}"/>
            </c:ext>
          </c:extLst>
        </c:ser>
        <c:ser>
          <c:idx val="6"/>
          <c:order val="6"/>
          <c:tx>
            <c:strRef>
              <c:f>'5343ipa1'!$K$22</c:f>
              <c:strCache>
                <c:ptCount val="1"/>
                <c:pt idx="0">
                  <c:v>RS (EUR)</c:v>
                </c:pt>
              </c:strCache>
            </c:strRef>
          </c:tx>
          <c:spPr>
            <a:solidFill>
              <a:schemeClr val="accent4"/>
            </a:solidFill>
            <a:ln>
              <a:noFill/>
            </a:ln>
            <a:effectLst/>
          </c:spPr>
          <c:invertIfNegative val="0"/>
          <c:cat>
            <c:numRef>
              <c:f>'5343ipa1'!$D$23:$D$32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'5343ipa1'!$K$23:$K$32</c:f>
              <c:numCache>
                <c:formatCode>General</c:formatCode>
                <c:ptCount val="10"/>
                <c:pt idx="0" formatCode="#,##0">
                  <c:v>0</c:v>
                </c:pt>
                <c:pt idx="2" formatCode="#,##0">
                  <c:v>13841</c:v>
                </c:pt>
                <c:pt idx="3" formatCode="#,##0">
                  <c:v>2153</c:v>
                </c:pt>
                <c:pt idx="4" formatCode="#,##0">
                  <c:v>23385</c:v>
                </c:pt>
                <c:pt idx="5" formatCode="#,##0">
                  <c:v>35309</c:v>
                </c:pt>
                <c:pt idx="6" formatCode="#,##0">
                  <c:v>71130</c:v>
                </c:pt>
                <c:pt idx="7" formatCode="#,##0">
                  <c:v>22388</c:v>
                </c:pt>
                <c:pt idx="8" formatCode="#,##0">
                  <c:v>0</c:v>
                </c:pt>
                <c:pt idx="9" formatCode="#,##0">
                  <c:v>1153297</c:v>
                </c:pt>
              </c:numCache>
            </c:numRef>
          </c:val>
          <c:extLst xmlns:c16r2="http://schemas.microsoft.com/office/drawing/2015/06/chart">
            <c:ext xmlns:c16="http://schemas.microsoft.com/office/drawing/2014/chart" uri="{C3380CC4-5D6E-409C-BE32-E72D297353CC}">
              <c16:uniqueId val="{00000003-D75E-4160-90A4-E07D041D758F}"/>
            </c:ext>
          </c:extLst>
        </c:ser>
        <c:ser>
          <c:idx val="8"/>
          <c:order val="8"/>
          <c:tx>
            <c:strRef>
              <c:f>'5343ipa1'!$M$22</c:f>
              <c:strCache>
                <c:ptCount val="1"/>
                <c:pt idx="0">
                  <c:v>TR (EUR)</c:v>
                </c:pt>
              </c:strCache>
            </c:strRef>
          </c:tx>
          <c:spPr>
            <a:solidFill>
              <a:schemeClr val="accent6"/>
            </a:solidFill>
            <a:ln>
              <a:noFill/>
            </a:ln>
            <a:effectLst/>
          </c:spPr>
          <c:invertIfNegative val="0"/>
          <c:cat>
            <c:numRef>
              <c:f>'5343ipa1'!$D$23:$D$32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'5343ipa1'!$M$23:$M$32</c:f>
              <c:numCache>
                <c:formatCode>#,##0</c:formatCode>
                <c:ptCount val="10"/>
                <c:pt idx="0">
                  <c:v>1377</c:v>
                </c:pt>
                <c:pt idx="1">
                  <c:v>380284</c:v>
                </c:pt>
                <c:pt idx="2">
                  <c:v>1024478</c:v>
                </c:pt>
                <c:pt idx="3">
                  <c:v>7353155</c:v>
                </c:pt>
                <c:pt idx="4">
                  <c:v>2274307</c:v>
                </c:pt>
                <c:pt idx="5">
                  <c:v>4904525</c:v>
                </c:pt>
                <c:pt idx="6">
                  <c:v>6989247</c:v>
                </c:pt>
                <c:pt idx="7">
                  <c:v>15397202</c:v>
                </c:pt>
                <c:pt idx="8">
                  <c:v>10707292</c:v>
                </c:pt>
                <c:pt idx="9">
                  <c:v>9663060</c:v>
                </c:pt>
              </c:numCache>
            </c:numRef>
          </c:val>
          <c:extLst xmlns:c16r2="http://schemas.microsoft.com/office/drawing/2015/06/chart">
            <c:ext xmlns:c16="http://schemas.microsoft.com/office/drawing/2014/chart" uri="{C3380CC4-5D6E-409C-BE32-E72D297353CC}">
              <c16:uniqueId val="{00000004-D75E-4160-90A4-E07D041D758F}"/>
            </c:ext>
          </c:extLst>
        </c:ser>
        <c:dLbls>
          <c:showLegendKey val="0"/>
          <c:showVal val="0"/>
          <c:showCatName val="0"/>
          <c:showSerName val="0"/>
          <c:showPercent val="0"/>
          <c:showBubbleSize val="0"/>
        </c:dLbls>
        <c:gapWidth val="150"/>
        <c:axId val="110668416"/>
        <c:axId val="110674304"/>
      </c:barChart>
      <c:lineChart>
        <c:grouping val="standard"/>
        <c:varyColors val="0"/>
        <c:ser>
          <c:idx val="1"/>
          <c:order val="1"/>
          <c:tx>
            <c:strRef>
              <c:f>'5343ipa1'!$F$22</c:f>
              <c:strCache>
                <c:ptCount val="1"/>
                <c:pt idx="0">
                  <c:v>AL (#)</c:v>
                </c:pt>
              </c:strCache>
            </c:strRef>
          </c:tx>
          <c:spPr>
            <a:ln w="28575" cap="rnd">
              <a:solidFill>
                <a:schemeClr val="accent1"/>
              </a:solidFill>
              <a:round/>
            </a:ln>
            <a:effectLst/>
          </c:spPr>
          <c:marker>
            <c:symbol val="none"/>
          </c:marker>
          <c:cat>
            <c:numRef>
              <c:f>'5343ipa1'!$D$23:$D$32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'5343ipa1'!$F$23:$F$32</c:f>
              <c:numCache>
                <c:formatCode>#,##0</c:formatCode>
                <c:ptCount val="10"/>
                <c:pt idx="0">
                  <c:v>0</c:v>
                </c:pt>
                <c:pt idx="1">
                  <c:v>0</c:v>
                </c:pt>
                <c:pt idx="2">
                  <c:v>0</c:v>
                </c:pt>
                <c:pt idx="3">
                  <c:v>0</c:v>
                </c:pt>
                <c:pt idx="4">
                  <c:v>0</c:v>
                </c:pt>
                <c:pt idx="5">
                  <c:v>1</c:v>
                </c:pt>
                <c:pt idx="6">
                  <c:v>0</c:v>
                </c:pt>
                <c:pt idx="7">
                  <c:v>0</c:v>
                </c:pt>
                <c:pt idx="8">
                  <c:v>0</c:v>
                </c:pt>
                <c:pt idx="9">
                  <c:v>1</c:v>
                </c:pt>
              </c:numCache>
            </c:numRef>
          </c:val>
          <c:smooth val="0"/>
          <c:extLst xmlns:c16r2="http://schemas.microsoft.com/office/drawing/2015/06/chart">
            <c:ext xmlns:c16="http://schemas.microsoft.com/office/drawing/2014/chart" uri="{C3380CC4-5D6E-409C-BE32-E72D297353CC}">
              <c16:uniqueId val="{00000005-D75E-4160-90A4-E07D041D758F}"/>
            </c:ext>
          </c:extLst>
        </c:ser>
        <c:ser>
          <c:idx val="3"/>
          <c:order val="3"/>
          <c:tx>
            <c:strRef>
              <c:f>'5343ipa1'!$H$22</c:f>
              <c:strCache>
                <c:ptCount val="1"/>
                <c:pt idx="0">
                  <c:v>ME (#)</c:v>
                </c:pt>
              </c:strCache>
            </c:strRef>
          </c:tx>
          <c:spPr>
            <a:ln w="28575" cap="rnd">
              <a:solidFill>
                <a:schemeClr val="accent2"/>
              </a:solidFill>
              <a:round/>
            </a:ln>
            <a:effectLst/>
          </c:spPr>
          <c:marker>
            <c:symbol val="none"/>
          </c:marker>
          <c:cat>
            <c:numRef>
              <c:f>'5343ipa1'!$D$23:$D$32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'5343ipa1'!$H$23:$H$32</c:f>
              <c:numCache>
                <c:formatCode>#,##0</c:formatCode>
                <c:ptCount val="10"/>
                <c:pt idx="0">
                  <c:v>0</c:v>
                </c:pt>
                <c:pt idx="1">
                  <c:v>0</c:v>
                </c:pt>
                <c:pt idx="2">
                  <c:v>0</c:v>
                </c:pt>
                <c:pt idx="3">
                  <c:v>0</c:v>
                </c:pt>
                <c:pt idx="4">
                  <c:v>0</c:v>
                </c:pt>
                <c:pt idx="5">
                  <c:v>0</c:v>
                </c:pt>
                <c:pt idx="6">
                  <c:v>0</c:v>
                </c:pt>
                <c:pt idx="7">
                  <c:v>9</c:v>
                </c:pt>
                <c:pt idx="8">
                  <c:v>5</c:v>
                </c:pt>
                <c:pt idx="9">
                  <c:v>27</c:v>
                </c:pt>
              </c:numCache>
            </c:numRef>
          </c:val>
          <c:smooth val="0"/>
          <c:extLst xmlns:c16r2="http://schemas.microsoft.com/office/drawing/2015/06/chart">
            <c:ext xmlns:c16="http://schemas.microsoft.com/office/drawing/2014/chart" uri="{C3380CC4-5D6E-409C-BE32-E72D297353CC}">
              <c16:uniqueId val="{00000006-D75E-4160-90A4-E07D041D758F}"/>
            </c:ext>
          </c:extLst>
        </c:ser>
        <c:ser>
          <c:idx val="5"/>
          <c:order val="5"/>
          <c:tx>
            <c:strRef>
              <c:f>'5343ipa1'!$J$22</c:f>
              <c:strCache>
                <c:ptCount val="1"/>
                <c:pt idx="0">
                  <c:v>MK (#)</c:v>
                </c:pt>
              </c:strCache>
            </c:strRef>
          </c:tx>
          <c:spPr>
            <a:ln w="28575" cap="rnd">
              <a:solidFill>
                <a:schemeClr val="accent3"/>
              </a:solidFill>
              <a:round/>
            </a:ln>
            <a:effectLst/>
          </c:spPr>
          <c:marker>
            <c:symbol val="none"/>
          </c:marker>
          <c:cat>
            <c:numRef>
              <c:f>'5343ipa1'!$D$23:$D$32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'5343ipa1'!$J$23:$J$32</c:f>
              <c:numCache>
                <c:formatCode>#,##0</c:formatCode>
                <c:ptCount val="10"/>
                <c:pt idx="0">
                  <c:v>0</c:v>
                </c:pt>
                <c:pt idx="1">
                  <c:v>3</c:v>
                </c:pt>
                <c:pt idx="2">
                  <c:v>3</c:v>
                </c:pt>
                <c:pt idx="3">
                  <c:v>3</c:v>
                </c:pt>
                <c:pt idx="4">
                  <c:v>5</c:v>
                </c:pt>
                <c:pt idx="5">
                  <c:v>0</c:v>
                </c:pt>
                <c:pt idx="6">
                  <c:v>4</c:v>
                </c:pt>
                <c:pt idx="7">
                  <c:v>1</c:v>
                </c:pt>
                <c:pt idx="8">
                  <c:v>1</c:v>
                </c:pt>
                <c:pt idx="9">
                  <c:v>1</c:v>
                </c:pt>
              </c:numCache>
            </c:numRef>
          </c:val>
          <c:smooth val="0"/>
          <c:extLst xmlns:c16r2="http://schemas.microsoft.com/office/drawing/2015/06/chart">
            <c:ext xmlns:c16="http://schemas.microsoft.com/office/drawing/2014/chart" uri="{C3380CC4-5D6E-409C-BE32-E72D297353CC}">
              <c16:uniqueId val="{00000007-D75E-4160-90A4-E07D041D758F}"/>
            </c:ext>
          </c:extLst>
        </c:ser>
        <c:ser>
          <c:idx val="7"/>
          <c:order val="7"/>
          <c:tx>
            <c:strRef>
              <c:f>'5343ipa1'!$L$22</c:f>
              <c:strCache>
                <c:ptCount val="1"/>
                <c:pt idx="0">
                  <c:v>RS (#)</c:v>
                </c:pt>
              </c:strCache>
            </c:strRef>
          </c:tx>
          <c:spPr>
            <a:ln w="28575" cap="rnd">
              <a:solidFill>
                <a:schemeClr val="accent4"/>
              </a:solidFill>
              <a:round/>
            </a:ln>
            <a:effectLst/>
          </c:spPr>
          <c:marker>
            <c:symbol val="none"/>
          </c:marker>
          <c:cat>
            <c:numRef>
              <c:f>'5343ipa1'!$D$23:$D$32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'5343ipa1'!$L$23:$L$32</c:f>
              <c:numCache>
                <c:formatCode>#,##0</c:formatCode>
                <c:ptCount val="10"/>
                <c:pt idx="0">
                  <c:v>0</c:v>
                </c:pt>
                <c:pt idx="1">
                  <c:v>0</c:v>
                </c:pt>
                <c:pt idx="2">
                  <c:v>1</c:v>
                </c:pt>
                <c:pt idx="3">
                  <c:v>1</c:v>
                </c:pt>
                <c:pt idx="4">
                  <c:v>3</c:v>
                </c:pt>
                <c:pt idx="5">
                  <c:v>3</c:v>
                </c:pt>
                <c:pt idx="6">
                  <c:v>12</c:v>
                </c:pt>
                <c:pt idx="7">
                  <c:v>1</c:v>
                </c:pt>
                <c:pt idx="8">
                  <c:v>2</c:v>
                </c:pt>
                <c:pt idx="9">
                  <c:v>8</c:v>
                </c:pt>
              </c:numCache>
            </c:numRef>
          </c:val>
          <c:smooth val="0"/>
          <c:extLst xmlns:c16r2="http://schemas.microsoft.com/office/drawing/2015/06/chart">
            <c:ext xmlns:c16="http://schemas.microsoft.com/office/drawing/2014/chart" uri="{C3380CC4-5D6E-409C-BE32-E72D297353CC}">
              <c16:uniqueId val="{00000008-D75E-4160-90A4-E07D041D758F}"/>
            </c:ext>
          </c:extLst>
        </c:ser>
        <c:ser>
          <c:idx val="9"/>
          <c:order val="9"/>
          <c:tx>
            <c:strRef>
              <c:f>'5343ipa1'!$N$22</c:f>
              <c:strCache>
                <c:ptCount val="1"/>
                <c:pt idx="0">
                  <c:v>TR (#)</c:v>
                </c:pt>
              </c:strCache>
            </c:strRef>
          </c:tx>
          <c:spPr>
            <a:ln w="28575" cap="rnd">
              <a:solidFill>
                <a:schemeClr val="accent6"/>
              </a:solidFill>
              <a:round/>
            </a:ln>
            <a:effectLst/>
          </c:spPr>
          <c:marker>
            <c:symbol val="none"/>
          </c:marker>
          <c:cat>
            <c:numRef>
              <c:f>'5343ipa1'!$D$23:$D$32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'5343ipa1'!$N$23:$N$32</c:f>
              <c:numCache>
                <c:formatCode>#,##0</c:formatCode>
                <c:ptCount val="10"/>
                <c:pt idx="0">
                  <c:v>1</c:v>
                </c:pt>
                <c:pt idx="1">
                  <c:v>16</c:v>
                </c:pt>
                <c:pt idx="2">
                  <c:v>10</c:v>
                </c:pt>
                <c:pt idx="3">
                  <c:v>13</c:v>
                </c:pt>
                <c:pt idx="4">
                  <c:v>33</c:v>
                </c:pt>
                <c:pt idx="5">
                  <c:v>53</c:v>
                </c:pt>
                <c:pt idx="6">
                  <c:v>54</c:v>
                </c:pt>
                <c:pt idx="7">
                  <c:v>80</c:v>
                </c:pt>
                <c:pt idx="8">
                  <c:v>101</c:v>
                </c:pt>
                <c:pt idx="9">
                  <c:v>87</c:v>
                </c:pt>
              </c:numCache>
            </c:numRef>
          </c:val>
          <c:smooth val="0"/>
          <c:extLst xmlns:c16r2="http://schemas.microsoft.com/office/drawing/2015/06/chart">
            <c:ext xmlns:c16="http://schemas.microsoft.com/office/drawing/2014/chart" uri="{C3380CC4-5D6E-409C-BE32-E72D297353CC}">
              <c16:uniqueId val="{00000009-D75E-4160-90A4-E07D041D758F}"/>
            </c:ext>
          </c:extLst>
        </c:ser>
        <c:dLbls>
          <c:showLegendKey val="0"/>
          <c:showVal val="0"/>
          <c:showCatName val="0"/>
          <c:showSerName val="0"/>
          <c:showPercent val="0"/>
          <c:showBubbleSize val="0"/>
        </c:dLbls>
        <c:marker val="1"/>
        <c:smooth val="0"/>
        <c:axId val="110682496"/>
        <c:axId val="110676224"/>
      </c:lineChart>
      <c:catAx>
        <c:axId val="1106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74304"/>
        <c:crosses val="autoZero"/>
        <c:auto val="1"/>
        <c:lblAlgn val="ctr"/>
        <c:lblOffset val="100"/>
        <c:noMultiLvlLbl val="0"/>
      </c:catAx>
      <c:valAx>
        <c:axId val="11067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Irregularity Amount (EUR)</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68416"/>
        <c:crosses val="autoZero"/>
        <c:crossBetween val="between"/>
      </c:valAx>
      <c:valAx>
        <c:axId val="11067622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Reported Irregularities</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82496"/>
        <c:crosses val="max"/>
        <c:crossBetween val="between"/>
      </c:valAx>
      <c:catAx>
        <c:axId val="110682496"/>
        <c:scaling>
          <c:orientation val="minMax"/>
        </c:scaling>
        <c:delete val="1"/>
        <c:axPos val="b"/>
        <c:numFmt formatCode="General" sourceLinked="1"/>
        <c:majorTickMark val="out"/>
        <c:minorTickMark val="none"/>
        <c:tickLblPos val="nextTo"/>
        <c:crossAx val="1106762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'5343'!$C$4</c:f>
              <c:strCache>
                <c:ptCount val="1"/>
                <c:pt idx="0">
                  <c:v>AL (EUR)</c:v>
                </c:pt>
              </c:strCache>
            </c:strRef>
          </c:tx>
          <c:spPr>
            <a:solidFill>
              <a:schemeClr val="accent1"/>
            </a:solidFill>
            <a:ln>
              <a:noFill/>
            </a:ln>
            <a:effectLst/>
          </c:spPr>
          <c:invertIfNegative val="0"/>
          <c:cat>
            <c:numRef>
              <c:f>'5343'!$B$5:$B$9</c:f>
              <c:numCache>
                <c:formatCode>General</c:formatCode>
                <c:ptCount val="5"/>
                <c:pt idx="0">
                  <c:v>2015</c:v>
                </c:pt>
                <c:pt idx="1">
                  <c:v>2016</c:v>
                </c:pt>
                <c:pt idx="2">
                  <c:v>2017</c:v>
                </c:pt>
                <c:pt idx="3">
                  <c:v>2018</c:v>
                </c:pt>
                <c:pt idx="4">
                  <c:v>2019</c:v>
                </c:pt>
              </c:numCache>
            </c:numRef>
          </c:cat>
          <c:val>
            <c:numRef>
              <c:f>'5343'!$C$5:$C$9</c:f>
              <c:numCache>
                <c:formatCode>_("€"* #,##0.00_);_("€"* \(#,##0.00\);_("€"* "-"??_);_(@_)</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1639-4F8D-8070-2DAFF1DF20FF}"/>
            </c:ext>
          </c:extLst>
        </c:ser>
        <c:ser>
          <c:idx val="1"/>
          <c:order val="1"/>
          <c:tx>
            <c:strRef>
              <c:f>'5343'!$D$4</c:f>
              <c:strCache>
                <c:ptCount val="1"/>
                <c:pt idx="0">
                  <c:v>BG (EUR)</c:v>
                </c:pt>
              </c:strCache>
            </c:strRef>
          </c:tx>
          <c:spPr>
            <a:solidFill>
              <a:schemeClr val="accent2"/>
            </a:solidFill>
            <a:ln>
              <a:noFill/>
            </a:ln>
            <a:effectLst/>
          </c:spPr>
          <c:invertIfNegative val="0"/>
          <c:cat>
            <c:numRef>
              <c:f>'5343'!$B$5:$B$9</c:f>
              <c:numCache>
                <c:formatCode>General</c:formatCode>
                <c:ptCount val="5"/>
                <c:pt idx="0">
                  <c:v>2015</c:v>
                </c:pt>
                <c:pt idx="1">
                  <c:v>2016</c:v>
                </c:pt>
                <c:pt idx="2">
                  <c:v>2017</c:v>
                </c:pt>
                <c:pt idx="3">
                  <c:v>2018</c:v>
                </c:pt>
                <c:pt idx="4">
                  <c:v>2019</c:v>
                </c:pt>
              </c:numCache>
            </c:numRef>
          </c:cat>
          <c:val>
            <c:numRef>
              <c:f>'5343'!$D$5:$D$9</c:f>
              <c:numCache>
                <c:formatCode>_("€"* #,##0.00_);_("€"* \(#,##0.00\);_("€"* "-"??_);_(@_)</c:formatCode>
                <c:ptCount val="5"/>
                <c:pt idx="0">
                  <c:v>0</c:v>
                </c:pt>
                <c:pt idx="1">
                  <c:v>0</c:v>
                </c:pt>
                <c:pt idx="2">
                  <c:v>0</c:v>
                </c:pt>
                <c:pt idx="3">
                  <c:v>51408.79</c:v>
                </c:pt>
                <c:pt idx="4">
                  <c:v>66185.94</c:v>
                </c:pt>
              </c:numCache>
            </c:numRef>
          </c:val>
          <c:extLst xmlns:c16r2="http://schemas.microsoft.com/office/drawing/2015/06/chart">
            <c:ext xmlns:c16="http://schemas.microsoft.com/office/drawing/2014/chart" uri="{C3380CC4-5D6E-409C-BE32-E72D297353CC}">
              <c16:uniqueId val="{00000001-1639-4F8D-8070-2DAFF1DF20FF}"/>
            </c:ext>
          </c:extLst>
        </c:ser>
        <c:ser>
          <c:idx val="2"/>
          <c:order val="2"/>
          <c:tx>
            <c:strRef>
              <c:f>'5343'!$E$4</c:f>
              <c:strCache>
                <c:ptCount val="1"/>
                <c:pt idx="0">
                  <c:v>ME (EUR)</c:v>
                </c:pt>
              </c:strCache>
            </c:strRef>
          </c:tx>
          <c:spPr>
            <a:solidFill>
              <a:schemeClr val="accent3"/>
            </a:solidFill>
            <a:ln>
              <a:noFill/>
            </a:ln>
            <a:effectLst/>
          </c:spPr>
          <c:invertIfNegative val="0"/>
          <c:cat>
            <c:numRef>
              <c:f>'5343'!$B$5:$B$9</c:f>
              <c:numCache>
                <c:formatCode>General</c:formatCode>
                <c:ptCount val="5"/>
                <c:pt idx="0">
                  <c:v>2015</c:v>
                </c:pt>
                <c:pt idx="1">
                  <c:v>2016</c:v>
                </c:pt>
                <c:pt idx="2">
                  <c:v>2017</c:v>
                </c:pt>
                <c:pt idx="3">
                  <c:v>2018</c:v>
                </c:pt>
                <c:pt idx="4">
                  <c:v>2019</c:v>
                </c:pt>
              </c:numCache>
            </c:numRef>
          </c:cat>
          <c:val>
            <c:numRef>
              <c:f>'5343'!$E$5:$E$9</c:f>
              <c:numCache>
                <c:formatCode>_("€"* #,##0.00_);_("€"* \(#,##0.00\);_("€"* "-"??_);_(@_)</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1639-4F8D-8070-2DAFF1DF20FF}"/>
            </c:ext>
          </c:extLst>
        </c:ser>
        <c:ser>
          <c:idx val="3"/>
          <c:order val="3"/>
          <c:tx>
            <c:strRef>
              <c:f>'5343'!$F$4</c:f>
              <c:strCache>
                <c:ptCount val="1"/>
                <c:pt idx="0">
                  <c:v>MK (EUR)</c:v>
                </c:pt>
              </c:strCache>
            </c:strRef>
          </c:tx>
          <c:spPr>
            <a:solidFill>
              <a:schemeClr val="accent4"/>
            </a:solidFill>
            <a:ln>
              <a:noFill/>
            </a:ln>
            <a:effectLst/>
          </c:spPr>
          <c:invertIfNegative val="0"/>
          <c:cat>
            <c:numRef>
              <c:f>'5343'!$B$5:$B$9</c:f>
              <c:numCache>
                <c:formatCode>General</c:formatCode>
                <c:ptCount val="5"/>
                <c:pt idx="0">
                  <c:v>2015</c:v>
                </c:pt>
                <c:pt idx="1">
                  <c:v>2016</c:v>
                </c:pt>
                <c:pt idx="2">
                  <c:v>2017</c:v>
                </c:pt>
                <c:pt idx="3">
                  <c:v>2018</c:v>
                </c:pt>
                <c:pt idx="4">
                  <c:v>2019</c:v>
                </c:pt>
              </c:numCache>
            </c:numRef>
          </c:cat>
          <c:val>
            <c:numRef>
              <c:f>'5343'!$F$5:$F$9</c:f>
              <c:numCache>
                <c:formatCode>_("€"* #,##0.00_);_("€"* \(#,##0.00\);_("€"* "-"??_);_(@_)</c:formatCode>
                <c:ptCount val="5"/>
                <c:pt idx="0">
                  <c:v>0</c:v>
                </c:pt>
                <c:pt idx="1">
                  <c:v>0</c:v>
                </c:pt>
                <c:pt idx="2">
                  <c:v>0</c:v>
                </c:pt>
                <c:pt idx="3">
                  <c:v>0</c:v>
                </c:pt>
                <c:pt idx="4">
                  <c:v>323459.15000000002</c:v>
                </c:pt>
              </c:numCache>
            </c:numRef>
          </c:val>
          <c:extLst xmlns:c16r2="http://schemas.microsoft.com/office/drawing/2015/06/chart">
            <c:ext xmlns:c16="http://schemas.microsoft.com/office/drawing/2014/chart" uri="{C3380CC4-5D6E-409C-BE32-E72D297353CC}">
              <c16:uniqueId val="{00000003-1639-4F8D-8070-2DAFF1DF20FF}"/>
            </c:ext>
          </c:extLst>
        </c:ser>
        <c:ser>
          <c:idx val="4"/>
          <c:order val="4"/>
          <c:tx>
            <c:strRef>
              <c:f>'5343'!$G$4</c:f>
              <c:strCache>
                <c:ptCount val="1"/>
                <c:pt idx="0">
                  <c:v>RS (EUR)</c:v>
                </c:pt>
              </c:strCache>
            </c:strRef>
          </c:tx>
          <c:spPr>
            <a:solidFill>
              <a:schemeClr val="accent5"/>
            </a:solidFill>
            <a:ln>
              <a:noFill/>
            </a:ln>
            <a:effectLst/>
          </c:spPr>
          <c:invertIfNegative val="0"/>
          <c:cat>
            <c:numRef>
              <c:f>'5343'!$B$5:$B$9</c:f>
              <c:numCache>
                <c:formatCode>General</c:formatCode>
                <c:ptCount val="5"/>
                <c:pt idx="0">
                  <c:v>2015</c:v>
                </c:pt>
                <c:pt idx="1">
                  <c:v>2016</c:v>
                </c:pt>
                <c:pt idx="2">
                  <c:v>2017</c:v>
                </c:pt>
                <c:pt idx="3">
                  <c:v>2018</c:v>
                </c:pt>
                <c:pt idx="4">
                  <c:v>2019</c:v>
                </c:pt>
              </c:numCache>
            </c:numRef>
          </c:cat>
          <c:val>
            <c:numRef>
              <c:f>'5343'!$G$5:$G$9</c:f>
              <c:numCache>
                <c:formatCode>_("€"* #,##0.00_);_("€"* \(#,##0.00\);_("€"* "-"??_);_(@_)</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4-1639-4F8D-8070-2DAFF1DF20FF}"/>
            </c:ext>
          </c:extLst>
        </c:ser>
        <c:ser>
          <c:idx val="5"/>
          <c:order val="5"/>
          <c:tx>
            <c:strRef>
              <c:f>'5343'!$H$4</c:f>
              <c:strCache>
                <c:ptCount val="1"/>
                <c:pt idx="0">
                  <c:v>TR (EUR)</c:v>
                </c:pt>
              </c:strCache>
            </c:strRef>
          </c:tx>
          <c:spPr>
            <a:solidFill>
              <a:schemeClr val="accent6"/>
            </a:solidFill>
            <a:ln>
              <a:noFill/>
            </a:ln>
            <a:effectLst/>
          </c:spPr>
          <c:invertIfNegative val="0"/>
          <c:cat>
            <c:numRef>
              <c:f>'5343'!$B$5:$B$9</c:f>
              <c:numCache>
                <c:formatCode>General</c:formatCode>
                <c:ptCount val="5"/>
                <c:pt idx="0">
                  <c:v>2015</c:v>
                </c:pt>
                <c:pt idx="1">
                  <c:v>2016</c:v>
                </c:pt>
                <c:pt idx="2">
                  <c:v>2017</c:v>
                </c:pt>
                <c:pt idx="3">
                  <c:v>2018</c:v>
                </c:pt>
                <c:pt idx="4">
                  <c:v>2019</c:v>
                </c:pt>
              </c:numCache>
            </c:numRef>
          </c:cat>
          <c:val>
            <c:numRef>
              <c:f>'5343'!$H$5:$H$9</c:f>
              <c:numCache>
                <c:formatCode>_("€"* #,##0.00_);_("€"* \(#,##0.00\);_("€"* "-"??_);_(@_)</c:formatCode>
                <c:ptCount val="5"/>
                <c:pt idx="0">
                  <c:v>0</c:v>
                </c:pt>
                <c:pt idx="1">
                  <c:v>0</c:v>
                </c:pt>
                <c:pt idx="2">
                  <c:v>0</c:v>
                </c:pt>
                <c:pt idx="3">
                  <c:v>580641.75</c:v>
                </c:pt>
                <c:pt idx="4">
                  <c:v>788199.16</c:v>
                </c:pt>
              </c:numCache>
            </c:numRef>
          </c:val>
          <c:extLst xmlns:c16r2="http://schemas.microsoft.com/office/drawing/2015/06/chart">
            <c:ext xmlns:c16="http://schemas.microsoft.com/office/drawing/2014/chart" uri="{C3380CC4-5D6E-409C-BE32-E72D297353CC}">
              <c16:uniqueId val="{00000005-1639-4F8D-8070-2DAFF1DF20FF}"/>
            </c:ext>
          </c:extLst>
        </c:ser>
        <c:dLbls>
          <c:showLegendKey val="0"/>
          <c:showVal val="0"/>
          <c:showCatName val="0"/>
          <c:showSerName val="0"/>
          <c:showPercent val="0"/>
          <c:showBubbleSize val="0"/>
        </c:dLbls>
        <c:gapWidth val="219"/>
        <c:axId val="110557824"/>
        <c:axId val="110301568"/>
      </c:barChart>
      <c:lineChart>
        <c:grouping val="standard"/>
        <c:varyColors val="0"/>
        <c:ser>
          <c:idx val="6"/>
          <c:order val="6"/>
          <c:tx>
            <c:strRef>
              <c:f>'5343'!$I$4</c:f>
              <c:strCache>
                <c:ptCount val="1"/>
                <c:pt idx="0">
                  <c:v>AL (#)</c:v>
                </c:pt>
              </c:strCache>
            </c:strRef>
          </c:tx>
          <c:spPr>
            <a:ln w="28575" cap="rnd">
              <a:solidFill>
                <a:schemeClr val="accent1"/>
              </a:solidFill>
              <a:round/>
            </a:ln>
            <a:effectLst/>
          </c:spPr>
          <c:marker>
            <c:symbol val="none"/>
          </c:marker>
          <c:cat>
            <c:numRef>
              <c:f>'5343'!$B$5:$B$9</c:f>
              <c:numCache>
                <c:formatCode>General</c:formatCode>
                <c:ptCount val="5"/>
                <c:pt idx="0">
                  <c:v>2015</c:v>
                </c:pt>
                <c:pt idx="1">
                  <c:v>2016</c:v>
                </c:pt>
                <c:pt idx="2">
                  <c:v>2017</c:v>
                </c:pt>
                <c:pt idx="3">
                  <c:v>2018</c:v>
                </c:pt>
                <c:pt idx="4">
                  <c:v>2019</c:v>
                </c:pt>
              </c:numCache>
            </c:numRef>
          </c:cat>
          <c:val>
            <c:numRef>
              <c:f>'5343'!$I$5:$I$9</c:f>
              <c:numCache>
                <c:formatCode>General</c:formatCode>
                <c:ptCount val="5"/>
                <c:pt idx="0">
                  <c:v>0</c:v>
                </c:pt>
                <c:pt idx="1">
                  <c:v>0</c:v>
                </c:pt>
                <c:pt idx="2">
                  <c:v>0</c:v>
                </c:pt>
                <c:pt idx="3">
                  <c:v>0</c:v>
                </c:pt>
                <c:pt idx="4">
                  <c:v>2</c:v>
                </c:pt>
              </c:numCache>
            </c:numRef>
          </c:val>
          <c:smooth val="0"/>
          <c:extLst xmlns:c16r2="http://schemas.microsoft.com/office/drawing/2015/06/chart">
            <c:ext xmlns:c16="http://schemas.microsoft.com/office/drawing/2014/chart" uri="{C3380CC4-5D6E-409C-BE32-E72D297353CC}">
              <c16:uniqueId val="{00000006-1639-4F8D-8070-2DAFF1DF20FF}"/>
            </c:ext>
          </c:extLst>
        </c:ser>
        <c:ser>
          <c:idx val="7"/>
          <c:order val="7"/>
          <c:tx>
            <c:strRef>
              <c:f>'5343'!$J$4</c:f>
              <c:strCache>
                <c:ptCount val="1"/>
                <c:pt idx="0">
                  <c:v>BG (#)</c:v>
                </c:pt>
              </c:strCache>
            </c:strRef>
          </c:tx>
          <c:spPr>
            <a:ln w="28575" cap="rnd">
              <a:solidFill>
                <a:schemeClr val="accent2"/>
              </a:solidFill>
              <a:round/>
            </a:ln>
            <a:effectLst/>
          </c:spPr>
          <c:marker>
            <c:symbol val="none"/>
          </c:marker>
          <c:cat>
            <c:numRef>
              <c:f>'5343'!$B$5:$B$9</c:f>
              <c:numCache>
                <c:formatCode>General</c:formatCode>
                <c:ptCount val="5"/>
                <c:pt idx="0">
                  <c:v>2015</c:v>
                </c:pt>
                <c:pt idx="1">
                  <c:v>2016</c:v>
                </c:pt>
                <c:pt idx="2">
                  <c:v>2017</c:v>
                </c:pt>
                <c:pt idx="3">
                  <c:v>2018</c:v>
                </c:pt>
                <c:pt idx="4">
                  <c:v>2019</c:v>
                </c:pt>
              </c:numCache>
            </c:numRef>
          </c:cat>
          <c:val>
            <c:numRef>
              <c:f>'5343'!$J$5:$J$9</c:f>
              <c:numCache>
                <c:formatCode>General</c:formatCode>
                <c:ptCount val="5"/>
                <c:pt idx="0">
                  <c:v>0</c:v>
                </c:pt>
                <c:pt idx="1">
                  <c:v>0</c:v>
                </c:pt>
                <c:pt idx="2">
                  <c:v>0</c:v>
                </c:pt>
                <c:pt idx="3">
                  <c:v>5</c:v>
                </c:pt>
                <c:pt idx="4">
                  <c:v>2</c:v>
                </c:pt>
              </c:numCache>
            </c:numRef>
          </c:val>
          <c:smooth val="0"/>
          <c:extLst xmlns:c16r2="http://schemas.microsoft.com/office/drawing/2015/06/chart">
            <c:ext xmlns:c16="http://schemas.microsoft.com/office/drawing/2014/chart" uri="{C3380CC4-5D6E-409C-BE32-E72D297353CC}">
              <c16:uniqueId val="{00000007-1639-4F8D-8070-2DAFF1DF20FF}"/>
            </c:ext>
          </c:extLst>
        </c:ser>
        <c:ser>
          <c:idx val="8"/>
          <c:order val="8"/>
          <c:tx>
            <c:strRef>
              <c:f>'5343'!$K$4</c:f>
              <c:strCache>
                <c:ptCount val="1"/>
                <c:pt idx="0">
                  <c:v>ME (#)</c:v>
                </c:pt>
              </c:strCache>
            </c:strRef>
          </c:tx>
          <c:spPr>
            <a:ln w="28575" cap="rnd">
              <a:solidFill>
                <a:schemeClr val="accent3"/>
              </a:solidFill>
              <a:round/>
            </a:ln>
            <a:effectLst/>
          </c:spPr>
          <c:marker>
            <c:symbol val="none"/>
          </c:marker>
          <c:cat>
            <c:numRef>
              <c:f>'5343'!$B$5:$B$9</c:f>
              <c:numCache>
                <c:formatCode>General</c:formatCode>
                <c:ptCount val="5"/>
                <c:pt idx="0">
                  <c:v>2015</c:v>
                </c:pt>
                <c:pt idx="1">
                  <c:v>2016</c:v>
                </c:pt>
                <c:pt idx="2">
                  <c:v>2017</c:v>
                </c:pt>
                <c:pt idx="3">
                  <c:v>2018</c:v>
                </c:pt>
                <c:pt idx="4">
                  <c:v>2019</c:v>
                </c:pt>
              </c:numCache>
            </c:numRef>
          </c:cat>
          <c:val>
            <c:numRef>
              <c:f>'5343'!$K$5:$K$9</c:f>
              <c:numCache>
                <c:formatCode>General</c:formatCode>
                <c:ptCount val="5"/>
                <c:pt idx="0">
                  <c:v>0</c:v>
                </c:pt>
                <c:pt idx="1">
                  <c:v>0</c:v>
                </c:pt>
                <c:pt idx="2">
                  <c:v>0</c:v>
                </c:pt>
                <c:pt idx="3">
                  <c:v>1</c:v>
                </c:pt>
                <c:pt idx="4">
                  <c:v>0</c:v>
                </c:pt>
              </c:numCache>
            </c:numRef>
          </c:val>
          <c:smooth val="0"/>
          <c:extLst xmlns:c16r2="http://schemas.microsoft.com/office/drawing/2015/06/chart">
            <c:ext xmlns:c16="http://schemas.microsoft.com/office/drawing/2014/chart" uri="{C3380CC4-5D6E-409C-BE32-E72D297353CC}">
              <c16:uniqueId val="{00000008-1639-4F8D-8070-2DAFF1DF20FF}"/>
            </c:ext>
          </c:extLst>
        </c:ser>
        <c:ser>
          <c:idx val="9"/>
          <c:order val="9"/>
          <c:tx>
            <c:strRef>
              <c:f>'5343'!$L$4</c:f>
              <c:strCache>
                <c:ptCount val="1"/>
                <c:pt idx="0">
                  <c:v>MK (#)</c:v>
                </c:pt>
              </c:strCache>
            </c:strRef>
          </c:tx>
          <c:spPr>
            <a:ln w="28575" cap="rnd">
              <a:solidFill>
                <a:schemeClr val="accent4"/>
              </a:solidFill>
              <a:round/>
            </a:ln>
            <a:effectLst/>
          </c:spPr>
          <c:marker>
            <c:symbol val="none"/>
          </c:marker>
          <c:cat>
            <c:numRef>
              <c:f>'5343'!$B$5:$B$9</c:f>
              <c:numCache>
                <c:formatCode>General</c:formatCode>
                <c:ptCount val="5"/>
                <c:pt idx="0">
                  <c:v>2015</c:v>
                </c:pt>
                <c:pt idx="1">
                  <c:v>2016</c:v>
                </c:pt>
                <c:pt idx="2">
                  <c:v>2017</c:v>
                </c:pt>
                <c:pt idx="3">
                  <c:v>2018</c:v>
                </c:pt>
                <c:pt idx="4">
                  <c:v>2019</c:v>
                </c:pt>
              </c:numCache>
            </c:numRef>
          </c:cat>
          <c:val>
            <c:numRef>
              <c:f>'5343'!$L$5:$L$9</c:f>
              <c:numCache>
                <c:formatCode>General</c:formatCode>
                <c:ptCount val="5"/>
                <c:pt idx="0">
                  <c:v>0</c:v>
                </c:pt>
                <c:pt idx="1">
                  <c:v>0</c:v>
                </c:pt>
                <c:pt idx="2">
                  <c:v>0</c:v>
                </c:pt>
                <c:pt idx="3">
                  <c:v>1</c:v>
                </c:pt>
                <c:pt idx="4">
                  <c:v>48</c:v>
                </c:pt>
              </c:numCache>
            </c:numRef>
          </c:val>
          <c:smooth val="0"/>
          <c:extLst xmlns:c16r2="http://schemas.microsoft.com/office/drawing/2015/06/chart">
            <c:ext xmlns:c16="http://schemas.microsoft.com/office/drawing/2014/chart" uri="{C3380CC4-5D6E-409C-BE32-E72D297353CC}">
              <c16:uniqueId val="{00000009-1639-4F8D-8070-2DAFF1DF20FF}"/>
            </c:ext>
          </c:extLst>
        </c:ser>
        <c:ser>
          <c:idx val="10"/>
          <c:order val="10"/>
          <c:tx>
            <c:strRef>
              <c:f>'5343'!$M$4</c:f>
              <c:strCache>
                <c:ptCount val="1"/>
                <c:pt idx="0">
                  <c:v>RS (#)</c:v>
                </c:pt>
              </c:strCache>
            </c:strRef>
          </c:tx>
          <c:spPr>
            <a:ln w="28575" cap="rnd">
              <a:solidFill>
                <a:schemeClr val="accent5"/>
              </a:solidFill>
              <a:round/>
            </a:ln>
            <a:effectLst/>
          </c:spPr>
          <c:marker>
            <c:symbol val="none"/>
          </c:marker>
          <c:cat>
            <c:numRef>
              <c:f>'5343'!$B$5:$B$9</c:f>
              <c:numCache>
                <c:formatCode>General</c:formatCode>
                <c:ptCount val="5"/>
                <c:pt idx="0">
                  <c:v>2015</c:v>
                </c:pt>
                <c:pt idx="1">
                  <c:v>2016</c:v>
                </c:pt>
                <c:pt idx="2">
                  <c:v>2017</c:v>
                </c:pt>
                <c:pt idx="3">
                  <c:v>2018</c:v>
                </c:pt>
                <c:pt idx="4">
                  <c:v>2019</c:v>
                </c:pt>
              </c:numCache>
            </c:numRef>
          </c:cat>
          <c:val>
            <c:numRef>
              <c:f>'5343'!$M$5:$M$9</c:f>
              <c:numCache>
                <c:formatCode>General</c:formatCode>
                <c:ptCount val="5"/>
                <c:pt idx="0">
                  <c:v>0</c:v>
                </c:pt>
                <c:pt idx="1">
                  <c:v>0</c:v>
                </c:pt>
                <c:pt idx="2">
                  <c:v>0</c:v>
                </c:pt>
                <c:pt idx="3">
                  <c:v>3</c:v>
                </c:pt>
                <c:pt idx="4">
                  <c:v>1</c:v>
                </c:pt>
              </c:numCache>
            </c:numRef>
          </c:val>
          <c:smooth val="0"/>
          <c:extLst xmlns:c16r2="http://schemas.microsoft.com/office/drawing/2015/06/chart">
            <c:ext xmlns:c16="http://schemas.microsoft.com/office/drawing/2014/chart" uri="{C3380CC4-5D6E-409C-BE32-E72D297353CC}">
              <c16:uniqueId val="{0000000A-1639-4F8D-8070-2DAFF1DF20FF}"/>
            </c:ext>
          </c:extLst>
        </c:ser>
        <c:ser>
          <c:idx val="11"/>
          <c:order val="11"/>
          <c:tx>
            <c:strRef>
              <c:f>'5343'!$N$4</c:f>
              <c:strCache>
                <c:ptCount val="1"/>
                <c:pt idx="0">
                  <c:v>TR (#)</c:v>
                </c:pt>
              </c:strCache>
            </c:strRef>
          </c:tx>
          <c:spPr>
            <a:ln w="28575" cap="rnd">
              <a:solidFill>
                <a:schemeClr val="accent6"/>
              </a:solidFill>
              <a:round/>
            </a:ln>
            <a:effectLst/>
          </c:spPr>
          <c:marker>
            <c:symbol val="none"/>
          </c:marker>
          <c:cat>
            <c:numRef>
              <c:f>'5343'!$B$5:$B$9</c:f>
              <c:numCache>
                <c:formatCode>General</c:formatCode>
                <c:ptCount val="5"/>
                <c:pt idx="0">
                  <c:v>2015</c:v>
                </c:pt>
                <c:pt idx="1">
                  <c:v>2016</c:v>
                </c:pt>
                <c:pt idx="2">
                  <c:v>2017</c:v>
                </c:pt>
                <c:pt idx="3">
                  <c:v>2018</c:v>
                </c:pt>
                <c:pt idx="4">
                  <c:v>2019</c:v>
                </c:pt>
              </c:numCache>
            </c:numRef>
          </c:cat>
          <c:val>
            <c:numRef>
              <c:f>'5343'!$N$5:$N$9</c:f>
              <c:numCache>
                <c:formatCode>General</c:formatCode>
                <c:ptCount val="5"/>
                <c:pt idx="0">
                  <c:v>0</c:v>
                </c:pt>
                <c:pt idx="1">
                  <c:v>0</c:v>
                </c:pt>
                <c:pt idx="2">
                  <c:v>1</c:v>
                </c:pt>
                <c:pt idx="3">
                  <c:v>7</c:v>
                </c:pt>
                <c:pt idx="4">
                  <c:v>25</c:v>
                </c:pt>
              </c:numCache>
            </c:numRef>
          </c:val>
          <c:smooth val="0"/>
          <c:extLst xmlns:c16r2="http://schemas.microsoft.com/office/drawing/2015/06/chart">
            <c:ext xmlns:c16="http://schemas.microsoft.com/office/drawing/2014/chart" uri="{C3380CC4-5D6E-409C-BE32-E72D297353CC}">
              <c16:uniqueId val="{0000000B-1639-4F8D-8070-2DAFF1DF20FF}"/>
            </c:ext>
          </c:extLst>
        </c:ser>
        <c:dLbls>
          <c:showLegendKey val="0"/>
          <c:showVal val="0"/>
          <c:showCatName val="0"/>
          <c:showSerName val="0"/>
          <c:showPercent val="0"/>
          <c:showBubbleSize val="0"/>
        </c:dLbls>
        <c:marker val="1"/>
        <c:smooth val="0"/>
        <c:axId val="110317952"/>
        <c:axId val="110303488"/>
      </c:lineChart>
      <c:catAx>
        <c:axId val="11055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01568"/>
        <c:crosses val="autoZero"/>
        <c:auto val="1"/>
        <c:lblAlgn val="ctr"/>
        <c:lblOffset val="100"/>
        <c:noMultiLvlLbl val="0"/>
      </c:catAx>
      <c:valAx>
        <c:axId val="11030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Irregularity Amount (EUR)</a:t>
                </a:r>
              </a:p>
            </c:rich>
          </c:tx>
          <c:overlay val="0"/>
          <c:spPr>
            <a:noFill/>
            <a:ln>
              <a:noFill/>
            </a:ln>
            <a:effectLst/>
          </c:spPr>
        </c:title>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57824"/>
        <c:crosses val="autoZero"/>
        <c:crossBetween val="between"/>
      </c:valAx>
      <c:valAx>
        <c:axId val="1103034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Reported Irregularities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17952"/>
        <c:crosses val="max"/>
        <c:crossBetween val="between"/>
      </c:valAx>
      <c:catAx>
        <c:axId val="110317952"/>
        <c:scaling>
          <c:orientation val="minMax"/>
        </c:scaling>
        <c:delete val="1"/>
        <c:axPos val="b"/>
        <c:numFmt formatCode="General" sourceLinked="1"/>
        <c:majorTickMark val="out"/>
        <c:minorTickMark val="none"/>
        <c:tickLblPos val="nextTo"/>
        <c:crossAx val="1103034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'536'!$B$39</c:f>
              <c:strCache>
                <c:ptCount val="1"/>
                <c:pt idx="0">
                  <c:v>Single Company</c:v>
                </c:pt>
              </c:strCache>
            </c:strRef>
          </c:tx>
          <c:spPr>
            <a:solidFill>
              <a:schemeClr val="accent1"/>
            </a:solidFill>
            <a:ln>
              <a:noFill/>
            </a:ln>
            <a:effectLst/>
          </c:spPr>
          <c:invertIfNegative val="0"/>
          <c:cat>
            <c:numRef>
              <c:f>'536'!$A$40:$A$44</c:f>
              <c:numCache>
                <c:formatCode>General</c:formatCode>
                <c:ptCount val="5"/>
                <c:pt idx="0">
                  <c:v>2015</c:v>
                </c:pt>
                <c:pt idx="1">
                  <c:v>2016</c:v>
                </c:pt>
                <c:pt idx="2">
                  <c:v>2017</c:v>
                </c:pt>
                <c:pt idx="3">
                  <c:v>2018</c:v>
                </c:pt>
                <c:pt idx="4">
                  <c:v>2019</c:v>
                </c:pt>
              </c:numCache>
            </c:numRef>
          </c:cat>
          <c:val>
            <c:numRef>
              <c:f>'536'!$B$40:$B$44</c:f>
              <c:numCache>
                <c:formatCode>General</c:formatCode>
                <c:ptCount val="5"/>
                <c:pt idx="0">
                  <c:v>11</c:v>
                </c:pt>
                <c:pt idx="1">
                  <c:v>10</c:v>
                </c:pt>
                <c:pt idx="2">
                  <c:v>7</c:v>
                </c:pt>
                <c:pt idx="3">
                  <c:v>9</c:v>
                </c:pt>
                <c:pt idx="4">
                  <c:v>27</c:v>
                </c:pt>
              </c:numCache>
            </c:numRef>
          </c:val>
          <c:extLst xmlns:c16r2="http://schemas.microsoft.com/office/drawing/2015/06/chart">
            <c:ext xmlns:c16="http://schemas.microsoft.com/office/drawing/2014/chart" uri="{C3380CC4-5D6E-409C-BE32-E72D297353CC}">
              <c16:uniqueId val="{00000000-B94B-4198-BFB6-F1BB2217C3C7}"/>
            </c:ext>
          </c:extLst>
        </c:ser>
        <c:ser>
          <c:idx val="1"/>
          <c:order val="1"/>
          <c:tx>
            <c:strRef>
              <c:f>'536'!$C$39</c:f>
              <c:strCache>
                <c:ptCount val="1"/>
                <c:pt idx="0">
                  <c:v>Single Person</c:v>
                </c:pt>
              </c:strCache>
            </c:strRef>
          </c:tx>
          <c:spPr>
            <a:solidFill>
              <a:schemeClr val="accent2"/>
            </a:solidFill>
            <a:ln>
              <a:noFill/>
            </a:ln>
            <a:effectLst/>
          </c:spPr>
          <c:invertIfNegative val="0"/>
          <c:cat>
            <c:numRef>
              <c:f>'536'!$A$40:$A$44</c:f>
              <c:numCache>
                <c:formatCode>General</c:formatCode>
                <c:ptCount val="5"/>
                <c:pt idx="0">
                  <c:v>2015</c:v>
                </c:pt>
                <c:pt idx="1">
                  <c:v>2016</c:v>
                </c:pt>
                <c:pt idx="2">
                  <c:v>2017</c:v>
                </c:pt>
                <c:pt idx="3">
                  <c:v>2018</c:v>
                </c:pt>
                <c:pt idx="4">
                  <c:v>2019</c:v>
                </c:pt>
              </c:numCache>
            </c:numRef>
          </c:cat>
          <c:val>
            <c:numRef>
              <c:f>'536'!$C$40:$C$44</c:f>
              <c:numCache>
                <c:formatCode>General</c:formatCode>
                <c:ptCount val="5"/>
                <c:pt idx="0">
                  <c:v>6</c:v>
                </c:pt>
                <c:pt idx="1">
                  <c:v>2</c:v>
                </c:pt>
                <c:pt idx="2">
                  <c:v>8</c:v>
                </c:pt>
                <c:pt idx="3">
                  <c:v>7</c:v>
                </c:pt>
                <c:pt idx="4">
                  <c:v>22</c:v>
                </c:pt>
              </c:numCache>
            </c:numRef>
          </c:val>
          <c:extLst xmlns:c16r2="http://schemas.microsoft.com/office/drawing/2015/06/chart">
            <c:ext xmlns:c16="http://schemas.microsoft.com/office/drawing/2014/chart" uri="{C3380CC4-5D6E-409C-BE32-E72D297353CC}">
              <c16:uniqueId val="{00000001-B94B-4198-BFB6-F1BB2217C3C7}"/>
            </c:ext>
          </c:extLst>
        </c:ser>
        <c:ser>
          <c:idx val="2"/>
          <c:order val="2"/>
          <c:tx>
            <c:strRef>
              <c:f>'536'!$D$39</c:f>
              <c:strCache>
                <c:ptCount val="1"/>
                <c:pt idx="0">
                  <c:v>Mult. People</c:v>
                </c:pt>
              </c:strCache>
            </c:strRef>
          </c:tx>
          <c:spPr>
            <a:solidFill>
              <a:schemeClr val="accent3"/>
            </a:solidFill>
            <a:ln>
              <a:noFill/>
            </a:ln>
            <a:effectLst/>
          </c:spPr>
          <c:invertIfNegative val="0"/>
          <c:cat>
            <c:numRef>
              <c:f>'536'!$A$40:$A$44</c:f>
              <c:numCache>
                <c:formatCode>General</c:formatCode>
                <c:ptCount val="5"/>
                <c:pt idx="0">
                  <c:v>2015</c:v>
                </c:pt>
                <c:pt idx="1">
                  <c:v>2016</c:v>
                </c:pt>
                <c:pt idx="2">
                  <c:v>2017</c:v>
                </c:pt>
                <c:pt idx="3">
                  <c:v>2018</c:v>
                </c:pt>
                <c:pt idx="4">
                  <c:v>2019</c:v>
                </c:pt>
              </c:numCache>
            </c:numRef>
          </c:cat>
          <c:val>
            <c:numRef>
              <c:f>'536'!$D$40:$D$44</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B94B-4198-BFB6-F1BB2217C3C7}"/>
            </c:ext>
          </c:extLst>
        </c:ser>
        <c:ser>
          <c:idx val="3"/>
          <c:order val="3"/>
          <c:tx>
            <c:strRef>
              <c:f>'536'!$E$39</c:f>
              <c:strCache>
                <c:ptCount val="1"/>
                <c:pt idx="0">
                  <c:v>Mult. Companies</c:v>
                </c:pt>
              </c:strCache>
            </c:strRef>
          </c:tx>
          <c:spPr>
            <a:solidFill>
              <a:schemeClr val="accent4"/>
            </a:solidFill>
            <a:ln>
              <a:noFill/>
            </a:ln>
            <a:effectLst/>
          </c:spPr>
          <c:invertIfNegative val="0"/>
          <c:cat>
            <c:numRef>
              <c:f>'536'!$A$40:$A$44</c:f>
              <c:numCache>
                <c:formatCode>General</c:formatCode>
                <c:ptCount val="5"/>
                <c:pt idx="0">
                  <c:v>2015</c:v>
                </c:pt>
                <c:pt idx="1">
                  <c:v>2016</c:v>
                </c:pt>
                <c:pt idx="2">
                  <c:v>2017</c:v>
                </c:pt>
                <c:pt idx="3">
                  <c:v>2018</c:v>
                </c:pt>
                <c:pt idx="4">
                  <c:v>2019</c:v>
                </c:pt>
              </c:numCache>
            </c:numRef>
          </c:cat>
          <c:val>
            <c:numRef>
              <c:f>'536'!$E$40:$E$44</c:f>
              <c:numCache>
                <c:formatCode>General</c:formatCode>
                <c:ptCount val="5"/>
                <c:pt idx="0">
                  <c:v>0</c:v>
                </c:pt>
                <c:pt idx="1">
                  <c:v>0</c:v>
                </c:pt>
                <c:pt idx="2">
                  <c:v>1</c:v>
                </c:pt>
                <c:pt idx="3">
                  <c:v>0</c:v>
                </c:pt>
                <c:pt idx="4">
                  <c:v>0</c:v>
                </c:pt>
              </c:numCache>
            </c:numRef>
          </c:val>
          <c:extLst xmlns:c16r2="http://schemas.microsoft.com/office/drawing/2015/06/chart">
            <c:ext xmlns:c16="http://schemas.microsoft.com/office/drawing/2014/chart" uri="{C3380CC4-5D6E-409C-BE32-E72D297353CC}">
              <c16:uniqueId val="{00000003-B94B-4198-BFB6-F1BB2217C3C7}"/>
            </c:ext>
          </c:extLst>
        </c:ser>
        <c:ser>
          <c:idx val="4"/>
          <c:order val="4"/>
          <c:tx>
            <c:strRef>
              <c:f>'536'!$F$39</c:f>
              <c:strCache>
                <c:ptCount val="1"/>
                <c:pt idx="0">
                  <c:v>Mix</c:v>
                </c:pt>
              </c:strCache>
            </c:strRef>
          </c:tx>
          <c:spPr>
            <a:solidFill>
              <a:schemeClr val="accent5"/>
            </a:solidFill>
            <a:ln>
              <a:noFill/>
            </a:ln>
            <a:effectLst/>
          </c:spPr>
          <c:invertIfNegative val="0"/>
          <c:cat>
            <c:numRef>
              <c:f>'536'!$A$40:$A$44</c:f>
              <c:numCache>
                <c:formatCode>General</c:formatCode>
                <c:ptCount val="5"/>
                <c:pt idx="0">
                  <c:v>2015</c:v>
                </c:pt>
                <c:pt idx="1">
                  <c:v>2016</c:v>
                </c:pt>
                <c:pt idx="2">
                  <c:v>2017</c:v>
                </c:pt>
                <c:pt idx="3">
                  <c:v>2018</c:v>
                </c:pt>
                <c:pt idx="4">
                  <c:v>2019</c:v>
                </c:pt>
              </c:numCache>
            </c:numRef>
          </c:cat>
          <c:val>
            <c:numRef>
              <c:f>'536'!$F$40:$F$44</c:f>
              <c:numCache>
                <c:formatCode>General</c:formatCode>
                <c:ptCount val="5"/>
                <c:pt idx="0">
                  <c:v>8</c:v>
                </c:pt>
                <c:pt idx="1">
                  <c:v>8</c:v>
                </c:pt>
                <c:pt idx="2">
                  <c:v>2</c:v>
                </c:pt>
                <c:pt idx="3">
                  <c:v>3</c:v>
                </c:pt>
                <c:pt idx="4">
                  <c:v>2</c:v>
                </c:pt>
              </c:numCache>
            </c:numRef>
          </c:val>
          <c:extLst xmlns:c16r2="http://schemas.microsoft.com/office/drawing/2015/06/chart">
            <c:ext xmlns:c16="http://schemas.microsoft.com/office/drawing/2014/chart" uri="{C3380CC4-5D6E-409C-BE32-E72D297353CC}">
              <c16:uniqueId val="{00000004-B94B-4198-BFB6-F1BB2217C3C7}"/>
            </c:ext>
          </c:extLst>
        </c:ser>
        <c:ser>
          <c:idx val="5"/>
          <c:order val="5"/>
          <c:tx>
            <c:strRef>
              <c:f>'536'!$G$39</c:f>
              <c:strCache>
                <c:ptCount val="1"/>
                <c:pt idx="0">
                  <c:v>Blank</c:v>
                </c:pt>
              </c:strCache>
            </c:strRef>
          </c:tx>
          <c:spPr>
            <a:solidFill>
              <a:schemeClr val="accent6"/>
            </a:solidFill>
            <a:ln>
              <a:noFill/>
            </a:ln>
            <a:effectLst/>
          </c:spPr>
          <c:invertIfNegative val="0"/>
          <c:cat>
            <c:numRef>
              <c:f>'536'!$A$40:$A$44</c:f>
              <c:numCache>
                <c:formatCode>General</c:formatCode>
                <c:ptCount val="5"/>
                <c:pt idx="0">
                  <c:v>2015</c:v>
                </c:pt>
                <c:pt idx="1">
                  <c:v>2016</c:v>
                </c:pt>
                <c:pt idx="2">
                  <c:v>2017</c:v>
                </c:pt>
                <c:pt idx="3">
                  <c:v>2018</c:v>
                </c:pt>
                <c:pt idx="4">
                  <c:v>2019</c:v>
                </c:pt>
              </c:numCache>
            </c:numRef>
          </c:cat>
          <c:val>
            <c:numRef>
              <c:f>'536'!$G$40:$G$44</c:f>
              <c:numCache>
                <c:formatCode>General</c:formatCode>
                <c:ptCount val="5"/>
                <c:pt idx="0">
                  <c:v>1</c:v>
                </c:pt>
                <c:pt idx="1">
                  <c:v>0</c:v>
                </c:pt>
                <c:pt idx="2">
                  <c:v>0</c:v>
                </c:pt>
                <c:pt idx="3">
                  <c:v>1</c:v>
                </c:pt>
                <c:pt idx="4">
                  <c:v>0</c:v>
                </c:pt>
              </c:numCache>
            </c:numRef>
          </c:val>
          <c:extLst xmlns:c16r2="http://schemas.microsoft.com/office/drawing/2015/06/chart">
            <c:ext xmlns:c16="http://schemas.microsoft.com/office/drawing/2014/chart" uri="{C3380CC4-5D6E-409C-BE32-E72D297353CC}">
              <c16:uniqueId val="{00000005-B94B-4198-BFB6-F1BB2217C3C7}"/>
            </c:ext>
          </c:extLst>
        </c:ser>
        <c:dLbls>
          <c:showLegendKey val="0"/>
          <c:showVal val="0"/>
          <c:showCatName val="0"/>
          <c:showSerName val="0"/>
          <c:showPercent val="0"/>
          <c:showBubbleSize val="0"/>
        </c:dLbls>
        <c:gapWidth val="219"/>
        <c:overlap val="100"/>
        <c:axId val="110351104"/>
        <c:axId val="110352640"/>
      </c:barChart>
      <c:lineChart>
        <c:grouping val="standard"/>
        <c:varyColors val="0"/>
        <c:ser>
          <c:idx val="6"/>
          <c:order val="6"/>
          <c:tx>
            <c:strRef>
              <c:f>'536'!$H$39</c:f>
              <c:strCache>
                <c:ptCount val="1"/>
                <c:pt idx="0">
                  <c:v>Total</c:v>
                </c:pt>
              </c:strCache>
            </c:strRef>
          </c:tx>
          <c:spPr>
            <a:ln w="28575" cap="rnd">
              <a:solidFill>
                <a:schemeClr val="accent1">
                  <a:lumMod val="60000"/>
                </a:schemeClr>
              </a:solidFill>
              <a:round/>
            </a:ln>
            <a:effectLst/>
          </c:spPr>
          <c:marker>
            <c:symbol val="none"/>
          </c:marker>
          <c:cat>
            <c:numRef>
              <c:f>'536'!$A$40:$A$44</c:f>
              <c:numCache>
                <c:formatCode>General</c:formatCode>
                <c:ptCount val="5"/>
                <c:pt idx="0">
                  <c:v>2015</c:v>
                </c:pt>
                <c:pt idx="1">
                  <c:v>2016</c:v>
                </c:pt>
                <c:pt idx="2">
                  <c:v>2017</c:v>
                </c:pt>
                <c:pt idx="3">
                  <c:v>2018</c:v>
                </c:pt>
                <c:pt idx="4">
                  <c:v>2019</c:v>
                </c:pt>
              </c:numCache>
            </c:numRef>
          </c:cat>
          <c:val>
            <c:numRef>
              <c:f>'536'!$H$40:$H$44</c:f>
              <c:numCache>
                <c:formatCode>General</c:formatCode>
                <c:ptCount val="5"/>
                <c:pt idx="0">
                  <c:v>26</c:v>
                </c:pt>
                <c:pt idx="1">
                  <c:v>20</c:v>
                </c:pt>
                <c:pt idx="2">
                  <c:v>18</c:v>
                </c:pt>
                <c:pt idx="3">
                  <c:v>20</c:v>
                </c:pt>
                <c:pt idx="4">
                  <c:v>51</c:v>
                </c:pt>
              </c:numCache>
            </c:numRef>
          </c:val>
          <c:smooth val="0"/>
          <c:extLst xmlns:c16r2="http://schemas.microsoft.com/office/drawing/2015/06/chart">
            <c:ext xmlns:c16="http://schemas.microsoft.com/office/drawing/2014/chart" uri="{C3380CC4-5D6E-409C-BE32-E72D297353CC}">
              <c16:uniqueId val="{00000006-B94B-4198-BFB6-F1BB2217C3C7}"/>
            </c:ext>
          </c:extLst>
        </c:ser>
        <c:dLbls>
          <c:showLegendKey val="0"/>
          <c:showVal val="0"/>
          <c:showCatName val="0"/>
          <c:showSerName val="0"/>
          <c:showPercent val="0"/>
          <c:showBubbleSize val="0"/>
        </c:dLbls>
        <c:marker val="1"/>
        <c:smooth val="0"/>
        <c:axId val="110376448"/>
        <c:axId val="110374912"/>
      </c:lineChart>
      <c:catAx>
        <c:axId val="11035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52640"/>
        <c:crosses val="autoZero"/>
        <c:auto val="1"/>
        <c:lblAlgn val="ctr"/>
        <c:lblOffset val="100"/>
        <c:noMultiLvlLbl val="0"/>
      </c:catAx>
      <c:valAx>
        <c:axId val="110352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51104"/>
        <c:crosses val="autoZero"/>
        <c:crossBetween val="between"/>
      </c:valAx>
      <c:valAx>
        <c:axId val="11037491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76448"/>
        <c:crosses val="max"/>
        <c:crossBetween val="between"/>
      </c:valAx>
      <c:catAx>
        <c:axId val="110376448"/>
        <c:scaling>
          <c:orientation val="minMax"/>
        </c:scaling>
        <c:delete val="1"/>
        <c:axPos val="b"/>
        <c:numFmt formatCode="General" sourceLinked="1"/>
        <c:majorTickMark val="out"/>
        <c:minorTickMark val="none"/>
        <c:tickLblPos val="nextTo"/>
        <c:crossAx val="110374912"/>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94A9-4AFA-897E-3D0D47598124}"/>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94A9-4AFA-897E-3D0D47598124}"/>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94A9-4AFA-897E-3D0D47598124}"/>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94A9-4AFA-897E-3D0D47598124}"/>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94A9-4AFA-897E-3D0D47598124}"/>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94A9-4AFA-897E-3D0D475981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'535c'!$J$1:$O$1</c:f>
              <c:strCache>
                <c:ptCount val="6"/>
                <c:pt idx="0">
                  <c:v>Private Co. (54)</c:v>
                </c:pt>
                <c:pt idx="1">
                  <c:v>Public Co. (5)</c:v>
                </c:pt>
                <c:pt idx="2">
                  <c:v>Simple Structures (5)</c:v>
                </c:pt>
                <c:pt idx="3">
                  <c:v>Non-Profit &amp; Coop (13)</c:v>
                </c:pt>
                <c:pt idx="4">
                  <c:v>Nat'l Gov't (0(</c:v>
                </c:pt>
                <c:pt idx="5">
                  <c:v>Sub-Nat'l Gov't (14)</c:v>
                </c:pt>
              </c:strCache>
            </c:strRef>
          </c:cat>
          <c:val>
            <c:numRef>
              <c:f>'535c'!$J$2:$O$2</c:f>
              <c:numCache>
                <c:formatCode>General</c:formatCode>
                <c:ptCount val="6"/>
                <c:pt idx="0">
                  <c:v>54</c:v>
                </c:pt>
                <c:pt idx="1">
                  <c:v>5</c:v>
                </c:pt>
                <c:pt idx="2">
                  <c:v>5</c:v>
                </c:pt>
                <c:pt idx="3">
                  <c:v>13</c:v>
                </c:pt>
                <c:pt idx="4">
                  <c:v>0</c:v>
                </c:pt>
                <c:pt idx="5">
                  <c:v>14</c:v>
                </c:pt>
              </c:numCache>
            </c:numRef>
          </c:val>
          <c:extLst xmlns:c16r2="http://schemas.microsoft.com/office/drawing/2015/06/chart">
            <c:ext xmlns:c16="http://schemas.microsoft.com/office/drawing/2014/chart" uri="{C3380CC4-5D6E-409C-BE32-E72D297353CC}">
              <c16:uniqueId val="{0000000C-94A9-4AFA-897E-3D0D4759812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'5321'!$C$4</c:f>
              <c:strCache>
                <c:ptCount val="1"/>
                <c:pt idx="0">
                  <c:v>Non-Fraud (EUR)</c:v>
                </c:pt>
              </c:strCache>
            </c:strRef>
          </c:tx>
          <c:spPr>
            <a:solidFill>
              <a:schemeClr val="accent1"/>
            </a:solidFill>
            <a:ln>
              <a:noFill/>
            </a:ln>
            <a:effectLst/>
          </c:spPr>
          <c:invertIfNegative val="0"/>
          <c:cat>
            <c:numRef>
              <c:f>'5321'!$B$5:$B$22</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'5321'!$C$5:$C$22</c:f>
              <c:numCache>
                <c:formatCode>#,##0</c:formatCode>
                <c:ptCount val="18"/>
                <c:pt idx="0" formatCode="General">
                  <c:v>6122</c:v>
                </c:pt>
                <c:pt idx="1">
                  <c:v>6119729</c:v>
                </c:pt>
                <c:pt idx="2">
                  <c:v>11180380</c:v>
                </c:pt>
                <c:pt idx="3">
                  <c:v>13475218</c:v>
                </c:pt>
                <c:pt idx="4">
                  <c:v>14065486</c:v>
                </c:pt>
                <c:pt idx="5">
                  <c:v>27242435</c:v>
                </c:pt>
                <c:pt idx="6">
                  <c:v>46948594</c:v>
                </c:pt>
                <c:pt idx="7">
                  <c:v>53948624</c:v>
                </c:pt>
                <c:pt idx="8">
                  <c:v>27581398</c:v>
                </c:pt>
                <c:pt idx="9">
                  <c:v>37183917</c:v>
                </c:pt>
                <c:pt idx="10">
                  <c:v>44346087</c:v>
                </c:pt>
                <c:pt idx="11">
                  <c:v>45106432</c:v>
                </c:pt>
                <c:pt idx="12">
                  <c:v>6431415</c:v>
                </c:pt>
                <c:pt idx="13">
                  <c:v>1200645</c:v>
                </c:pt>
                <c:pt idx="14">
                  <c:v>286894</c:v>
                </c:pt>
                <c:pt idx="15">
                  <c:v>121749</c:v>
                </c:pt>
                <c:pt idx="16" formatCode="General">
                  <c:v>0</c:v>
                </c:pt>
                <c:pt idx="17" formatCode="General">
                  <c:v>0</c:v>
                </c:pt>
              </c:numCache>
            </c:numRef>
          </c:val>
          <c:extLst xmlns:c16r2="http://schemas.microsoft.com/office/drawing/2015/06/chart">
            <c:ext xmlns:c16="http://schemas.microsoft.com/office/drawing/2014/chart" uri="{C3380CC4-5D6E-409C-BE32-E72D297353CC}">
              <c16:uniqueId val="{00000000-4827-4637-8176-DD5C30EF091D}"/>
            </c:ext>
          </c:extLst>
        </c:ser>
        <c:ser>
          <c:idx val="1"/>
          <c:order val="1"/>
          <c:tx>
            <c:strRef>
              <c:f>'5321'!$D$4</c:f>
              <c:strCache>
                <c:ptCount val="1"/>
                <c:pt idx="0">
                  <c:v>Fraud (EUR)</c:v>
                </c:pt>
              </c:strCache>
            </c:strRef>
          </c:tx>
          <c:spPr>
            <a:solidFill>
              <a:schemeClr val="accent2"/>
            </a:solidFill>
            <a:ln>
              <a:noFill/>
            </a:ln>
            <a:effectLst/>
          </c:spPr>
          <c:invertIfNegative val="0"/>
          <c:cat>
            <c:numRef>
              <c:f>'5321'!$B$5:$B$22</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'5321'!$D$5:$D$22</c:f>
              <c:numCache>
                <c:formatCode>#,##0</c:formatCode>
                <c:ptCount val="18"/>
                <c:pt idx="0" formatCode="General">
                  <c:v>0</c:v>
                </c:pt>
                <c:pt idx="1">
                  <c:v>59640</c:v>
                </c:pt>
                <c:pt idx="2">
                  <c:v>43247</c:v>
                </c:pt>
                <c:pt idx="3">
                  <c:v>576897</c:v>
                </c:pt>
                <c:pt idx="4">
                  <c:v>1263541</c:v>
                </c:pt>
                <c:pt idx="5">
                  <c:v>4776626</c:v>
                </c:pt>
                <c:pt idx="6">
                  <c:v>5938565</c:v>
                </c:pt>
                <c:pt idx="7">
                  <c:v>16737845</c:v>
                </c:pt>
                <c:pt idx="8">
                  <c:v>19459347</c:v>
                </c:pt>
                <c:pt idx="9">
                  <c:v>39074551</c:v>
                </c:pt>
                <c:pt idx="10">
                  <c:v>3123328</c:v>
                </c:pt>
                <c:pt idx="11">
                  <c:v>10122131</c:v>
                </c:pt>
                <c:pt idx="12">
                  <c:v>3130759</c:v>
                </c:pt>
                <c:pt idx="13">
                  <c:v>4522286</c:v>
                </c:pt>
                <c:pt idx="14">
                  <c:v>262634</c:v>
                </c:pt>
                <c:pt idx="15" formatCode="General">
                  <c:v>0</c:v>
                </c:pt>
                <c:pt idx="16">
                  <c:v>578332</c:v>
                </c:pt>
                <c:pt idx="17" formatCode="General">
                  <c:v>0</c:v>
                </c:pt>
              </c:numCache>
            </c:numRef>
          </c:val>
          <c:extLst xmlns:c16r2="http://schemas.microsoft.com/office/drawing/2015/06/chart">
            <c:ext xmlns:c16="http://schemas.microsoft.com/office/drawing/2014/chart" uri="{C3380CC4-5D6E-409C-BE32-E72D297353CC}">
              <c16:uniqueId val="{00000001-4827-4637-8176-DD5C30EF091D}"/>
            </c:ext>
          </c:extLst>
        </c:ser>
        <c:dLbls>
          <c:showLegendKey val="0"/>
          <c:showVal val="0"/>
          <c:showCatName val="0"/>
          <c:showSerName val="0"/>
          <c:showPercent val="0"/>
          <c:showBubbleSize val="0"/>
        </c:dLbls>
        <c:gapWidth val="219"/>
        <c:overlap val="100"/>
        <c:axId val="109997056"/>
        <c:axId val="110015232"/>
      </c:barChart>
      <c:lineChart>
        <c:grouping val="standard"/>
        <c:varyColors val="0"/>
        <c:ser>
          <c:idx val="2"/>
          <c:order val="2"/>
          <c:tx>
            <c:strRef>
              <c:f>'5321'!$E$4</c:f>
              <c:strCache>
                <c:ptCount val="1"/>
                <c:pt idx="0">
                  <c:v>Non-Fraudulent Irregularities</c:v>
                </c:pt>
              </c:strCache>
            </c:strRef>
          </c:tx>
          <c:spPr>
            <a:ln w="28575" cap="rnd">
              <a:solidFill>
                <a:schemeClr val="accent1"/>
              </a:solidFill>
              <a:round/>
            </a:ln>
            <a:effectLst/>
          </c:spPr>
          <c:marker>
            <c:symbol val="none"/>
          </c:marker>
          <c:cat>
            <c:numRef>
              <c:f>'5321'!$B$5:$B$22</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'5321'!$E$5:$E$22</c:f>
              <c:numCache>
                <c:formatCode>General</c:formatCode>
                <c:ptCount val="18"/>
                <c:pt idx="0">
                  <c:v>6</c:v>
                </c:pt>
                <c:pt idx="1">
                  <c:v>64</c:v>
                </c:pt>
                <c:pt idx="2">
                  <c:v>189</c:v>
                </c:pt>
                <c:pt idx="3">
                  <c:v>285</c:v>
                </c:pt>
                <c:pt idx="4">
                  <c:v>295</c:v>
                </c:pt>
                <c:pt idx="5">
                  <c:v>298</c:v>
                </c:pt>
                <c:pt idx="6">
                  <c:v>458</c:v>
                </c:pt>
                <c:pt idx="7">
                  <c:v>438</c:v>
                </c:pt>
                <c:pt idx="8">
                  <c:v>293</c:v>
                </c:pt>
                <c:pt idx="9">
                  <c:v>191</c:v>
                </c:pt>
                <c:pt idx="10">
                  <c:v>190</c:v>
                </c:pt>
                <c:pt idx="11">
                  <c:v>148</c:v>
                </c:pt>
                <c:pt idx="12">
                  <c:v>53</c:v>
                </c:pt>
                <c:pt idx="13">
                  <c:v>7</c:v>
                </c:pt>
                <c:pt idx="14">
                  <c:v>6</c:v>
                </c:pt>
                <c:pt idx="15">
                  <c:v>4</c:v>
                </c:pt>
                <c:pt idx="16">
                  <c:v>0</c:v>
                </c:pt>
                <c:pt idx="17">
                  <c:v>0</c:v>
                </c:pt>
              </c:numCache>
            </c:numRef>
          </c:val>
          <c:smooth val="0"/>
          <c:extLst xmlns:c16r2="http://schemas.microsoft.com/office/drawing/2015/06/chart">
            <c:ext xmlns:c16="http://schemas.microsoft.com/office/drawing/2014/chart" uri="{C3380CC4-5D6E-409C-BE32-E72D297353CC}">
              <c16:uniqueId val="{00000002-4827-4637-8176-DD5C30EF091D}"/>
            </c:ext>
          </c:extLst>
        </c:ser>
        <c:ser>
          <c:idx val="3"/>
          <c:order val="3"/>
          <c:tx>
            <c:strRef>
              <c:f>'5321'!$F$4</c:f>
              <c:strCache>
                <c:ptCount val="1"/>
                <c:pt idx="0">
                  <c:v>Fraudulent Irregularities</c:v>
                </c:pt>
              </c:strCache>
            </c:strRef>
          </c:tx>
          <c:spPr>
            <a:ln w="28575" cap="rnd">
              <a:solidFill>
                <a:schemeClr val="accent2"/>
              </a:solidFill>
              <a:round/>
            </a:ln>
            <a:effectLst/>
          </c:spPr>
          <c:marker>
            <c:symbol val="none"/>
          </c:marker>
          <c:cat>
            <c:numRef>
              <c:f>'5321'!$B$5:$B$22</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'5321'!$F$5:$F$22</c:f>
              <c:numCache>
                <c:formatCode>General</c:formatCode>
                <c:ptCount val="18"/>
                <c:pt idx="0">
                  <c:v>0</c:v>
                </c:pt>
                <c:pt idx="1">
                  <c:v>2</c:v>
                </c:pt>
                <c:pt idx="2">
                  <c:v>6</c:v>
                </c:pt>
                <c:pt idx="3">
                  <c:v>17</c:v>
                </c:pt>
                <c:pt idx="4">
                  <c:v>45</c:v>
                </c:pt>
                <c:pt idx="5">
                  <c:v>12</c:v>
                </c:pt>
                <c:pt idx="6">
                  <c:v>33</c:v>
                </c:pt>
                <c:pt idx="7">
                  <c:v>53</c:v>
                </c:pt>
                <c:pt idx="8">
                  <c:v>58</c:v>
                </c:pt>
                <c:pt idx="9">
                  <c:v>43</c:v>
                </c:pt>
                <c:pt idx="10">
                  <c:v>15</c:v>
                </c:pt>
                <c:pt idx="11">
                  <c:v>29</c:v>
                </c:pt>
                <c:pt idx="12">
                  <c:v>17</c:v>
                </c:pt>
                <c:pt idx="13">
                  <c:v>8</c:v>
                </c:pt>
                <c:pt idx="14">
                  <c:v>1</c:v>
                </c:pt>
                <c:pt idx="15">
                  <c:v>1</c:v>
                </c:pt>
                <c:pt idx="16">
                  <c:v>4</c:v>
                </c:pt>
                <c:pt idx="17">
                  <c:v>0</c:v>
                </c:pt>
              </c:numCache>
            </c:numRef>
          </c:val>
          <c:smooth val="0"/>
          <c:extLst xmlns:c16r2="http://schemas.microsoft.com/office/drawing/2015/06/chart">
            <c:ext xmlns:c16="http://schemas.microsoft.com/office/drawing/2014/chart" uri="{C3380CC4-5D6E-409C-BE32-E72D297353CC}">
              <c16:uniqueId val="{00000003-4827-4637-8176-DD5C30EF091D}"/>
            </c:ext>
          </c:extLst>
        </c:ser>
        <c:dLbls>
          <c:showLegendKey val="0"/>
          <c:showVal val="0"/>
          <c:showCatName val="0"/>
          <c:showSerName val="0"/>
          <c:showPercent val="0"/>
          <c:showBubbleSize val="0"/>
        </c:dLbls>
        <c:marker val="1"/>
        <c:smooth val="0"/>
        <c:axId val="110019328"/>
        <c:axId val="110017152"/>
      </c:lineChart>
      <c:catAx>
        <c:axId val="10999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15232"/>
        <c:crosses val="autoZero"/>
        <c:auto val="1"/>
        <c:lblAlgn val="ctr"/>
        <c:lblOffset val="100"/>
        <c:noMultiLvlLbl val="0"/>
      </c:catAx>
      <c:valAx>
        <c:axId val="110015232"/>
        <c:scaling>
          <c:orientation val="minMax"/>
          <c:max val="100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Irregularity Amount (EUR)</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997056"/>
        <c:crosses val="autoZero"/>
        <c:crossBetween val="between"/>
      </c:valAx>
      <c:valAx>
        <c:axId val="1100171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Reported </a:t>
                </a:r>
                <a:r>
                  <a:rPr lang="en-GB" sz="1000" b="0" i="0" u="none" strike="noStrike" baseline="0">
                    <a:effectLst/>
                  </a:rPr>
                  <a:t>Irregularities</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19328"/>
        <c:crosses val="max"/>
        <c:crossBetween val="between"/>
      </c:valAx>
      <c:catAx>
        <c:axId val="110019328"/>
        <c:scaling>
          <c:orientation val="minMax"/>
        </c:scaling>
        <c:delete val="1"/>
        <c:axPos val="b"/>
        <c:numFmt formatCode="General" sourceLinked="1"/>
        <c:majorTickMark val="none"/>
        <c:minorTickMark val="none"/>
        <c:tickLblPos val="nextTo"/>
        <c:crossAx val="110017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'5322'!$D$2</c:f>
              <c:strCache>
                <c:ptCount val="1"/>
                <c:pt idx="0">
                  <c:v>Non-Fraud (EUR)</c:v>
                </c:pt>
              </c:strCache>
            </c:strRef>
          </c:tx>
          <c:spPr>
            <a:solidFill>
              <a:schemeClr val="accent1"/>
            </a:solidFill>
            <a:ln>
              <a:noFill/>
            </a:ln>
            <a:effectLst/>
          </c:spPr>
          <c:invertIfNegative val="0"/>
          <c:cat>
            <c:numRef>
              <c:f>'5322'!$C$3:$C$12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'5322'!$D$3:$D$12</c:f>
              <c:numCache>
                <c:formatCode>#,##0</c:formatCode>
                <c:ptCount val="10"/>
                <c:pt idx="0">
                  <c:v>992377</c:v>
                </c:pt>
                <c:pt idx="1">
                  <c:v>406422</c:v>
                </c:pt>
                <c:pt idx="2">
                  <c:v>1032488</c:v>
                </c:pt>
                <c:pt idx="3">
                  <c:v>6723418</c:v>
                </c:pt>
                <c:pt idx="4">
                  <c:v>2529739</c:v>
                </c:pt>
                <c:pt idx="5">
                  <c:v>4556377</c:v>
                </c:pt>
                <c:pt idx="6">
                  <c:v>6981821</c:v>
                </c:pt>
                <c:pt idx="7">
                  <c:v>14602871</c:v>
                </c:pt>
                <c:pt idx="8">
                  <c:v>9842979</c:v>
                </c:pt>
                <c:pt idx="9">
                  <c:v>7519511</c:v>
                </c:pt>
              </c:numCache>
            </c:numRef>
          </c:val>
          <c:extLst xmlns:c16r2="http://schemas.microsoft.com/office/drawing/2015/06/chart">
            <c:ext xmlns:c16="http://schemas.microsoft.com/office/drawing/2014/chart" uri="{C3380CC4-5D6E-409C-BE32-E72D297353CC}">
              <c16:uniqueId val="{00000000-32D8-425D-8FF5-3EE7E12F3FA9}"/>
            </c:ext>
          </c:extLst>
        </c:ser>
        <c:ser>
          <c:idx val="1"/>
          <c:order val="1"/>
          <c:tx>
            <c:strRef>
              <c:f>'5322'!$E$2</c:f>
              <c:strCache>
                <c:ptCount val="1"/>
                <c:pt idx="0">
                  <c:v>Fraud (EUR)</c:v>
                </c:pt>
              </c:strCache>
            </c:strRef>
          </c:tx>
          <c:spPr>
            <a:solidFill>
              <a:schemeClr val="accent2"/>
            </a:solidFill>
            <a:ln>
              <a:noFill/>
            </a:ln>
            <a:effectLst/>
          </c:spPr>
          <c:invertIfNegative val="0"/>
          <c:cat>
            <c:numRef>
              <c:f>'5322'!$C$3:$C$12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'5322'!$E$3:$E$12</c:f>
              <c:numCache>
                <c:formatCode>#,##0</c:formatCode>
                <c:ptCount val="10"/>
                <c:pt idx="0" formatCode="General">
                  <c:v>0</c:v>
                </c:pt>
                <c:pt idx="1">
                  <c:v>935521</c:v>
                </c:pt>
                <c:pt idx="2">
                  <c:v>299247</c:v>
                </c:pt>
                <c:pt idx="3">
                  <c:v>1236327</c:v>
                </c:pt>
                <c:pt idx="4">
                  <c:v>95051</c:v>
                </c:pt>
                <c:pt idx="5">
                  <c:v>1762705</c:v>
                </c:pt>
                <c:pt idx="6">
                  <c:v>336328</c:v>
                </c:pt>
                <c:pt idx="7">
                  <c:v>2924965</c:v>
                </c:pt>
                <c:pt idx="8">
                  <c:v>1176328</c:v>
                </c:pt>
                <c:pt idx="9">
                  <c:v>3402530</c:v>
                </c:pt>
              </c:numCache>
            </c:numRef>
          </c:val>
          <c:extLst xmlns:c16r2="http://schemas.microsoft.com/office/drawing/2015/06/chart">
            <c:ext xmlns:c16="http://schemas.microsoft.com/office/drawing/2014/chart" uri="{C3380CC4-5D6E-409C-BE32-E72D297353CC}">
              <c16:uniqueId val="{00000001-32D8-425D-8FF5-3EE7E12F3FA9}"/>
            </c:ext>
          </c:extLst>
        </c:ser>
        <c:dLbls>
          <c:showLegendKey val="0"/>
          <c:showVal val="0"/>
          <c:showCatName val="0"/>
          <c:showSerName val="0"/>
          <c:showPercent val="0"/>
          <c:showBubbleSize val="0"/>
        </c:dLbls>
        <c:gapWidth val="219"/>
        <c:overlap val="100"/>
        <c:axId val="109926656"/>
        <c:axId val="109936640"/>
      </c:barChart>
      <c:lineChart>
        <c:grouping val="standard"/>
        <c:varyColors val="0"/>
        <c:ser>
          <c:idx val="2"/>
          <c:order val="2"/>
          <c:tx>
            <c:strRef>
              <c:f>'5322'!$F$2</c:f>
              <c:strCache>
                <c:ptCount val="1"/>
                <c:pt idx="0">
                  <c:v>Non-Fraud (#)</c:v>
                </c:pt>
              </c:strCache>
            </c:strRef>
          </c:tx>
          <c:spPr>
            <a:ln w="28575" cap="rnd">
              <a:solidFill>
                <a:schemeClr val="accent1"/>
              </a:solidFill>
              <a:round/>
            </a:ln>
            <a:effectLst/>
          </c:spPr>
          <c:marker>
            <c:symbol val="none"/>
          </c:marker>
          <c:cat>
            <c:numRef>
              <c:f>'5322'!$C$3:$C$12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'5322'!$F$3:$F$12</c:f>
              <c:numCache>
                <c:formatCode>General</c:formatCode>
                <c:ptCount val="10"/>
                <c:pt idx="0">
                  <c:v>2</c:v>
                </c:pt>
                <c:pt idx="1">
                  <c:v>15</c:v>
                </c:pt>
                <c:pt idx="2">
                  <c:v>13</c:v>
                </c:pt>
                <c:pt idx="3">
                  <c:v>38</c:v>
                </c:pt>
                <c:pt idx="4">
                  <c:v>86</c:v>
                </c:pt>
                <c:pt idx="5">
                  <c:v>95</c:v>
                </c:pt>
                <c:pt idx="6">
                  <c:v>91</c:v>
                </c:pt>
                <c:pt idx="7">
                  <c:v>102</c:v>
                </c:pt>
                <c:pt idx="8">
                  <c:v>115</c:v>
                </c:pt>
                <c:pt idx="9">
                  <c:v>87</c:v>
                </c:pt>
              </c:numCache>
            </c:numRef>
          </c:val>
          <c:smooth val="0"/>
          <c:extLst xmlns:c16r2="http://schemas.microsoft.com/office/drawing/2015/06/chart">
            <c:ext xmlns:c16="http://schemas.microsoft.com/office/drawing/2014/chart" uri="{C3380CC4-5D6E-409C-BE32-E72D297353CC}">
              <c16:uniqueId val="{00000002-32D8-425D-8FF5-3EE7E12F3FA9}"/>
            </c:ext>
          </c:extLst>
        </c:ser>
        <c:ser>
          <c:idx val="3"/>
          <c:order val="3"/>
          <c:tx>
            <c:strRef>
              <c:f>'5322'!$G$2</c:f>
              <c:strCache>
                <c:ptCount val="1"/>
                <c:pt idx="0">
                  <c:v>Fraud (#)</c:v>
                </c:pt>
              </c:strCache>
            </c:strRef>
          </c:tx>
          <c:spPr>
            <a:ln w="28575" cap="rnd">
              <a:solidFill>
                <a:schemeClr val="accent2"/>
              </a:solidFill>
              <a:round/>
            </a:ln>
            <a:effectLst/>
          </c:spPr>
          <c:marker>
            <c:symbol val="none"/>
          </c:marker>
          <c:cat>
            <c:numRef>
              <c:f>'5322'!$C$3:$C$12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'5322'!$G$3:$G$12</c:f>
              <c:numCache>
                <c:formatCode>General</c:formatCode>
                <c:ptCount val="10"/>
                <c:pt idx="0">
                  <c:v>0</c:v>
                </c:pt>
                <c:pt idx="1">
                  <c:v>6</c:v>
                </c:pt>
                <c:pt idx="2">
                  <c:v>6</c:v>
                </c:pt>
                <c:pt idx="3">
                  <c:v>8</c:v>
                </c:pt>
                <c:pt idx="4">
                  <c:v>6</c:v>
                </c:pt>
                <c:pt idx="5">
                  <c:v>18</c:v>
                </c:pt>
                <c:pt idx="6">
                  <c:v>19</c:v>
                </c:pt>
                <c:pt idx="7">
                  <c:v>16</c:v>
                </c:pt>
                <c:pt idx="8">
                  <c:v>12</c:v>
                </c:pt>
                <c:pt idx="9">
                  <c:v>39</c:v>
                </c:pt>
              </c:numCache>
            </c:numRef>
          </c:val>
          <c:smooth val="0"/>
          <c:extLst xmlns:c16r2="http://schemas.microsoft.com/office/drawing/2015/06/chart">
            <c:ext xmlns:c16="http://schemas.microsoft.com/office/drawing/2014/chart" uri="{C3380CC4-5D6E-409C-BE32-E72D297353CC}">
              <c16:uniqueId val="{00000003-32D8-425D-8FF5-3EE7E12F3FA9}"/>
            </c:ext>
          </c:extLst>
        </c:ser>
        <c:dLbls>
          <c:showLegendKey val="0"/>
          <c:showVal val="0"/>
          <c:showCatName val="0"/>
          <c:showSerName val="0"/>
          <c:showPercent val="0"/>
          <c:showBubbleSize val="0"/>
        </c:dLbls>
        <c:marker val="1"/>
        <c:smooth val="0"/>
        <c:axId val="109940736"/>
        <c:axId val="109938560"/>
      </c:lineChart>
      <c:catAx>
        <c:axId val="10992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936640"/>
        <c:crosses val="autoZero"/>
        <c:auto val="1"/>
        <c:lblAlgn val="ctr"/>
        <c:lblOffset val="100"/>
        <c:noMultiLvlLbl val="0"/>
      </c:catAx>
      <c:valAx>
        <c:axId val="109936640"/>
        <c:scaling>
          <c:orientation val="minMax"/>
          <c:max val="30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Irregularity Amount (EUR)</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926656"/>
        <c:crosses val="autoZero"/>
        <c:crossBetween val="between"/>
      </c:valAx>
      <c:valAx>
        <c:axId val="1099385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Reported Irregularities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940736"/>
        <c:crosses val="max"/>
        <c:crossBetween val="between"/>
      </c:valAx>
      <c:catAx>
        <c:axId val="109940736"/>
        <c:scaling>
          <c:orientation val="minMax"/>
        </c:scaling>
        <c:delete val="1"/>
        <c:axPos val="b"/>
        <c:numFmt formatCode="General" sourceLinked="1"/>
        <c:majorTickMark val="out"/>
        <c:minorTickMark val="none"/>
        <c:tickLblPos val="nextTo"/>
        <c:crossAx val="1099385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'5323'!$E$6</c:f>
              <c:strCache>
                <c:ptCount val="1"/>
                <c:pt idx="0">
                  <c:v>Non-Fraud (EUR)</c:v>
                </c:pt>
              </c:strCache>
            </c:strRef>
          </c:tx>
          <c:spPr>
            <a:solidFill>
              <a:schemeClr val="accent1"/>
            </a:solidFill>
            <a:ln>
              <a:noFill/>
            </a:ln>
            <a:effectLst/>
          </c:spPr>
          <c:invertIfNegative val="0"/>
          <c:cat>
            <c:numRef>
              <c:f>'5323'!$D$7:$D$9</c:f>
              <c:numCache>
                <c:formatCode>General</c:formatCode>
                <c:ptCount val="3"/>
                <c:pt idx="0">
                  <c:v>2017</c:v>
                </c:pt>
                <c:pt idx="1">
                  <c:v>2018</c:v>
                </c:pt>
                <c:pt idx="2">
                  <c:v>2019</c:v>
                </c:pt>
              </c:numCache>
            </c:numRef>
          </c:cat>
          <c:val>
            <c:numRef>
              <c:f>'5323'!$E$7:$E$9</c:f>
              <c:numCache>
                <c:formatCode>#,##0</c:formatCode>
                <c:ptCount val="3"/>
                <c:pt idx="0" formatCode="General">
                  <c:v>0</c:v>
                </c:pt>
                <c:pt idx="1">
                  <c:v>254801</c:v>
                </c:pt>
                <c:pt idx="2">
                  <c:v>759945</c:v>
                </c:pt>
              </c:numCache>
            </c:numRef>
          </c:val>
          <c:extLst xmlns:c16r2="http://schemas.microsoft.com/office/drawing/2015/06/chart">
            <c:ext xmlns:c16="http://schemas.microsoft.com/office/drawing/2014/chart" uri="{C3380CC4-5D6E-409C-BE32-E72D297353CC}">
              <c16:uniqueId val="{00000000-B787-4C4B-88C9-875EA4A7A320}"/>
            </c:ext>
          </c:extLst>
        </c:ser>
        <c:ser>
          <c:idx val="1"/>
          <c:order val="1"/>
          <c:tx>
            <c:strRef>
              <c:f>'5323'!$F$6</c:f>
              <c:strCache>
                <c:ptCount val="1"/>
                <c:pt idx="0">
                  <c:v>Fraud (EUR)</c:v>
                </c:pt>
              </c:strCache>
            </c:strRef>
          </c:tx>
          <c:spPr>
            <a:solidFill>
              <a:schemeClr val="accent2"/>
            </a:solidFill>
            <a:ln>
              <a:noFill/>
            </a:ln>
            <a:effectLst/>
          </c:spPr>
          <c:invertIfNegative val="0"/>
          <c:cat>
            <c:numRef>
              <c:f>'5323'!$D$7:$D$9</c:f>
              <c:numCache>
                <c:formatCode>General</c:formatCode>
                <c:ptCount val="3"/>
                <c:pt idx="0">
                  <c:v>2017</c:v>
                </c:pt>
                <c:pt idx="1">
                  <c:v>2018</c:v>
                </c:pt>
                <c:pt idx="2">
                  <c:v>2019</c:v>
                </c:pt>
              </c:numCache>
            </c:numRef>
          </c:cat>
          <c:val>
            <c:numRef>
              <c:f>'5323'!$F$7:$F$9</c:f>
              <c:numCache>
                <c:formatCode>#,##0</c:formatCode>
                <c:ptCount val="3"/>
                <c:pt idx="0" formatCode="General">
                  <c:v>0</c:v>
                </c:pt>
                <c:pt idx="1">
                  <c:v>377249</c:v>
                </c:pt>
                <c:pt idx="2">
                  <c:v>417899</c:v>
                </c:pt>
              </c:numCache>
            </c:numRef>
          </c:val>
          <c:extLst xmlns:c16r2="http://schemas.microsoft.com/office/drawing/2015/06/chart">
            <c:ext xmlns:c16="http://schemas.microsoft.com/office/drawing/2014/chart" uri="{C3380CC4-5D6E-409C-BE32-E72D297353CC}">
              <c16:uniqueId val="{00000001-B787-4C4B-88C9-875EA4A7A320}"/>
            </c:ext>
          </c:extLst>
        </c:ser>
        <c:dLbls>
          <c:showLegendKey val="0"/>
          <c:showVal val="0"/>
          <c:showCatName val="0"/>
          <c:showSerName val="0"/>
          <c:showPercent val="0"/>
          <c:showBubbleSize val="0"/>
        </c:dLbls>
        <c:gapWidth val="219"/>
        <c:overlap val="100"/>
        <c:axId val="110113152"/>
        <c:axId val="110114688"/>
      </c:barChart>
      <c:lineChart>
        <c:grouping val="standard"/>
        <c:varyColors val="0"/>
        <c:ser>
          <c:idx val="2"/>
          <c:order val="2"/>
          <c:tx>
            <c:strRef>
              <c:f>'5323'!$G$6</c:f>
              <c:strCache>
                <c:ptCount val="1"/>
                <c:pt idx="0">
                  <c:v>Non-Fraud (#)</c:v>
                </c:pt>
              </c:strCache>
            </c:strRef>
          </c:tx>
          <c:spPr>
            <a:ln w="28575" cap="rnd">
              <a:solidFill>
                <a:schemeClr val="accent1"/>
              </a:solidFill>
              <a:round/>
            </a:ln>
            <a:effectLst/>
          </c:spPr>
          <c:marker>
            <c:symbol val="none"/>
          </c:marker>
          <c:cat>
            <c:numRef>
              <c:f>'5323'!$D$7:$D$9</c:f>
              <c:numCache>
                <c:formatCode>General</c:formatCode>
                <c:ptCount val="3"/>
                <c:pt idx="0">
                  <c:v>2017</c:v>
                </c:pt>
                <c:pt idx="1">
                  <c:v>2018</c:v>
                </c:pt>
                <c:pt idx="2">
                  <c:v>2019</c:v>
                </c:pt>
              </c:numCache>
            </c:numRef>
          </c:cat>
          <c:val>
            <c:numRef>
              <c:f>'5323'!$G$7:$G$9</c:f>
              <c:numCache>
                <c:formatCode>General</c:formatCode>
                <c:ptCount val="3"/>
                <c:pt idx="0">
                  <c:v>0</c:v>
                </c:pt>
                <c:pt idx="1">
                  <c:v>13</c:v>
                </c:pt>
                <c:pt idx="2">
                  <c:v>66</c:v>
                </c:pt>
              </c:numCache>
            </c:numRef>
          </c:val>
          <c:smooth val="0"/>
          <c:extLst xmlns:c16r2="http://schemas.microsoft.com/office/drawing/2015/06/chart">
            <c:ext xmlns:c16="http://schemas.microsoft.com/office/drawing/2014/chart" uri="{C3380CC4-5D6E-409C-BE32-E72D297353CC}">
              <c16:uniqueId val="{00000002-B787-4C4B-88C9-875EA4A7A320}"/>
            </c:ext>
          </c:extLst>
        </c:ser>
        <c:ser>
          <c:idx val="3"/>
          <c:order val="3"/>
          <c:tx>
            <c:strRef>
              <c:f>'5323'!$H$6</c:f>
              <c:strCache>
                <c:ptCount val="1"/>
                <c:pt idx="0">
                  <c:v>Fraud (#)</c:v>
                </c:pt>
              </c:strCache>
            </c:strRef>
          </c:tx>
          <c:spPr>
            <a:ln w="28575" cap="rnd">
              <a:solidFill>
                <a:schemeClr val="accent2"/>
              </a:solidFill>
              <a:round/>
            </a:ln>
            <a:effectLst/>
          </c:spPr>
          <c:marker>
            <c:symbol val="none"/>
          </c:marker>
          <c:cat>
            <c:numRef>
              <c:f>'5323'!$D$7:$D$9</c:f>
              <c:numCache>
                <c:formatCode>General</c:formatCode>
                <c:ptCount val="3"/>
                <c:pt idx="0">
                  <c:v>2017</c:v>
                </c:pt>
                <c:pt idx="1">
                  <c:v>2018</c:v>
                </c:pt>
                <c:pt idx="2">
                  <c:v>2019</c:v>
                </c:pt>
              </c:numCache>
            </c:numRef>
          </c:cat>
          <c:val>
            <c:numRef>
              <c:f>'5323'!$H$7:$H$9</c:f>
              <c:numCache>
                <c:formatCode>General</c:formatCode>
                <c:ptCount val="3"/>
                <c:pt idx="0">
                  <c:v>1</c:v>
                </c:pt>
                <c:pt idx="1">
                  <c:v>4</c:v>
                </c:pt>
                <c:pt idx="2">
                  <c:v>12</c:v>
                </c:pt>
              </c:numCache>
            </c:numRef>
          </c:val>
          <c:smooth val="0"/>
          <c:extLst xmlns:c16r2="http://schemas.microsoft.com/office/drawing/2015/06/chart">
            <c:ext xmlns:c16="http://schemas.microsoft.com/office/drawing/2014/chart" uri="{C3380CC4-5D6E-409C-BE32-E72D297353CC}">
              <c16:uniqueId val="{00000003-B787-4C4B-88C9-875EA4A7A320}"/>
            </c:ext>
          </c:extLst>
        </c:ser>
        <c:dLbls>
          <c:showLegendKey val="0"/>
          <c:showVal val="0"/>
          <c:showCatName val="0"/>
          <c:showSerName val="0"/>
          <c:showPercent val="0"/>
          <c:showBubbleSize val="0"/>
        </c:dLbls>
        <c:marker val="1"/>
        <c:smooth val="0"/>
        <c:axId val="110126976"/>
        <c:axId val="110125056"/>
      </c:lineChart>
      <c:catAx>
        <c:axId val="11011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14688"/>
        <c:crosses val="autoZero"/>
        <c:auto val="1"/>
        <c:lblAlgn val="ctr"/>
        <c:lblOffset val="100"/>
        <c:noMultiLvlLbl val="0"/>
      </c:catAx>
      <c:valAx>
        <c:axId val="110114688"/>
        <c:scaling>
          <c:orientation val="minMax"/>
          <c:max val="20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Irregularity Amount (EUR)</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13152"/>
        <c:crosses val="autoZero"/>
        <c:crossBetween val="between"/>
      </c:valAx>
      <c:valAx>
        <c:axId val="110125056"/>
        <c:scaling>
          <c:orientation val="minMax"/>
          <c:max val="1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Reported Irregularities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26976"/>
        <c:crosses val="max"/>
        <c:crossBetween val="between"/>
      </c:valAx>
      <c:catAx>
        <c:axId val="110126976"/>
        <c:scaling>
          <c:orientation val="minMax"/>
        </c:scaling>
        <c:delete val="1"/>
        <c:axPos val="b"/>
        <c:numFmt formatCode="General" sourceLinked="1"/>
        <c:majorTickMark val="out"/>
        <c:minorTickMark val="none"/>
        <c:tickLblPos val="nextTo"/>
        <c:crossAx val="110125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'5331'!$R$9</c:f>
              <c:strCache>
                <c:ptCount val="1"/>
                <c:pt idx="0">
                  <c:v>CARDS (EUR)</c:v>
                </c:pt>
              </c:strCache>
            </c:strRef>
          </c:tx>
          <c:spPr>
            <a:solidFill>
              <a:schemeClr val="accent1"/>
            </a:solidFill>
            <a:ln>
              <a:noFill/>
            </a:ln>
            <a:effectLst/>
          </c:spPr>
          <c:invertIfNegative val="0"/>
          <c:cat>
            <c:numRef>
              <c:f>'5331'!$Q$10:$Q$26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'5331'!$R$10:$R$26</c:f>
              <c:numCache>
                <c:formatCode>#,##0</c:formatCode>
                <c:ptCount val="17"/>
                <c:pt idx="0">
                  <c:v>0</c:v>
                </c:pt>
                <c:pt idx="1">
                  <c:v>0</c:v>
                </c:pt>
                <c:pt idx="2">
                  <c:v>0</c:v>
                </c:pt>
                <c:pt idx="3">
                  <c:v>0</c:v>
                </c:pt>
                <c:pt idx="4">
                  <c:v>0</c:v>
                </c:pt>
                <c:pt idx="5">
                  <c:v>0</c:v>
                </c:pt>
                <c:pt idx="6">
                  <c:v>159074</c:v>
                </c:pt>
                <c:pt idx="7">
                  <c:v>679891.92</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0-A4A1-48B0-BD97-33842B2EB21E}"/>
            </c:ext>
          </c:extLst>
        </c:ser>
        <c:ser>
          <c:idx val="2"/>
          <c:order val="2"/>
          <c:tx>
            <c:strRef>
              <c:f>'5331'!$T$9</c:f>
              <c:strCache>
                <c:ptCount val="1"/>
                <c:pt idx="0">
                  <c:v>ISPA (EUR)</c:v>
                </c:pt>
              </c:strCache>
            </c:strRef>
          </c:tx>
          <c:spPr>
            <a:solidFill>
              <a:schemeClr val="accent3"/>
            </a:solidFill>
            <a:ln>
              <a:noFill/>
            </a:ln>
            <a:effectLst/>
          </c:spPr>
          <c:invertIfNegative val="0"/>
          <c:cat>
            <c:numRef>
              <c:f>'5331'!$Q$10:$Q$26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'5331'!$T$10:$T$26</c:f>
              <c:numCache>
                <c:formatCode>#,##0</c:formatCode>
                <c:ptCount val="17"/>
                <c:pt idx="0">
                  <c:v>6122</c:v>
                </c:pt>
                <c:pt idx="1">
                  <c:v>880956.41</c:v>
                </c:pt>
                <c:pt idx="2">
                  <c:v>265317</c:v>
                </c:pt>
                <c:pt idx="3">
                  <c:v>4574379</c:v>
                </c:pt>
                <c:pt idx="4">
                  <c:v>1039893.5499999999</c:v>
                </c:pt>
                <c:pt idx="5">
                  <c:v>5384419.2800000003</c:v>
                </c:pt>
                <c:pt idx="6">
                  <c:v>4527935.8599999994</c:v>
                </c:pt>
                <c:pt idx="7">
                  <c:v>10929908.559999999</c:v>
                </c:pt>
                <c:pt idx="8">
                  <c:v>9009437.3900000006</c:v>
                </c:pt>
                <c:pt idx="9">
                  <c:v>53149537.020000003</c:v>
                </c:pt>
                <c:pt idx="10">
                  <c:v>19929461.210000001</c:v>
                </c:pt>
                <c:pt idx="11">
                  <c:v>33592315.520000003</c:v>
                </c:pt>
                <c:pt idx="12">
                  <c:v>3579661.58</c:v>
                </c:pt>
                <c:pt idx="13">
                  <c:v>780965.48</c:v>
                </c:pt>
                <c:pt idx="14">
                  <c:v>39000</c:v>
                </c:pt>
                <c:pt idx="15">
                  <c:v>0</c:v>
                </c:pt>
                <c:pt idx="16">
                  <c:v>0</c:v>
                </c:pt>
              </c:numCache>
            </c:numRef>
          </c:val>
          <c:extLst xmlns:c16r2="http://schemas.microsoft.com/office/drawing/2015/06/chart">
            <c:ext xmlns:c16="http://schemas.microsoft.com/office/drawing/2014/chart" uri="{C3380CC4-5D6E-409C-BE32-E72D297353CC}">
              <c16:uniqueId val="{00000001-A4A1-48B0-BD97-33842B2EB21E}"/>
            </c:ext>
          </c:extLst>
        </c:ser>
        <c:ser>
          <c:idx val="4"/>
          <c:order val="4"/>
          <c:tx>
            <c:strRef>
              <c:f>'5331'!$V$9</c:f>
              <c:strCache>
                <c:ptCount val="1"/>
                <c:pt idx="0">
                  <c:v>PHARE (EUR)</c:v>
                </c:pt>
              </c:strCache>
            </c:strRef>
          </c:tx>
          <c:spPr>
            <a:solidFill>
              <a:schemeClr val="accent6"/>
            </a:solidFill>
            <a:ln>
              <a:noFill/>
            </a:ln>
            <a:effectLst/>
          </c:spPr>
          <c:invertIfNegative val="0"/>
          <c:cat>
            <c:numRef>
              <c:f>'5331'!$Q$10:$Q$26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'5331'!$V$10:$V$26</c:f>
              <c:numCache>
                <c:formatCode>#,##0</c:formatCode>
                <c:ptCount val="17"/>
                <c:pt idx="0">
                  <c:v>0</c:v>
                </c:pt>
                <c:pt idx="1">
                  <c:v>524802.70667284518</c:v>
                </c:pt>
                <c:pt idx="2">
                  <c:v>1712523.2084771348</c:v>
                </c:pt>
                <c:pt idx="3">
                  <c:v>3793274.120497609</c:v>
                </c:pt>
                <c:pt idx="4">
                  <c:v>9324623.5399999991</c:v>
                </c:pt>
                <c:pt idx="5">
                  <c:v>12481598.969999999</c:v>
                </c:pt>
                <c:pt idx="6">
                  <c:v>17119791.729999997</c:v>
                </c:pt>
                <c:pt idx="7">
                  <c:v>16770352.053347692</c:v>
                </c:pt>
                <c:pt idx="8">
                  <c:v>6667981.2200000016</c:v>
                </c:pt>
                <c:pt idx="9">
                  <c:v>3754956.71</c:v>
                </c:pt>
                <c:pt idx="10">
                  <c:v>1831036.31</c:v>
                </c:pt>
                <c:pt idx="11">
                  <c:v>1735788.87</c:v>
                </c:pt>
                <c:pt idx="12">
                  <c:v>1521248.44</c:v>
                </c:pt>
                <c:pt idx="13">
                  <c:v>2259732.9800000004</c:v>
                </c:pt>
                <c:pt idx="14">
                  <c:v>101351.34</c:v>
                </c:pt>
                <c:pt idx="15">
                  <c:v>0</c:v>
                </c:pt>
                <c:pt idx="16">
                  <c:v>23527.599999999999</c:v>
                </c:pt>
              </c:numCache>
            </c:numRef>
          </c:val>
          <c:extLst xmlns:c16r2="http://schemas.microsoft.com/office/drawing/2015/06/chart">
            <c:ext xmlns:c16="http://schemas.microsoft.com/office/drawing/2014/chart" uri="{C3380CC4-5D6E-409C-BE32-E72D297353CC}">
              <c16:uniqueId val="{00000002-A4A1-48B0-BD97-33842B2EB21E}"/>
            </c:ext>
          </c:extLst>
        </c:ser>
        <c:ser>
          <c:idx val="6"/>
          <c:order val="6"/>
          <c:tx>
            <c:strRef>
              <c:f>'5331'!$X$9</c:f>
              <c:strCache>
                <c:ptCount val="1"/>
                <c:pt idx="0">
                  <c:v>SAPARD (EUR)</c:v>
                </c:pt>
              </c:strCache>
            </c:strRef>
          </c:tx>
          <c:spPr>
            <a:solidFill>
              <a:schemeClr val="accent2"/>
            </a:solidFill>
            <a:ln>
              <a:noFill/>
            </a:ln>
            <a:effectLst/>
          </c:spPr>
          <c:invertIfNegative val="0"/>
          <c:cat>
            <c:numRef>
              <c:f>'5331'!$Q$10:$Q$26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'5331'!$X$10:$X$26</c:f>
              <c:numCache>
                <c:formatCode>#,##0</c:formatCode>
                <c:ptCount val="17"/>
                <c:pt idx="0">
                  <c:v>0</c:v>
                </c:pt>
                <c:pt idx="1">
                  <c:v>4773609.6782755246</c:v>
                </c:pt>
                <c:pt idx="2">
                  <c:v>9245787.1402103733</c:v>
                </c:pt>
                <c:pt idx="3">
                  <c:v>5684461.6171125136</c:v>
                </c:pt>
                <c:pt idx="4">
                  <c:v>4931304.3736650441</c:v>
                </c:pt>
                <c:pt idx="5">
                  <c:v>13926788.254125899</c:v>
                </c:pt>
                <c:pt idx="6">
                  <c:v>30041519.937492631</c:v>
                </c:pt>
                <c:pt idx="7">
                  <c:v>39177918.118560642</c:v>
                </c:pt>
                <c:pt idx="8">
                  <c:v>30513637.341185898</c:v>
                </c:pt>
                <c:pt idx="9">
                  <c:v>17770236.330000002</c:v>
                </c:pt>
                <c:pt idx="10">
                  <c:v>25702667.760000002</c:v>
                </c:pt>
                <c:pt idx="11">
                  <c:v>19900458.640000001</c:v>
                </c:pt>
                <c:pt idx="12">
                  <c:v>4461264.58</c:v>
                </c:pt>
                <c:pt idx="13">
                  <c:v>2682232.31</c:v>
                </c:pt>
                <c:pt idx="14">
                  <c:v>409176.56000000006</c:v>
                </c:pt>
                <c:pt idx="15">
                  <c:v>0</c:v>
                </c:pt>
                <c:pt idx="16">
                  <c:v>8744.0499999999993</c:v>
                </c:pt>
              </c:numCache>
            </c:numRef>
          </c:val>
          <c:extLst xmlns:c16r2="http://schemas.microsoft.com/office/drawing/2015/06/chart">
            <c:ext xmlns:c16="http://schemas.microsoft.com/office/drawing/2014/chart" uri="{C3380CC4-5D6E-409C-BE32-E72D297353CC}">
              <c16:uniqueId val="{00000003-A4A1-48B0-BD97-33842B2EB21E}"/>
            </c:ext>
          </c:extLst>
        </c:ser>
        <c:ser>
          <c:idx val="8"/>
          <c:order val="8"/>
          <c:tx>
            <c:strRef>
              <c:f>'5331'!$Z$9</c:f>
              <c:strCache>
                <c:ptCount val="1"/>
                <c:pt idx="0">
                  <c:v>TF (EUR)</c:v>
                </c:pt>
              </c:strCache>
            </c:strRef>
          </c:tx>
          <c:spPr>
            <a:solidFill>
              <a:schemeClr val="tx2"/>
            </a:solidFill>
            <a:ln>
              <a:noFill/>
            </a:ln>
            <a:effectLst/>
          </c:spPr>
          <c:invertIfNegative val="0"/>
          <c:cat>
            <c:numRef>
              <c:f>'5331'!$Q$10:$Q$26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'5331'!$Z$10:$Z$26</c:f>
              <c:numCache>
                <c:formatCode>#,##0</c:formatCode>
                <c:ptCount val="17"/>
                <c:pt idx="0">
                  <c:v>0</c:v>
                </c:pt>
                <c:pt idx="1">
                  <c:v>0</c:v>
                </c:pt>
                <c:pt idx="2">
                  <c:v>0</c:v>
                </c:pt>
                <c:pt idx="3">
                  <c:v>0</c:v>
                </c:pt>
                <c:pt idx="4">
                  <c:v>0</c:v>
                </c:pt>
                <c:pt idx="5">
                  <c:v>0</c:v>
                </c:pt>
                <c:pt idx="6">
                  <c:v>551009</c:v>
                </c:pt>
                <c:pt idx="7">
                  <c:v>849782</c:v>
                </c:pt>
                <c:pt idx="8">
                  <c:v>0</c:v>
                </c:pt>
                <c:pt idx="9">
                  <c:v>5549</c:v>
                </c:pt>
                <c:pt idx="10">
                  <c:v>6250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4-A4A1-48B0-BD97-33842B2EB21E}"/>
            </c:ext>
          </c:extLst>
        </c:ser>
        <c:ser>
          <c:idx val="10"/>
          <c:order val="10"/>
          <c:tx>
            <c:strRef>
              <c:f>'5331'!$AB$9</c:f>
              <c:strCache>
                <c:ptCount val="1"/>
                <c:pt idx="0">
                  <c:v>TIPAA (EUR)</c:v>
                </c:pt>
              </c:strCache>
            </c:strRef>
          </c:tx>
          <c:spPr>
            <a:solidFill>
              <a:schemeClr val="accent4"/>
            </a:solidFill>
            <a:ln>
              <a:noFill/>
            </a:ln>
            <a:effectLst/>
          </c:spPr>
          <c:invertIfNegative val="0"/>
          <c:cat>
            <c:numRef>
              <c:f>'5331'!$Q$10:$Q$26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'5331'!$AB$10:$AB$26</c:f>
              <c:numCache>
                <c:formatCode>#,##0</c:formatCode>
                <c:ptCount val="17"/>
                <c:pt idx="0">
                  <c:v>0</c:v>
                </c:pt>
                <c:pt idx="1">
                  <c:v>0</c:v>
                </c:pt>
                <c:pt idx="2">
                  <c:v>0</c:v>
                </c:pt>
                <c:pt idx="3">
                  <c:v>0</c:v>
                </c:pt>
                <c:pt idx="4">
                  <c:v>33205</c:v>
                </c:pt>
                <c:pt idx="5">
                  <c:v>226254.87</c:v>
                </c:pt>
                <c:pt idx="6">
                  <c:v>487828.18</c:v>
                </c:pt>
                <c:pt idx="7">
                  <c:v>2278616.87</c:v>
                </c:pt>
                <c:pt idx="8">
                  <c:v>849688.95</c:v>
                </c:pt>
                <c:pt idx="9">
                  <c:v>1578189.1300000001</c:v>
                </c:pt>
                <c:pt idx="10">
                  <c:v>0</c:v>
                </c:pt>
                <c:pt idx="11">
                  <c:v>0</c:v>
                </c:pt>
                <c:pt idx="12">
                  <c:v>0</c:v>
                </c:pt>
                <c:pt idx="13">
                  <c:v>0</c:v>
                </c:pt>
                <c:pt idx="14">
                  <c:v>0</c:v>
                </c:pt>
                <c:pt idx="15">
                  <c:v>121748.6</c:v>
                </c:pt>
                <c:pt idx="16">
                  <c:v>546060</c:v>
                </c:pt>
              </c:numCache>
            </c:numRef>
          </c:val>
          <c:extLst xmlns:c16r2="http://schemas.microsoft.com/office/drawing/2015/06/chart">
            <c:ext xmlns:c16="http://schemas.microsoft.com/office/drawing/2014/chart" uri="{C3380CC4-5D6E-409C-BE32-E72D297353CC}">
              <c16:uniqueId val="{00000005-A4A1-48B0-BD97-33842B2EB21E}"/>
            </c:ext>
          </c:extLst>
        </c:ser>
        <c:dLbls>
          <c:showLegendKey val="0"/>
          <c:showVal val="0"/>
          <c:showCatName val="0"/>
          <c:showSerName val="0"/>
          <c:showPercent val="0"/>
          <c:showBubbleSize val="0"/>
        </c:dLbls>
        <c:gapWidth val="219"/>
        <c:axId val="110289280"/>
        <c:axId val="110290816"/>
      </c:barChart>
      <c:lineChart>
        <c:grouping val="standard"/>
        <c:varyColors val="0"/>
        <c:ser>
          <c:idx val="1"/>
          <c:order val="1"/>
          <c:tx>
            <c:strRef>
              <c:f>'5331'!$S$9</c:f>
              <c:strCache>
                <c:ptCount val="1"/>
                <c:pt idx="0">
                  <c:v>CARDS (#)</c:v>
                </c:pt>
              </c:strCache>
            </c:strRef>
          </c:tx>
          <c:spPr>
            <a:ln w="28575" cap="rnd">
              <a:solidFill>
                <a:schemeClr val="accent1"/>
              </a:solidFill>
              <a:round/>
            </a:ln>
            <a:effectLst/>
          </c:spPr>
          <c:marker>
            <c:symbol val="none"/>
          </c:marker>
          <c:cat>
            <c:numRef>
              <c:f>'5331'!$Q$10:$Q$26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'5331'!$S$10:$S$26</c:f>
              <c:numCache>
                <c:formatCode>#,##0</c:formatCode>
                <c:ptCount val="17"/>
                <c:pt idx="0">
                  <c:v>0</c:v>
                </c:pt>
                <c:pt idx="1">
                  <c:v>0</c:v>
                </c:pt>
                <c:pt idx="2">
                  <c:v>0</c:v>
                </c:pt>
                <c:pt idx="3">
                  <c:v>0</c:v>
                </c:pt>
                <c:pt idx="4">
                  <c:v>0</c:v>
                </c:pt>
                <c:pt idx="5">
                  <c:v>2</c:v>
                </c:pt>
                <c:pt idx="6">
                  <c:v>6</c:v>
                </c:pt>
                <c:pt idx="7">
                  <c:v>14</c:v>
                </c:pt>
                <c:pt idx="8">
                  <c:v>0</c:v>
                </c:pt>
                <c:pt idx="9">
                  <c:v>0</c:v>
                </c:pt>
                <c:pt idx="10">
                  <c:v>0</c:v>
                </c:pt>
                <c:pt idx="11">
                  <c:v>0</c:v>
                </c:pt>
                <c:pt idx="12">
                  <c:v>0</c:v>
                </c:pt>
                <c:pt idx="13">
                  <c:v>0</c:v>
                </c:pt>
                <c:pt idx="14">
                  <c:v>0</c:v>
                </c:pt>
                <c:pt idx="15">
                  <c:v>0</c:v>
                </c:pt>
                <c:pt idx="16">
                  <c:v>0</c:v>
                </c:pt>
              </c:numCache>
            </c:numRef>
          </c:val>
          <c:smooth val="0"/>
          <c:extLst xmlns:c16r2="http://schemas.microsoft.com/office/drawing/2015/06/chart">
            <c:ext xmlns:c16="http://schemas.microsoft.com/office/drawing/2014/chart" uri="{C3380CC4-5D6E-409C-BE32-E72D297353CC}">
              <c16:uniqueId val="{00000006-A4A1-48B0-BD97-33842B2EB21E}"/>
            </c:ext>
          </c:extLst>
        </c:ser>
        <c:ser>
          <c:idx val="3"/>
          <c:order val="3"/>
          <c:tx>
            <c:strRef>
              <c:f>'5331'!$U$9</c:f>
              <c:strCache>
                <c:ptCount val="1"/>
                <c:pt idx="0">
                  <c:v>ISPA (#)</c:v>
                </c:pt>
              </c:strCache>
            </c:strRef>
          </c:tx>
          <c:spPr>
            <a:ln w="28575" cap="rnd">
              <a:solidFill>
                <a:schemeClr val="accent3"/>
              </a:solidFill>
              <a:round/>
            </a:ln>
            <a:effectLst/>
          </c:spPr>
          <c:marker>
            <c:symbol val="none"/>
          </c:marker>
          <c:cat>
            <c:numRef>
              <c:f>'5331'!$Q$10:$Q$26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'5331'!$U$10:$U$26</c:f>
              <c:numCache>
                <c:formatCode>#,##0</c:formatCode>
                <c:ptCount val="17"/>
                <c:pt idx="0">
                  <c:v>6</c:v>
                </c:pt>
                <c:pt idx="1">
                  <c:v>18</c:v>
                </c:pt>
                <c:pt idx="2">
                  <c:v>17</c:v>
                </c:pt>
                <c:pt idx="3">
                  <c:v>20</c:v>
                </c:pt>
                <c:pt idx="4">
                  <c:v>13</c:v>
                </c:pt>
                <c:pt idx="5">
                  <c:v>85</c:v>
                </c:pt>
                <c:pt idx="6">
                  <c:v>93</c:v>
                </c:pt>
                <c:pt idx="7">
                  <c:v>55</c:v>
                </c:pt>
                <c:pt idx="8">
                  <c:v>31</c:v>
                </c:pt>
                <c:pt idx="9">
                  <c:v>41</c:v>
                </c:pt>
                <c:pt idx="10">
                  <c:v>45</c:v>
                </c:pt>
                <c:pt idx="11">
                  <c:v>48</c:v>
                </c:pt>
                <c:pt idx="12">
                  <c:v>2</c:v>
                </c:pt>
                <c:pt idx="13">
                  <c:v>1</c:v>
                </c:pt>
                <c:pt idx="14">
                  <c:v>1</c:v>
                </c:pt>
                <c:pt idx="15">
                  <c:v>0</c:v>
                </c:pt>
                <c:pt idx="16">
                  <c:v>0</c:v>
                </c:pt>
              </c:numCache>
            </c:numRef>
          </c:val>
          <c:smooth val="0"/>
          <c:extLst xmlns:c16r2="http://schemas.microsoft.com/office/drawing/2015/06/chart">
            <c:ext xmlns:c16="http://schemas.microsoft.com/office/drawing/2014/chart" uri="{C3380CC4-5D6E-409C-BE32-E72D297353CC}">
              <c16:uniqueId val="{00000007-A4A1-48B0-BD97-33842B2EB21E}"/>
            </c:ext>
          </c:extLst>
        </c:ser>
        <c:ser>
          <c:idx val="5"/>
          <c:order val="5"/>
          <c:tx>
            <c:strRef>
              <c:f>'5331'!$W$9</c:f>
              <c:strCache>
                <c:ptCount val="1"/>
                <c:pt idx="0">
                  <c:v>PHARE (#)</c:v>
                </c:pt>
              </c:strCache>
            </c:strRef>
          </c:tx>
          <c:spPr>
            <a:ln w="28575" cap="rnd">
              <a:solidFill>
                <a:schemeClr val="accent6"/>
              </a:solidFill>
              <a:round/>
            </a:ln>
            <a:effectLst/>
          </c:spPr>
          <c:marker>
            <c:symbol val="none"/>
          </c:marker>
          <c:cat>
            <c:numRef>
              <c:f>'5331'!$Q$10:$Q$26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'5331'!$W$10:$W$26</c:f>
              <c:numCache>
                <c:formatCode>#,##0</c:formatCode>
                <c:ptCount val="17"/>
                <c:pt idx="0">
                  <c:v>0</c:v>
                </c:pt>
                <c:pt idx="1">
                  <c:v>14</c:v>
                </c:pt>
                <c:pt idx="2">
                  <c:v>48</c:v>
                </c:pt>
                <c:pt idx="3">
                  <c:v>122</c:v>
                </c:pt>
                <c:pt idx="4">
                  <c:v>168</c:v>
                </c:pt>
                <c:pt idx="5">
                  <c:v>74</c:v>
                </c:pt>
                <c:pt idx="6">
                  <c:v>162</c:v>
                </c:pt>
                <c:pt idx="7">
                  <c:v>115</c:v>
                </c:pt>
                <c:pt idx="8">
                  <c:v>117</c:v>
                </c:pt>
                <c:pt idx="9">
                  <c:v>36</c:v>
                </c:pt>
                <c:pt idx="10">
                  <c:v>19</c:v>
                </c:pt>
                <c:pt idx="11">
                  <c:v>21</c:v>
                </c:pt>
                <c:pt idx="12">
                  <c:v>28</c:v>
                </c:pt>
                <c:pt idx="13">
                  <c:v>7</c:v>
                </c:pt>
                <c:pt idx="14">
                  <c:v>3</c:v>
                </c:pt>
                <c:pt idx="15">
                  <c:v>1</c:v>
                </c:pt>
                <c:pt idx="16">
                  <c:v>1</c:v>
                </c:pt>
              </c:numCache>
            </c:numRef>
          </c:val>
          <c:smooth val="0"/>
          <c:extLst xmlns:c16r2="http://schemas.microsoft.com/office/drawing/2015/06/chart">
            <c:ext xmlns:c16="http://schemas.microsoft.com/office/drawing/2014/chart" uri="{C3380CC4-5D6E-409C-BE32-E72D297353CC}">
              <c16:uniqueId val="{00000008-A4A1-48B0-BD97-33842B2EB21E}"/>
            </c:ext>
          </c:extLst>
        </c:ser>
        <c:ser>
          <c:idx val="7"/>
          <c:order val="7"/>
          <c:tx>
            <c:strRef>
              <c:f>'5331'!$Y$9</c:f>
              <c:strCache>
                <c:ptCount val="1"/>
                <c:pt idx="0">
                  <c:v>SAPARD (#)</c:v>
                </c:pt>
              </c:strCache>
            </c:strRef>
          </c:tx>
          <c:spPr>
            <a:ln w="28575" cap="rnd">
              <a:solidFill>
                <a:schemeClr val="accent2"/>
              </a:solidFill>
              <a:round/>
            </a:ln>
            <a:effectLst/>
          </c:spPr>
          <c:marker>
            <c:symbol val="none"/>
          </c:marker>
          <c:cat>
            <c:numRef>
              <c:f>'5331'!$Q$10:$Q$26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'5331'!$Y$10:$Y$26</c:f>
              <c:numCache>
                <c:formatCode>#,##0</c:formatCode>
                <c:ptCount val="17"/>
                <c:pt idx="0">
                  <c:v>0</c:v>
                </c:pt>
                <c:pt idx="1">
                  <c:v>34</c:v>
                </c:pt>
                <c:pt idx="2">
                  <c:v>130</c:v>
                </c:pt>
                <c:pt idx="3">
                  <c:v>160</c:v>
                </c:pt>
                <c:pt idx="4">
                  <c:v>158</c:v>
                </c:pt>
                <c:pt idx="5">
                  <c:v>143</c:v>
                </c:pt>
                <c:pt idx="6">
                  <c:v>207</c:v>
                </c:pt>
                <c:pt idx="7">
                  <c:v>273</c:v>
                </c:pt>
                <c:pt idx="8">
                  <c:v>189</c:v>
                </c:pt>
                <c:pt idx="9">
                  <c:v>138</c:v>
                </c:pt>
                <c:pt idx="10">
                  <c:v>140</c:v>
                </c:pt>
                <c:pt idx="11">
                  <c:v>108</c:v>
                </c:pt>
                <c:pt idx="12">
                  <c:v>40</c:v>
                </c:pt>
                <c:pt idx="13">
                  <c:v>7</c:v>
                </c:pt>
                <c:pt idx="14">
                  <c:v>3</c:v>
                </c:pt>
                <c:pt idx="15">
                  <c:v>0</c:v>
                </c:pt>
                <c:pt idx="16">
                  <c:v>1</c:v>
                </c:pt>
              </c:numCache>
            </c:numRef>
          </c:val>
          <c:smooth val="0"/>
          <c:extLst xmlns:c16r2="http://schemas.microsoft.com/office/drawing/2015/06/chart">
            <c:ext xmlns:c16="http://schemas.microsoft.com/office/drawing/2014/chart" uri="{C3380CC4-5D6E-409C-BE32-E72D297353CC}">
              <c16:uniqueId val="{00000009-A4A1-48B0-BD97-33842B2EB21E}"/>
            </c:ext>
          </c:extLst>
        </c:ser>
        <c:ser>
          <c:idx val="9"/>
          <c:order val="9"/>
          <c:tx>
            <c:strRef>
              <c:f>'5331'!$AA$9</c:f>
              <c:strCache>
                <c:ptCount val="1"/>
                <c:pt idx="0">
                  <c:v>TF (#)</c:v>
                </c:pt>
              </c:strCache>
            </c:strRef>
          </c:tx>
          <c:spPr>
            <a:ln w="28575" cap="rnd">
              <a:solidFill>
                <a:schemeClr val="accent4">
                  <a:lumMod val="60000"/>
                </a:schemeClr>
              </a:solidFill>
              <a:round/>
            </a:ln>
            <a:effectLst/>
          </c:spPr>
          <c:marker>
            <c:symbol val="none"/>
          </c:marker>
          <c:cat>
            <c:numRef>
              <c:f>'5331'!$Q$10:$Q$26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'5331'!$AA$10:$AA$26</c:f>
              <c:numCache>
                <c:formatCode>#,##0</c:formatCode>
                <c:ptCount val="17"/>
                <c:pt idx="0">
                  <c:v>0</c:v>
                </c:pt>
                <c:pt idx="1">
                  <c:v>0</c:v>
                </c:pt>
                <c:pt idx="2">
                  <c:v>0</c:v>
                </c:pt>
                <c:pt idx="3">
                  <c:v>0</c:v>
                </c:pt>
                <c:pt idx="4">
                  <c:v>0</c:v>
                </c:pt>
                <c:pt idx="5">
                  <c:v>0</c:v>
                </c:pt>
                <c:pt idx="6">
                  <c:v>4</c:v>
                </c:pt>
                <c:pt idx="7">
                  <c:v>3</c:v>
                </c:pt>
                <c:pt idx="8">
                  <c:v>0</c:v>
                </c:pt>
                <c:pt idx="9">
                  <c:v>1</c:v>
                </c:pt>
                <c:pt idx="10">
                  <c:v>1</c:v>
                </c:pt>
                <c:pt idx="11">
                  <c:v>0</c:v>
                </c:pt>
                <c:pt idx="12">
                  <c:v>0</c:v>
                </c:pt>
                <c:pt idx="13">
                  <c:v>0</c:v>
                </c:pt>
                <c:pt idx="14">
                  <c:v>0</c:v>
                </c:pt>
                <c:pt idx="15">
                  <c:v>0</c:v>
                </c:pt>
                <c:pt idx="16">
                  <c:v>0</c:v>
                </c:pt>
              </c:numCache>
            </c:numRef>
          </c:val>
          <c:smooth val="0"/>
          <c:extLst xmlns:c16r2="http://schemas.microsoft.com/office/drawing/2015/06/chart">
            <c:ext xmlns:c16="http://schemas.microsoft.com/office/drawing/2014/chart" uri="{C3380CC4-5D6E-409C-BE32-E72D297353CC}">
              <c16:uniqueId val="{0000000A-A4A1-48B0-BD97-33842B2EB21E}"/>
            </c:ext>
          </c:extLst>
        </c:ser>
        <c:ser>
          <c:idx val="11"/>
          <c:order val="11"/>
          <c:tx>
            <c:strRef>
              <c:f>'5331'!$AC$9</c:f>
              <c:strCache>
                <c:ptCount val="1"/>
                <c:pt idx="0">
                  <c:v>TIPAA (#)</c:v>
                </c:pt>
              </c:strCache>
            </c:strRef>
          </c:tx>
          <c:spPr>
            <a:ln w="28575" cap="rnd">
              <a:solidFill>
                <a:schemeClr val="accent4"/>
              </a:solidFill>
              <a:round/>
            </a:ln>
            <a:effectLst/>
          </c:spPr>
          <c:marker>
            <c:symbol val="none"/>
          </c:marker>
          <c:cat>
            <c:numRef>
              <c:f>'5331'!$Q$10:$Q$26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'5331'!$AC$10:$AC$26</c:f>
              <c:numCache>
                <c:formatCode>#,##0</c:formatCode>
                <c:ptCount val="17"/>
                <c:pt idx="0">
                  <c:v>0</c:v>
                </c:pt>
                <c:pt idx="1">
                  <c:v>0</c:v>
                </c:pt>
                <c:pt idx="2">
                  <c:v>0</c:v>
                </c:pt>
                <c:pt idx="3">
                  <c:v>0</c:v>
                </c:pt>
                <c:pt idx="4">
                  <c:v>1</c:v>
                </c:pt>
                <c:pt idx="5">
                  <c:v>6</c:v>
                </c:pt>
                <c:pt idx="6">
                  <c:v>19</c:v>
                </c:pt>
                <c:pt idx="7">
                  <c:v>31</c:v>
                </c:pt>
                <c:pt idx="8">
                  <c:v>14</c:v>
                </c:pt>
                <c:pt idx="9">
                  <c:v>18</c:v>
                </c:pt>
                <c:pt idx="10">
                  <c:v>0</c:v>
                </c:pt>
                <c:pt idx="11">
                  <c:v>0</c:v>
                </c:pt>
                <c:pt idx="12">
                  <c:v>0</c:v>
                </c:pt>
                <c:pt idx="13">
                  <c:v>0</c:v>
                </c:pt>
                <c:pt idx="14">
                  <c:v>0</c:v>
                </c:pt>
                <c:pt idx="15">
                  <c:v>4</c:v>
                </c:pt>
                <c:pt idx="16">
                  <c:v>2</c:v>
                </c:pt>
              </c:numCache>
            </c:numRef>
          </c:val>
          <c:smooth val="0"/>
          <c:extLst xmlns:c16r2="http://schemas.microsoft.com/office/drawing/2015/06/chart">
            <c:ext xmlns:c16="http://schemas.microsoft.com/office/drawing/2014/chart" uri="{C3380CC4-5D6E-409C-BE32-E72D297353CC}">
              <c16:uniqueId val="{0000000B-A4A1-48B0-BD97-33842B2EB21E}"/>
            </c:ext>
          </c:extLst>
        </c:ser>
        <c:dLbls>
          <c:showLegendKey val="0"/>
          <c:showVal val="0"/>
          <c:showCatName val="0"/>
          <c:showSerName val="0"/>
          <c:showPercent val="0"/>
          <c:showBubbleSize val="0"/>
        </c:dLbls>
        <c:marker val="1"/>
        <c:smooth val="0"/>
        <c:axId val="109643648"/>
        <c:axId val="109641728"/>
      </c:lineChart>
      <c:catAx>
        <c:axId val="11028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290816"/>
        <c:crosses val="autoZero"/>
        <c:auto val="1"/>
        <c:lblAlgn val="ctr"/>
        <c:lblOffset val="100"/>
        <c:noMultiLvlLbl val="0"/>
      </c:catAx>
      <c:valAx>
        <c:axId val="110290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0" i="0" baseline="0">
                    <a:effectLst/>
                  </a:rPr>
                  <a:t>Irregularity Amount (EUR)</a:t>
                </a:r>
                <a:endParaRPr lang="en-GB" sz="900">
                  <a:effectLst/>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289280"/>
        <c:crosses val="autoZero"/>
        <c:crossBetween val="between"/>
      </c:valAx>
      <c:valAx>
        <c:axId val="10964172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0" i="0" baseline="0">
                    <a:effectLst/>
                  </a:rPr>
                  <a:t>No. of Reported Irregularities</a:t>
                </a:r>
                <a:endParaRPr lang="en-GB" sz="900">
                  <a:effectLst/>
                </a:endParaRP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643648"/>
        <c:crosses val="max"/>
        <c:crossBetween val="between"/>
      </c:valAx>
      <c:catAx>
        <c:axId val="109643648"/>
        <c:scaling>
          <c:orientation val="minMax"/>
        </c:scaling>
        <c:delete val="1"/>
        <c:axPos val="b"/>
        <c:numFmt formatCode="General" sourceLinked="1"/>
        <c:majorTickMark val="out"/>
        <c:minorTickMark val="none"/>
        <c:tickLblPos val="nextTo"/>
        <c:crossAx val="109641728"/>
        <c:crosses val="autoZero"/>
        <c:auto val="1"/>
        <c:lblAlgn val="ctr"/>
        <c:lblOffset val="100"/>
        <c:noMultiLvlLbl val="0"/>
      </c:catAx>
      <c:spPr>
        <a:noFill/>
        <a:ln>
          <a:noFill/>
        </a:ln>
        <a:effectLst/>
      </c:spPr>
    </c:plotArea>
    <c:legend>
      <c:legendPos val="b"/>
      <c:layout>
        <c:manualLayout>
          <c:xMode val="edge"/>
          <c:yMode val="edge"/>
          <c:x val="2.8793459315259139E-3"/>
          <c:y val="0.80708537417074833"/>
          <c:w val="0.9964571290986145"/>
          <c:h val="0.171917250501167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'5332'!$R$7</c:f>
              <c:strCache>
                <c:ptCount val="1"/>
                <c:pt idx="0">
                  <c:v>CBC-IPA (EUR)</c:v>
                </c:pt>
              </c:strCache>
            </c:strRef>
          </c:tx>
          <c:spPr>
            <a:solidFill>
              <a:schemeClr val="accent1"/>
            </a:solidFill>
            <a:ln>
              <a:noFill/>
            </a:ln>
            <a:effectLst/>
          </c:spPr>
          <c:invertIfNegative val="0"/>
          <c:cat>
            <c:numRef>
              <c:f>'5332'!$Q$8:$Q$17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'5332'!$R$8:$R$17</c:f>
              <c:numCache>
                <c:formatCode>_-"€"* #,##0_-;\-"€"* #,##0_-;_-"€"* "-"??_-;_-@_-</c:formatCode>
                <c:ptCount val="10"/>
                <c:pt idx="0">
                  <c:v>0</c:v>
                </c:pt>
                <c:pt idx="1">
                  <c:v>874500</c:v>
                </c:pt>
                <c:pt idx="2">
                  <c:v>13841</c:v>
                </c:pt>
                <c:pt idx="3">
                  <c:v>190725</c:v>
                </c:pt>
                <c:pt idx="4">
                  <c:v>272142</c:v>
                </c:pt>
                <c:pt idx="5">
                  <c:v>725135</c:v>
                </c:pt>
                <c:pt idx="6">
                  <c:v>160700</c:v>
                </c:pt>
                <c:pt idx="7">
                  <c:v>738777</c:v>
                </c:pt>
                <c:pt idx="8">
                  <c:v>181994</c:v>
                </c:pt>
                <c:pt idx="9">
                  <c:v>0</c:v>
                </c:pt>
              </c:numCache>
            </c:numRef>
          </c:val>
          <c:extLst xmlns:c16r2="http://schemas.microsoft.com/office/drawing/2015/06/chart">
            <c:ext xmlns:c16="http://schemas.microsoft.com/office/drawing/2014/chart" uri="{C3380CC4-5D6E-409C-BE32-E72D297353CC}">
              <c16:uniqueId val="{00000000-35FC-4AA2-AFC8-B553B5FB6344}"/>
            </c:ext>
          </c:extLst>
        </c:ser>
        <c:ser>
          <c:idx val="2"/>
          <c:order val="2"/>
          <c:tx>
            <c:strRef>
              <c:f>'5332'!$T$7</c:f>
              <c:strCache>
                <c:ptCount val="1"/>
                <c:pt idx="0">
                  <c:v>HRD (EUR)</c:v>
                </c:pt>
              </c:strCache>
            </c:strRef>
          </c:tx>
          <c:spPr>
            <a:solidFill>
              <a:schemeClr val="accent2"/>
            </a:solidFill>
            <a:ln>
              <a:noFill/>
            </a:ln>
            <a:effectLst/>
          </c:spPr>
          <c:invertIfNegative val="0"/>
          <c:cat>
            <c:numRef>
              <c:f>'5332'!$Q$8:$Q$17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'5332'!$T$8:$T$17</c:f>
              <c:numCache>
                <c:formatCode>_-"€"* #,##0_-;\-"€"* #,##0_-;_-"€"* "-"??_-;_-@_-</c:formatCode>
                <c:ptCount val="10"/>
                <c:pt idx="0">
                  <c:v>1377</c:v>
                </c:pt>
                <c:pt idx="1">
                  <c:v>279357</c:v>
                </c:pt>
                <c:pt idx="2">
                  <c:v>274481</c:v>
                </c:pt>
                <c:pt idx="3">
                  <c:v>391795</c:v>
                </c:pt>
                <c:pt idx="4">
                  <c:v>451795</c:v>
                </c:pt>
                <c:pt idx="5">
                  <c:v>506749</c:v>
                </c:pt>
                <c:pt idx="6">
                  <c:v>1208999</c:v>
                </c:pt>
                <c:pt idx="7">
                  <c:v>1744973</c:v>
                </c:pt>
                <c:pt idx="8">
                  <c:v>1219279</c:v>
                </c:pt>
                <c:pt idx="9">
                  <c:v>163435</c:v>
                </c:pt>
              </c:numCache>
            </c:numRef>
          </c:val>
          <c:extLst xmlns:c16r2="http://schemas.microsoft.com/office/drawing/2015/06/chart">
            <c:ext xmlns:c16="http://schemas.microsoft.com/office/drawing/2014/chart" uri="{C3380CC4-5D6E-409C-BE32-E72D297353CC}">
              <c16:uniqueId val="{00000001-35FC-4AA2-AFC8-B553B5FB6344}"/>
            </c:ext>
          </c:extLst>
        </c:ser>
        <c:ser>
          <c:idx val="4"/>
          <c:order val="4"/>
          <c:tx>
            <c:strRef>
              <c:f>'5332'!$V$7</c:f>
              <c:strCache>
                <c:ptCount val="1"/>
                <c:pt idx="0">
                  <c:v>IPARD (EUR)</c:v>
                </c:pt>
              </c:strCache>
            </c:strRef>
          </c:tx>
          <c:spPr>
            <a:solidFill>
              <a:schemeClr val="accent3"/>
            </a:solidFill>
            <a:ln>
              <a:noFill/>
            </a:ln>
            <a:effectLst/>
          </c:spPr>
          <c:invertIfNegative val="0"/>
          <c:cat>
            <c:numRef>
              <c:f>'5332'!$Q$8:$Q$17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'5332'!$V$8:$V$17</c:f>
              <c:numCache>
                <c:formatCode>_-"€"* #,##0_-;\-"€"* #,##0_-;_-"€"* "-"??_-;_-@_-</c:formatCode>
                <c:ptCount val="10"/>
                <c:pt idx="1">
                  <c:v>87159</c:v>
                </c:pt>
                <c:pt idx="2">
                  <c:v>100274</c:v>
                </c:pt>
                <c:pt idx="3">
                  <c:v>653482</c:v>
                </c:pt>
                <c:pt idx="4">
                  <c:v>920319</c:v>
                </c:pt>
                <c:pt idx="5">
                  <c:v>2941225</c:v>
                </c:pt>
                <c:pt idx="6">
                  <c:v>5537483</c:v>
                </c:pt>
                <c:pt idx="7">
                  <c:v>12528243</c:v>
                </c:pt>
                <c:pt idx="8">
                  <c:v>7437826</c:v>
                </c:pt>
                <c:pt idx="9">
                  <c:v>9558114</c:v>
                </c:pt>
              </c:numCache>
            </c:numRef>
          </c:val>
          <c:extLst xmlns:c16r2="http://schemas.microsoft.com/office/drawing/2015/06/chart">
            <c:ext xmlns:c16="http://schemas.microsoft.com/office/drawing/2014/chart" uri="{C3380CC4-5D6E-409C-BE32-E72D297353CC}">
              <c16:uniqueId val="{00000002-35FC-4AA2-AFC8-B553B5FB6344}"/>
            </c:ext>
          </c:extLst>
        </c:ser>
        <c:ser>
          <c:idx val="6"/>
          <c:order val="6"/>
          <c:tx>
            <c:strRef>
              <c:f>'5332'!$X$7</c:f>
              <c:strCache>
                <c:ptCount val="1"/>
                <c:pt idx="0">
                  <c:v>REGD (EUR)</c:v>
                </c:pt>
              </c:strCache>
            </c:strRef>
          </c:tx>
          <c:spPr>
            <a:solidFill>
              <a:schemeClr val="accent4"/>
            </a:solidFill>
            <a:ln>
              <a:noFill/>
            </a:ln>
            <a:effectLst/>
          </c:spPr>
          <c:invertIfNegative val="0"/>
          <c:cat>
            <c:numRef>
              <c:f>'5332'!$Q$8:$Q$17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'5332'!$X$8:$X$17</c:f>
              <c:numCache>
                <c:formatCode>_-"€"* #,##0_-;\-"€"* #,##0_-;_-"€"* "-"??_-;_-@_-</c:formatCode>
                <c:ptCount val="10"/>
                <c:pt idx="0">
                  <c:v>0</c:v>
                </c:pt>
                <c:pt idx="1">
                  <c:v>0</c:v>
                </c:pt>
                <c:pt idx="2">
                  <c:v>0</c:v>
                </c:pt>
                <c:pt idx="3">
                  <c:v>5618454</c:v>
                </c:pt>
                <c:pt idx="4">
                  <c:v>344105</c:v>
                </c:pt>
                <c:pt idx="5">
                  <c:v>494508</c:v>
                </c:pt>
                <c:pt idx="6">
                  <c:v>0</c:v>
                </c:pt>
                <c:pt idx="7">
                  <c:v>14450</c:v>
                </c:pt>
                <c:pt idx="8">
                  <c:v>34000</c:v>
                </c:pt>
                <c:pt idx="9">
                  <c:v>47194</c:v>
                </c:pt>
              </c:numCache>
            </c:numRef>
          </c:val>
          <c:extLst xmlns:c16r2="http://schemas.microsoft.com/office/drawing/2015/06/chart">
            <c:ext xmlns:c16="http://schemas.microsoft.com/office/drawing/2014/chart" uri="{C3380CC4-5D6E-409C-BE32-E72D297353CC}">
              <c16:uniqueId val="{00000003-35FC-4AA2-AFC8-B553B5FB6344}"/>
            </c:ext>
          </c:extLst>
        </c:ser>
        <c:ser>
          <c:idx val="8"/>
          <c:order val="8"/>
          <c:tx>
            <c:strRef>
              <c:f>'5332'!$Z$7</c:f>
              <c:strCache>
                <c:ptCount val="1"/>
                <c:pt idx="0">
                  <c:v>TAIB (EUR)</c:v>
                </c:pt>
              </c:strCache>
            </c:strRef>
          </c:tx>
          <c:spPr>
            <a:solidFill>
              <a:schemeClr val="accent6"/>
            </a:solidFill>
            <a:ln>
              <a:noFill/>
            </a:ln>
            <a:effectLst/>
          </c:spPr>
          <c:invertIfNegative val="0"/>
          <c:cat>
            <c:numRef>
              <c:f>'5332'!$Q$8:$Q$17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'5332'!$Z$8:$Z$17</c:f>
              <c:numCache>
                <c:formatCode>_-"€"* #,##0_-;\-"€"* #,##0_-;_-"€"* "-"??_-;_-@_-</c:formatCode>
                <c:ptCount val="10"/>
                <c:pt idx="0">
                  <c:v>991000</c:v>
                </c:pt>
                <c:pt idx="1">
                  <c:v>100927</c:v>
                </c:pt>
                <c:pt idx="2">
                  <c:v>943139</c:v>
                </c:pt>
                <c:pt idx="3">
                  <c:v>1105289</c:v>
                </c:pt>
                <c:pt idx="4">
                  <c:v>636429</c:v>
                </c:pt>
                <c:pt idx="5">
                  <c:v>1651465</c:v>
                </c:pt>
                <c:pt idx="6">
                  <c:v>410967</c:v>
                </c:pt>
                <c:pt idx="7">
                  <c:v>2501393</c:v>
                </c:pt>
                <c:pt idx="8">
                  <c:v>2146209</c:v>
                </c:pt>
                <c:pt idx="9">
                  <c:v>1153297</c:v>
                </c:pt>
              </c:numCache>
            </c:numRef>
          </c:val>
          <c:extLst xmlns:c16r2="http://schemas.microsoft.com/office/drawing/2015/06/chart">
            <c:ext xmlns:c16="http://schemas.microsoft.com/office/drawing/2014/chart" uri="{C3380CC4-5D6E-409C-BE32-E72D297353CC}">
              <c16:uniqueId val="{00000004-35FC-4AA2-AFC8-B553B5FB6344}"/>
            </c:ext>
          </c:extLst>
        </c:ser>
        <c:dLbls>
          <c:showLegendKey val="0"/>
          <c:showVal val="0"/>
          <c:showCatName val="0"/>
          <c:showSerName val="0"/>
          <c:showPercent val="0"/>
          <c:showBubbleSize val="0"/>
        </c:dLbls>
        <c:gapWidth val="219"/>
        <c:axId val="109717376"/>
        <c:axId val="109718912"/>
      </c:barChart>
      <c:lineChart>
        <c:grouping val="standard"/>
        <c:varyColors val="0"/>
        <c:ser>
          <c:idx val="1"/>
          <c:order val="1"/>
          <c:tx>
            <c:strRef>
              <c:f>'5332'!$S$7</c:f>
              <c:strCache>
                <c:ptCount val="1"/>
                <c:pt idx="0">
                  <c:v>CBC-IPA (#)</c:v>
                </c:pt>
              </c:strCache>
            </c:strRef>
          </c:tx>
          <c:spPr>
            <a:ln w="28575" cap="rnd">
              <a:solidFill>
                <a:schemeClr val="accent1"/>
              </a:solidFill>
              <a:round/>
            </a:ln>
            <a:effectLst/>
          </c:spPr>
          <c:marker>
            <c:symbol val="none"/>
          </c:marker>
          <c:cat>
            <c:numRef>
              <c:f>'5332'!$Q$8:$Q$17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'5332'!$S$8:$S$17</c:f>
              <c:numCache>
                <c:formatCode>0</c:formatCode>
                <c:ptCount val="10"/>
                <c:pt idx="0">
                  <c:v>0</c:v>
                </c:pt>
                <c:pt idx="1">
                  <c:v>2</c:v>
                </c:pt>
                <c:pt idx="2">
                  <c:v>1</c:v>
                </c:pt>
                <c:pt idx="3">
                  <c:v>20</c:v>
                </c:pt>
                <c:pt idx="4">
                  <c:v>44</c:v>
                </c:pt>
                <c:pt idx="5">
                  <c:v>49</c:v>
                </c:pt>
                <c:pt idx="6" formatCode="General">
                  <c:v>45</c:v>
                </c:pt>
                <c:pt idx="7">
                  <c:v>22</c:v>
                </c:pt>
                <c:pt idx="8">
                  <c:v>15</c:v>
                </c:pt>
                <c:pt idx="9">
                  <c:v>0</c:v>
                </c:pt>
              </c:numCache>
            </c:numRef>
          </c:val>
          <c:smooth val="0"/>
          <c:extLst xmlns:c16r2="http://schemas.microsoft.com/office/drawing/2015/06/chart">
            <c:ext xmlns:c16="http://schemas.microsoft.com/office/drawing/2014/chart" uri="{C3380CC4-5D6E-409C-BE32-E72D297353CC}">
              <c16:uniqueId val="{00000005-35FC-4AA2-AFC8-B553B5FB6344}"/>
            </c:ext>
          </c:extLst>
        </c:ser>
        <c:ser>
          <c:idx val="3"/>
          <c:order val="3"/>
          <c:tx>
            <c:strRef>
              <c:f>'5332'!$U$7</c:f>
              <c:strCache>
                <c:ptCount val="1"/>
                <c:pt idx="0">
                  <c:v>HRD (#)</c:v>
                </c:pt>
              </c:strCache>
            </c:strRef>
          </c:tx>
          <c:spPr>
            <a:ln w="28575" cap="rnd">
              <a:solidFill>
                <a:schemeClr val="accent2"/>
              </a:solidFill>
              <a:round/>
            </a:ln>
            <a:effectLst/>
          </c:spPr>
          <c:marker>
            <c:symbol val="none"/>
          </c:marker>
          <c:cat>
            <c:numRef>
              <c:f>'5332'!$Q$8:$Q$17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'5332'!$U$8:$U$17</c:f>
              <c:numCache>
                <c:formatCode>0</c:formatCode>
                <c:ptCount val="10"/>
                <c:pt idx="0">
                  <c:v>1</c:v>
                </c:pt>
                <c:pt idx="1">
                  <c:v>11</c:v>
                </c:pt>
                <c:pt idx="2">
                  <c:v>4</c:v>
                </c:pt>
                <c:pt idx="3">
                  <c:v>6</c:v>
                </c:pt>
                <c:pt idx="4">
                  <c:v>13</c:v>
                </c:pt>
                <c:pt idx="5">
                  <c:v>8</c:v>
                </c:pt>
                <c:pt idx="6" formatCode="General">
                  <c:v>17</c:v>
                </c:pt>
                <c:pt idx="7">
                  <c:v>17</c:v>
                </c:pt>
                <c:pt idx="8">
                  <c:v>42</c:v>
                </c:pt>
                <c:pt idx="9">
                  <c:v>25</c:v>
                </c:pt>
              </c:numCache>
            </c:numRef>
          </c:val>
          <c:smooth val="0"/>
          <c:extLst xmlns:c16r2="http://schemas.microsoft.com/office/drawing/2015/06/chart">
            <c:ext xmlns:c16="http://schemas.microsoft.com/office/drawing/2014/chart" uri="{C3380CC4-5D6E-409C-BE32-E72D297353CC}">
              <c16:uniqueId val="{00000006-35FC-4AA2-AFC8-B553B5FB6344}"/>
            </c:ext>
          </c:extLst>
        </c:ser>
        <c:ser>
          <c:idx val="5"/>
          <c:order val="5"/>
          <c:tx>
            <c:strRef>
              <c:f>'5332'!$W$7</c:f>
              <c:strCache>
                <c:ptCount val="1"/>
                <c:pt idx="0">
                  <c:v>IPARD (#)</c:v>
                </c:pt>
              </c:strCache>
            </c:strRef>
          </c:tx>
          <c:spPr>
            <a:ln w="28575" cap="rnd">
              <a:solidFill>
                <a:schemeClr val="accent3"/>
              </a:solidFill>
              <a:round/>
            </a:ln>
            <a:effectLst/>
          </c:spPr>
          <c:marker>
            <c:symbol val="none"/>
          </c:marker>
          <c:cat>
            <c:numRef>
              <c:f>'5332'!$Q$8:$Q$17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'5332'!$W$8:$W$17</c:f>
              <c:numCache>
                <c:formatCode>0</c:formatCode>
                <c:ptCount val="10"/>
                <c:pt idx="0">
                  <c:v>0</c:v>
                </c:pt>
                <c:pt idx="1">
                  <c:v>3</c:v>
                </c:pt>
                <c:pt idx="2">
                  <c:v>4</c:v>
                </c:pt>
                <c:pt idx="3">
                  <c:v>8</c:v>
                </c:pt>
                <c:pt idx="4">
                  <c:v>19</c:v>
                </c:pt>
                <c:pt idx="5">
                  <c:v>36</c:v>
                </c:pt>
                <c:pt idx="6" formatCode="General">
                  <c:v>36</c:v>
                </c:pt>
                <c:pt idx="7">
                  <c:v>56</c:v>
                </c:pt>
                <c:pt idx="8">
                  <c:v>57</c:v>
                </c:pt>
                <c:pt idx="9">
                  <c:v>82</c:v>
                </c:pt>
              </c:numCache>
            </c:numRef>
          </c:val>
          <c:smooth val="0"/>
          <c:extLst xmlns:c16r2="http://schemas.microsoft.com/office/drawing/2015/06/chart">
            <c:ext xmlns:c16="http://schemas.microsoft.com/office/drawing/2014/chart" uri="{C3380CC4-5D6E-409C-BE32-E72D297353CC}">
              <c16:uniqueId val="{00000007-35FC-4AA2-AFC8-B553B5FB6344}"/>
            </c:ext>
          </c:extLst>
        </c:ser>
        <c:ser>
          <c:idx val="7"/>
          <c:order val="7"/>
          <c:tx>
            <c:strRef>
              <c:f>'5332'!$Y$7</c:f>
              <c:strCache>
                <c:ptCount val="1"/>
                <c:pt idx="0">
                  <c:v>REGD (#)</c:v>
                </c:pt>
              </c:strCache>
            </c:strRef>
          </c:tx>
          <c:spPr>
            <a:ln w="28575" cap="rnd">
              <a:solidFill>
                <a:schemeClr val="accent4"/>
              </a:solidFill>
              <a:round/>
            </a:ln>
            <a:effectLst/>
          </c:spPr>
          <c:marker>
            <c:symbol val="none"/>
          </c:marker>
          <c:cat>
            <c:numRef>
              <c:f>'5332'!$Q$8:$Q$17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'5332'!$Y$8:$Y$17</c:f>
              <c:numCache>
                <c:formatCode>0</c:formatCode>
                <c:ptCount val="10"/>
                <c:pt idx="0">
                  <c:v>0</c:v>
                </c:pt>
                <c:pt idx="1">
                  <c:v>3</c:v>
                </c:pt>
                <c:pt idx="2">
                  <c:v>1</c:v>
                </c:pt>
                <c:pt idx="3">
                  <c:v>6</c:v>
                </c:pt>
                <c:pt idx="4">
                  <c:v>3</c:v>
                </c:pt>
                <c:pt idx="5">
                  <c:v>5</c:v>
                </c:pt>
                <c:pt idx="6" formatCode="General">
                  <c:v>3</c:v>
                </c:pt>
                <c:pt idx="7">
                  <c:v>11</c:v>
                </c:pt>
                <c:pt idx="8">
                  <c:v>1</c:v>
                </c:pt>
                <c:pt idx="9">
                  <c:v>10</c:v>
                </c:pt>
              </c:numCache>
            </c:numRef>
          </c:val>
          <c:smooth val="0"/>
          <c:extLst xmlns:c16r2="http://schemas.microsoft.com/office/drawing/2015/06/chart">
            <c:ext xmlns:c16="http://schemas.microsoft.com/office/drawing/2014/chart" uri="{C3380CC4-5D6E-409C-BE32-E72D297353CC}">
              <c16:uniqueId val="{00000008-35FC-4AA2-AFC8-B553B5FB6344}"/>
            </c:ext>
          </c:extLst>
        </c:ser>
        <c:ser>
          <c:idx val="9"/>
          <c:order val="9"/>
          <c:tx>
            <c:strRef>
              <c:f>'5332'!$AA$7</c:f>
              <c:strCache>
                <c:ptCount val="1"/>
                <c:pt idx="0">
                  <c:v>TAIB (#)</c:v>
                </c:pt>
              </c:strCache>
            </c:strRef>
          </c:tx>
          <c:spPr>
            <a:ln w="28575" cap="rnd">
              <a:solidFill>
                <a:schemeClr val="accent6"/>
              </a:solidFill>
              <a:round/>
            </a:ln>
            <a:effectLst/>
          </c:spPr>
          <c:marker>
            <c:symbol val="none"/>
          </c:marker>
          <c:cat>
            <c:numRef>
              <c:f>'5332'!$Q$8:$Q$17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'5332'!$AA$8:$AA$17</c:f>
              <c:numCache>
                <c:formatCode>0</c:formatCode>
                <c:ptCount val="10"/>
                <c:pt idx="0">
                  <c:v>1</c:v>
                </c:pt>
                <c:pt idx="1">
                  <c:v>2</c:v>
                </c:pt>
                <c:pt idx="2">
                  <c:v>9</c:v>
                </c:pt>
                <c:pt idx="3">
                  <c:v>6</c:v>
                </c:pt>
                <c:pt idx="4">
                  <c:v>13</c:v>
                </c:pt>
                <c:pt idx="5">
                  <c:v>15</c:v>
                </c:pt>
                <c:pt idx="6" formatCode="General">
                  <c:v>9</c:v>
                </c:pt>
                <c:pt idx="7">
                  <c:v>12</c:v>
                </c:pt>
                <c:pt idx="8">
                  <c:v>12</c:v>
                </c:pt>
                <c:pt idx="9">
                  <c:v>9</c:v>
                </c:pt>
              </c:numCache>
            </c:numRef>
          </c:val>
          <c:smooth val="0"/>
          <c:extLst xmlns:c16r2="http://schemas.microsoft.com/office/drawing/2015/06/chart">
            <c:ext xmlns:c16="http://schemas.microsoft.com/office/drawing/2014/chart" uri="{C3380CC4-5D6E-409C-BE32-E72D297353CC}">
              <c16:uniqueId val="{00000009-35FC-4AA2-AFC8-B553B5FB6344}"/>
            </c:ext>
          </c:extLst>
        </c:ser>
        <c:dLbls>
          <c:showLegendKey val="0"/>
          <c:showVal val="0"/>
          <c:showCatName val="0"/>
          <c:showSerName val="0"/>
          <c:showPercent val="0"/>
          <c:showBubbleSize val="0"/>
        </c:dLbls>
        <c:marker val="1"/>
        <c:smooth val="0"/>
        <c:axId val="109739392"/>
        <c:axId val="109737472"/>
      </c:lineChart>
      <c:catAx>
        <c:axId val="10971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718912"/>
        <c:crosses val="autoZero"/>
        <c:auto val="1"/>
        <c:lblAlgn val="ctr"/>
        <c:lblOffset val="100"/>
        <c:noMultiLvlLbl val="0"/>
      </c:catAx>
      <c:valAx>
        <c:axId val="1097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0" i="0" baseline="0">
                    <a:effectLst/>
                  </a:rPr>
                  <a:t>Irregularity Amount (EUR)</a:t>
                </a:r>
                <a:endParaRPr lang="en-GB" sz="900">
                  <a:effectLst/>
                </a:endParaRPr>
              </a:p>
            </c:rich>
          </c:tx>
          <c:overlay val="0"/>
          <c:spPr>
            <a:noFill/>
            <a:ln>
              <a:noFill/>
            </a:ln>
            <a:effectLst/>
          </c:sp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717376"/>
        <c:crosses val="autoZero"/>
        <c:crossBetween val="between"/>
      </c:valAx>
      <c:valAx>
        <c:axId val="10973747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0" i="0" baseline="0">
                    <a:effectLst/>
                  </a:rPr>
                  <a:t>No. of Reported Irregularities</a:t>
                </a:r>
                <a:endParaRPr lang="en-GB" sz="900">
                  <a:effectLst/>
                </a:endParaRP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739392"/>
        <c:crosses val="max"/>
        <c:crossBetween val="between"/>
      </c:valAx>
      <c:catAx>
        <c:axId val="109739392"/>
        <c:scaling>
          <c:orientation val="minMax"/>
        </c:scaling>
        <c:delete val="1"/>
        <c:axPos val="b"/>
        <c:numFmt formatCode="General" sourceLinked="1"/>
        <c:majorTickMark val="out"/>
        <c:minorTickMark val="none"/>
        <c:tickLblPos val="nextTo"/>
        <c:crossAx val="1097374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'5333'!$C$5</c:f>
              <c:strCache>
                <c:ptCount val="1"/>
                <c:pt idx="0">
                  <c:v>CBC-IPA (EUR)</c:v>
                </c:pt>
              </c:strCache>
            </c:strRef>
          </c:tx>
          <c:spPr>
            <a:solidFill>
              <a:schemeClr val="accent1"/>
            </a:solidFill>
            <a:ln>
              <a:noFill/>
            </a:ln>
            <a:effectLst/>
          </c:spPr>
          <c:invertIfNegative val="0"/>
          <c:cat>
            <c:numRef>
              <c:f>'5333'!$B$6:$B$10</c:f>
              <c:numCache>
                <c:formatCode>General</c:formatCode>
                <c:ptCount val="5"/>
                <c:pt idx="0">
                  <c:v>2015</c:v>
                </c:pt>
                <c:pt idx="1">
                  <c:v>2016</c:v>
                </c:pt>
                <c:pt idx="2">
                  <c:v>2017</c:v>
                </c:pt>
                <c:pt idx="3">
                  <c:v>2018</c:v>
                </c:pt>
                <c:pt idx="4">
                  <c:v>2019</c:v>
                </c:pt>
              </c:numCache>
            </c:numRef>
          </c:cat>
          <c:val>
            <c:numRef>
              <c:f>'5333'!$C$6:$C$10</c:f>
              <c:numCache>
                <c:formatCode>General</c:formatCode>
                <c:ptCount val="5"/>
                <c:pt idx="3" formatCode="_(&quot;€&quot;* #,##0.00_);_(&quot;€&quot;* \(#,##0.00\);_(&quot;€&quot;* &quot;-&quot;??_);_(@_)">
                  <c:v>51408.79</c:v>
                </c:pt>
                <c:pt idx="4" formatCode="_(&quot;€&quot;* #,##0.00_);_(&quot;€&quot;* \(#,##0.00\);_(&quot;€&quot;* &quot;-&quot;??_);_(@_)">
                  <c:v>66185.94</c:v>
                </c:pt>
              </c:numCache>
            </c:numRef>
          </c:val>
          <c:extLst xmlns:c16r2="http://schemas.microsoft.com/office/drawing/2015/06/chart">
            <c:ext xmlns:c16="http://schemas.microsoft.com/office/drawing/2014/chart" uri="{C3380CC4-5D6E-409C-BE32-E72D297353CC}">
              <c16:uniqueId val="{00000000-C797-469E-B79E-6ABC52C3B521}"/>
            </c:ext>
          </c:extLst>
        </c:ser>
        <c:ser>
          <c:idx val="1"/>
          <c:order val="1"/>
          <c:tx>
            <c:strRef>
              <c:f>'5333'!$D$5</c:f>
              <c:strCache>
                <c:ptCount val="1"/>
                <c:pt idx="0">
                  <c:v>HRD (EUR)</c:v>
                </c:pt>
              </c:strCache>
            </c:strRef>
          </c:tx>
          <c:spPr>
            <a:solidFill>
              <a:schemeClr val="accent2"/>
            </a:solidFill>
            <a:ln>
              <a:noFill/>
            </a:ln>
            <a:effectLst/>
          </c:spPr>
          <c:invertIfNegative val="0"/>
          <c:cat>
            <c:numRef>
              <c:f>'5333'!$B$6:$B$10</c:f>
              <c:numCache>
                <c:formatCode>General</c:formatCode>
                <c:ptCount val="5"/>
                <c:pt idx="0">
                  <c:v>2015</c:v>
                </c:pt>
                <c:pt idx="1">
                  <c:v>2016</c:v>
                </c:pt>
                <c:pt idx="2">
                  <c:v>2017</c:v>
                </c:pt>
                <c:pt idx="3">
                  <c:v>2018</c:v>
                </c:pt>
                <c:pt idx="4">
                  <c:v>2019</c:v>
                </c:pt>
              </c:numCache>
            </c:numRef>
          </c:cat>
          <c:val>
            <c:numRef>
              <c:f>'5333'!$D$6:$D$10</c:f>
              <c:numCache>
                <c:formatCode>_("€"* #,##0.00_);_("€"* \(#,##0.00\);_("€"* "-"??_);_(@_)</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1-C797-469E-B79E-6ABC52C3B521}"/>
            </c:ext>
          </c:extLst>
        </c:ser>
        <c:ser>
          <c:idx val="2"/>
          <c:order val="2"/>
          <c:tx>
            <c:strRef>
              <c:f>'5333'!$E$5</c:f>
              <c:strCache>
                <c:ptCount val="1"/>
                <c:pt idx="0">
                  <c:v>IPARD (EUR)</c:v>
                </c:pt>
              </c:strCache>
            </c:strRef>
          </c:tx>
          <c:spPr>
            <a:solidFill>
              <a:schemeClr val="accent3"/>
            </a:solidFill>
            <a:ln>
              <a:noFill/>
            </a:ln>
            <a:effectLst/>
          </c:spPr>
          <c:invertIfNegative val="0"/>
          <c:cat>
            <c:numRef>
              <c:f>'5333'!$B$6:$B$10</c:f>
              <c:numCache>
                <c:formatCode>General</c:formatCode>
                <c:ptCount val="5"/>
                <c:pt idx="0">
                  <c:v>2015</c:v>
                </c:pt>
                <c:pt idx="1">
                  <c:v>2016</c:v>
                </c:pt>
                <c:pt idx="2">
                  <c:v>2017</c:v>
                </c:pt>
                <c:pt idx="3">
                  <c:v>2018</c:v>
                </c:pt>
                <c:pt idx="4">
                  <c:v>2019</c:v>
                </c:pt>
              </c:numCache>
            </c:numRef>
          </c:cat>
          <c:val>
            <c:numRef>
              <c:f>'5333'!$E$6:$E$10</c:f>
              <c:numCache>
                <c:formatCode>_("€"* #,##0.00_);_("€"* \(#,##0.00\);_("€"* "-"??_);_(@_)</c:formatCode>
                <c:ptCount val="5"/>
                <c:pt idx="0">
                  <c:v>0</c:v>
                </c:pt>
                <c:pt idx="1">
                  <c:v>0</c:v>
                </c:pt>
                <c:pt idx="2">
                  <c:v>0</c:v>
                </c:pt>
                <c:pt idx="3">
                  <c:v>580641.75</c:v>
                </c:pt>
                <c:pt idx="4">
                  <c:v>1111658.31</c:v>
                </c:pt>
              </c:numCache>
            </c:numRef>
          </c:val>
          <c:extLst xmlns:c16r2="http://schemas.microsoft.com/office/drawing/2015/06/chart">
            <c:ext xmlns:c16="http://schemas.microsoft.com/office/drawing/2014/chart" uri="{C3380CC4-5D6E-409C-BE32-E72D297353CC}">
              <c16:uniqueId val="{00000002-C797-469E-B79E-6ABC52C3B521}"/>
            </c:ext>
          </c:extLst>
        </c:ser>
        <c:ser>
          <c:idx val="3"/>
          <c:order val="3"/>
          <c:tx>
            <c:strRef>
              <c:f>'5333'!$F$5</c:f>
              <c:strCache>
                <c:ptCount val="1"/>
                <c:pt idx="0">
                  <c:v>REGD (EUR)</c:v>
                </c:pt>
              </c:strCache>
            </c:strRef>
          </c:tx>
          <c:spPr>
            <a:solidFill>
              <a:schemeClr val="accent4"/>
            </a:solidFill>
            <a:ln>
              <a:noFill/>
            </a:ln>
            <a:effectLst/>
          </c:spPr>
          <c:invertIfNegative val="0"/>
          <c:cat>
            <c:numRef>
              <c:f>'5333'!$B$6:$B$10</c:f>
              <c:numCache>
                <c:formatCode>General</c:formatCode>
                <c:ptCount val="5"/>
                <c:pt idx="0">
                  <c:v>2015</c:v>
                </c:pt>
                <c:pt idx="1">
                  <c:v>2016</c:v>
                </c:pt>
                <c:pt idx="2">
                  <c:v>2017</c:v>
                </c:pt>
                <c:pt idx="3">
                  <c:v>2018</c:v>
                </c:pt>
                <c:pt idx="4">
                  <c:v>2019</c:v>
                </c:pt>
              </c:numCache>
            </c:numRef>
          </c:cat>
          <c:val>
            <c:numRef>
              <c:f>'5333'!$F$6:$F$10</c:f>
              <c:numCache>
                <c:formatCode>_("€"* #,##0.00_);_("€"* \(#,##0.00\);_("€"* "-"??_);_(@_)</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3-C797-469E-B79E-6ABC52C3B521}"/>
            </c:ext>
          </c:extLst>
        </c:ser>
        <c:ser>
          <c:idx val="4"/>
          <c:order val="4"/>
          <c:tx>
            <c:strRef>
              <c:f>'5333'!$G$5</c:f>
              <c:strCache>
                <c:ptCount val="1"/>
                <c:pt idx="0">
                  <c:v>TAIB (EUR)</c:v>
                </c:pt>
              </c:strCache>
            </c:strRef>
          </c:tx>
          <c:spPr>
            <a:solidFill>
              <a:schemeClr val="accent6"/>
            </a:solidFill>
            <a:ln>
              <a:solidFill>
                <a:schemeClr val="accent6"/>
              </a:solidFill>
            </a:ln>
            <a:effectLst/>
          </c:spPr>
          <c:invertIfNegative val="0"/>
          <c:cat>
            <c:numRef>
              <c:f>'5333'!$B$6:$B$10</c:f>
              <c:numCache>
                <c:formatCode>General</c:formatCode>
                <c:ptCount val="5"/>
                <c:pt idx="0">
                  <c:v>2015</c:v>
                </c:pt>
                <c:pt idx="1">
                  <c:v>2016</c:v>
                </c:pt>
                <c:pt idx="2">
                  <c:v>2017</c:v>
                </c:pt>
                <c:pt idx="3">
                  <c:v>2018</c:v>
                </c:pt>
                <c:pt idx="4">
                  <c:v>2019</c:v>
                </c:pt>
              </c:numCache>
            </c:numRef>
          </c:cat>
          <c:val>
            <c:numRef>
              <c:f>'5333'!$G$6:$G$10</c:f>
              <c:numCache>
                <c:formatCode>_("€"* #,##0.00_);_("€"* \(#,##0.00\);_("€"* "-"??_);_(@_)</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4-C797-469E-B79E-6ABC52C3B521}"/>
            </c:ext>
          </c:extLst>
        </c:ser>
        <c:dLbls>
          <c:showLegendKey val="0"/>
          <c:showVal val="0"/>
          <c:showCatName val="0"/>
          <c:showSerName val="0"/>
          <c:showPercent val="0"/>
          <c:showBubbleSize val="0"/>
        </c:dLbls>
        <c:gapWidth val="219"/>
        <c:axId val="110050304"/>
        <c:axId val="110064384"/>
      </c:barChart>
      <c:lineChart>
        <c:grouping val="standard"/>
        <c:varyColors val="0"/>
        <c:ser>
          <c:idx val="5"/>
          <c:order val="5"/>
          <c:tx>
            <c:strRef>
              <c:f>'5333'!$H$5</c:f>
              <c:strCache>
                <c:ptCount val="1"/>
                <c:pt idx="0">
                  <c:v>CBC-IPA (#)</c:v>
                </c:pt>
              </c:strCache>
            </c:strRef>
          </c:tx>
          <c:spPr>
            <a:ln w="28575" cap="rnd">
              <a:solidFill>
                <a:schemeClr val="accent1"/>
              </a:solidFill>
              <a:round/>
            </a:ln>
            <a:effectLst/>
          </c:spPr>
          <c:marker>
            <c:symbol val="none"/>
          </c:marker>
          <c:cat>
            <c:numRef>
              <c:f>'5333'!$B$6:$B$10</c:f>
              <c:numCache>
                <c:formatCode>General</c:formatCode>
                <c:ptCount val="5"/>
                <c:pt idx="0">
                  <c:v>2015</c:v>
                </c:pt>
                <c:pt idx="1">
                  <c:v>2016</c:v>
                </c:pt>
                <c:pt idx="2">
                  <c:v>2017</c:v>
                </c:pt>
                <c:pt idx="3">
                  <c:v>2018</c:v>
                </c:pt>
                <c:pt idx="4">
                  <c:v>2019</c:v>
                </c:pt>
              </c:numCache>
            </c:numRef>
          </c:cat>
          <c:val>
            <c:numRef>
              <c:f>'5333'!$H$6:$H$10</c:f>
              <c:numCache>
                <c:formatCode>0</c:formatCode>
                <c:ptCount val="5"/>
                <c:pt idx="0">
                  <c:v>0</c:v>
                </c:pt>
                <c:pt idx="1">
                  <c:v>0</c:v>
                </c:pt>
                <c:pt idx="2">
                  <c:v>0</c:v>
                </c:pt>
                <c:pt idx="3">
                  <c:v>8</c:v>
                </c:pt>
                <c:pt idx="4">
                  <c:v>2</c:v>
                </c:pt>
              </c:numCache>
            </c:numRef>
          </c:val>
          <c:smooth val="0"/>
          <c:extLst xmlns:c16r2="http://schemas.microsoft.com/office/drawing/2015/06/chart">
            <c:ext xmlns:c16="http://schemas.microsoft.com/office/drawing/2014/chart" uri="{C3380CC4-5D6E-409C-BE32-E72D297353CC}">
              <c16:uniqueId val="{00000005-C797-469E-B79E-6ABC52C3B521}"/>
            </c:ext>
          </c:extLst>
        </c:ser>
        <c:ser>
          <c:idx val="6"/>
          <c:order val="6"/>
          <c:tx>
            <c:strRef>
              <c:f>'5333'!$I$5</c:f>
              <c:strCache>
                <c:ptCount val="1"/>
                <c:pt idx="0">
                  <c:v>HRD (#)</c:v>
                </c:pt>
              </c:strCache>
            </c:strRef>
          </c:tx>
          <c:spPr>
            <a:ln w="28575" cap="rnd">
              <a:solidFill>
                <a:schemeClr val="accent2"/>
              </a:solidFill>
              <a:round/>
            </a:ln>
            <a:effectLst/>
          </c:spPr>
          <c:marker>
            <c:symbol val="none"/>
          </c:marker>
          <c:cat>
            <c:numRef>
              <c:f>'5333'!$B$6:$B$10</c:f>
              <c:numCache>
                <c:formatCode>General</c:formatCode>
                <c:ptCount val="5"/>
                <c:pt idx="0">
                  <c:v>2015</c:v>
                </c:pt>
                <c:pt idx="1">
                  <c:v>2016</c:v>
                </c:pt>
                <c:pt idx="2">
                  <c:v>2017</c:v>
                </c:pt>
                <c:pt idx="3">
                  <c:v>2018</c:v>
                </c:pt>
                <c:pt idx="4">
                  <c:v>2019</c:v>
                </c:pt>
              </c:numCache>
            </c:numRef>
          </c:cat>
          <c:val>
            <c:numRef>
              <c:f>'5333'!$I$6:$I$10</c:f>
              <c:numCache>
                <c:formatCode>#,##0</c:formatCode>
                <c:ptCount val="5"/>
                <c:pt idx="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6-C797-469E-B79E-6ABC52C3B521}"/>
            </c:ext>
          </c:extLst>
        </c:ser>
        <c:ser>
          <c:idx val="7"/>
          <c:order val="7"/>
          <c:tx>
            <c:strRef>
              <c:f>'5333'!$J$5</c:f>
              <c:strCache>
                <c:ptCount val="1"/>
                <c:pt idx="0">
                  <c:v>IPARD (#)</c:v>
                </c:pt>
              </c:strCache>
            </c:strRef>
          </c:tx>
          <c:spPr>
            <a:ln w="28575" cap="rnd">
              <a:solidFill>
                <a:schemeClr val="accent3"/>
              </a:solidFill>
              <a:round/>
            </a:ln>
            <a:effectLst/>
          </c:spPr>
          <c:marker>
            <c:symbol val="none"/>
          </c:marker>
          <c:cat>
            <c:numRef>
              <c:f>'5333'!$B$6:$B$10</c:f>
              <c:numCache>
                <c:formatCode>General</c:formatCode>
                <c:ptCount val="5"/>
                <c:pt idx="0">
                  <c:v>2015</c:v>
                </c:pt>
                <c:pt idx="1">
                  <c:v>2016</c:v>
                </c:pt>
                <c:pt idx="2">
                  <c:v>2017</c:v>
                </c:pt>
                <c:pt idx="3">
                  <c:v>2018</c:v>
                </c:pt>
                <c:pt idx="4">
                  <c:v>2019</c:v>
                </c:pt>
              </c:numCache>
            </c:numRef>
          </c:cat>
          <c:val>
            <c:numRef>
              <c:f>'5333'!$J$6:$J$10</c:f>
              <c:numCache>
                <c:formatCode>#,##0</c:formatCode>
                <c:ptCount val="5"/>
                <c:pt idx="0">
                  <c:v>0</c:v>
                </c:pt>
                <c:pt idx="1">
                  <c:v>0</c:v>
                </c:pt>
                <c:pt idx="2">
                  <c:v>1</c:v>
                </c:pt>
                <c:pt idx="3">
                  <c:v>8</c:v>
                </c:pt>
                <c:pt idx="4">
                  <c:v>72</c:v>
                </c:pt>
              </c:numCache>
            </c:numRef>
          </c:val>
          <c:smooth val="0"/>
          <c:extLst xmlns:c16r2="http://schemas.microsoft.com/office/drawing/2015/06/chart">
            <c:ext xmlns:c16="http://schemas.microsoft.com/office/drawing/2014/chart" uri="{C3380CC4-5D6E-409C-BE32-E72D297353CC}">
              <c16:uniqueId val="{00000007-C797-469E-B79E-6ABC52C3B521}"/>
            </c:ext>
          </c:extLst>
        </c:ser>
        <c:ser>
          <c:idx val="8"/>
          <c:order val="8"/>
          <c:tx>
            <c:strRef>
              <c:f>'5333'!$K$5</c:f>
              <c:strCache>
                <c:ptCount val="1"/>
                <c:pt idx="0">
                  <c:v>REGD (#)</c:v>
                </c:pt>
              </c:strCache>
            </c:strRef>
          </c:tx>
          <c:spPr>
            <a:ln w="28575" cap="rnd">
              <a:solidFill>
                <a:schemeClr val="accent4"/>
              </a:solidFill>
              <a:round/>
            </a:ln>
            <a:effectLst/>
          </c:spPr>
          <c:marker>
            <c:symbol val="none"/>
          </c:marker>
          <c:cat>
            <c:numRef>
              <c:f>'5333'!$B$6:$B$10</c:f>
              <c:numCache>
                <c:formatCode>General</c:formatCode>
                <c:ptCount val="5"/>
                <c:pt idx="0">
                  <c:v>2015</c:v>
                </c:pt>
                <c:pt idx="1">
                  <c:v>2016</c:v>
                </c:pt>
                <c:pt idx="2">
                  <c:v>2017</c:v>
                </c:pt>
                <c:pt idx="3">
                  <c:v>2018</c:v>
                </c:pt>
                <c:pt idx="4">
                  <c:v>2019</c:v>
                </c:pt>
              </c:numCache>
            </c:numRef>
          </c:cat>
          <c:val>
            <c:numRef>
              <c:f>'5333'!$K$6:$K$10</c:f>
              <c:numCache>
                <c:formatCode>#,##0</c:formatCode>
                <c:ptCount val="5"/>
                <c:pt idx="0">
                  <c:v>0</c:v>
                </c:pt>
                <c:pt idx="1">
                  <c:v>0</c:v>
                </c:pt>
                <c:pt idx="2">
                  <c:v>0</c:v>
                </c:pt>
                <c:pt idx="3">
                  <c:v>0</c:v>
                </c:pt>
                <c:pt idx="4" formatCode="0">
                  <c:v>2</c:v>
                </c:pt>
              </c:numCache>
            </c:numRef>
          </c:val>
          <c:smooth val="0"/>
          <c:extLst xmlns:c16r2="http://schemas.microsoft.com/office/drawing/2015/06/chart">
            <c:ext xmlns:c16="http://schemas.microsoft.com/office/drawing/2014/chart" uri="{C3380CC4-5D6E-409C-BE32-E72D297353CC}">
              <c16:uniqueId val="{00000008-C797-469E-B79E-6ABC52C3B521}"/>
            </c:ext>
          </c:extLst>
        </c:ser>
        <c:ser>
          <c:idx val="9"/>
          <c:order val="9"/>
          <c:tx>
            <c:strRef>
              <c:f>'5333'!$L$5</c:f>
              <c:strCache>
                <c:ptCount val="1"/>
                <c:pt idx="0">
                  <c:v>TAIB (#)</c:v>
                </c:pt>
              </c:strCache>
            </c:strRef>
          </c:tx>
          <c:spPr>
            <a:ln w="28575" cap="rnd">
              <a:solidFill>
                <a:schemeClr val="accent6"/>
              </a:solidFill>
              <a:round/>
            </a:ln>
            <a:effectLst/>
          </c:spPr>
          <c:marker>
            <c:symbol val="none"/>
          </c:marker>
          <c:cat>
            <c:numRef>
              <c:f>'5333'!$B$6:$B$10</c:f>
              <c:numCache>
                <c:formatCode>General</c:formatCode>
                <c:ptCount val="5"/>
                <c:pt idx="0">
                  <c:v>2015</c:v>
                </c:pt>
                <c:pt idx="1">
                  <c:v>2016</c:v>
                </c:pt>
                <c:pt idx="2">
                  <c:v>2017</c:v>
                </c:pt>
                <c:pt idx="3">
                  <c:v>2018</c:v>
                </c:pt>
                <c:pt idx="4">
                  <c:v>2019</c:v>
                </c:pt>
              </c:numCache>
            </c:numRef>
          </c:cat>
          <c:val>
            <c:numRef>
              <c:f>'5333'!$L$6:$L$10</c:f>
              <c:numCache>
                <c:formatCode>#,##0</c:formatCode>
                <c:ptCount val="5"/>
                <c:pt idx="0">
                  <c:v>0</c:v>
                </c:pt>
                <c:pt idx="1">
                  <c:v>0</c:v>
                </c:pt>
                <c:pt idx="2">
                  <c:v>0</c:v>
                </c:pt>
                <c:pt idx="3">
                  <c:v>1</c:v>
                </c:pt>
                <c:pt idx="4" formatCode="0">
                  <c:v>2</c:v>
                </c:pt>
              </c:numCache>
            </c:numRef>
          </c:val>
          <c:smooth val="0"/>
          <c:extLst xmlns:c16r2="http://schemas.microsoft.com/office/drawing/2015/06/chart">
            <c:ext xmlns:c16="http://schemas.microsoft.com/office/drawing/2014/chart" uri="{C3380CC4-5D6E-409C-BE32-E72D297353CC}">
              <c16:uniqueId val="{00000009-C797-469E-B79E-6ABC52C3B521}"/>
            </c:ext>
          </c:extLst>
        </c:ser>
        <c:dLbls>
          <c:showLegendKey val="0"/>
          <c:showVal val="0"/>
          <c:showCatName val="0"/>
          <c:showSerName val="0"/>
          <c:showPercent val="0"/>
          <c:showBubbleSize val="0"/>
        </c:dLbls>
        <c:marker val="1"/>
        <c:smooth val="0"/>
        <c:axId val="110075904"/>
        <c:axId val="110065920"/>
      </c:lineChart>
      <c:catAx>
        <c:axId val="11005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64384"/>
        <c:crosses val="autoZero"/>
        <c:auto val="1"/>
        <c:lblAlgn val="ctr"/>
        <c:lblOffset val="100"/>
        <c:noMultiLvlLbl val="0"/>
      </c:catAx>
      <c:valAx>
        <c:axId val="11006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50304"/>
        <c:crosses val="autoZero"/>
        <c:crossBetween val="between"/>
      </c:valAx>
      <c:valAx>
        <c:axId val="11006592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75904"/>
        <c:crosses val="max"/>
        <c:crossBetween val="between"/>
      </c:valAx>
      <c:catAx>
        <c:axId val="110075904"/>
        <c:scaling>
          <c:orientation val="minMax"/>
        </c:scaling>
        <c:delete val="1"/>
        <c:axPos val="b"/>
        <c:numFmt formatCode="General" sourceLinked="1"/>
        <c:majorTickMark val="out"/>
        <c:minorTickMark val="none"/>
        <c:tickLblPos val="nextTo"/>
        <c:crossAx val="110065920"/>
        <c:crosses val="autoZero"/>
        <c:auto val="1"/>
        <c:lblAlgn val="ctr"/>
        <c:lblOffset val="100"/>
        <c:noMultiLvlLbl val="0"/>
      </c:catAx>
      <c:spPr>
        <a:noFill/>
        <a:ln>
          <a:noFill/>
        </a:ln>
        <a:effectLst/>
      </c:spPr>
    </c:plotArea>
    <c:legend>
      <c:legendPos val="b"/>
      <c:overlay val="0"/>
      <c:spPr>
        <a:noFill/>
        <a:ln>
          <a:solidFill>
            <a:schemeClr val="accent6"/>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'5443'!$D$4</c:f>
              <c:strCache>
                <c:ptCount val="1"/>
                <c:pt idx="0">
                  <c:v>BG (EUR)</c:v>
                </c:pt>
              </c:strCache>
            </c:strRef>
          </c:tx>
          <c:spPr>
            <a:solidFill>
              <a:schemeClr val="accent1"/>
            </a:solidFill>
            <a:ln>
              <a:noFill/>
            </a:ln>
            <a:effectLst/>
          </c:spPr>
          <c:invertIfNegative val="0"/>
          <c:cat>
            <c:numRef>
              <c:f>'5443'!$C$5:$C$21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'5443'!$D$5:$D$21</c:f>
              <c:numCache>
                <c:formatCode>General</c:formatCode>
                <c:ptCount val="17"/>
                <c:pt idx="2" formatCode="#,##0">
                  <c:v>182609.49</c:v>
                </c:pt>
                <c:pt idx="3" formatCode="#,##0">
                  <c:v>5488685.7699999996</c:v>
                </c:pt>
                <c:pt idx="4" formatCode="#,##0">
                  <c:v>1922578.1499999997</c:v>
                </c:pt>
                <c:pt idx="5" formatCode="#,##0">
                  <c:v>10112900.319999998</c:v>
                </c:pt>
                <c:pt idx="6" formatCode="#,##0">
                  <c:v>23853286.73</c:v>
                </c:pt>
                <c:pt idx="7" formatCode="#,##0">
                  <c:v>29237023.439999998</c:v>
                </c:pt>
                <c:pt idx="8" formatCode="#,##0">
                  <c:v>6709873.8299999982</c:v>
                </c:pt>
                <c:pt idx="9" formatCode="#,##0">
                  <c:v>48494851.370000005</c:v>
                </c:pt>
                <c:pt idx="10" formatCode="#,##0">
                  <c:v>5266552.42</c:v>
                </c:pt>
                <c:pt idx="11" formatCode="#,##0">
                  <c:v>4847522.6399999997</c:v>
                </c:pt>
                <c:pt idx="12" formatCode="#,##0">
                  <c:v>1201283.8699999999</c:v>
                </c:pt>
                <c:pt idx="13" formatCode="#,##0">
                  <c:v>816903.27</c:v>
                </c:pt>
                <c:pt idx="14" formatCode="#,##0">
                  <c:v>101351.34</c:v>
                </c:pt>
              </c:numCache>
            </c:numRef>
          </c:val>
          <c:extLst xmlns:c16r2="http://schemas.microsoft.com/office/drawing/2015/06/chart">
            <c:ext xmlns:c16="http://schemas.microsoft.com/office/drawing/2014/chart" uri="{C3380CC4-5D6E-409C-BE32-E72D297353CC}">
              <c16:uniqueId val="{00000000-B99F-4A81-AB13-4651C5ED6B27}"/>
            </c:ext>
          </c:extLst>
        </c:ser>
        <c:ser>
          <c:idx val="2"/>
          <c:order val="2"/>
          <c:tx>
            <c:strRef>
              <c:f>'5443'!$F$4</c:f>
              <c:strCache>
                <c:ptCount val="1"/>
                <c:pt idx="0">
                  <c:v>CZ (EUR)</c:v>
                </c:pt>
              </c:strCache>
            </c:strRef>
          </c:tx>
          <c:spPr>
            <a:solidFill>
              <a:schemeClr val="accent2"/>
            </a:solidFill>
            <a:ln>
              <a:noFill/>
            </a:ln>
            <a:effectLst/>
          </c:spPr>
          <c:invertIfNegative val="0"/>
          <c:cat>
            <c:numRef>
              <c:f>'5443'!$C$5:$C$21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'5443'!$F$5:$F$21</c:f>
              <c:numCache>
                <c:formatCode>#,##0</c:formatCode>
                <c:ptCount val="17"/>
                <c:pt idx="1">
                  <c:v>835893.41</c:v>
                </c:pt>
                <c:pt idx="2">
                  <c:v>2881979.8955377256</c:v>
                </c:pt>
                <c:pt idx="3">
                  <c:v>1530234.4104976088</c:v>
                </c:pt>
                <c:pt idx="4">
                  <c:v>175965</c:v>
                </c:pt>
                <c:pt idx="5">
                  <c:v>4262800</c:v>
                </c:pt>
                <c:pt idx="6">
                  <c:v>423428.47</c:v>
                </c:pt>
                <c:pt idx="7">
                  <c:v>54736</c:v>
                </c:pt>
                <c:pt idx="8">
                  <c:v>67490.25</c:v>
                </c:pt>
              </c:numCache>
            </c:numRef>
          </c:val>
          <c:extLst xmlns:c16r2="http://schemas.microsoft.com/office/drawing/2015/06/chart">
            <c:ext xmlns:c16="http://schemas.microsoft.com/office/drawing/2014/chart" uri="{C3380CC4-5D6E-409C-BE32-E72D297353CC}">
              <c16:uniqueId val="{00000001-B99F-4A81-AB13-4651C5ED6B27}"/>
            </c:ext>
          </c:extLst>
        </c:ser>
        <c:ser>
          <c:idx val="4"/>
          <c:order val="4"/>
          <c:tx>
            <c:strRef>
              <c:f>'5443'!$H$4</c:f>
              <c:strCache>
                <c:ptCount val="1"/>
                <c:pt idx="0">
                  <c:v>HU (EUR)</c:v>
                </c:pt>
              </c:strCache>
            </c:strRef>
          </c:tx>
          <c:spPr>
            <a:solidFill>
              <a:schemeClr val="accent3"/>
            </a:solidFill>
            <a:ln>
              <a:noFill/>
            </a:ln>
            <a:effectLst/>
          </c:spPr>
          <c:invertIfNegative val="0"/>
          <c:cat>
            <c:numRef>
              <c:f>'5443'!$C$5:$C$21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'5443'!$H$5:$H$21</c:f>
              <c:numCache>
                <c:formatCode>#,##0</c:formatCode>
                <c:ptCount val="17"/>
                <c:pt idx="1">
                  <c:v>575160.50367044832</c:v>
                </c:pt>
                <c:pt idx="2">
                  <c:v>1071047.31</c:v>
                </c:pt>
                <c:pt idx="3">
                  <c:v>2576871.54</c:v>
                </c:pt>
                <c:pt idx="4">
                  <c:v>402328.95999999996</c:v>
                </c:pt>
                <c:pt idx="5">
                  <c:v>167854.65999999997</c:v>
                </c:pt>
                <c:pt idx="6">
                  <c:v>395792.5</c:v>
                </c:pt>
                <c:pt idx="7">
                  <c:v>737749.6</c:v>
                </c:pt>
                <c:pt idx="8">
                  <c:v>254460.63</c:v>
                </c:pt>
                <c:pt idx="9">
                  <c:v>5993</c:v>
                </c:pt>
                <c:pt idx="11">
                  <c:v>3174</c:v>
                </c:pt>
              </c:numCache>
            </c:numRef>
          </c:val>
          <c:extLst xmlns:c16r2="http://schemas.microsoft.com/office/drawing/2015/06/chart">
            <c:ext xmlns:c16="http://schemas.microsoft.com/office/drawing/2014/chart" uri="{C3380CC4-5D6E-409C-BE32-E72D297353CC}">
              <c16:uniqueId val="{00000002-B99F-4A81-AB13-4651C5ED6B27}"/>
            </c:ext>
          </c:extLst>
        </c:ser>
        <c:ser>
          <c:idx val="6"/>
          <c:order val="6"/>
          <c:tx>
            <c:strRef>
              <c:f>'5443'!$J$4</c:f>
              <c:strCache>
                <c:ptCount val="1"/>
                <c:pt idx="0">
                  <c:v>PL (EUR)</c:v>
                </c:pt>
              </c:strCache>
            </c:strRef>
          </c:tx>
          <c:spPr>
            <a:solidFill>
              <a:schemeClr val="accent4"/>
            </a:solidFill>
            <a:ln>
              <a:noFill/>
            </a:ln>
            <a:effectLst/>
          </c:spPr>
          <c:invertIfNegative val="0"/>
          <c:cat>
            <c:numRef>
              <c:f>'5443'!$C$5:$C$21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'5443'!$J$5:$J$21</c:f>
              <c:numCache>
                <c:formatCode>#,##0</c:formatCode>
                <c:ptCount val="17"/>
                <c:pt idx="1">
                  <c:v>37587</c:v>
                </c:pt>
                <c:pt idx="2">
                  <c:v>151492.05717081222</c:v>
                </c:pt>
                <c:pt idx="3">
                  <c:v>329627.51556996343</c:v>
                </c:pt>
                <c:pt idx="4">
                  <c:v>2478141.4912931742</c:v>
                </c:pt>
                <c:pt idx="5">
                  <c:v>1699579.4941258989</c:v>
                </c:pt>
                <c:pt idx="6">
                  <c:v>555385.87749263225</c:v>
                </c:pt>
                <c:pt idx="7">
                  <c:v>807171.80856065068</c:v>
                </c:pt>
                <c:pt idx="8">
                  <c:v>776392.3411859012</c:v>
                </c:pt>
                <c:pt idx="9">
                  <c:v>2392369.11</c:v>
                </c:pt>
                <c:pt idx="10">
                  <c:v>0</c:v>
                </c:pt>
                <c:pt idx="11">
                  <c:v>79533.899999999994</c:v>
                </c:pt>
              </c:numCache>
            </c:numRef>
          </c:val>
          <c:extLst xmlns:c16r2="http://schemas.microsoft.com/office/drawing/2015/06/chart">
            <c:ext xmlns:c16="http://schemas.microsoft.com/office/drawing/2014/chart" uri="{C3380CC4-5D6E-409C-BE32-E72D297353CC}">
              <c16:uniqueId val="{00000003-B99F-4A81-AB13-4651C5ED6B27}"/>
            </c:ext>
          </c:extLst>
        </c:ser>
        <c:ser>
          <c:idx val="8"/>
          <c:order val="8"/>
          <c:tx>
            <c:strRef>
              <c:f>'5443'!$L$4</c:f>
              <c:strCache>
                <c:ptCount val="1"/>
                <c:pt idx="0">
                  <c:v>RO (EUR)</c:v>
                </c:pt>
              </c:strCache>
            </c:strRef>
          </c:tx>
          <c:spPr>
            <a:solidFill>
              <a:schemeClr val="accent6"/>
            </a:solidFill>
            <a:ln>
              <a:noFill/>
            </a:ln>
            <a:effectLst/>
          </c:spPr>
          <c:invertIfNegative val="0"/>
          <c:cat>
            <c:numRef>
              <c:f>'5443'!$C$5:$C$21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'5443'!$L$5:$L$21</c:f>
              <c:numCache>
                <c:formatCode>#,##0</c:formatCode>
                <c:ptCount val="17"/>
                <c:pt idx="0">
                  <c:v>6122</c:v>
                </c:pt>
                <c:pt idx="1">
                  <c:v>134305</c:v>
                </c:pt>
                <c:pt idx="2">
                  <c:v>4729922</c:v>
                </c:pt>
                <c:pt idx="3">
                  <c:v>2083837.43</c:v>
                </c:pt>
                <c:pt idx="4">
                  <c:v>8782636.3100000005</c:v>
                </c:pt>
                <c:pt idx="5">
                  <c:v>13504415.789999999</c:v>
                </c:pt>
                <c:pt idx="6">
                  <c:v>19470397.620000005</c:v>
                </c:pt>
                <c:pt idx="7">
                  <c:v>34597693.340000004</c:v>
                </c:pt>
                <c:pt idx="8">
                  <c:v>32994573.749999993</c:v>
                </c:pt>
                <c:pt idx="9">
                  <c:v>23662952.359999999</c:v>
                </c:pt>
                <c:pt idx="10">
                  <c:v>41292459.870000005</c:v>
                </c:pt>
                <c:pt idx="11">
                  <c:v>50298332.489999995</c:v>
                </c:pt>
                <c:pt idx="12">
                  <c:v>8360890.7299999995</c:v>
                </c:pt>
                <c:pt idx="13">
                  <c:v>4906027.5</c:v>
                </c:pt>
                <c:pt idx="14">
                  <c:v>448176.56000000006</c:v>
                </c:pt>
                <c:pt idx="15">
                  <c:v>0</c:v>
                </c:pt>
                <c:pt idx="16">
                  <c:v>32271.649999999998</c:v>
                </c:pt>
              </c:numCache>
            </c:numRef>
          </c:val>
          <c:extLst xmlns:c16r2="http://schemas.microsoft.com/office/drawing/2015/06/chart">
            <c:ext xmlns:c16="http://schemas.microsoft.com/office/drawing/2014/chart" uri="{C3380CC4-5D6E-409C-BE32-E72D297353CC}">
              <c16:uniqueId val="{00000004-B99F-4A81-AB13-4651C5ED6B27}"/>
            </c:ext>
          </c:extLst>
        </c:ser>
        <c:ser>
          <c:idx val="10"/>
          <c:order val="10"/>
          <c:tx>
            <c:strRef>
              <c:f>'5443'!$N$4</c:f>
              <c:strCache>
                <c:ptCount val="1"/>
                <c:pt idx="0">
                  <c:v>SK (EUR)</c:v>
                </c:pt>
              </c:strCache>
            </c:strRef>
          </c:tx>
          <c:spPr>
            <a:solidFill>
              <a:schemeClr val="accent5"/>
            </a:solidFill>
            <a:ln>
              <a:noFill/>
            </a:ln>
            <a:effectLst/>
          </c:spPr>
          <c:invertIfNegative val="0"/>
          <c:cat>
            <c:numRef>
              <c:f>'5443'!$C$5:$C$21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'5443'!$N$5:$N$21</c:f>
              <c:numCache>
                <c:formatCode>#,##0</c:formatCode>
                <c:ptCount val="17"/>
                <c:pt idx="1">
                  <c:v>20680</c:v>
                </c:pt>
                <c:pt idx="2">
                  <c:v>117156.15</c:v>
                </c:pt>
                <c:pt idx="3">
                  <c:v>587198.15999999992</c:v>
                </c:pt>
                <c:pt idx="4">
                  <c:v>1256865.08</c:v>
                </c:pt>
                <c:pt idx="5">
                  <c:v>1824866.4300000002</c:v>
                </c:pt>
                <c:pt idx="6">
                  <c:v>756594.09</c:v>
                </c:pt>
                <c:pt idx="7">
                  <c:v>788509.79000000015</c:v>
                </c:pt>
                <c:pt idx="8">
                  <c:v>3726.65</c:v>
                </c:pt>
                <c:pt idx="9">
                  <c:v>0</c:v>
                </c:pt>
                <c:pt idx="12">
                  <c:v>0</c:v>
                </c:pt>
              </c:numCache>
            </c:numRef>
          </c:val>
          <c:extLst xmlns:c16r2="http://schemas.microsoft.com/office/drawing/2015/06/chart">
            <c:ext xmlns:c16="http://schemas.microsoft.com/office/drawing/2014/chart" uri="{C3380CC4-5D6E-409C-BE32-E72D297353CC}">
              <c16:uniqueId val="{00000005-B99F-4A81-AB13-4651C5ED6B27}"/>
            </c:ext>
          </c:extLst>
        </c:ser>
        <c:ser>
          <c:idx val="12"/>
          <c:order val="12"/>
          <c:tx>
            <c:strRef>
              <c:f>'5443'!$P$4</c:f>
              <c:strCache>
                <c:ptCount val="1"/>
                <c:pt idx="0">
                  <c:v>TR (EUR)</c:v>
                </c:pt>
              </c:strCache>
            </c:strRef>
          </c:tx>
          <c:spPr>
            <a:solidFill>
              <a:srgbClr val="C00000"/>
            </a:solidFill>
            <a:ln>
              <a:noFill/>
            </a:ln>
            <a:effectLst/>
          </c:spPr>
          <c:invertIfNegative val="0"/>
          <c:cat>
            <c:numRef>
              <c:f>'5443'!$C$5:$C$21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'5443'!$P$5:$P$21</c:f>
              <c:numCache>
                <c:formatCode>General</c:formatCode>
                <c:ptCount val="17"/>
                <c:pt idx="4" formatCode="#,##0">
                  <c:v>33205</c:v>
                </c:pt>
                <c:pt idx="5" formatCode="#,##0">
                  <c:v>226254.87</c:v>
                </c:pt>
                <c:pt idx="6" formatCode="#,##0">
                  <c:v>487828.18</c:v>
                </c:pt>
                <c:pt idx="7" formatCode="#,##0">
                  <c:v>2278616.87</c:v>
                </c:pt>
                <c:pt idx="8" formatCode="#,##0">
                  <c:v>849688.95</c:v>
                </c:pt>
                <c:pt idx="9" formatCode="#,##0">
                  <c:v>1578189.1300000001</c:v>
                </c:pt>
                <c:pt idx="15" formatCode="#,##0">
                  <c:v>121748.6</c:v>
                </c:pt>
                <c:pt idx="16" formatCode="#,##0">
                  <c:v>546060</c:v>
                </c:pt>
              </c:numCache>
            </c:numRef>
          </c:val>
          <c:extLst xmlns:c16r2="http://schemas.microsoft.com/office/drawing/2015/06/chart">
            <c:ext xmlns:c16="http://schemas.microsoft.com/office/drawing/2014/chart" uri="{C3380CC4-5D6E-409C-BE32-E72D297353CC}">
              <c16:uniqueId val="{00000006-B99F-4A81-AB13-4651C5ED6B27}"/>
            </c:ext>
          </c:extLst>
        </c:ser>
        <c:dLbls>
          <c:showLegendKey val="0"/>
          <c:showVal val="0"/>
          <c:showCatName val="0"/>
          <c:showSerName val="0"/>
          <c:showPercent val="0"/>
          <c:showBubbleSize val="0"/>
        </c:dLbls>
        <c:gapWidth val="219"/>
        <c:axId val="109843200"/>
        <c:axId val="109844736"/>
      </c:barChart>
      <c:lineChart>
        <c:grouping val="standard"/>
        <c:varyColors val="0"/>
        <c:ser>
          <c:idx val="1"/>
          <c:order val="1"/>
          <c:tx>
            <c:strRef>
              <c:f>'5443'!$E$4</c:f>
              <c:strCache>
                <c:ptCount val="1"/>
                <c:pt idx="0">
                  <c:v>BG (#)</c:v>
                </c:pt>
              </c:strCache>
            </c:strRef>
          </c:tx>
          <c:spPr>
            <a:ln w="28575" cap="rnd">
              <a:solidFill>
                <a:schemeClr val="accent1"/>
              </a:solidFill>
              <a:round/>
            </a:ln>
            <a:effectLst/>
          </c:spPr>
          <c:marker>
            <c:symbol val="none"/>
          </c:marker>
          <c:cat>
            <c:numRef>
              <c:f>'5443'!$C$5:$C$21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'5443'!$E$5:$E$21</c:f>
              <c:numCache>
                <c:formatCode>General</c:formatCode>
                <c:ptCount val="17"/>
                <c:pt idx="2" formatCode="#,##0">
                  <c:v>4</c:v>
                </c:pt>
                <c:pt idx="3" formatCode="#,##0">
                  <c:v>26</c:v>
                </c:pt>
                <c:pt idx="4" formatCode="#,##0">
                  <c:v>27</c:v>
                </c:pt>
                <c:pt idx="5" formatCode="#,##0">
                  <c:v>70</c:v>
                </c:pt>
                <c:pt idx="6" formatCode="#,##0">
                  <c:v>133</c:v>
                </c:pt>
                <c:pt idx="7" formatCode="#,##0">
                  <c:v>185</c:v>
                </c:pt>
                <c:pt idx="8" formatCode="#,##0">
                  <c:v>98</c:v>
                </c:pt>
                <c:pt idx="9" formatCode="#,##0">
                  <c:v>40</c:v>
                </c:pt>
                <c:pt idx="10" formatCode="#,##0">
                  <c:v>20</c:v>
                </c:pt>
                <c:pt idx="11" formatCode="#,##0">
                  <c:v>20</c:v>
                </c:pt>
                <c:pt idx="12" formatCode="#,##0">
                  <c:v>26</c:v>
                </c:pt>
                <c:pt idx="13" formatCode="#,##0">
                  <c:v>2</c:v>
                </c:pt>
                <c:pt idx="14" formatCode="#,##0">
                  <c:v>3</c:v>
                </c:pt>
              </c:numCache>
            </c:numRef>
          </c:val>
          <c:smooth val="0"/>
          <c:extLst xmlns:c16r2="http://schemas.microsoft.com/office/drawing/2015/06/chart">
            <c:ext xmlns:c16="http://schemas.microsoft.com/office/drawing/2014/chart" uri="{C3380CC4-5D6E-409C-BE32-E72D297353CC}">
              <c16:uniqueId val="{00000007-B99F-4A81-AB13-4651C5ED6B27}"/>
            </c:ext>
          </c:extLst>
        </c:ser>
        <c:ser>
          <c:idx val="3"/>
          <c:order val="3"/>
          <c:tx>
            <c:strRef>
              <c:f>'5443'!$G$4</c:f>
              <c:strCache>
                <c:ptCount val="1"/>
                <c:pt idx="0">
                  <c:v>CZ (#)</c:v>
                </c:pt>
              </c:strCache>
            </c:strRef>
          </c:tx>
          <c:spPr>
            <a:ln w="28575" cap="rnd">
              <a:solidFill>
                <a:schemeClr val="accent2"/>
              </a:solidFill>
              <a:round/>
            </a:ln>
            <a:effectLst/>
          </c:spPr>
          <c:marker>
            <c:symbol val="none"/>
          </c:marker>
          <c:cat>
            <c:numRef>
              <c:f>'5443'!$C$5:$C$21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'5443'!$G$5:$G$21</c:f>
              <c:numCache>
                <c:formatCode>#,##0</c:formatCode>
                <c:ptCount val="17"/>
                <c:pt idx="1">
                  <c:v>2</c:v>
                </c:pt>
                <c:pt idx="2">
                  <c:v>10</c:v>
                </c:pt>
                <c:pt idx="3">
                  <c:v>9</c:v>
                </c:pt>
                <c:pt idx="4">
                  <c:v>4</c:v>
                </c:pt>
                <c:pt idx="5">
                  <c:v>7</c:v>
                </c:pt>
                <c:pt idx="6">
                  <c:v>16</c:v>
                </c:pt>
                <c:pt idx="7">
                  <c:v>2</c:v>
                </c:pt>
                <c:pt idx="8">
                  <c:v>1</c:v>
                </c:pt>
              </c:numCache>
            </c:numRef>
          </c:val>
          <c:smooth val="0"/>
          <c:extLst xmlns:c16r2="http://schemas.microsoft.com/office/drawing/2015/06/chart">
            <c:ext xmlns:c16="http://schemas.microsoft.com/office/drawing/2014/chart" uri="{C3380CC4-5D6E-409C-BE32-E72D297353CC}">
              <c16:uniqueId val="{00000008-B99F-4A81-AB13-4651C5ED6B27}"/>
            </c:ext>
          </c:extLst>
        </c:ser>
        <c:ser>
          <c:idx val="5"/>
          <c:order val="5"/>
          <c:tx>
            <c:strRef>
              <c:f>'5443'!$I$4</c:f>
              <c:strCache>
                <c:ptCount val="1"/>
                <c:pt idx="0">
                  <c:v>HU (#)</c:v>
                </c:pt>
              </c:strCache>
            </c:strRef>
          </c:tx>
          <c:spPr>
            <a:ln w="28575" cap="rnd">
              <a:solidFill>
                <a:schemeClr val="accent3"/>
              </a:solidFill>
              <a:round/>
            </a:ln>
            <a:effectLst/>
          </c:spPr>
          <c:marker>
            <c:symbol val="none"/>
          </c:marker>
          <c:cat>
            <c:numRef>
              <c:f>'5443'!$C$5:$C$21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'5443'!$I$5:$I$21</c:f>
              <c:numCache>
                <c:formatCode>#,##0</c:formatCode>
                <c:ptCount val="17"/>
                <c:pt idx="1">
                  <c:v>5</c:v>
                </c:pt>
                <c:pt idx="2">
                  <c:v>18</c:v>
                </c:pt>
                <c:pt idx="3">
                  <c:v>46</c:v>
                </c:pt>
                <c:pt idx="4">
                  <c:v>13</c:v>
                </c:pt>
                <c:pt idx="5">
                  <c:v>4</c:v>
                </c:pt>
                <c:pt idx="6">
                  <c:v>7</c:v>
                </c:pt>
                <c:pt idx="7">
                  <c:v>5</c:v>
                </c:pt>
                <c:pt idx="8">
                  <c:v>6</c:v>
                </c:pt>
                <c:pt idx="9">
                  <c:v>2</c:v>
                </c:pt>
                <c:pt idx="11">
                  <c:v>3</c:v>
                </c:pt>
              </c:numCache>
            </c:numRef>
          </c:val>
          <c:smooth val="0"/>
          <c:extLst xmlns:c16r2="http://schemas.microsoft.com/office/drawing/2015/06/chart">
            <c:ext xmlns:c16="http://schemas.microsoft.com/office/drawing/2014/chart" uri="{C3380CC4-5D6E-409C-BE32-E72D297353CC}">
              <c16:uniqueId val="{00000009-B99F-4A81-AB13-4651C5ED6B27}"/>
            </c:ext>
          </c:extLst>
        </c:ser>
        <c:ser>
          <c:idx val="7"/>
          <c:order val="7"/>
          <c:tx>
            <c:strRef>
              <c:f>'5443'!$K$4</c:f>
              <c:strCache>
                <c:ptCount val="1"/>
                <c:pt idx="0">
                  <c:v>PL (#)</c:v>
                </c:pt>
              </c:strCache>
            </c:strRef>
          </c:tx>
          <c:spPr>
            <a:ln w="28575" cap="rnd">
              <a:solidFill>
                <a:schemeClr val="accent4"/>
              </a:solidFill>
              <a:round/>
            </a:ln>
            <a:effectLst/>
          </c:spPr>
          <c:marker>
            <c:symbol val="none"/>
          </c:marker>
          <c:cat>
            <c:numRef>
              <c:f>'5443'!$C$5:$C$21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'5443'!$K$5:$K$21</c:f>
              <c:numCache>
                <c:formatCode>#,##0</c:formatCode>
                <c:ptCount val="17"/>
                <c:pt idx="1">
                  <c:v>11</c:v>
                </c:pt>
                <c:pt idx="2">
                  <c:v>26</c:v>
                </c:pt>
                <c:pt idx="3">
                  <c:v>29</c:v>
                </c:pt>
                <c:pt idx="4">
                  <c:v>111</c:v>
                </c:pt>
                <c:pt idx="5">
                  <c:v>41</c:v>
                </c:pt>
                <c:pt idx="6">
                  <c:v>43</c:v>
                </c:pt>
                <c:pt idx="7">
                  <c:v>46</c:v>
                </c:pt>
                <c:pt idx="8">
                  <c:v>38</c:v>
                </c:pt>
                <c:pt idx="9">
                  <c:v>30</c:v>
                </c:pt>
                <c:pt idx="10">
                  <c:v>2</c:v>
                </c:pt>
                <c:pt idx="11">
                  <c:v>1</c:v>
                </c:pt>
              </c:numCache>
            </c:numRef>
          </c:val>
          <c:smooth val="0"/>
          <c:extLst xmlns:c16r2="http://schemas.microsoft.com/office/drawing/2015/06/chart">
            <c:ext xmlns:c16="http://schemas.microsoft.com/office/drawing/2014/chart" uri="{C3380CC4-5D6E-409C-BE32-E72D297353CC}">
              <c16:uniqueId val="{0000000A-B99F-4A81-AB13-4651C5ED6B27}"/>
            </c:ext>
          </c:extLst>
        </c:ser>
        <c:ser>
          <c:idx val="9"/>
          <c:order val="9"/>
          <c:tx>
            <c:strRef>
              <c:f>'5443'!$M$4</c:f>
              <c:strCache>
                <c:ptCount val="1"/>
                <c:pt idx="0">
                  <c:v>RO (#)</c:v>
                </c:pt>
              </c:strCache>
            </c:strRef>
          </c:tx>
          <c:spPr>
            <a:ln w="28575" cap="rnd">
              <a:solidFill>
                <a:schemeClr val="accent6"/>
              </a:solidFill>
              <a:round/>
            </a:ln>
            <a:effectLst/>
          </c:spPr>
          <c:marker>
            <c:symbol val="none"/>
          </c:marker>
          <c:cat>
            <c:numRef>
              <c:f>'5443'!$C$5:$C$21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'5443'!$M$5:$M$21</c:f>
              <c:numCache>
                <c:formatCode>#,##0</c:formatCode>
                <c:ptCount val="17"/>
                <c:pt idx="0">
                  <c:v>6</c:v>
                </c:pt>
                <c:pt idx="1">
                  <c:v>14</c:v>
                </c:pt>
                <c:pt idx="2">
                  <c:v>78</c:v>
                </c:pt>
                <c:pt idx="3">
                  <c:v>144</c:v>
                </c:pt>
                <c:pt idx="4">
                  <c:v>145</c:v>
                </c:pt>
                <c:pt idx="5">
                  <c:v>152</c:v>
                </c:pt>
                <c:pt idx="6">
                  <c:v>229</c:v>
                </c:pt>
                <c:pt idx="7">
                  <c:v>181</c:v>
                </c:pt>
                <c:pt idx="8">
                  <c:v>185</c:v>
                </c:pt>
                <c:pt idx="9">
                  <c:v>139</c:v>
                </c:pt>
                <c:pt idx="10">
                  <c:v>177</c:v>
                </c:pt>
                <c:pt idx="11">
                  <c:v>153</c:v>
                </c:pt>
                <c:pt idx="12">
                  <c:v>43</c:v>
                </c:pt>
                <c:pt idx="13">
                  <c:v>13</c:v>
                </c:pt>
                <c:pt idx="14">
                  <c:v>4</c:v>
                </c:pt>
                <c:pt idx="15">
                  <c:v>1</c:v>
                </c:pt>
                <c:pt idx="16">
                  <c:v>2</c:v>
                </c:pt>
              </c:numCache>
            </c:numRef>
          </c:val>
          <c:smooth val="0"/>
          <c:extLst xmlns:c16r2="http://schemas.microsoft.com/office/drawing/2015/06/chart">
            <c:ext xmlns:c16="http://schemas.microsoft.com/office/drawing/2014/chart" uri="{C3380CC4-5D6E-409C-BE32-E72D297353CC}">
              <c16:uniqueId val="{0000000B-B99F-4A81-AB13-4651C5ED6B27}"/>
            </c:ext>
          </c:extLst>
        </c:ser>
        <c:ser>
          <c:idx val="11"/>
          <c:order val="11"/>
          <c:tx>
            <c:strRef>
              <c:f>'5443'!$O$4</c:f>
              <c:strCache>
                <c:ptCount val="1"/>
                <c:pt idx="0">
                  <c:v>SK (#)</c:v>
                </c:pt>
              </c:strCache>
            </c:strRef>
          </c:tx>
          <c:spPr>
            <a:ln w="28575" cap="rnd">
              <a:solidFill>
                <a:schemeClr val="accent5"/>
              </a:solidFill>
              <a:round/>
            </a:ln>
            <a:effectLst/>
          </c:spPr>
          <c:marker>
            <c:symbol val="none"/>
          </c:marker>
          <c:cat>
            <c:numRef>
              <c:f>'5443'!$C$5:$C$21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'5443'!$O$5:$O$21</c:f>
              <c:numCache>
                <c:formatCode>#,##0</c:formatCode>
                <c:ptCount val="17"/>
                <c:pt idx="1">
                  <c:v>1</c:v>
                </c:pt>
                <c:pt idx="2">
                  <c:v>15</c:v>
                </c:pt>
                <c:pt idx="3">
                  <c:v>14</c:v>
                </c:pt>
                <c:pt idx="4">
                  <c:v>12</c:v>
                </c:pt>
                <c:pt idx="5">
                  <c:v>13</c:v>
                </c:pt>
                <c:pt idx="6">
                  <c:v>9</c:v>
                </c:pt>
                <c:pt idx="7">
                  <c:v>9</c:v>
                </c:pt>
                <c:pt idx="8">
                  <c:v>2</c:v>
                </c:pt>
                <c:pt idx="9">
                  <c:v>1</c:v>
                </c:pt>
                <c:pt idx="12">
                  <c:v>1</c:v>
                </c:pt>
              </c:numCache>
            </c:numRef>
          </c:val>
          <c:smooth val="0"/>
          <c:extLst xmlns:c16r2="http://schemas.microsoft.com/office/drawing/2015/06/chart">
            <c:ext xmlns:c16="http://schemas.microsoft.com/office/drawing/2014/chart" uri="{C3380CC4-5D6E-409C-BE32-E72D297353CC}">
              <c16:uniqueId val="{0000000C-B99F-4A81-AB13-4651C5ED6B27}"/>
            </c:ext>
          </c:extLst>
        </c:ser>
        <c:ser>
          <c:idx val="13"/>
          <c:order val="13"/>
          <c:tx>
            <c:strRef>
              <c:f>'5443'!$Q$4</c:f>
              <c:strCache>
                <c:ptCount val="1"/>
                <c:pt idx="0">
                  <c:v>TR (#)</c:v>
                </c:pt>
              </c:strCache>
            </c:strRef>
          </c:tx>
          <c:spPr>
            <a:ln w="28575" cap="rnd">
              <a:solidFill>
                <a:srgbClr val="C00000"/>
              </a:solidFill>
              <a:round/>
            </a:ln>
            <a:effectLst/>
          </c:spPr>
          <c:marker>
            <c:symbol val="none"/>
          </c:marker>
          <c:cat>
            <c:numRef>
              <c:f>'5443'!$C$5:$C$21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'5443'!$Q$5:$Q$21</c:f>
              <c:numCache>
                <c:formatCode>General</c:formatCode>
                <c:ptCount val="17"/>
                <c:pt idx="4" formatCode="#,##0">
                  <c:v>1</c:v>
                </c:pt>
                <c:pt idx="5" formatCode="#,##0">
                  <c:v>6</c:v>
                </c:pt>
                <c:pt idx="6" formatCode="#,##0">
                  <c:v>19</c:v>
                </c:pt>
                <c:pt idx="7" formatCode="#,##0">
                  <c:v>31</c:v>
                </c:pt>
                <c:pt idx="8" formatCode="#,##0">
                  <c:v>14</c:v>
                </c:pt>
                <c:pt idx="9" formatCode="#,##0">
                  <c:v>18</c:v>
                </c:pt>
                <c:pt idx="15" formatCode="#,##0">
                  <c:v>4</c:v>
                </c:pt>
                <c:pt idx="16" formatCode="#,##0">
                  <c:v>2</c:v>
                </c:pt>
              </c:numCache>
            </c:numRef>
          </c:val>
          <c:smooth val="0"/>
          <c:extLst xmlns:c16r2="http://schemas.microsoft.com/office/drawing/2015/06/chart">
            <c:ext xmlns:c16="http://schemas.microsoft.com/office/drawing/2014/chart" uri="{C3380CC4-5D6E-409C-BE32-E72D297353CC}">
              <c16:uniqueId val="{0000000D-B99F-4A81-AB13-4651C5ED6B27}"/>
            </c:ext>
          </c:extLst>
        </c:ser>
        <c:dLbls>
          <c:showLegendKey val="0"/>
          <c:showVal val="0"/>
          <c:showCatName val="0"/>
          <c:showSerName val="0"/>
          <c:showPercent val="0"/>
          <c:showBubbleSize val="0"/>
        </c:dLbls>
        <c:marker val="1"/>
        <c:smooth val="0"/>
        <c:axId val="109848832"/>
        <c:axId val="109846912"/>
      </c:lineChart>
      <c:catAx>
        <c:axId val="10984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4736"/>
        <c:crosses val="autoZero"/>
        <c:auto val="1"/>
        <c:lblAlgn val="ctr"/>
        <c:lblOffset val="100"/>
        <c:tickLblSkip val="2"/>
        <c:noMultiLvlLbl val="0"/>
      </c:catAx>
      <c:valAx>
        <c:axId val="10984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rPr>
                  <a:t>Irregularity Amount (EUR)</a:t>
                </a:r>
                <a:endParaRPr lang="en-GB" sz="10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3200"/>
        <c:crosses val="autoZero"/>
        <c:crossBetween val="between"/>
      </c:valAx>
      <c:valAx>
        <c:axId val="1098469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rPr>
                  <a:t>No. of Reported Irregularities</a:t>
                </a:r>
                <a:endParaRPr lang="en-GB" sz="1000">
                  <a:effectLst/>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8832"/>
        <c:crosses val="max"/>
        <c:crossBetween val="between"/>
      </c:valAx>
      <c:catAx>
        <c:axId val="109848832"/>
        <c:scaling>
          <c:orientation val="minMax"/>
        </c:scaling>
        <c:delete val="1"/>
        <c:axPos val="b"/>
        <c:numFmt formatCode="General" sourceLinked="1"/>
        <c:majorTickMark val="out"/>
        <c:minorTickMark val="none"/>
        <c:tickLblPos val="nextTo"/>
        <c:crossAx val="1098469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'5443'!$D$27</c:f>
              <c:strCache>
                <c:ptCount val="1"/>
                <c:pt idx="0">
                  <c:v>CY (EUR)</c:v>
                </c:pt>
              </c:strCache>
            </c:strRef>
          </c:tx>
          <c:spPr>
            <a:solidFill>
              <a:schemeClr val="accent1"/>
            </a:solidFill>
            <a:ln>
              <a:noFill/>
            </a:ln>
            <a:effectLst/>
          </c:spPr>
          <c:invertIfNegative val="0"/>
          <c:cat>
            <c:numRef>
              <c:f>'5443'!$C$28:$C$44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'5443'!$D$28:$D$44</c:f>
              <c:numCache>
                <c:formatCode>#,##0</c:formatCode>
                <c:ptCount val="17"/>
                <c:pt idx="1">
                  <c:v>0</c:v>
                </c:pt>
                <c:pt idx="3">
                  <c:v>23807</c:v>
                </c:pt>
                <c:pt idx="4">
                  <c:v>0</c:v>
                </c:pt>
              </c:numCache>
            </c:numRef>
          </c:val>
          <c:extLst xmlns:c16r2="http://schemas.microsoft.com/office/drawing/2015/06/chart">
            <c:ext xmlns:c16="http://schemas.microsoft.com/office/drawing/2014/chart" uri="{C3380CC4-5D6E-409C-BE32-E72D297353CC}">
              <c16:uniqueId val="{00000000-A196-45EF-8139-B0467664547D}"/>
            </c:ext>
          </c:extLst>
        </c:ser>
        <c:ser>
          <c:idx val="2"/>
          <c:order val="2"/>
          <c:tx>
            <c:strRef>
              <c:f>'5443'!$F$27</c:f>
              <c:strCache>
                <c:ptCount val="1"/>
                <c:pt idx="0">
                  <c:v>EE (EUR)</c:v>
                </c:pt>
              </c:strCache>
            </c:strRef>
          </c:tx>
          <c:spPr>
            <a:solidFill>
              <a:schemeClr val="accent2"/>
            </a:solidFill>
            <a:ln>
              <a:noFill/>
            </a:ln>
            <a:effectLst/>
          </c:spPr>
          <c:invertIfNegative val="0"/>
          <c:cat>
            <c:numRef>
              <c:f>'5443'!$C$28:$C$44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'5443'!$F$28:$F$44</c:f>
              <c:numCache>
                <c:formatCode>#,##0</c:formatCode>
                <c:ptCount val="17"/>
                <c:pt idx="1">
                  <c:v>2206777</c:v>
                </c:pt>
                <c:pt idx="2">
                  <c:v>762479</c:v>
                </c:pt>
                <c:pt idx="3">
                  <c:v>881036</c:v>
                </c:pt>
                <c:pt idx="4">
                  <c:v>30163</c:v>
                </c:pt>
                <c:pt idx="5">
                  <c:v>111841</c:v>
                </c:pt>
                <c:pt idx="6">
                  <c:v>292599</c:v>
                </c:pt>
                <c:pt idx="7">
                  <c:v>49653</c:v>
                </c:pt>
                <c:pt idx="9">
                  <c:v>37272.22</c:v>
                </c:pt>
              </c:numCache>
            </c:numRef>
          </c:val>
          <c:extLst xmlns:c16r2="http://schemas.microsoft.com/office/drawing/2015/06/chart">
            <c:ext xmlns:c16="http://schemas.microsoft.com/office/drawing/2014/chart" uri="{C3380CC4-5D6E-409C-BE32-E72D297353CC}">
              <c16:uniqueId val="{00000001-A196-45EF-8139-B0467664547D}"/>
            </c:ext>
          </c:extLst>
        </c:ser>
        <c:ser>
          <c:idx val="4"/>
          <c:order val="4"/>
          <c:tx>
            <c:strRef>
              <c:f>'5443'!$H$27</c:f>
              <c:strCache>
                <c:ptCount val="1"/>
                <c:pt idx="0">
                  <c:v>HR (EUR)</c:v>
                </c:pt>
              </c:strCache>
            </c:strRef>
          </c:tx>
          <c:spPr>
            <a:solidFill>
              <a:schemeClr val="accent3"/>
            </a:solidFill>
            <a:ln>
              <a:noFill/>
            </a:ln>
            <a:effectLst/>
          </c:spPr>
          <c:invertIfNegative val="0"/>
          <c:cat>
            <c:numRef>
              <c:f>'5443'!$C$28:$C$44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'5443'!$H$28:$H$44</c:f>
              <c:numCache>
                <c:formatCode>General</c:formatCode>
                <c:ptCount val="17"/>
                <c:pt idx="5" formatCode="#,##0">
                  <c:v>0</c:v>
                </c:pt>
                <c:pt idx="6" formatCode="#,##0">
                  <c:v>3371059</c:v>
                </c:pt>
                <c:pt idx="7" formatCode="#,##0">
                  <c:v>926624.81334769155</c:v>
                </c:pt>
                <c:pt idx="8" formatCode="#,##0">
                  <c:v>3797897</c:v>
                </c:pt>
                <c:pt idx="9" formatCode="#,##0">
                  <c:v>81292</c:v>
                </c:pt>
                <c:pt idx="10" formatCode="#,##0">
                  <c:v>757032.51</c:v>
                </c:pt>
              </c:numCache>
            </c:numRef>
          </c:val>
          <c:extLst xmlns:c16r2="http://schemas.microsoft.com/office/drawing/2015/06/chart">
            <c:ext xmlns:c16="http://schemas.microsoft.com/office/drawing/2014/chart" uri="{C3380CC4-5D6E-409C-BE32-E72D297353CC}">
              <c16:uniqueId val="{00000002-A196-45EF-8139-B0467664547D}"/>
            </c:ext>
          </c:extLst>
        </c:ser>
        <c:ser>
          <c:idx val="6"/>
          <c:order val="6"/>
          <c:tx>
            <c:strRef>
              <c:f>'5443'!$J$27</c:f>
              <c:strCache>
                <c:ptCount val="1"/>
                <c:pt idx="0">
                  <c:v>LT (EUR)</c:v>
                </c:pt>
              </c:strCache>
            </c:strRef>
          </c:tx>
          <c:spPr>
            <a:solidFill>
              <a:schemeClr val="accent4"/>
            </a:solidFill>
            <a:ln>
              <a:noFill/>
            </a:ln>
            <a:effectLst/>
          </c:spPr>
          <c:invertIfNegative val="0"/>
          <c:cat>
            <c:numRef>
              <c:f>'5443'!$C$28:$C$44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'5443'!$J$28:$J$44</c:f>
              <c:numCache>
                <c:formatCode>#,##0</c:formatCode>
                <c:ptCount val="17"/>
                <c:pt idx="1">
                  <c:v>1339441.5282483781</c:v>
                </c:pt>
                <c:pt idx="2">
                  <c:v>1035520.5299999999</c:v>
                </c:pt>
                <c:pt idx="3">
                  <c:v>269609.1350695088</c:v>
                </c:pt>
                <c:pt idx="4">
                  <c:v>26115</c:v>
                </c:pt>
                <c:pt idx="6">
                  <c:v>2543681.9899999998</c:v>
                </c:pt>
                <c:pt idx="7">
                  <c:v>1053556.8400000001</c:v>
                </c:pt>
                <c:pt idx="9">
                  <c:v>5549</c:v>
                </c:pt>
                <c:pt idx="10">
                  <c:v>153370.48000000001</c:v>
                </c:pt>
              </c:numCache>
            </c:numRef>
          </c:val>
          <c:extLst xmlns:c16r2="http://schemas.microsoft.com/office/drawing/2015/06/chart">
            <c:ext xmlns:c16="http://schemas.microsoft.com/office/drawing/2014/chart" uri="{C3380CC4-5D6E-409C-BE32-E72D297353CC}">
              <c16:uniqueId val="{00000003-A196-45EF-8139-B0467664547D}"/>
            </c:ext>
          </c:extLst>
        </c:ser>
        <c:ser>
          <c:idx val="8"/>
          <c:order val="8"/>
          <c:tx>
            <c:strRef>
              <c:f>'5443'!$L$27</c:f>
              <c:strCache>
                <c:ptCount val="1"/>
                <c:pt idx="0">
                  <c:v>LV (EUR)</c:v>
                </c:pt>
              </c:strCache>
            </c:strRef>
          </c:tx>
          <c:spPr>
            <a:solidFill>
              <a:schemeClr val="accent5"/>
            </a:solidFill>
            <a:ln>
              <a:noFill/>
            </a:ln>
            <a:effectLst/>
          </c:spPr>
          <c:invertIfNegative val="0"/>
          <c:cat>
            <c:numRef>
              <c:f>'5443'!$C$28:$C$44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'5443'!$L$28:$L$44</c:f>
              <c:numCache>
                <c:formatCode>General</c:formatCode>
                <c:ptCount val="17"/>
                <c:pt idx="2" formatCode="#,##0">
                  <c:v>34531.93</c:v>
                </c:pt>
                <c:pt idx="3" formatCode="#,##0">
                  <c:v>71530.350000000006</c:v>
                </c:pt>
                <c:pt idx="4" formatCode="#,##0">
                  <c:v>212428.47237187042</c:v>
                </c:pt>
                <c:pt idx="5" formatCode="#,##0">
                  <c:v>1227</c:v>
                </c:pt>
                <c:pt idx="6" formatCode="#,##0">
                  <c:v>664373.25</c:v>
                </c:pt>
                <c:pt idx="7" formatCode="#,##0">
                  <c:v>141661.02000000002</c:v>
                </c:pt>
                <c:pt idx="8" formatCode="#,##0">
                  <c:v>1576010.8</c:v>
                </c:pt>
              </c:numCache>
            </c:numRef>
          </c:val>
          <c:extLst xmlns:c16r2="http://schemas.microsoft.com/office/drawing/2015/06/chart">
            <c:ext xmlns:c16="http://schemas.microsoft.com/office/drawing/2014/chart" uri="{C3380CC4-5D6E-409C-BE32-E72D297353CC}">
              <c16:uniqueId val="{00000004-A196-45EF-8139-B0467664547D}"/>
            </c:ext>
          </c:extLst>
        </c:ser>
        <c:ser>
          <c:idx val="10"/>
          <c:order val="10"/>
          <c:tx>
            <c:strRef>
              <c:f>'5443'!$N$27</c:f>
              <c:strCache>
                <c:ptCount val="1"/>
                <c:pt idx="0">
                  <c:v>MT (EUR)</c:v>
                </c:pt>
              </c:strCache>
            </c:strRef>
          </c:tx>
          <c:spPr>
            <a:solidFill>
              <a:schemeClr val="accent6"/>
            </a:solidFill>
            <a:ln>
              <a:noFill/>
            </a:ln>
            <a:effectLst/>
          </c:spPr>
          <c:invertIfNegative val="0"/>
          <c:cat>
            <c:numRef>
              <c:f>'5443'!$C$28:$C$44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'5443'!$N$28:$N$44</c:f>
              <c:numCache>
                <c:formatCode>General</c:formatCode>
                <c:ptCount val="17"/>
                <c:pt idx="4" formatCode="#,##0">
                  <c:v>8600</c:v>
                </c:pt>
                <c:pt idx="5" formatCode="#,##0">
                  <c:v>91288</c:v>
                </c:pt>
                <c:pt idx="6" formatCode="#,##0">
                  <c:v>12732</c:v>
                </c:pt>
              </c:numCache>
            </c:numRef>
          </c:val>
          <c:extLst xmlns:c16r2="http://schemas.microsoft.com/office/drawing/2015/06/chart">
            <c:ext xmlns:c16="http://schemas.microsoft.com/office/drawing/2014/chart" uri="{C3380CC4-5D6E-409C-BE32-E72D297353CC}">
              <c16:uniqueId val="{00000005-A196-45EF-8139-B0467664547D}"/>
            </c:ext>
          </c:extLst>
        </c:ser>
        <c:ser>
          <c:idx val="12"/>
          <c:order val="12"/>
          <c:tx>
            <c:strRef>
              <c:f>'5443'!$P$27</c:f>
              <c:strCache>
                <c:ptCount val="1"/>
                <c:pt idx="0">
                  <c:v>SI (EUR)</c:v>
                </c:pt>
              </c:strCache>
            </c:strRef>
          </c:tx>
          <c:spPr>
            <a:solidFill>
              <a:srgbClr val="C00000"/>
            </a:solidFill>
            <a:ln>
              <a:noFill/>
            </a:ln>
            <a:effectLst/>
          </c:spPr>
          <c:invertIfNegative val="0"/>
          <c:cat>
            <c:numRef>
              <c:f>'5443'!$C$28:$C$44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'5443'!$P$28:$P$44</c:f>
              <c:numCache>
                <c:formatCode>#,##0</c:formatCode>
                <c:ptCount val="17"/>
                <c:pt idx="1">
                  <c:v>1029524.3530295442</c:v>
                </c:pt>
                <c:pt idx="2">
                  <c:v>256888.98597896847</c:v>
                </c:pt>
                <c:pt idx="3">
                  <c:v>209677.42647304293</c:v>
                </c:pt>
                <c:pt idx="4">
                  <c:v>0</c:v>
                </c:pt>
                <c:pt idx="5">
                  <c:v>16033.81</c:v>
                </c:pt>
                <c:pt idx="6">
                  <c:v>60000</c:v>
                </c:pt>
                <c:pt idx="7">
                  <c:v>13473</c:v>
                </c:pt>
                <c:pt idx="8">
                  <c:v>10630.7</c:v>
                </c:pt>
              </c:numCache>
            </c:numRef>
          </c:val>
          <c:extLst xmlns:c16r2="http://schemas.microsoft.com/office/drawing/2015/06/chart">
            <c:ext xmlns:c16="http://schemas.microsoft.com/office/drawing/2014/chart" uri="{C3380CC4-5D6E-409C-BE32-E72D297353CC}">
              <c16:uniqueId val="{00000006-A196-45EF-8139-B0467664547D}"/>
            </c:ext>
          </c:extLst>
        </c:ser>
        <c:dLbls>
          <c:showLegendKey val="0"/>
          <c:showVal val="0"/>
          <c:showCatName val="0"/>
          <c:showSerName val="0"/>
          <c:showPercent val="0"/>
          <c:showBubbleSize val="0"/>
        </c:dLbls>
        <c:gapWidth val="219"/>
        <c:axId val="110693376"/>
        <c:axId val="110711552"/>
      </c:barChart>
      <c:lineChart>
        <c:grouping val="standard"/>
        <c:varyColors val="0"/>
        <c:ser>
          <c:idx val="1"/>
          <c:order val="1"/>
          <c:tx>
            <c:strRef>
              <c:f>'5443'!$E$27</c:f>
              <c:strCache>
                <c:ptCount val="1"/>
                <c:pt idx="0">
                  <c:v>CY (#)</c:v>
                </c:pt>
              </c:strCache>
            </c:strRef>
          </c:tx>
          <c:spPr>
            <a:ln w="28575" cap="rnd">
              <a:solidFill>
                <a:schemeClr val="accent1"/>
              </a:solidFill>
              <a:round/>
            </a:ln>
            <a:effectLst/>
          </c:spPr>
          <c:marker>
            <c:symbol val="none"/>
          </c:marker>
          <c:cat>
            <c:numRef>
              <c:f>'5443'!$C$28:$C$44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'5443'!$E$28:$E$44</c:f>
              <c:numCache>
                <c:formatCode>#,##0</c:formatCode>
                <c:ptCount val="17"/>
                <c:pt idx="1">
                  <c:v>2</c:v>
                </c:pt>
                <c:pt idx="3">
                  <c:v>2</c:v>
                </c:pt>
                <c:pt idx="4">
                  <c:v>1</c:v>
                </c:pt>
              </c:numCache>
            </c:numRef>
          </c:val>
          <c:smooth val="0"/>
          <c:extLst xmlns:c16r2="http://schemas.microsoft.com/office/drawing/2015/06/chart">
            <c:ext xmlns:c16="http://schemas.microsoft.com/office/drawing/2014/chart" uri="{C3380CC4-5D6E-409C-BE32-E72D297353CC}">
              <c16:uniqueId val="{00000007-A196-45EF-8139-B0467664547D}"/>
            </c:ext>
          </c:extLst>
        </c:ser>
        <c:ser>
          <c:idx val="3"/>
          <c:order val="3"/>
          <c:tx>
            <c:strRef>
              <c:f>'5443'!$G$27</c:f>
              <c:strCache>
                <c:ptCount val="1"/>
                <c:pt idx="0">
                  <c:v>EE (#)</c:v>
                </c:pt>
              </c:strCache>
            </c:strRef>
          </c:tx>
          <c:spPr>
            <a:ln w="28575" cap="rnd">
              <a:solidFill>
                <a:schemeClr val="accent2"/>
              </a:solidFill>
              <a:round/>
            </a:ln>
            <a:effectLst/>
          </c:spPr>
          <c:marker>
            <c:symbol val="none"/>
          </c:marker>
          <c:cat>
            <c:numRef>
              <c:f>'5443'!$C$28:$C$44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'5443'!$G$28:$G$44</c:f>
              <c:numCache>
                <c:formatCode>#,##0</c:formatCode>
                <c:ptCount val="17"/>
                <c:pt idx="1">
                  <c:v>1</c:v>
                </c:pt>
                <c:pt idx="2">
                  <c:v>11</c:v>
                </c:pt>
                <c:pt idx="3">
                  <c:v>10</c:v>
                </c:pt>
                <c:pt idx="4">
                  <c:v>3</c:v>
                </c:pt>
                <c:pt idx="5">
                  <c:v>8</c:v>
                </c:pt>
                <c:pt idx="6">
                  <c:v>5</c:v>
                </c:pt>
                <c:pt idx="7">
                  <c:v>2</c:v>
                </c:pt>
                <c:pt idx="9">
                  <c:v>1</c:v>
                </c:pt>
              </c:numCache>
            </c:numRef>
          </c:val>
          <c:smooth val="0"/>
          <c:extLst xmlns:c16r2="http://schemas.microsoft.com/office/drawing/2015/06/chart">
            <c:ext xmlns:c16="http://schemas.microsoft.com/office/drawing/2014/chart" uri="{C3380CC4-5D6E-409C-BE32-E72D297353CC}">
              <c16:uniqueId val="{00000008-A196-45EF-8139-B0467664547D}"/>
            </c:ext>
          </c:extLst>
        </c:ser>
        <c:ser>
          <c:idx val="5"/>
          <c:order val="5"/>
          <c:tx>
            <c:strRef>
              <c:f>'5443'!$I$27</c:f>
              <c:strCache>
                <c:ptCount val="1"/>
                <c:pt idx="0">
                  <c:v>HR (#)</c:v>
                </c:pt>
              </c:strCache>
            </c:strRef>
          </c:tx>
          <c:spPr>
            <a:ln w="28575" cap="rnd">
              <a:solidFill>
                <a:schemeClr val="accent3"/>
              </a:solidFill>
              <a:round/>
            </a:ln>
            <a:effectLst/>
          </c:spPr>
          <c:marker>
            <c:symbol val="none"/>
          </c:marker>
          <c:cat>
            <c:numRef>
              <c:f>'5443'!$C$28:$C$44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'5443'!$I$28:$I$44</c:f>
              <c:numCache>
                <c:formatCode>General</c:formatCode>
                <c:ptCount val="17"/>
                <c:pt idx="5" formatCode="#,##0">
                  <c:v>4</c:v>
                </c:pt>
                <c:pt idx="6" formatCode="#,##0">
                  <c:v>17</c:v>
                </c:pt>
                <c:pt idx="7" formatCode="#,##0">
                  <c:v>25</c:v>
                </c:pt>
                <c:pt idx="8" formatCode="#,##0">
                  <c:v>5</c:v>
                </c:pt>
                <c:pt idx="9" formatCode="#,##0">
                  <c:v>2</c:v>
                </c:pt>
                <c:pt idx="10" formatCode="#,##0">
                  <c:v>3</c:v>
                </c:pt>
              </c:numCache>
            </c:numRef>
          </c:val>
          <c:smooth val="0"/>
          <c:extLst xmlns:c16r2="http://schemas.microsoft.com/office/drawing/2015/06/chart">
            <c:ext xmlns:c16="http://schemas.microsoft.com/office/drawing/2014/chart" uri="{C3380CC4-5D6E-409C-BE32-E72D297353CC}">
              <c16:uniqueId val="{00000009-A196-45EF-8139-B0467664547D}"/>
            </c:ext>
          </c:extLst>
        </c:ser>
        <c:ser>
          <c:idx val="7"/>
          <c:order val="7"/>
          <c:tx>
            <c:strRef>
              <c:f>'5443'!$K$27</c:f>
              <c:strCache>
                <c:ptCount val="1"/>
                <c:pt idx="0">
                  <c:v>LT (#)</c:v>
                </c:pt>
              </c:strCache>
            </c:strRef>
          </c:tx>
          <c:spPr>
            <a:ln w="28575" cap="rnd">
              <a:solidFill>
                <a:schemeClr val="accent4"/>
              </a:solidFill>
              <a:round/>
            </a:ln>
            <a:effectLst/>
          </c:spPr>
          <c:marker>
            <c:symbol val="none"/>
          </c:marker>
          <c:cat>
            <c:numRef>
              <c:f>'5443'!$C$28:$C$44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'5443'!$K$28:$K$44</c:f>
              <c:numCache>
                <c:formatCode>#,##0</c:formatCode>
                <c:ptCount val="17"/>
                <c:pt idx="1">
                  <c:v>7</c:v>
                </c:pt>
                <c:pt idx="2">
                  <c:v>17</c:v>
                </c:pt>
                <c:pt idx="3">
                  <c:v>12</c:v>
                </c:pt>
                <c:pt idx="4">
                  <c:v>2</c:v>
                </c:pt>
                <c:pt idx="6">
                  <c:v>6</c:v>
                </c:pt>
                <c:pt idx="7">
                  <c:v>2</c:v>
                </c:pt>
                <c:pt idx="9">
                  <c:v>1</c:v>
                </c:pt>
                <c:pt idx="10">
                  <c:v>3</c:v>
                </c:pt>
              </c:numCache>
            </c:numRef>
          </c:val>
          <c:smooth val="0"/>
          <c:extLst xmlns:c16r2="http://schemas.microsoft.com/office/drawing/2015/06/chart">
            <c:ext xmlns:c16="http://schemas.microsoft.com/office/drawing/2014/chart" uri="{C3380CC4-5D6E-409C-BE32-E72D297353CC}">
              <c16:uniqueId val="{0000000A-A196-45EF-8139-B0467664547D}"/>
            </c:ext>
          </c:extLst>
        </c:ser>
        <c:ser>
          <c:idx val="9"/>
          <c:order val="9"/>
          <c:tx>
            <c:strRef>
              <c:f>'5443'!$M$27</c:f>
              <c:strCache>
                <c:ptCount val="1"/>
                <c:pt idx="0">
                  <c:v>LV (#)</c:v>
                </c:pt>
              </c:strCache>
            </c:strRef>
          </c:tx>
          <c:spPr>
            <a:ln w="28575" cap="rnd">
              <a:solidFill>
                <a:schemeClr val="accent5"/>
              </a:solidFill>
              <a:round/>
            </a:ln>
            <a:effectLst/>
          </c:spPr>
          <c:marker>
            <c:symbol val="none"/>
          </c:marker>
          <c:cat>
            <c:numRef>
              <c:f>'5443'!$C$28:$C$44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'5443'!$M$28:$M$44</c:f>
              <c:numCache>
                <c:formatCode>General</c:formatCode>
                <c:ptCount val="17"/>
                <c:pt idx="2" formatCode="#,##0">
                  <c:v>9</c:v>
                </c:pt>
                <c:pt idx="3" formatCode="#,##0">
                  <c:v>6</c:v>
                </c:pt>
                <c:pt idx="4" formatCode="#,##0">
                  <c:v>15</c:v>
                </c:pt>
                <c:pt idx="5" formatCode="#,##0">
                  <c:v>2</c:v>
                </c:pt>
                <c:pt idx="6" formatCode="#,##0">
                  <c:v>5</c:v>
                </c:pt>
                <c:pt idx="7" formatCode="#,##0">
                  <c:v>2</c:v>
                </c:pt>
                <c:pt idx="8" formatCode="#,##0">
                  <c:v>1</c:v>
                </c:pt>
              </c:numCache>
            </c:numRef>
          </c:val>
          <c:smooth val="0"/>
          <c:extLst xmlns:c16r2="http://schemas.microsoft.com/office/drawing/2015/06/chart">
            <c:ext xmlns:c16="http://schemas.microsoft.com/office/drawing/2014/chart" uri="{C3380CC4-5D6E-409C-BE32-E72D297353CC}">
              <c16:uniqueId val="{0000000B-A196-45EF-8139-B0467664547D}"/>
            </c:ext>
          </c:extLst>
        </c:ser>
        <c:ser>
          <c:idx val="11"/>
          <c:order val="11"/>
          <c:tx>
            <c:strRef>
              <c:f>'5443'!$O$27</c:f>
              <c:strCache>
                <c:ptCount val="1"/>
                <c:pt idx="0">
                  <c:v>MT (#)</c:v>
                </c:pt>
              </c:strCache>
            </c:strRef>
          </c:tx>
          <c:spPr>
            <a:ln w="28575" cap="rnd">
              <a:solidFill>
                <a:schemeClr val="accent6"/>
              </a:solidFill>
              <a:round/>
            </a:ln>
            <a:effectLst/>
          </c:spPr>
          <c:marker>
            <c:symbol val="none"/>
          </c:marker>
          <c:cat>
            <c:numRef>
              <c:f>'5443'!$C$28:$C$44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'5443'!$O$28:$O$44</c:f>
              <c:numCache>
                <c:formatCode>General</c:formatCode>
                <c:ptCount val="17"/>
                <c:pt idx="4" formatCode="#,##0">
                  <c:v>5</c:v>
                </c:pt>
                <c:pt idx="5" formatCode="#,##0">
                  <c:v>2</c:v>
                </c:pt>
                <c:pt idx="6" formatCode="#,##0">
                  <c:v>1</c:v>
                </c:pt>
              </c:numCache>
            </c:numRef>
          </c:val>
          <c:smooth val="0"/>
          <c:extLst xmlns:c16r2="http://schemas.microsoft.com/office/drawing/2015/06/chart">
            <c:ext xmlns:c16="http://schemas.microsoft.com/office/drawing/2014/chart" uri="{C3380CC4-5D6E-409C-BE32-E72D297353CC}">
              <c16:uniqueId val="{0000000C-A196-45EF-8139-B0467664547D}"/>
            </c:ext>
          </c:extLst>
        </c:ser>
        <c:ser>
          <c:idx val="13"/>
          <c:order val="13"/>
          <c:tx>
            <c:strRef>
              <c:f>'5443'!$Q$27</c:f>
              <c:strCache>
                <c:ptCount val="1"/>
                <c:pt idx="0">
                  <c:v>SI (#)</c:v>
                </c:pt>
              </c:strCache>
            </c:strRef>
          </c:tx>
          <c:spPr>
            <a:ln w="28575" cap="rnd">
              <a:solidFill>
                <a:srgbClr val="C00000"/>
              </a:solidFill>
              <a:round/>
            </a:ln>
            <a:effectLst/>
          </c:spPr>
          <c:marker>
            <c:symbol val="none"/>
          </c:marker>
          <c:cat>
            <c:numRef>
              <c:f>'5443'!$C$28:$C$44</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'5443'!$Q$28:$Q$44</c:f>
              <c:numCache>
                <c:formatCode>#,##0</c:formatCode>
                <c:ptCount val="17"/>
                <c:pt idx="1">
                  <c:v>23</c:v>
                </c:pt>
                <c:pt idx="2">
                  <c:v>7</c:v>
                </c:pt>
                <c:pt idx="3">
                  <c:v>4</c:v>
                </c:pt>
                <c:pt idx="4">
                  <c:v>1</c:v>
                </c:pt>
                <c:pt idx="5">
                  <c:v>1</c:v>
                </c:pt>
                <c:pt idx="6">
                  <c:v>1</c:v>
                </c:pt>
                <c:pt idx="7">
                  <c:v>1</c:v>
                </c:pt>
                <c:pt idx="8">
                  <c:v>1</c:v>
                </c:pt>
              </c:numCache>
            </c:numRef>
          </c:val>
          <c:smooth val="0"/>
          <c:extLst xmlns:c16r2="http://schemas.microsoft.com/office/drawing/2015/06/chart">
            <c:ext xmlns:c16="http://schemas.microsoft.com/office/drawing/2014/chart" uri="{C3380CC4-5D6E-409C-BE32-E72D297353CC}">
              <c16:uniqueId val="{0000000D-A196-45EF-8139-B0467664547D}"/>
            </c:ext>
          </c:extLst>
        </c:ser>
        <c:dLbls>
          <c:showLegendKey val="0"/>
          <c:showVal val="0"/>
          <c:showCatName val="0"/>
          <c:showSerName val="0"/>
          <c:showPercent val="0"/>
          <c:showBubbleSize val="0"/>
        </c:dLbls>
        <c:marker val="1"/>
        <c:smooth val="0"/>
        <c:axId val="110719744"/>
        <c:axId val="110713472"/>
      </c:lineChart>
      <c:catAx>
        <c:axId val="11069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11552"/>
        <c:crosses val="autoZero"/>
        <c:auto val="1"/>
        <c:lblAlgn val="ctr"/>
        <c:lblOffset val="100"/>
        <c:tickLblSkip val="2"/>
        <c:noMultiLvlLbl val="0"/>
      </c:catAx>
      <c:valAx>
        <c:axId val="110711552"/>
        <c:scaling>
          <c:orientation val="minMax"/>
          <c:max val="5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rPr>
                  <a:t>Irregularity Amount (EUR)</a:t>
                </a:r>
                <a:endParaRPr lang="en-GB" sz="1000">
                  <a:effectLst/>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93376"/>
        <c:crosses val="autoZero"/>
        <c:crossBetween val="between"/>
        <c:majorUnit val="1000000"/>
      </c:valAx>
      <c:valAx>
        <c:axId val="110713472"/>
        <c:scaling>
          <c:orientation val="minMax"/>
          <c:max val="4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rPr>
                  <a:t>No. of Reported Irregularities</a:t>
                </a:r>
                <a:endParaRPr lang="en-GB" sz="1000">
                  <a:effectLst/>
                </a:endParaRP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19744"/>
        <c:crosses val="max"/>
        <c:crossBetween val="between"/>
      </c:valAx>
      <c:catAx>
        <c:axId val="110719744"/>
        <c:scaling>
          <c:orientation val="minMax"/>
        </c:scaling>
        <c:delete val="1"/>
        <c:axPos val="b"/>
        <c:numFmt formatCode="General" sourceLinked="1"/>
        <c:majorTickMark val="out"/>
        <c:minorTickMark val="none"/>
        <c:tickLblPos val="nextTo"/>
        <c:crossAx val="1107134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7C39E-7061-45E5-8B9A-4E1A85FFF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8</Pages>
  <Words>15307</Words>
  <Characters>82811</Characters>
  <Application>Microsoft Office Word</Application>
  <DocSecurity>0</DocSecurity>
  <Lines>8281</Lines>
  <Paragraphs>6132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58</cp:revision>
  <dcterms:created xsi:type="dcterms:W3CDTF">2020-05-25T16:00:00Z</dcterms:created>
  <dcterms:modified xsi:type="dcterms:W3CDTF">2020-08-28T09:07:00Z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3</vt:lpwstr>
  </property>
  <property fmtid="{D5CDD505-2E9C-101B-9397-08002B2CF9AE}" pid="4" name="Total parts">
    <vt:lpwstr>3</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ies>
</file>