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994D9D16-A59C-4D22-BAAC-3F6A064EBBC3" style="width:450.6pt;height:406.45pt">
            <v:imagedata r:id="rId8" o:title=""/>
          </v:shape>
        </w:pict>
      </w:r>
    </w:p>
    <w:bookmarkEnd w:id="0"/>
    <w:p>
      <w:pPr>
        <w:rPr>
          <w:caps/>
          <w:noProof/>
        </w:rPr>
        <w:sectPr>
          <w:headerReference w:type="even" r:id="rId9"/>
          <w:headerReference w:type="default" r:id="rId10"/>
          <w:footerReference w:type="even" r:id="rId11"/>
          <w:footerReference w:type="default" r:id="rId12"/>
          <w:headerReference w:type="first" r:id="rId13"/>
          <w:footerReference w:type="first" r:id="rId14"/>
          <w:pgSz w:w="11907" w:h="16839"/>
          <w:pgMar w:top="1134" w:right="1417" w:bottom="1134" w:left="1417" w:header="709" w:footer="709" w:gutter="0"/>
          <w:pgNumType w:start="1"/>
          <w:cols w:space="720"/>
          <w:docGrid w:linePitch="360"/>
        </w:sectPr>
      </w:pPr>
    </w:p>
    <w:p>
      <w:pPr>
        <w:pStyle w:val="Heading1"/>
        <w:numPr>
          <w:ilvl w:val="0"/>
          <w:numId w:val="0"/>
        </w:numPr>
        <w:spacing w:before="0" w:after="240"/>
        <w:jc w:val="center"/>
        <w:rPr>
          <w:rFonts w:asciiTheme="majorHAnsi" w:hAnsiTheme="majorHAnsi"/>
          <w:noProof/>
          <w:szCs w:val="24"/>
        </w:rPr>
      </w:pPr>
      <w:bookmarkStart w:id="1" w:name="_GoBack"/>
      <w:bookmarkEnd w:id="1"/>
      <w:r>
        <w:rPr>
          <w:noProof/>
        </w:rPr>
        <w:lastRenderedPageBreak/>
        <w:t xml:space="preserve">ANNEXE 1 </w:t>
      </w:r>
      <w:r>
        <w:rPr>
          <w:rFonts w:asciiTheme="majorHAnsi" w:hAnsiTheme="majorHAnsi"/>
          <w:noProof/>
          <w:szCs w:val="24"/>
        </w:rPr>
        <w:t>— Irrégularités signalées comme frauduleuses en 2019</w:t>
      </w:r>
    </w:p>
    <w:p>
      <w:pPr>
        <w:rPr>
          <w:noProof/>
        </w:rPr>
      </w:pPr>
      <w:r>
        <w:rPr>
          <w:rFonts w:ascii="Cambria" w:hAnsi="Cambria"/>
          <w:noProof/>
          <w:sz w:val="20"/>
        </w:rPr>
        <w:t>Le nombre d’irrégularités signalées comme frauduleuses permet de mesurer les résultats des États membres en matière de lutte contre la fraude et d’autres activités illégales portant atteinte aux intérêts financiers de l’UE. Par conséquent, les chiffres ne doivent pas être interprétés comme une indication du niveau de la fraude sur le territoire des États membres. Le tableau ci-dessous ne comprend pas les pays tiers (préadhésion) et les dépenses directes.</w:t>
      </w:r>
    </w:p>
    <w:p>
      <w:pPr>
        <w:jc w:val="center"/>
        <w:rPr>
          <w:noProof/>
        </w:rPr>
      </w:pPr>
      <w:r>
        <w:rPr>
          <w:noProof/>
          <w:lang w:val="en-GB" w:eastAsia="en-GB"/>
        </w:rPr>
        <w:drawing>
          <wp:inline distT="0" distB="0" distL="0" distR="0">
            <wp:extent cx="7203431" cy="43977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954" b="3210"/>
                    <a:stretch/>
                  </pic:blipFill>
                  <pic:spPr bwMode="auto">
                    <a:xfrm>
                      <a:off x="0" y="0"/>
                      <a:ext cx="7227267" cy="4412298"/>
                    </a:xfrm>
                    <a:prstGeom prst="rect">
                      <a:avLst/>
                    </a:prstGeom>
                    <a:noFill/>
                    <a:ln>
                      <a:noFill/>
                    </a:ln>
                    <a:extLst>
                      <a:ext uri="{53640926-AAD7-44D8-BBD7-CCE9431645EC}">
                        <a14:shadowObscured xmlns:a14="http://schemas.microsoft.com/office/drawing/2010/main"/>
                      </a:ext>
                    </a:extLst>
                  </pic:spPr>
                </pic:pic>
              </a:graphicData>
            </a:graphic>
          </wp:inline>
        </w:drawing>
      </w:r>
    </w:p>
    <w:p>
      <w:pPr>
        <w:rPr>
          <w:rFonts w:ascii="Cambria" w:hAnsi="Cambria"/>
          <w:noProof/>
        </w:rPr>
      </w:pPr>
      <w:r>
        <w:rPr>
          <w:rFonts w:ascii="Cambria" w:hAnsi="Cambria"/>
          <w:noProof/>
          <w:sz w:val="20"/>
        </w:rPr>
        <w:t>Les chiffres élevés concernant la Slovaquie résultent, dans une large mesure, d’un seul cas portant sur une valeur financière élevée, ce qui peut s’expliquer par l'application, dans ce pays, d’une politique de signalement prudente.</w:t>
      </w:r>
      <w:r>
        <w:rPr>
          <w:rFonts w:ascii="Cambria" w:hAnsi="Cambria"/>
          <w:noProof/>
        </w:rPr>
        <w:br w:type="page"/>
      </w:r>
    </w:p>
    <w:p>
      <w:pPr>
        <w:pStyle w:val="Heading1"/>
        <w:numPr>
          <w:ilvl w:val="0"/>
          <w:numId w:val="0"/>
        </w:numPr>
        <w:spacing w:before="0" w:after="240"/>
        <w:jc w:val="center"/>
        <w:rPr>
          <w:rFonts w:asciiTheme="majorHAnsi" w:hAnsiTheme="majorHAnsi"/>
          <w:noProof/>
          <w:szCs w:val="24"/>
        </w:rPr>
      </w:pPr>
      <w:r>
        <w:rPr>
          <w:noProof/>
        </w:rPr>
        <w:t xml:space="preserve">ANNEXE 2 </w:t>
      </w:r>
      <w:r>
        <w:rPr>
          <w:rFonts w:asciiTheme="majorHAnsi" w:hAnsiTheme="majorHAnsi"/>
          <w:noProof/>
          <w:szCs w:val="24"/>
        </w:rPr>
        <w:t>— Irrégularités signalées comme non frauduleuses en 2019</w:t>
      </w:r>
    </w:p>
    <w:p>
      <w:pPr>
        <w:rPr>
          <w:noProof/>
        </w:rPr>
      </w:pPr>
      <w:r>
        <w:rPr>
          <w:noProof/>
        </w:rPr>
        <w:t>Le tableau ci-dessous ne comprend pas les pays tiers (préadhésion) et les dépenses directes.</w:t>
      </w:r>
    </w:p>
    <w:p>
      <w:pPr>
        <w:jc w:val="center"/>
        <w:rPr>
          <w:noProof/>
        </w:rPr>
      </w:pPr>
      <w:r>
        <w:rPr>
          <w:noProof/>
          <w:lang w:val="en-GB" w:eastAsia="en-GB"/>
        </w:rPr>
        <w:drawing>
          <wp:inline distT="0" distB="0" distL="0" distR="0">
            <wp:extent cx="7449836" cy="4404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950" b="3981"/>
                    <a:stretch/>
                  </pic:blipFill>
                  <pic:spPr bwMode="auto">
                    <a:xfrm>
                      <a:off x="0" y="0"/>
                      <a:ext cx="7455950" cy="440780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Spacing"/>
        <w:rPr>
          <w:rFonts w:ascii="Cambria" w:hAnsi="Cambria"/>
          <w:noProof/>
          <w:sz w:val="20"/>
          <w:szCs w:val="20"/>
        </w:rPr>
      </w:pPr>
      <w:r>
        <w:rPr>
          <w:rFonts w:ascii="Cambria" w:hAnsi="Cambria"/>
          <w:noProof/>
          <w:sz w:val="20"/>
          <w:szCs w:val="20"/>
        </w:rPr>
        <w:t>Les chiffres élevés concernant la Slovaquie résultent, dans une large mesure, d’un seul cas portant sur une valeur financière élevée, ce qui peut s’expliquer par l'application, dans ce pays, d’une politique de signalement prudente.</w:t>
      </w:r>
    </w:p>
    <w:sectPr>
      <w:headerReference w:type="even" r:id="rId17"/>
      <w:headerReference w:type="default" r:id="rId18"/>
      <w:footerReference w:type="even" r:id="rId19"/>
      <w:footerReference w:type="default" r:id="rId20"/>
      <w:headerReference w:type="first" r:id="rId21"/>
      <w:footerReference w:type="firs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tabs>
        <w:tab w:val="clear" w:pos="9921"/>
        <w:tab w:val="right" w:pos="13892"/>
      </w:tabs>
      <w:rPr>
        <w:rFonts w:ascii="Arial" w:hAnsi="Arial" w:cs="Arial"/>
        <w:b/>
        <w:sz w:val="48"/>
      </w:rPr>
    </w:pPr>
    <w:r>
      <w:rPr>
        <w:rFonts w:ascii="Arial" w:hAnsi="Arial"/>
        <w:b/>
        <w:sz w:val="48"/>
      </w:rPr>
      <w:t>FR</w:t>
    </w:r>
    <w:r>
      <w:tab/>
    </w:r>
    <w:r>
      <w:tab/>
    </w:r>
    <w:r>
      <w:tab/>
    </w:r>
    <w:r>
      <w:rPr>
        <w:rFonts w:ascii="Arial" w:hAnsi="Arial"/>
        <w:b/>
        <w:sz w:val="48"/>
      </w:rPr>
      <w:t>FR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456.85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34851A68"/>
    <w:multiLevelType w:val="hybridMultilevel"/>
    <w:tmpl w:val="1DCEB44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2627859"/>
    <w:multiLevelType w:val="hybridMultilevel"/>
    <w:tmpl w:val="EF54249E"/>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hideGrammaticalErrors/>
  <w:revisionView w:markup="0"/>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u"/>
    <w:docVar w:name="LW_ANNEX_NBR_FIRST" w:val="1"/>
    <w:docVar w:name="LW_ANNEX_NBR_LAST" w:val="2"/>
    <w:docVar w:name="LW_ANNEX_UNIQUE" w:val="0"/>
    <w:docVar w:name="LW_CORRIGENDUM" w:val="&lt;UNUSED&gt;"/>
    <w:docVar w:name="LW_COVERPAGE_EXISTS" w:val="True"/>
    <w:docVar w:name="LW_COVERPAGE_GUID" w:val="994D9D16-A59C-4D22-BAAC-3F6A064EBBC3"/>
    <w:docVar w:name="LW_COVERPAGE_TYPE" w:val="1"/>
    <w:docVar w:name="LW_CROSSREFERENCE" w:val="{SWD(2020) 156 final} - {SWD(2020) 157 final} - {SWD(2020) 158 final} - {SWD(2020) 159 final} - {SWD(2020) 160 final}"/>
    <w:docVar w:name="LW_DocType" w:val="NORMAL"/>
    <w:docVar w:name="LW_EMISSION" w:val="3.9.2020"/>
    <w:docVar w:name="LW_EMISSION_ISODATE" w:val="2020-09-03"/>
    <w:docVar w:name="LW_EMISSION_LOCATION" w:val="BRX"/>
    <w:docVar w:name="LW_EMISSION_PREFIX" w:val="Bruxelles, le "/>
    <w:docVar w:name="LW_EMISSION_SUFFIX" w:val=" "/>
    <w:docVar w:name="LW_ID_DOCTYPE_NONLW" w:val="CP-039"/>
    <w:docVar w:name="LW_LANGUE" w:val="FR"/>
    <w:docVar w:name="LW_LEVEL_OF_SENSITIVITY" w:val="Standard treatment"/>
    <w:docVar w:name="LW_NOM.INST" w:val="COMMISSION EUROPÉENNE"/>
    <w:docVar w:name="LW_NOM.INST_JOINTDOC" w:val="&lt;EMPTY&gt;"/>
    <w:docVar w:name="LW_OBJETACTEPRINCIPAL.CP" w:val="31e Rapport annuel sur la protection des intérêts financiers de l'Union européenne  - Lutte contre la fraude - 2019"/>
    <w:docVar w:name="LW_PART_NBR" w:val="&lt;UNUSED&gt;"/>
    <w:docVar w:name="LW_PART_NBR_TOTAL" w:val="&lt;UNUSED&gt;"/>
    <w:docVar w:name="LW_REF.INST.NEW" w:val="COM"/>
    <w:docVar w:name="LW_REF.INST.NEW_ADOPTED" w:val="final"/>
    <w:docVar w:name="LW_REF.INST.NEW_TEXT" w:val="(2020) 36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ES_x000b_"/>
    <w:docVar w:name="LW_TYPEACTEPRINCIPAL.CP" w:val="RAPPORT DE LA COMMISSION AU PARLEMENT ET AU CONSE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numPr>
        <w:numId w:val="3"/>
      </w:numPr>
      <w:spacing w:before="360"/>
      <w:outlineLvl w:val="0"/>
    </w:pPr>
    <w:rPr>
      <w:b/>
      <w:bCs/>
      <w:smallCaps/>
      <w:szCs w:val="32"/>
    </w:rPr>
  </w:style>
  <w:style w:type="paragraph" w:styleId="Heading2">
    <w:name w:val="heading 2"/>
    <w:basedOn w:val="Normal"/>
    <w:next w:val="Normal"/>
    <w:link w:val="Heading2Char"/>
    <w:qFormat/>
    <w:pPr>
      <w:keepNext/>
      <w:numPr>
        <w:ilvl w:val="1"/>
        <w:numId w:val="3"/>
      </w:numPr>
      <w:outlineLvl w:val="1"/>
    </w:pPr>
    <w:rPr>
      <w:rFonts w:eastAsia="Calibri"/>
      <w:b/>
      <w:bCs/>
      <w:iCs/>
      <w:szCs w:val="28"/>
    </w:rPr>
  </w:style>
  <w:style w:type="paragraph" w:styleId="Heading3">
    <w:name w:val="heading 3"/>
    <w:basedOn w:val="Normal"/>
    <w:next w:val="Normal"/>
    <w:link w:val="Heading3Char"/>
    <w:qFormat/>
    <w:pPr>
      <w:keepNext/>
      <w:numPr>
        <w:ilvl w:val="2"/>
        <w:numId w:val="3"/>
      </w:numPr>
      <w:outlineLvl w:val="2"/>
    </w:pPr>
    <w:rPr>
      <w:bCs/>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Pagedecouverture">
    <w:name w:val="Page de couverture"/>
    <w:basedOn w:val="Normal"/>
    <w:next w:val="Normal"/>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4"/>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4"/>
    </w:rPr>
  </w:style>
  <w:style w:type="paragraph" w:customStyle="1" w:styleId="HeaderSensitivityRight">
    <w:name w:val="Header Sensitivity Right"/>
    <w:basedOn w:val="Normal"/>
    <w:link w:val="HeaderSensitivityRightChar"/>
    <w:pPr>
      <w:spacing w:before="0"/>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4"/>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Calibri"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Cs/>
      <w:i/>
      <w:sz w:val="24"/>
      <w:szCs w:val="26"/>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numPr>
        <w:numId w:val="3"/>
      </w:numPr>
      <w:spacing w:before="360"/>
      <w:outlineLvl w:val="0"/>
    </w:pPr>
    <w:rPr>
      <w:b/>
      <w:bCs/>
      <w:smallCaps/>
      <w:szCs w:val="32"/>
    </w:rPr>
  </w:style>
  <w:style w:type="paragraph" w:styleId="Heading2">
    <w:name w:val="heading 2"/>
    <w:basedOn w:val="Normal"/>
    <w:next w:val="Normal"/>
    <w:link w:val="Heading2Char"/>
    <w:qFormat/>
    <w:pPr>
      <w:keepNext/>
      <w:numPr>
        <w:ilvl w:val="1"/>
        <w:numId w:val="3"/>
      </w:numPr>
      <w:outlineLvl w:val="1"/>
    </w:pPr>
    <w:rPr>
      <w:rFonts w:eastAsia="Calibri"/>
      <w:b/>
      <w:bCs/>
      <w:iCs/>
      <w:szCs w:val="28"/>
    </w:rPr>
  </w:style>
  <w:style w:type="paragraph" w:styleId="Heading3">
    <w:name w:val="heading 3"/>
    <w:basedOn w:val="Normal"/>
    <w:next w:val="Normal"/>
    <w:link w:val="Heading3Char"/>
    <w:qFormat/>
    <w:pPr>
      <w:keepNext/>
      <w:numPr>
        <w:ilvl w:val="2"/>
        <w:numId w:val="3"/>
      </w:numPr>
      <w:outlineLvl w:val="2"/>
    </w:pPr>
    <w:rPr>
      <w:bCs/>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Pagedecouverture">
    <w:name w:val="Page de couverture"/>
    <w:basedOn w:val="Normal"/>
    <w:next w:val="Normal"/>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4"/>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4"/>
    </w:rPr>
  </w:style>
  <w:style w:type="paragraph" w:customStyle="1" w:styleId="HeaderSensitivityRight">
    <w:name w:val="Header Sensitivity Right"/>
    <w:basedOn w:val="Normal"/>
    <w:link w:val="HeaderSensitivityRightChar"/>
    <w:pPr>
      <w:spacing w:before="0"/>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4"/>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Calibri"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Cs/>
      <w:i/>
      <w:sz w:val="24"/>
      <w:szCs w:val="26"/>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61704">
      <w:bodyDiv w:val="1"/>
      <w:marLeft w:val="0"/>
      <w:marRight w:val="0"/>
      <w:marTop w:val="0"/>
      <w:marBottom w:val="0"/>
      <w:divBdr>
        <w:top w:val="none" w:sz="0" w:space="0" w:color="auto"/>
        <w:left w:val="none" w:sz="0" w:space="0" w:color="auto"/>
        <w:bottom w:val="none" w:sz="0" w:space="0" w:color="auto"/>
        <w:right w:val="none" w:sz="0" w:space="0" w:color="auto"/>
      </w:divBdr>
    </w:div>
    <w:div w:id="118897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3</Pages>
  <Words>169</Words>
  <Characters>983</Characters>
  <Application>Microsoft Office Word</Application>
  <DocSecurity>0</DocSecurity>
  <Lines>14</Lines>
  <Paragraphs>7</Paragraphs>
  <ScaleCrop>false</ScaleCrop>
  <HeadingPairs>
    <vt:vector size="2" baseType="variant">
      <vt:variant>
        <vt:lpstr>Title</vt:lpstr>
      </vt:variant>
      <vt:variant>
        <vt:i4>1</vt:i4>
      </vt:variant>
    </vt:vector>
  </HeadingPairs>
  <TitlesOfParts>
    <vt:vector size="1" baseType="lpstr">
      <vt:lpstr>Working document 
for the 
COCOLAF Reporting and Analysis meeting</vt:lpstr>
    </vt:vector>
  </TitlesOfParts>
  <Company>European Commission</Company>
  <LinksUpToDate>false</LinksUpToDate>
  <CharactersWithSpaces>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for the 
COCOLAF Reporting and Analysis meeting</dc:title>
  <dc:subject>Annexes to the Draft 31st Annual Report on the protection of the EU’s financial interests and the fight against fraud - 2019</dc:subject>
  <dc:creator>BORDONI Andrea (OLAF)</dc:creator>
  <cp:keywords/>
  <dc:description/>
  <cp:lastModifiedBy>DIGIT/C6</cp:lastModifiedBy>
  <cp:revision>18</cp:revision>
  <dcterms:created xsi:type="dcterms:W3CDTF">2020-06-18T16:31:00Z</dcterms:created>
  <dcterms:modified xsi:type="dcterms:W3CDTF">2020-08-28T09:06:00Z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2</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7.0.1, Build 20190916</vt:lpwstr>
  </property>
  <property fmtid="{D5CDD505-2E9C-101B-9397-08002B2CF9AE}" pid="11" name="Created using">
    <vt:lpwstr>LW 7.0, Build 20190717</vt:lpwstr>
  </property>
</Properties>
</file>