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02A60FA-A2EB-4797-BE33-0E6F17CE90EC" style="width:450.45pt;height:420pt">
            <v:imagedata r:id="rId8" o:title=""/>
          </v:shape>
        </w:pict>
      </w:r>
    </w:p>
    <w:bookmarkEnd w:id="0"/>
    <w:p>
      <w:pPr>
        <w:rPr>
          <w:caps/>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Heading1"/>
        <w:numPr>
          <w:ilvl w:val="0"/>
          <w:numId w:val="0"/>
        </w:numPr>
        <w:spacing w:before="0" w:after="240"/>
        <w:jc w:val="center"/>
        <w:rPr>
          <w:rFonts w:asciiTheme="majorHAnsi" w:hAnsiTheme="majorHAnsi"/>
          <w:noProof/>
          <w:szCs w:val="24"/>
        </w:rPr>
      </w:pPr>
      <w:bookmarkStart w:id="1" w:name="_GoBack"/>
      <w:bookmarkEnd w:id="1"/>
      <w:r>
        <w:rPr>
          <w:noProof/>
          <w:szCs w:val="24"/>
        </w:rPr>
        <w:lastRenderedPageBreak/>
        <w:t>ANNEX 1</w:t>
      </w:r>
      <w:r>
        <w:rPr>
          <w:rFonts w:asciiTheme="majorHAnsi" w:hAnsiTheme="majorHAnsi"/>
          <w:noProof/>
          <w:szCs w:val="24"/>
        </w:rPr>
        <w:t>— Irregularities reported as fraudulent in 2019</w:t>
      </w:r>
    </w:p>
    <w:p>
      <w:pPr>
        <w:rPr>
          <w:rFonts w:ascii="Cambria" w:hAnsi="Cambria"/>
          <w:noProof/>
          <w:sz w:val="20"/>
        </w:rPr>
      </w:pPr>
      <w:r>
        <w:rPr>
          <w:rFonts w:ascii="Cambria" w:hAnsi="Cambria"/>
          <w:noProof/>
          <w:sz w:val="20"/>
        </w:rPr>
        <w:t>The number of irregularities reported as fraudulent measures the results of Member States' work to counter fraud and other illegal activities affecting the EU's financial interests. Therefore, the figures should not be interpreted as indicating the level of fraud in the Member States territories. The table below does not include third countries (pre-accession) and direct expenditure.</w:t>
      </w:r>
    </w:p>
    <w:p>
      <w:pPr>
        <w:jc w:val="center"/>
        <w:rPr>
          <w:b/>
          <w:noProof/>
        </w:rPr>
      </w:pPr>
      <w:r>
        <w:rPr>
          <w:noProof/>
          <w:lang w:eastAsia="en-GB"/>
        </w:rPr>
        <w:drawing>
          <wp:inline distT="0" distB="0" distL="0" distR="0">
            <wp:extent cx="6314307" cy="43704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4367" cy="4425840"/>
                    </a:xfrm>
                    <a:prstGeom prst="rect">
                      <a:avLst/>
                    </a:prstGeom>
                    <a:noFill/>
                    <a:ln>
                      <a:noFill/>
                    </a:ln>
                  </pic:spPr>
                </pic:pic>
              </a:graphicData>
            </a:graphic>
          </wp:inline>
        </w:drawing>
      </w:r>
    </w:p>
    <w:p>
      <w:pPr>
        <w:rPr>
          <w:rFonts w:ascii="Cambria" w:hAnsi="Cambria"/>
          <w:noProof/>
        </w:rPr>
      </w:pPr>
      <w:r>
        <w:rPr>
          <w:rFonts w:ascii="Cambria" w:hAnsi="Cambria"/>
          <w:noProof/>
          <w:sz w:val="20"/>
        </w:rPr>
        <w:t>The high figures related to Slovakia are, to a great extent, the result of a single case of high financial value, which may be due to a precautionary reporting policy applied in Slovakia.</w:t>
      </w:r>
      <w:r>
        <w:rPr>
          <w:rFonts w:ascii="Cambria" w:hAnsi="Cambria"/>
          <w:noProof/>
        </w:rPr>
        <w:br w:type="page"/>
      </w:r>
    </w:p>
    <w:p>
      <w:pPr>
        <w:pStyle w:val="Heading1"/>
        <w:numPr>
          <w:ilvl w:val="0"/>
          <w:numId w:val="0"/>
        </w:numPr>
        <w:spacing w:before="0" w:after="240"/>
        <w:jc w:val="center"/>
        <w:rPr>
          <w:rFonts w:asciiTheme="majorHAnsi" w:hAnsiTheme="majorHAnsi"/>
          <w:noProof/>
          <w:szCs w:val="24"/>
        </w:rPr>
      </w:pPr>
      <w:r>
        <w:rPr>
          <w:noProof/>
          <w:szCs w:val="24"/>
        </w:rPr>
        <w:lastRenderedPageBreak/>
        <w:t>ANNEX 2</w:t>
      </w:r>
      <w:r>
        <w:rPr>
          <w:rFonts w:asciiTheme="majorHAnsi" w:hAnsiTheme="majorHAnsi"/>
          <w:noProof/>
          <w:szCs w:val="24"/>
        </w:rPr>
        <w:t>— Irregularities reported as non-fraudulent in 2019</w:t>
      </w:r>
    </w:p>
    <w:p>
      <w:pPr>
        <w:rPr>
          <w:noProof/>
        </w:rPr>
      </w:pPr>
      <w:r>
        <w:rPr>
          <w:noProof/>
        </w:rPr>
        <w:t>The table below does not include third countries (pre-accession) and direct expenditure</w:t>
      </w:r>
    </w:p>
    <w:p>
      <w:pPr>
        <w:jc w:val="center"/>
        <w:rPr>
          <w:noProof/>
        </w:rPr>
      </w:pPr>
      <w:r>
        <w:rPr>
          <w:noProof/>
          <w:lang w:eastAsia="en-GB"/>
        </w:rPr>
        <w:drawing>
          <wp:inline distT="0" distB="0" distL="0" distR="0">
            <wp:extent cx="7653302" cy="4537069"/>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82991" cy="4554669"/>
                    </a:xfrm>
                    <a:prstGeom prst="rect">
                      <a:avLst/>
                    </a:prstGeom>
                    <a:noFill/>
                    <a:ln>
                      <a:noFill/>
                    </a:ln>
                  </pic:spPr>
                </pic:pic>
              </a:graphicData>
            </a:graphic>
          </wp:inline>
        </w:drawing>
      </w:r>
    </w:p>
    <w:p>
      <w:pPr>
        <w:pStyle w:val="NoSpacing"/>
        <w:rPr>
          <w:rFonts w:ascii="Cambria" w:hAnsi="Cambria"/>
          <w:noProof/>
          <w:sz w:val="20"/>
          <w:szCs w:val="20"/>
        </w:rPr>
      </w:pPr>
      <w:r>
        <w:rPr>
          <w:rFonts w:ascii="Cambria" w:hAnsi="Cambria"/>
          <w:noProof/>
          <w:sz w:val="20"/>
          <w:szCs w:val="20"/>
        </w:rPr>
        <w:t>The high figures related to Slovakia are, to a great extent, the result of a few cases of high financial value, which may be due to a precautionary reporting policy applied in Slovakia.</w:t>
      </w:r>
    </w:p>
    <w:sectPr>
      <w:headerReference w:type="even" r:id="rId17"/>
      <w:headerReference w:type="default" r:id="rId18"/>
      <w:footerReference w:type="even" r:id="rId19"/>
      <w:footerReference w:type="default" r:id="rId20"/>
      <w:headerReference w:type="first" r:id="rId21"/>
      <w:footerReference w:type="first" r:id="rId2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tabs>
        <w:tab w:val="clear" w:pos="9921"/>
        <w:tab w:val="right" w:pos="13892"/>
      </w:tabs>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0;width:456.85pt;height:182.7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456.85pt;height:182.7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2E04"/>
    <w:multiLevelType w:val="multilevel"/>
    <w:tmpl w:val="D60ABDD2"/>
    <w:lvl w:ilvl="0">
      <w:start w:val="1"/>
      <w:numFmt w:val="decimal"/>
      <w:lvlRestart w:val="0"/>
      <w:pStyle w:val="Heading1"/>
      <w:lvlText w:val="%1."/>
      <w:lvlJc w:val="left"/>
      <w:pPr>
        <w:tabs>
          <w:tab w:val="num" w:pos="1570"/>
        </w:tabs>
        <w:ind w:left="157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991"/>
        </w:tabs>
        <w:ind w:left="991" w:hanging="850"/>
      </w:pPr>
      <w:rPr>
        <w:rFonts w:hint="default"/>
        <w:b w:val="0"/>
      </w:rPr>
    </w:lvl>
    <w:lvl w:ilvl="3">
      <w:start w:val="1"/>
      <w:numFmt w:val="decimal"/>
      <w:lvlText w:val="%1.%2.%3.%4."/>
      <w:lvlJc w:val="left"/>
      <w:pPr>
        <w:tabs>
          <w:tab w:val="num" w:pos="1810"/>
        </w:tabs>
        <w:ind w:left="181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4851A68"/>
    <w:multiLevelType w:val="hybridMultilevel"/>
    <w:tmpl w:val="1DCEB440"/>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2627859"/>
    <w:multiLevelType w:val="hybridMultilevel"/>
    <w:tmpl w:val="EF54249E"/>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hideSpellingErrors/>
  <w:hideGrammaticalErrors/>
  <w:revisionView w:markup="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2"/>
    <w:docVar w:name="LW_ANNEX_UNIQUE" w:val="0"/>
    <w:docVar w:name="LW_CORRIGENDUM" w:val="&lt;UNUSED&gt;"/>
    <w:docVar w:name="LW_COVERPAGE_EXISTS" w:val="True"/>
    <w:docVar w:name="LW_COVERPAGE_GUID" w:val="302A60FA-A2EB-4797-BE33-0E6F17CE90EC"/>
    <w:docVar w:name="LW_COVERPAGE_TYPE" w:val="1"/>
    <w:docVar w:name="LW_CROSSREFERENCE" w:val="{SWD(2020) 156 final} - {SWD(2020) 157 final} - {SWD(2020) 158 final} - {SWD(2020) 159 final} - {SWD(2020) 160 final}"/>
    <w:docVar w:name="LW_DocType" w:val="NORMAL"/>
    <w:docVar w:name="LW_EMISSION" w:val="3.9.2020"/>
    <w:docVar w:name="LW_EMISSION_ISODATE" w:val="2020-09-03"/>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31st Annual Report on the protection of the European Union's financial interests - Fight against fraud - 2019"/>
    <w:docVar w:name="LW_PART_NBR" w:val="&lt;UNUSED&gt;"/>
    <w:docVar w:name="LW_PART_NBR_TOTAL" w:val="&lt;UNUSED&gt;"/>
    <w:docVar w:name="LW_REF.INST.NEW" w:val="COM"/>
    <w:docVar w:name="LW_REF.INST.NEW_ADOPTED" w:val="final"/>
    <w:docVar w:name="LW_REF.INST.NEW_TEXT" w:val="(2020) 3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numPr>
        <w:numId w:val="3"/>
      </w:numPr>
      <w:spacing w:before="360"/>
      <w:outlineLvl w:val="0"/>
    </w:pPr>
    <w:rPr>
      <w:b/>
      <w:bCs/>
      <w:smallCaps/>
      <w:szCs w:val="32"/>
    </w:rPr>
  </w:style>
  <w:style w:type="paragraph" w:styleId="Heading2">
    <w:name w:val="heading 2"/>
    <w:basedOn w:val="Normal"/>
    <w:next w:val="Normal"/>
    <w:link w:val="Heading2Char"/>
    <w:qFormat/>
    <w:pPr>
      <w:keepNext/>
      <w:numPr>
        <w:ilvl w:val="1"/>
        <w:numId w:val="3"/>
      </w:numPr>
      <w:outlineLvl w:val="1"/>
    </w:pPr>
    <w:rPr>
      <w:rFonts w:eastAsia="Calibri"/>
      <w:b/>
      <w:bCs/>
      <w:iCs/>
      <w:szCs w:val="28"/>
    </w:rPr>
  </w:style>
  <w:style w:type="paragraph" w:styleId="Heading3">
    <w:name w:val="heading 3"/>
    <w:basedOn w:val="Normal"/>
    <w:next w:val="Normal"/>
    <w:link w:val="Heading3Char"/>
    <w:qFormat/>
    <w:pPr>
      <w:keepNext/>
      <w:numPr>
        <w:ilvl w:val="2"/>
        <w:numId w:val="3"/>
      </w:numPr>
      <w:outlineLvl w:val="2"/>
    </w:pPr>
    <w:rPr>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Pagedecouverture">
    <w:name w:val="Page de couverture"/>
    <w:basedOn w:val="Normal"/>
    <w:next w:val="Normal"/>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SubTitle1">
    <w:name w:val="SubTitle 1"/>
    <w:basedOn w:val="Normal"/>
    <w:next w:val="Normal"/>
    <w:pPr>
      <w:spacing w:before="0" w:after="240"/>
      <w:jc w:val="center"/>
    </w:pPr>
    <w:rPr>
      <w:b/>
      <w:sz w:val="40"/>
      <w:szCs w:val="20"/>
      <w:lang w:eastAsia="en-GB"/>
    </w:rPr>
  </w:style>
  <w:style w:type="paragraph" w:styleId="Title">
    <w:name w:val="Title"/>
    <w:basedOn w:val="Normal"/>
    <w:next w:val="SubTitle1"/>
    <w:link w:val="TitleChar"/>
    <w:pPr>
      <w:spacing w:before="0" w:after="480"/>
      <w:jc w:val="center"/>
    </w:pPr>
    <w:rPr>
      <w:b/>
      <w:kern w:val="28"/>
      <w:sz w:val="48"/>
      <w:szCs w:val="20"/>
      <w:lang w:eastAsia="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eastAsia="en-GB"/>
    </w:rPr>
  </w:style>
  <w:style w:type="paragraph" w:customStyle="1" w:styleId="ZFlag">
    <w:name w:val="Z_Flag"/>
    <w:basedOn w:val="Normal"/>
    <w:next w:val="Normal"/>
    <w:uiPriority w:val="99"/>
    <w:semiHidden/>
    <w:pPr>
      <w:widowControl w:val="0"/>
      <w:spacing w:before="0" w:after="0"/>
      <w:ind w:right="85"/>
    </w:pPr>
    <w:rPr>
      <w:szCs w:val="20"/>
      <w:lang w:eastAsia="en-GB"/>
    </w:rPr>
  </w:style>
  <w:style w:type="paragraph" w:customStyle="1" w:styleId="ZCom">
    <w:name w:val="Z_Com"/>
    <w:basedOn w:val="Normal"/>
    <w:next w:val="Normal"/>
    <w:uiPriority w:val="99"/>
    <w:semiHidden/>
    <w:pPr>
      <w:widowControl w:val="0"/>
      <w:spacing w:before="90" w:after="0"/>
      <w:ind w:right="85"/>
    </w:pPr>
    <w:rPr>
      <w:szCs w:val="20"/>
      <w:lang w:eastAsia="en-GB"/>
    </w:rPr>
  </w:style>
  <w:style w:type="paragraph" w:customStyle="1" w:styleId="ZDGName">
    <w:name w:val="Z_DGName"/>
    <w:basedOn w:val="Normal"/>
    <w:uiPriority w:val="99"/>
    <w:semiHidden/>
    <w:pPr>
      <w:widowControl w:val="0"/>
      <w:spacing w:before="0" w:after="0"/>
      <w:ind w:right="85"/>
      <w:jc w:val="left"/>
    </w:pPr>
    <w:rPr>
      <w:sz w:val="16"/>
      <w:szCs w:val="20"/>
      <w:lang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styleId="PlaceholderText">
    <w:name w:val="Placeholder Text"/>
    <w:basedOn w:val="DefaultParagraphFont"/>
    <w:uiPriority w:val="99"/>
    <w:semiHidden/>
    <w:rPr>
      <w:color w:val="288061"/>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Calibri"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numPr>
        <w:numId w:val="3"/>
      </w:numPr>
      <w:spacing w:before="360"/>
      <w:outlineLvl w:val="0"/>
    </w:pPr>
    <w:rPr>
      <w:b/>
      <w:bCs/>
      <w:smallCaps/>
      <w:szCs w:val="32"/>
    </w:rPr>
  </w:style>
  <w:style w:type="paragraph" w:styleId="Heading2">
    <w:name w:val="heading 2"/>
    <w:basedOn w:val="Normal"/>
    <w:next w:val="Normal"/>
    <w:link w:val="Heading2Char"/>
    <w:qFormat/>
    <w:pPr>
      <w:keepNext/>
      <w:numPr>
        <w:ilvl w:val="1"/>
        <w:numId w:val="3"/>
      </w:numPr>
      <w:outlineLvl w:val="1"/>
    </w:pPr>
    <w:rPr>
      <w:rFonts w:eastAsia="Calibri"/>
      <w:b/>
      <w:bCs/>
      <w:iCs/>
      <w:szCs w:val="28"/>
    </w:rPr>
  </w:style>
  <w:style w:type="paragraph" w:styleId="Heading3">
    <w:name w:val="heading 3"/>
    <w:basedOn w:val="Normal"/>
    <w:next w:val="Normal"/>
    <w:link w:val="Heading3Char"/>
    <w:qFormat/>
    <w:pPr>
      <w:keepNext/>
      <w:numPr>
        <w:ilvl w:val="2"/>
        <w:numId w:val="3"/>
      </w:numPr>
      <w:outlineLvl w:val="2"/>
    </w:pPr>
    <w:rPr>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Pagedecouverture">
    <w:name w:val="Page de couverture"/>
    <w:basedOn w:val="Normal"/>
    <w:next w:val="Normal"/>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SubTitle1">
    <w:name w:val="SubTitle 1"/>
    <w:basedOn w:val="Normal"/>
    <w:next w:val="Normal"/>
    <w:pPr>
      <w:spacing w:before="0" w:after="240"/>
      <w:jc w:val="center"/>
    </w:pPr>
    <w:rPr>
      <w:b/>
      <w:sz w:val="40"/>
      <w:szCs w:val="20"/>
      <w:lang w:eastAsia="en-GB"/>
    </w:rPr>
  </w:style>
  <w:style w:type="paragraph" w:styleId="Title">
    <w:name w:val="Title"/>
    <w:basedOn w:val="Normal"/>
    <w:next w:val="SubTitle1"/>
    <w:link w:val="TitleChar"/>
    <w:pPr>
      <w:spacing w:before="0" w:after="480"/>
      <w:jc w:val="center"/>
    </w:pPr>
    <w:rPr>
      <w:b/>
      <w:kern w:val="28"/>
      <w:sz w:val="48"/>
      <w:szCs w:val="20"/>
      <w:lang w:eastAsia="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eastAsia="en-GB"/>
    </w:rPr>
  </w:style>
  <w:style w:type="paragraph" w:customStyle="1" w:styleId="ZFlag">
    <w:name w:val="Z_Flag"/>
    <w:basedOn w:val="Normal"/>
    <w:next w:val="Normal"/>
    <w:uiPriority w:val="99"/>
    <w:semiHidden/>
    <w:pPr>
      <w:widowControl w:val="0"/>
      <w:spacing w:before="0" w:after="0"/>
      <w:ind w:right="85"/>
    </w:pPr>
    <w:rPr>
      <w:szCs w:val="20"/>
      <w:lang w:eastAsia="en-GB"/>
    </w:rPr>
  </w:style>
  <w:style w:type="paragraph" w:customStyle="1" w:styleId="ZCom">
    <w:name w:val="Z_Com"/>
    <w:basedOn w:val="Normal"/>
    <w:next w:val="Normal"/>
    <w:uiPriority w:val="99"/>
    <w:semiHidden/>
    <w:pPr>
      <w:widowControl w:val="0"/>
      <w:spacing w:before="90" w:after="0"/>
      <w:ind w:right="85"/>
    </w:pPr>
    <w:rPr>
      <w:szCs w:val="20"/>
      <w:lang w:eastAsia="en-GB"/>
    </w:rPr>
  </w:style>
  <w:style w:type="paragraph" w:customStyle="1" w:styleId="ZDGName">
    <w:name w:val="Z_DGName"/>
    <w:basedOn w:val="Normal"/>
    <w:uiPriority w:val="99"/>
    <w:semiHidden/>
    <w:pPr>
      <w:widowControl w:val="0"/>
      <w:spacing w:before="0" w:after="0"/>
      <w:ind w:right="85"/>
      <w:jc w:val="left"/>
    </w:pPr>
    <w:rPr>
      <w:sz w:val="16"/>
      <w:szCs w:val="20"/>
      <w:lang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styleId="PlaceholderText">
    <w:name w:val="Placeholder Text"/>
    <w:basedOn w:val="DefaultParagraphFont"/>
    <w:uiPriority w:val="99"/>
    <w:semiHidden/>
    <w:rPr>
      <w:color w:val="288061"/>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Calibri"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1704">
      <w:bodyDiv w:val="1"/>
      <w:marLeft w:val="0"/>
      <w:marRight w:val="0"/>
      <w:marTop w:val="0"/>
      <w:marBottom w:val="0"/>
      <w:divBdr>
        <w:top w:val="none" w:sz="0" w:space="0" w:color="auto"/>
        <w:left w:val="none" w:sz="0" w:space="0" w:color="auto"/>
        <w:bottom w:val="none" w:sz="0" w:space="0" w:color="auto"/>
        <w:right w:val="none" w:sz="0" w:space="0" w:color="auto"/>
      </w:divBdr>
    </w:div>
    <w:div w:id="11889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151</Words>
  <Characters>820</Characters>
  <Application>Microsoft Office Word</Application>
  <DocSecurity>0</DocSecurity>
  <Lines>14</Lines>
  <Paragraphs>7</Paragraphs>
  <ScaleCrop>false</ScaleCrop>
  <HeadingPairs>
    <vt:vector size="2" baseType="variant">
      <vt:variant>
        <vt:lpstr>Title</vt:lpstr>
      </vt:variant>
      <vt:variant>
        <vt:i4>1</vt:i4>
      </vt:variant>
    </vt:vector>
  </HeadingPairs>
  <TitlesOfParts>
    <vt:vector size="1" baseType="lpstr">
      <vt:lpstr>Working document 
for the 
COCOLAF Reporting and Analysis meeting</vt:lpstr>
    </vt:vector>
  </TitlesOfParts>
  <Company>European Commission</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document 
for the 
COCOLAF Reporting and Analysis meeting</dc:title>
  <dc:subject>Annexes to the Draft 31st Annual Report on the protection of the EU’s financial interests and the fight against fraud - 2019</dc:subject>
  <dc:creator>BORDONI Andrea (OLAF)</dc:creator>
  <cp:keywords/>
  <dc:description/>
  <cp:lastModifiedBy>WES PDFC Administrator</cp:lastModifiedBy>
  <cp:revision>14</cp:revision>
  <dcterms:created xsi:type="dcterms:W3CDTF">2020-06-18T16:31:00Z</dcterms:created>
  <dcterms:modified xsi:type="dcterms:W3CDTF">2020-08-28T09:07:00Z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