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C0B7064-878D-4885-A7B6-03638AD22BC1"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свързани със здравето мерки, по‐специално на работното място.</w:t>
      </w:r>
    </w:p>
    <w:p>
      <w:pPr>
        <w:rPr>
          <w:noProof/>
        </w:rPr>
      </w:pPr>
      <w:r>
        <w:rPr>
          <w:noProof/>
        </w:rPr>
        <w:t xml:space="preserve">На 7 август 2020 г. Белгия поиска финансова помощ от Съюза по силата на Регламента за SURE. В съответствие с член 6, параграф 2 от Регламента за SURE Комисията проведе консултации с белгийските власти, за да провери внезапното и съществено увеличение на извършените и планирани публични разходи, пряко свързани с предизвиканите от пандемията от COVID-19 : </w:t>
      </w:r>
      <w:r>
        <w:rPr>
          <w:rStyle w:val="Strong"/>
          <w:b w:val="0"/>
          <w:noProof/>
        </w:rPr>
        <w:t>схема за временна безработица, заместващ доход за самостоятелно заети лица, родителски отпуск, определен брой регионални схеми</w:t>
      </w:r>
      <w:r>
        <w:rPr>
          <w:noProof/>
        </w:rPr>
        <w:t xml:space="preserve"> за подпомагане на доходите и регионални мерки за здравеопазване. По-специално, увеличените разходи обхващат:</w:t>
      </w:r>
    </w:p>
    <w:p>
      <w:pPr>
        <w:pStyle w:val="Point0"/>
        <w:rPr>
          <w:rStyle w:val="Strong"/>
          <w:b w:val="0"/>
          <w:bCs w:val="0"/>
          <w:noProof/>
        </w:rPr>
      </w:pPr>
      <w:r>
        <w:rPr>
          <w:rStyle w:val="Strong"/>
        </w:rPr>
        <w:t>(1)</w:t>
      </w:r>
      <w:r>
        <w:rPr>
          <w:rStyle w:val="Strong"/>
        </w:rPr>
        <w:tab/>
      </w:r>
      <w:r>
        <w:rPr>
          <w:rStyle w:val="Strong"/>
          <w:b w:val="0"/>
          <w:noProof/>
        </w:rPr>
        <w:t>схемата за временна безработица, „</w:t>
      </w:r>
      <w:r>
        <w:rPr>
          <w:i/>
          <w:noProof/>
        </w:rPr>
        <w:t>chômage temporaire/</w:t>
      </w:r>
      <w:r>
        <w:rPr>
          <w:noProof/>
        </w:rPr>
        <w:t xml:space="preserve"> tijdelijke werkloosheid</w:t>
      </w:r>
      <w:r>
        <w:rPr>
          <w:rStyle w:val="Strong"/>
          <w:b w:val="0"/>
          <w:noProof/>
        </w:rPr>
        <w:t xml:space="preserve">“, по която се предоставя обезщетение на служители, чийто труд е намален или спрян </w:t>
      </w:r>
      <w:r>
        <w:rPr>
          <w:noProof/>
        </w:rPr>
        <w:t>поради спад в работното натоварване или поради мерки за социално дистанциране, наложени от правителството</w:t>
      </w:r>
      <w:r>
        <w:rPr>
          <w:rStyle w:val="Strong"/>
          <w:b w:val="0"/>
          <w:noProof/>
        </w:rPr>
        <w:t xml:space="preserve">. </w:t>
      </w:r>
      <w:r>
        <w:rPr>
          <w:noProof/>
        </w:rPr>
        <w:t xml:space="preserve">Схемата за временна безработица съществуваше преди пандемията от COVID-19, но </w:t>
      </w:r>
      <w:r>
        <w:rPr>
          <w:rStyle w:val="Strong"/>
          <w:b w:val="0"/>
          <w:noProof/>
        </w:rPr>
        <w:t>изискванията за достъп до нея бяха адаптирани към COVID-19 и процедурата за подаване на заявления беше облекчена допълнително</w:t>
      </w:r>
      <w:r>
        <w:rPr>
          <w:noProof/>
        </w:rPr>
        <w:t>.</w:t>
      </w:r>
      <w:r>
        <w:rPr>
          <w:rStyle w:val="Strong"/>
          <w:b w:val="0"/>
          <w:noProof/>
        </w:rPr>
        <w:t xml:space="preserve"> Освен това</w:t>
      </w:r>
      <w:r>
        <w:rPr>
          <w:noProof/>
        </w:rPr>
        <w:t xml:space="preserve"> обезщетението за временна безработица бе увеличено от 65 % на 70 % от средната дневна работна заплата (с таван от 2 754,76 евро бруто на месец). В допълнение беше въведена дневна премия от 5,36 евро.</w:t>
      </w:r>
    </w:p>
    <w:p>
      <w:pPr>
        <w:pStyle w:val="Point0"/>
        <w:rPr>
          <w:noProof/>
        </w:rPr>
      </w:pPr>
      <w:r>
        <w:t>(2)</w:t>
      </w:r>
      <w:r>
        <w:tab/>
      </w:r>
      <w:r>
        <w:rPr>
          <w:noProof/>
        </w:rPr>
        <w:t xml:space="preserve">съществуващият заместващ доход за самостоятелно заети лица, „временно право“ </w:t>
      </w:r>
      <w:r>
        <w:rPr>
          <w:rStyle w:val="Strong"/>
          <w:b w:val="0"/>
          <w:noProof/>
        </w:rPr>
        <w:t>(</w:t>
      </w:r>
      <w:r>
        <w:rPr>
          <w:rStyle w:val="Strong"/>
          <w:b w:val="0"/>
          <w:i/>
          <w:noProof/>
        </w:rPr>
        <w:t>„Droit passerelle/</w:t>
      </w:r>
      <w:r>
        <w:rPr>
          <w:i/>
          <w:noProof/>
        </w:rPr>
        <w:t>“</w:t>
      </w:r>
      <w:r>
        <w:rPr>
          <w:rStyle w:val="Strong"/>
          <w:b w:val="0"/>
          <w:i/>
          <w:noProof/>
        </w:rPr>
        <w:t>„Overbruggingsrecht“</w:t>
      </w:r>
      <w:r>
        <w:rPr>
          <w:rStyle w:val="Strong"/>
          <w:b w:val="0"/>
          <w:noProof/>
        </w:rPr>
        <w:t>), който бе разширен</w:t>
      </w:r>
      <w:r>
        <w:rPr>
          <w:noProof/>
        </w:rPr>
        <w:t xml:space="preserve"> с въвеждането на „временно право, свързано с COVID-19“. То представлява обезщетение, което се предоставя, когато наложените от правителството мерки за социално дистанциране водят до пълно или частично прекъсване на дейността на самостоятелно заето лице или до доброволно прекъсване от поне седем последователни календарни дни през месеца. От юни 2020 г. обезщетението е предназначено за самостоятелно заети лица, които са възобновили дейността си, но оборотът им все още намалява в сравнение с 2019 г. Самостоятелно заетите лица, които все още не могат възобновят дейността си, все още могат да се възползват от обезщетението, но трябва да докажат, че това се дължи на ограниченията, свързани с COVID-19. </w:t>
      </w:r>
    </w:p>
    <w:p>
      <w:pPr>
        <w:pStyle w:val="Point0"/>
        <w:rPr>
          <w:noProof/>
        </w:rPr>
      </w:pPr>
      <w:r>
        <w:t>(3)</w:t>
      </w:r>
      <w:r>
        <w:tab/>
      </w:r>
      <w:r>
        <w:rPr>
          <w:noProof/>
        </w:rPr>
        <w:t xml:space="preserve">родителският отпуск, свързан с COVID-19, е специален родителски отпуск, който не засяга правото на редовен родителски отпуск, и позволява на родителите да ползват отпуск, за да положат допълнителни грижи за децата си между май и септември 2020 г., като получават по-високи надбавки от предвидените за редовния родителски отпуск. </w:t>
      </w:r>
    </w:p>
    <w:p>
      <w:pPr>
        <w:pStyle w:val="Point0"/>
        <w:rPr>
          <w:noProof/>
        </w:rPr>
      </w:pPr>
      <w:r>
        <w:lastRenderedPageBreak/>
        <w:t>(4)</w:t>
      </w:r>
      <w:r>
        <w:tab/>
      </w:r>
      <w:r>
        <w:rPr>
          <w:noProof/>
        </w:rPr>
        <w:t>определен брой регионални схеми, по които се предоставя подпомагане на доходите на самостоятелно заетите лица, еднолични дружества и други видове работници и служители, които не отговарят на условията за други видове подпомагане на доходите. По-специално компенсационните премии, предназначени за дружествата и предприемачите в регион Брюксел-столица, премията за вреди, компенсационната премия и премията за подкрепа във Фландрия, както и компенсационната премия за прекъсване на стопанска дейност във Валония предоставят обща еднократна подкрепа за предприятия и самостоятелно заети лица, които са били принудени да прекъснат дейността си поради COVID-19 или чийто оборот значително е намалял. Други мерки (компенсационната премия за работници с непостоянна работа в регион Брюксел-столица, субсидията за детски ясли и за културни дейци във Френската общност, дейностите по обучение във Валония, субсидията за културните дейци, самостоятелно заетите лица и туристическите оператори в немскоезичната общност) са предназначени за самостоятелно заети лица и работници, които нямат достъп до схемата за временна безработица в конкретни сектори (културата, грижите и обученията).</w:t>
      </w:r>
    </w:p>
    <w:p>
      <w:pPr>
        <w:pStyle w:val="Point0"/>
        <w:rPr>
          <w:noProof/>
        </w:rPr>
      </w:pPr>
      <w:r>
        <w:t>(5)</w:t>
      </w:r>
      <w:r>
        <w:tab/>
      </w:r>
      <w:r>
        <w:rPr>
          <w:noProof/>
        </w:rPr>
        <w:t>мерките, свързани със здравеопазването в немскоезичната общност, включват обучение по хигиена, осигуряване на предпазен материал за центрове за настаняване и грижи, болници и доставчици на медицински услуги и информационни кампании.</w:t>
      </w:r>
    </w:p>
    <w:p>
      <w:pPr>
        <w:rPr>
          <w:noProof/>
        </w:rPr>
      </w:pPr>
      <w:r>
        <w:rPr>
          <w:noProof/>
        </w:rPr>
        <w:t xml:space="preserve">Белгия предостави на Комисията необходимите сведения. </w:t>
      </w:r>
    </w:p>
    <w:p>
      <w:pPr>
        <w:rPr>
          <w:b/>
          <w:bCs/>
          <w:noProof/>
        </w:rPr>
      </w:pPr>
      <w:r>
        <w:rPr>
          <w:noProof/>
        </w:rPr>
        <w:t xml:space="preserve">Предвид наличните доказателства Комисията предлага на Съвета да приеме решение за изпълнение, с което на Белгия по силата на Регламента за SURE да се предостави финансова помощ в подкрепа на </w:t>
      </w:r>
      <w:r>
        <w:rPr>
          <w:rStyle w:val="Strong"/>
          <w:b w:val="0"/>
          <w:noProof/>
        </w:rPr>
        <w:t>горепосочените мерки</w:t>
      </w:r>
      <w:r>
        <w:rPr>
          <w:noProof/>
        </w:rPr>
        <w: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lastRenderedPageBreak/>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6"/>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временна подкрепа на Белгия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7 август Белгия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Белгия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Белгия от пролетта на 2020 г., към края на 2020 г. дефицитът по консолидирания държавен бюджет се очаква да достигне 8,9 % от брутния вътрешен продукт (БВП), а консолидираният държавен дълг — 113,8 % от БВП. Според междинната прогноза на Комисията за Белгия от лятото на 2020 г., през 2020 г. БВП се очаква да намалее със 8,8 %. </w:t>
      </w:r>
    </w:p>
    <w:p>
      <w:pPr>
        <w:pStyle w:val="ManualConsidrant"/>
        <w:rPr>
          <w:noProof/>
        </w:rPr>
      </w:pPr>
      <w:r>
        <w:t>(3)</w:t>
      </w:r>
      <w:r>
        <w:tab/>
      </w:r>
      <w:r>
        <w:rPr>
          <w:noProof/>
        </w:rPr>
        <w:t xml:space="preserve">Избухването на COVID-19 блокира значителна част от белгийската работна сила. Това доведе до внезапно и рязко нарастване на публичните разходи в Белгия по отношение на </w:t>
      </w:r>
      <w:r>
        <w:rPr>
          <w:rStyle w:val="Strong"/>
          <w:b w:val="0"/>
          <w:noProof/>
        </w:rPr>
        <w:t>схемата за временна безработица</w:t>
      </w:r>
      <w:r>
        <w:rPr>
          <w:noProof/>
        </w:rPr>
        <w:t xml:space="preserve"> „chômage temporaire/tijdelijke werkloosheid, „</w:t>
      </w:r>
      <w:r>
        <w:rPr>
          <w:rStyle w:val="Strong"/>
          <w:b w:val="0"/>
          <w:noProof/>
        </w:rPr>
        <w:t>заместващия доход за самостоятелно заети лица, свързан с COVID-19</w:t>
      </w:r>
      <w:r>
        <w:rPr>
          <w:noProof/>
        </w:rPr>
        <w:t>“, „</w:t>
      </w:r>
      <w:r>
        <w:rPr>
          <w:rStyle w:val="Strong"/>
          <w:b w:val="0"/>
          <w:noProof/>
        </w:rPr>
        <w:t>временното право, свързано с COVID-19</w:t>
      </w:r>
      <w:r>
        <w:rPr>
          <w:noProof/>
        </w:rPr>
        <w:t xml:space="preserve">“, родителския отпуск, свързан с COVID-19, определения брой регионални схеми за подпомагане на доходите и регионалните мерки за обществено здравеопазване, свързани с COVID-19, както е посочено в съображения 4—8. </w:t>
      </w:r>
    </w:p>
    <w:p>
      <w:pPr>
        <w:pStyle w:val="ManualConsidrant"/>
        <w:rPr>
          <w:rStyle w:val="Strong"/>
          <w:b w:val="0"/>
          <w:bCs w:val="0"/>
          <w:noProof/>
        </w:rPr>
      </w:pPr>
      <w:r>
        <w:rPr>
          <w:rStyle w:val="Strong"/>
        </w:rPr>
        <w:t>(4)</w:t>
      </w:r>
      <w:r>
        <w:rPr>
          <w:rStyle w:val="Strong"/>
        </w:rPr>
        <w:tab/>
      </w:r>
      <w:r>
        <w:rPr>
          <w:noProof/>
        </w:rPr>
        <w:t>С посочения в искането на Белгия от 7 август 2020 г. „Arrêté royal du 30 mars 2020“</w:t>
      </w:r>
      <w:r>
        <w:rPr>
          <w:rStyle w:val="FootnoteReference"/>
          <w:bCs/>
          <w:noProof/>
        </w:rPr>
        <w:footnoteReference w:id="2"/>
      </w:r>
      <w:r>
        <w:rPr>
          <w:noProof/>
        </w:rPr>
        <w:t xml:space="preserve">, се адаптират към COVID-19 </w:t>
      </w:r>
      <w:r>
        <w:rPr>
          <w:rStyle w:val="Strong"/>
          <w:b w:val="0"/>
          <w:noProof/>
        </w:rPr>
        <w:t>схемата за временна безработица</w:t>
      </w:r>
      <w:r>
        <w:rPr>
          <w:noProof/>
        </w:rPr>
        <w:t xml:space="preserve">, „chômage </w:t>
      </w:r>
      <w:r>
        <w:rPr>
          <w:noProof/>
        </w:rPr>
        <w:lastRenderedPageBreak/>
        <w:t xml:space="preserve">temporaire/ tijdelijke werkloosheid“, по която се предоставя </w:t>
      </w:r>
      <w:r>
        <w:rPr>
          <w:rStyle w:val="Strong"/>
          <w:b w:val="0"/>
          <w:noProof/>
        </w:rPr>
        <w:t>обезщетение на служители, чийто труд е намален или спрян</w:t>
      </w:r>
      <w:r>
        <w:rPr>
          <w:noProof/>
        </w:rPr>
        <w:t xml:space="preserve"> поради спад в работното натоварване или поради мерки за социално дистанциране, наложени от правителството</w:t>
      </w:r>
      <w:r>
        <w:rPr>
          <w:rStyle w:val="Strong"/>
          <w:b w:val="0"/>
          <w:noProof/>
        </w:rPr>
        <w:t xml:space="preserve">. </w:t>
      </w:r>
      <w:r>
        <w:rPr>
          <w:noProof/>
        </w:rPr>
        <w:t xml:space="preserve">Схемата за временна безработица съществуваше преди пандемията от COVID-19, но </w:t>
      </w:r>
      <w:r>
        <w:rPr>
          <w:rStyle w:val="Strong"/>
          <w:b w:val="0"/>
          <w:noProof/>
        </w:rPr>
        <w:t>изискванията за достъп до нея бяха адаптирани към COVID-19 и процедурата за подаване на заявления беше облекчена допълнително</w:t>
      </w:r>
      <w:r>
        <w:rPr>
          <w:noProof/>
        </w:rPr>
        <w:t>.</w:t>
      </w:r>
      <w:r>
        <w:rPr>
          <w:rStyle w:val="Strong"/>
          <w:b w:val="0"/>
          <w:noProof/>
        </w:rPr>
        <w:t xml:space="preserve"> Освен това</w:t>
      </w:r>
      <w:r>
        <w:rPr>
          <w:noProof/>
        </w:rPr>
        <w:t xml:space="preserve"> обезщетението за временна безработица бе увеличено от 65 % на 70 % от средната дневна работна заплата (с таван от 2 754,76 евро бруто на месец). В допълнение беше въведена дневна премия от 5,36 евро.</w:t>
      </w:r>
    </w:p>
    <w:p>
      <w:pPr>
        <w:pStyle w:val="ManualConsidrant"/>
        <w:rPr>
          <w:bCs/>
          <w:noProof/>
        </w:rPr>
      </w:pPr>
      <w:r>
        <w:t>(5)</w:t>
      </w:r>
      <w:r>
        <w:tab/>
      </w:r>
      <w:r>
        <w:rPr>
          <w:noProof/>
        </w:rPr>
        <w:t>С посочения в искането на Белгия от 7 август 2020 г. „Loi du 23 mars 2020“</w:t>
      </w:r>
      <w:r>
        <w:rPr>
          <w:rStyle w:val="FootnoteReference"/>
          <w:bCs/>
          <w:noProof/>
        </w:rPr>
        <w:footnoteReference w:id="3"/>
      </w:r>
      <w:r>
        <w:rPr>
          <w:noProof/>
        </w:rPr>
        <w:t xml:space="preserve"> съществуващият заместващ доход за самостоятелно заети лица, „временно право“, </w:t>
      </w:r>
      <w:r>
        <w:rPr>
          <w:rStyle w:val="Strong"/>
          <w:b w:val="0"/>
          <w:noProof/>
        </w:rPr>
        <w:t>(</w:t>
      </w:r>
      <w:r>
        <w:rPr>
          <w:rStyle w:val="Strong"/>
          <w:b w:val="0"/>
          <w:i/>
          <w:noProof/>
        </w:rPr>
        <w:t>„Droit passerelle/“</w:t>
      </w:r>
      <w:r>
        <w:rPr>
          <w:i/>
          <w:noProof/>
        </w:rPr>
        <w:t>„ “</w:t>
      </w:r>
      <w:r>
        <w:rPr>
          <w:rStyle w:val="Strong"/>
          <w:b w:val="0"/>
          <w:i/>
          <w:noProof/>
        </w:rPr>
        <w:t>„Overbruggingsrecht“</w:t>
      </w:r>
      <w:r>
        <w:rPr>
          <w:rStyle w:val="Strong"/>
          <w:b w:val="0"/>
          <w:noProof/>
        </w:rPr>
        <w:t xml:space="preserve">), </w:t>
      </w:r>
      <w:r>
        <w:rPr>
          <w:noProof/>
        </w:rPr>
        <w:t xml:space="preserve">бе разширен с въвеждането на „временно право, свързано с COVID-19“. То представлява обезщетение, което се предоставя, когато наложените от правителството мерки за социално дистанциране водят до пълно или частично прекъсване на дейността на самостоятелно заето лице или до доброволно прекъсване от поне седем последователни календарни дни през месеца. От юни 2020 г. обезщетението е предназначено за самостоятелно заети лица, които са възобновили дейността си, но оборотът им все още намалява в сравнение с 2019 г. Самостоятелно заетите лица, които все още не могат възобновят дейността си, все още могат да се възползват от обезщетението, но трябва да докажат, че това се дължи на ограниченията, свързани с COVID-19. </w:t>
      </w:r>
    </w:p>
    <w:p>
      <w:pPr>
        <w:pStyle w:val="ManualConsidrant"/>
        <w:rPr>
          <w:bCs/>
          <w:noProof/>
        </w:rPr>
      </w:pPr>
      <w:r>
        <w:t>(6)</w:t>
      </w:r>
      <w:r>
        <w:tab/>
      </w:r>
      <w:r>
        <w:rPr>
          <w:noProof/>
        </w:rPr>
        <w:t>С посочения в искането на Белгия от 7 август 2020 г. „Arrêté royal du 13 mai 2020“</w:t>
      </w:r>
      <w:r>
        <w:rPr>
          <w:rStyle w:val="FootnoteReference"/>
          <w:bCs/>
          <w:noProof/>
        </w:rPr>
        <w:footnoteReference w:id="4"/>
      </w:r>
      <w:r>
        <w:rPr>
          <w:noProof/>
        </w:rPr>
        <w:t xml:space="preserve"> бе въведен родителски отпуск, свързан с COVID-19, който е специален родителски отпуск, незасягащ правото на редовен родителски отпуск и позволяващ на родителите да ползват отпуск, за да положат допълнителни грижи за децата си между май и септември 2020 г., като получават по-високи надбавки от предвидените за редовния родителски отпуск. Родителският отпуск, свързан с COVID-19, може да се разглежда като мярка, подобна на схемите за работа на непълно работно време, посочени в Регламент (ЕС) 2020/672, тъй като предоставя помощ за доходите на служителите и спомага за запазване на заетостта, като предотвратява необходимостта родителите, които трябва да се грижат за децата си, докато училищата са затворени, да прекратят трудовите правоотношения.</w:t>
      </w:r>
    </w:p>
    <w:p>
      <w:pPr>
        <w:pStyle w:val="ManualConsidrant"/>
        <w:rPr>
          <w:bCs/>
          <w:noProof/>
        </w:rPr>
      </w:pPr>
      <w:r>
        <w:t>(7)</w:t>
      </w:r>
      <w:r>
        <w:tab/>
      </w:r>
      <w:r>
        <w:rPr>
          <w:noProof/>
        </w:rPr>
        <w:t>Въз основа на посочените в искането на Белгия от 7 август 2020 г. „Arrêté du Gouvernement de la Région de Bruxelles-Capitale de pouvoirs spéciaux n° 2020/019“</w:t>
      </w:r>
      <w:r>
        <w:rPr>
          <w:rStyle w:val="FootnoteReference"/>
          <w:noProof/>
        </w:rPr>
        <w:footnoteReference w:id="5"/>
      </w:r>
      <w:r>
        <w:rPr>
          <w:noProof/>
        </w:rPr>
        <w:t xml:space="preserve">, „Arrêté du Gouvernement de la Région de Bruxelles-Capitale de pouvoirs </w:t>
      </w:r>
      <w:r>
        <w:rPr>
          <w:noProof/>
        </w:rPr>
        <w:lastRenderedPageBreak/>
        <w:t>spéciaux n° 2020/030“</w:t>
      </w:r>
      <w:r>
        <w:rPr>
          <w:rStyle w:val="FootnoteReference"/>
          <w:noProof/>
        </w:rPr>
        <w:footnoteReference w:id="6"/>
      </w:r>
      <w:r>
        <w:rPr>
          <w:noProof/>
        </w:rPr>
        <w:t>, „Notification de la réunion du conseil des ministres du gouvernement de la région de Bruxelles-Capitale du jeudi 14 mai 2020“</w:t>
      </w:r>
      <w:r>
        <w:rPr>
          <w:rStyle w:val="FootnoteReference"/>
          <w:noProof/>
        </w:rPr>
        <w:footnoteReference w:id="7"/>
      </w:r>
      <w:r>
        <w:rPr>
          <w:noProof/>
        </w:rPr>
        <w:t>, „Besluit van de Vlaamse Regering van 20 maart 2020“</w:t>
      </w:r>
      <w:r>
        <w:rPr>
          <w:rStyle w:val="FootnoteReference"/>
          <w:noProof/>
        </w:rPr>
        <w:footnoteReference w:id="8"/>
      </w:r>
      <w:r>
        <w:rPr>
          <w:noProof/>
        </w:rPr>
        <w:t>, “Besluit van de Vlaamse Regering van 10 april 2020”</w:t>
      </w:r>
      <w:r>
        <w:rPr>
          <w:rStyle w:val="FootnoteReference"/>
          <w:noProof/>
        </w:rPr>
        <w:footnoteReference w:id="9"/>
      </w:r>
      <w:r>
        <w:rPr>
          <w:noProof/>
        </w:rPr>
        <w:t>, “Besluit van de Vlaamse Regering van 12 juni 2020”</w:t>
      </w:r>
      <w:r>
        <w:rPr>
          <w:rStyle w:val="FootnoteReference"/>
          <w:noProof/>
        </w:rPr>
        <w:footnoteReference w:id="10"/>
      </w:r>
      <w:r>
        <w:rPr>
          <w:noProof/>
        </w:rPr>
        <w:t>, “ Arrêté du Gouvernement de la Communauté française de pouvoirs spéciaux n° 4 du 23 avril 2020”</w:t>
      </w:r>
      <w:r>
        <w:rPr>
          <w:rStyle w:val="FootnoteReference"/>
          <w:noProof/>
        </w:rPr>
        <w:footnoteReference w:id="11"/>
      </w:r>
      <w:r>
        <w:rPr>
          <w:noProof/>
        </w:rPr>
        <w:t>, “Arrêté du Gouvernement de la Communauté française du 7 avril 2020”</w:t>
      </w:r>
      <w:r>
        <w:rPr>
          <w:rStyle w:val="FootnoteReference"/>
          <w:noProof/>
        </w:rPr>
        <w:footnoteReference w:id="12"/>
      </w:r>
      <w:r>
        <w:rPr>
          <w:noProof/>
        </w:rPr>
        <w:t>, „Arrêté ministériel portant exécution de l'arrêté du Gouvernement wallon du 20 mars 2020”</w:t>
      </w:r>
      <w:r>
        <w:rPr>
          <w:rStyle w:val="FootnoteReference"/>
          <w:noProof/>
        </w:rPr>
        <w:footnoteReference w:id="13"/>
      </w:r>
      <w:r>
        <w:rPr>
          <w:noProof/>
        </w:rPr>
        <w:t>, “ Arrêté du Gouvernement wallon du 19 juin”</w:t>
      </w:r>
      <w:r>
        <w:rPr>
          <w:rStyle w:val="FootnoteReference"/>
          <w:noProof/>
        </w:rPr>
        <w:footnoteReference w:id="14"/>
      </w:r>
      <w:r>
        <w:rPr>
          <w:noProof/>
        </w:rPr>
        <w:t xml:space="preserve">, „ Parlament der Deutschsprachigen Gemeinschaft, Corona-Krisendekret I vom 6. April 2020” and “Parlament der Deutschsprachigen Gemeinschaft, Corona-Krisendekret III vom 20. Juli 2020,” as referred to in Belgium’s request of 7 August 2020, белгийските власти въведоха определен брой регионални схеми, по които се предоставя подпомагане на доходите на самостоятелно заети лица, еднолични дружества и другите видове работници и служители, които не отговарят на условията за други видове подпомагане на доходите. По-специално компенсационните премии, предназначени за дружествата и предприемачите в регион Брюксел-столица, премията за вреди, компенсационната премия и премията за подкрепа във Фландрия, както и компенсационната премия за прекъсване на стопанска дейност във Валония предоставят обща еднократна подкрепа за предприятия и самостоятелно заети лица, които са били принудени да прекъснат дейността си поради COVID-19 или чийто оборот значително е намалял. Макар мерките да са предназначени за по-широк кръг бенефициери, бяха поискани само сумите за разходи, свързани с подкрепата за самостоятелно заети лица и еднолични дружества. Други мерки (компенсационната премия за работници с непостоянна работа в регион Брюксел-столица, субсидията за детски ясли и за културни </w:t>
      </w:r>
      <w:r>
        <w:rPr>
          <w:noProof/>
        </w:rPr>
        <w:lastRenderedPageBreak/>
        <w:t>дейци във Френската общност, дейностите по обучение във Валония, субсидията за културните дейци, самостоятелно заетите лица и туристическите оператори в немскоезичната общност) са предназначени за самостоятелно заети лица и работници, които нямат достъп до схемата за временна безработица в конкретни сектори (културата, грижите и обученията). Тъй като субсидиите за културните дейци и самостоятелно заетите лица в немскоговорящата общност предоставят заеми, които могат да бъдат преобразувани в безвъзмездни средства, за да се спази изискването да са публични разходи, само разходите, свързани със заеми, които са били преобразувани в безвъзмездни средства, следва да бъдат получат подкрепа съгласно Регламент (ЕС) 2020/672.</w:t>
      </w:r>
    </w:p>
    <w:p>
      <w:pPr>
        <w:pStyle w:val="ManualConsidrant"/>
        <w:rPr>
          <w:bCs/>
          <w:noProof/>
        </w:rPr>
      </w:pPr>
      <w:r>
        <w:t>(8)</w:t>
      </w:r>
      <w:r>
        <w:tab/>
      </w:r>
      <w:r>
        <w:rPr>
          <w:noProof/>
        </w:rPr>
        <w:t>Накрая, с посочения в искането на Белгия от 7 август 2020 г. „Parlament der Deutschsprachigen Gemeinschaft, Corona-Krisendekret I vom 6. April 2020“</w:t>
      </w:r>
      <w:r>
        <w:rPr>
          <w:rStyle w:val="FootnoteReference"/>
          <w:bCs/>
          <w:noProof/>
        </w:rPr>
        <w:footnoteReference w:id="15"/>
      </w:r>
      <w:r>
        <w:rPr>
          <w:noProof/>
        </w:rPr>
        <w:t xml:space="preserve"> се въвеждат мерките, свързани със здравеопазването в немскоезичната общност, включващи обучение по хигиена, осигуряване на предпазен материал за центрове за настаняване и грижи, болници и доставчици на медицински услуги и информационни кампании.</w:t>
      </w:r>
    </w:p>
    <w:p>
      <w:pPr>
        <w:pStyle w:val="ManualConsidrant"/>
        <w:rPr>
          <w:noProof/>
        </w:rPr>
      </w:pPr>
      <w:r>
        <w:t>(9)</w:t>
      </w:r>
      <w:r>
        <w:tab/>
      </w:r>
      <w:r>
        <w:rPr>
          <w:noProof/>
        </w:rPr>
        <w:t>Белгия удовлетворява условията по член 3 от Регламент (ЕС) 2020/672 за отпускане на финансова помощ. Белгия предостави на Комисията подходящи доказателства, че нейните извършени и планирани публични разходи са се увеличили с 7 766 380 000 евро, считано от 1 февруари 2020 г.,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е свързано с</w:t>
      </w:r>
      <w:r>
        <w:rPr>
          <w:noProof/>
          <w:color w:val="000000"/>
        </w:rPr>
        <w:t xml:space="preserve"> новите мерки и разширяването на обхвата на съществуващи мерки, обхващащи значителна част от предприятията и работната сила в Белгия</w:t>
      </w:r>
      <w:r>
        <w:rPr>
          <w:noProof/>
        </w:rPr>
        <w:t xml:space="preserve">. </w:t>
      </w:r>
    </w:p>
    <w:p>
      <w:pPr>
        <w:pStyle w:val="ManualConsidrant"/>
        <w:rPr>
          <w:noProof/>
        </w:rPr>
      </w:pPr>
      <w:r>
        <w:t>(10)</w:t>
      </w:r>
      <w:r>
        <w:tab/>
      </w:r>
      <w:r>
        <w:rPr>
          <w:noProof/>
        </w:rPr>
        <w:t xml:space="preserve">В изпълнение на член 6 от Регламент (ЕС) 2020/672 Комисията се консултира с Белгия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 и прибягване до съответните здравни мерки във връзка с избухването на COVID-19. </w:t>
      </w:r>
    </w:p>
    <w:p>
      <w:pPr>
        <w:pStyle w:val="ManualConsidrant"/>
        <w:rPr>
          <w:noProof/>
        </w:rPr>
      </w:pPr>
      <w:r>
        <w:t>(11)</w:t>
      </w:r>
      <w:r>
        <w:tab/>
      </w:r>
      <w:r>
        <w:rPr>
          <w:noProof/>
        </w:rPr>
        <w:t>Поради това на Белгия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(12)</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(13)</w:t>
      </w:r>
      <w:r>
        <w:tab/>
      </w:r>
      <w:r>
        <w:rPr>
          <w:noProof/>
        </w:rPr>
        <w:t>Белгия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(14)</w:t>
      </w:r>
      <w:r>
        <w:tab/>
      </w:r>
      <w:r>
        <w:rPr>
          <w:noProof/>
        </w:rPr>
        <w:t xml:space="preserve">Решението за предоставяне на финансова помощ се взима с отчитане на съществуващите и очакваните нужди на Белгия,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w:t>
      </w:r>
      <w:r>
        <w:rPr>
          <w:noProof/>
        </w:rPr>
        <w:lastRenderedPageBreak/>
        <w:t>членки, при прилагане на принципите на равно третиране, солидарност, пропорционалност и прозрачност,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 xml:space="preserve">Белгия удовлетворява условията по член 3 от Регламент (ЕС) 2020/672. </w:t>
      </w:r>
    </w:p>
    <w:p>
      <w:pPr>
        <w:pStyle w:val="Titrearticle"/>
        <w:rPr>
          <w:noProof/>
        </w:rPr>
      </w:pPr>
      <w:r>
        <w:rPr>
          <w:noProof/>
        </w:rPr>
        <w:t>Член 2</w:t>
      </w:r>
    </w:p>
    <w:p>
      <w:pPr>
        <w:pStyle w:val="ManualNumPar1"/>
        <w:rPr>
          <w:noProof/>
        </w:rPr>
      </w:pPr>
      <w:r>
        <w:t>1.</w:t>
      </w:r>
      <w:r>
        <w:tab/>
      </w:r>
      <w:r>
        <w:rPr>
          <w:noProof/>
        </w:rPr>
        <w:t>Съюзът отпуска на Белгия заем с максимален размер 7 766 380 000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Белгия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 xml:space="preserve">Белгия поема разходите по посоченото в член 4 от Регламент (ЕС) 2020/672 финансиране за всеки транш, както и евентуалните такси и направени от Съюза разходи във връзка с финансирането.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t xml:space="preserve">Член 3 </w:t>
      </w:r>
    </w:p>
    <w:p>
      <w:pPr>
        <w:rPr>
          <w:noProof/>
        </w:rPr>
      </w:pPr>
      <w:r>
        <w:rPr>
          <w:noProof/>
        </w:rPr>
        <w:t>Белгия може да финансира следните мерки:</w:t>
      </w:r>
    </w:p>
    <w:p>
      <w:pPr>
        <w:pStyle w:val="ManualNumPar1"/>
        <w:ind w:hanging="430"/>
        <w:rPr>
          <w:rStyle w:val="Strong"/>
          <w:b w:val="0"/>
          <w:noProof/>
        </w:rPr>
      </w:pPr>
      <w:r>
        <w:rPr>
          <w:rStyle w:val="Strong"/>
          <w:b w:val="0"/>
          <w:noProof/>
        </w:rPr>
        <w:t xml:space="preserve">a) предвидената в Arrêté royal du 30 mars 2020 схема за временна безработица, </w:t>
      </w:r>
      <w:r>
        <w:rPr>
          <w:noProof/>
        </w:rPr>
        <w:t>„chômage temporaire/tijdelijke werkloosheid“</w:t>
      </w:r>
      <w:r>
        <w:rPr>
          <w:rStyle w:val="Strong"/>
          <w:b w:val="0"/>
          <w:noProof/>
        </w:rPr>
        <w:t xml:space="preserve"> ;</w:t>
      </w:r>
    </w:p>
    <w:p>
      <w:pPr>
        <w:pStyle w:val="ManualNumPar1"/>
        <w:ind w:hanging="430"/>
        <w:rPr>
          <w:rStyle w:val="Strong"/>
          <w:b w:val="0"/>
          <w:noProof/>
        </w:rPr>
      </w:pPr>
      <w:r>
        <w:rPr>
          <w:rStyle w:val="Strong"/>
          <w:b w:val="0"/>
          <w:noProof/>
        </w:rPr>
        <w:t xml:space="preserve">б) предвидения в Loi du 23 mars 2020 заместващ доход за самостоятелно заети лица, свързан с COVID-19, </w:t>
      </w:r>
      <w:r>
        <w:rPr>
          <w:noProof/>
        </w:rPr>
        <w:t>„временни права през кризата“</w:t>
      </w:r>
      <w:r>
        <w:rPr>
          <w:rStyle w:val="Strong"/>
          <w:b w:val="0"/>
          <w:noProof/>
        </w:rPr>
        <w:t xml:space="preserve"> ; </w:t>
      </w:r>
    </w:p>
    <w:p>
      <w:pPr>
        <w:pStyle w:val="ManualNumPar1"/>
        <w:ind w:hanging="430"/>
        <w:rPr>
          <w:rStyle w:val="Strong"/>
          <w:b w:val="0"/>
          <w:noProof/>
        </w:rPr>
      </w:pPr>
      <w:r>
        <w:rPr>
          <w:rStyle w:val="Strong"/>
          <w:b w:val="0"/>
          <w:noProof/>
        </w:rPr>
        <w:t xml:space="preserve">в) предвидения в Arrêté royal du 13 mai 2020 n° 23 родителски отпуск, свързан с COVID-19 ; </w:t>
      </w:r>
    </w:p>
    <w:p>
      <w:pPr>
        <w:pStyle w:val="ManualNumPar1"/>
        <w:ind w:hanging="430"/>
        <w:rPr>
          <w:rStyle w:val="Strong"/>
          <w:b w:val="0"/>
          <w:noProof/>
        </w:rPr>
      </w:pPr>
      <w:r>
        <w:rPr>
          <w:rStyle w:val="Strong"/>
          <w:b w:val="0"/>
          <w:noProof/>
        </w:rPr>
        <w:t xml:space="preserve">г) регионалните схеми за подпомагане на доходите, както следва: </w:t>
      </w:r>
    </w:p>
    <w:p>
      <w:pPr>
        <w:pStyle w:val="Point1"/>
        <w:rPr>
          <w:rStyle w:val="Strong"/>
          <w:b w:val="0"/>
          <w:noProof/>
        </w:rPr>
      </w:pPr>
      <w:r>
        <w:rPr>
          <w:noProof/>
        </w:rPr>
        <w:t>i)</w:t>
      </w:r>
      <w:r>
        <w:rPr>
          <w:noProof/>
        </w:rPr>
        <w:tab/>
        <w:t>за регион Брюксел-столица:</w:t>
      </w:r>
    </w:p>
    <w:p>
      <w:pPr>
        <w:pStyle w:val="Tiret1"/>
        <w:numPr>
          <w:ilvl w:val="0"/>
          <w:numId w:val="13"/>
        </w:numPr>
        <w:rPr>
          <w:noProof/>
        </w:rPr>
      </w:pPr>
      <w:r>
        <w:rPr>
          <w:noProof/>
        </w:rPr>
        <w:t xml:space="preserve">компенсаторната премия за дружествата, предвидена </w:t>
      </w:r>
      <w:r>
        <w:rPr>
          <w:rStyle w:val="Strong"/>
          <w:b w:val="0"/>
          <w:noProof/>
        </w:rPr>
        <w:t>в</w:t>
      </w:r>
      <w:r>
        <w:rPr>
          <w:noProof/>
        </w:rPr>
        <w:t xml:space="preserve"> Arrêté de la Région de Bruxelles-Capitale de pouvoirs spéciaux № 2020/019, за покриване на част от разходите, свързани с подкрепата на самостоятелно заети лица и еднолични дружества; </w:t>
      </w:r>
    </w:p>
    <w:p>
      <w:pPr>
        <w:pStyle w:val="Tiret1"/>
        <w:rPr>
          <w:noProof/>
        </w:rPr>
      </w:pPr>
      <w:r>
        <w:rPr>
          <w:noProof/>
        </w:rPr>
        <w:t xml:space="preserve">предвидената </w:t>
      </w:r>
      <w:r>
        <w:rPr>
          <w:rStyle w:val="Strong"/>
          <w:b w:val="0"/>
          <w:noProof/>
        </w:rPr>
        <w:t>в</w:t>
      </w:r>
      <w:r>
        <w:rPr>
          <w:noProof/>
        </w:rPr>
        <w:t xml:space="preserve"> Arrêté de la Région de Bruxelles-Capitale de pouvoirs spéciaux № 2020/030 компенсационна премия за предприемачи, само за </w:t>
      </w:r>
      <w:r>
        <w:rPr>
          <w:noProof/>
        </w:rPr>
        <w:lastRenderedPageBreak/>
        <w:t xml:space="preserve">частта от разходите, свързана с подкрепата на самостоятелно заетите лица и едноличните дружества; </w:t>
      </w:r>
    </w:p>
    <w:p>
      <w:pPr>
        <w:pStyle w:val="Tiret1"/>
        <w:rPr>
          <w:noProof/>
        </w:rPr>
      </w:pPr>
      <w:r>
        <w:rPr>
          <w:noProof/>
        </w:rPr>
        <w:t xml:space="preserve">предвидената в точка 23 от Notification de la réunion du conseil des ministres du gouvernement de la région de Bruxelles-Capitale du jeudi 14 mai 2020 компенсационна премия за работници с непостоянна работа; </w:t>
      </w:r>
    </w:p>
    <w:p>
      <w:pPr>
        <w:pStyle w:val="Point1"/>
        <w:rPr>
          <w:noProof/>
        </w:rPr>
      </w:pPr>
      <w:r>
        <w:rPr>
          <w:noProof/>
        </w:rPr>
        <w:t>ii)</w:t>
      </w:r>
      <w:r>
        <w:rPr>
          <w:noProof/>
        </w:rPr>
        <w:tab/>
        <w:t>за фламандския регион:</w:t>
      </w:r>
    </w:p>
    <w:p>
      <w:pPr>
        <w:pStyle w:val="Tiret1"/>
        <w:rPr>
          <w:noProof/>
        </w:rPr>
      </w:pPr>
      <w:r>
        <w:rPr>
          <w:noProof/>
        </w:rPr>
        <w:t xml:space="preserve">предидената в Besluit van de Vlaamse regering van 20 maart 2020 премия за вреди, само за частта от разходите, свързана с подкрепата за самостоятелно заетите лица и едноличните дружества; </w:t>
      </w:r>
    </w:p>
    <w:p>
      <w:pPr>
        <w:pStyle w:val="Tiret1"/>
        <w:rPr>
          <w:noProof/>
        </w:rPr>
      </w:pPr>
      <w:r>
        <w:rPr>
          <w:noProof/>
        </w:rPr>
        <w:t xml:space="preserve">предвидената в Besluit van de Vlaamse regering van 10 април 2020 г. компенсационна премия, само за частта от разходите, свързана с подкрепата за самостоятелно заетите лица и едноличните дружества; </w:t>
      </w:r>
    </w:p>
    <w:p>
      <w:pPr>
        <w:pStyle w:val="Tiret1"/>
        <w:rPr>
          <w:noProof/>
        </w:rPr>
      </w:pPr>
      <w:r>
        <w:rPr>
          <w:noProof/>
        </w:rPr>
        <w:t xml:space="preserve">предвидената в Besluit van de Vlaamse regering van 12 juni 2020 премия за подкрепа, само за частта от разходите, свързана с подкрепата за самостоятелно заетите лица и едноличните дружества; </w:t>
      </w:r>
    </w:p>
    <w:p>
      <w:pPr>
        <w:pStyle w:val="Point1"/>
        <w:rPr>
          <w:noProof/>
        </w:rPr>
      </w:pPr>
      <w:r>
        <w:rPr>
          <w:noProof/>
        </w:rPr>
        <w:t>iii)</w:t>
      </w:r>
      <w:r>
        <w:rPr>
          <w:noProof/>
        </w:rPr>
        <w:tab/>
        <w:t>за Френската общност:</w:t>
      </w:r>
    </w:p>
    <w:p>
      <w:pPr>
        <w:pStyle w:val="Tiret1"/>
        <w:rPr>
          <w:noProof/>
        </w:rPr>
      </w:pPr>
      <w:r>
        <w:rPr>
          <w:noProof/>
        </w:rPr>
        <w:t>предвидената в Arrêté du Gouvernement de la Communauté française de pouvoirs spéciaux n° 4 du 23 avril 2020 субсидия за културни дейци;</w:t>
      </w:r>
    </w:p>
    <w:p>
      <w:pPr>
        <w:pStyle w:val="Tiret1"/>
        <w:rPr>
          <w:noProof/>
        </w:rPr>
      </w:pPr>
      <w:r>
        <w:rPr>
          <w:noProof/>
        </w:rPr>
        <w:t xml:space="preserve">предвидената в Arrêté du Gouvernement de la Communauté française du 7 avril 2020 премия за детски ясли, само за частта от разходите, свързана с подкрепата за самостоятелно заетите лица и едноличните дружества; </w:t>
      </w:r>
    </w:p>
    <w:p>
      <w:pPr>
        <w:pStyle w:val="Point1"/>
        <w:rPr>
          <w:noProof/>
        </w:rPr>
      </w:pPr>
      <w:r>
        <w:rPr>
          <w:noProof/>
        </w:rPr>
        <w:t>iv)</w:t>
      </w:r>
      <w:r>
        <w:rPr>
          <w:noProof/>
        </w:rPr>
        <w:tab/>
        <w:t>за Валонския регион:</w:t>
      </w:r>
    </w:p>
    <w:p>
      <w:pPr>
        <w:pStyle w:val="Tiret1"/>
        <w:rPr>
          <w:noProof/>
        </w:rPr>
      </w:pPr>
      <w:r>
        <w:rPr>
          <w:noProof/>
        </w:rPr>
        <w:t xml:space="preserve">предвидената в Arrêté ministériel portant exécution de l'arrêté du Gouvernement wallon du 20 mars 2020 компенсационна премия за прекъсване на стопанската дейност, само за частта от разходите, свързана с подкрепата за самостоятелно заетите лица и едноличните дружества; </w:t>
      </w:r>
    </w:p>
    <w:p>
      <w:pPr>
        <w:pStyle w:val="Tiret1"/>
        <w:rPr>
          <w:noProof/>
        </w:rPr>
      </w:pPr>
      <w:r>
        <w:rPr>
          <w:noProof/>
        </w:rPr>
        <w:t>предвидените в Arrêté du Gouvernement wallon du 19 juin дейности по обучение;</w:t>
      </w:r>
    </w:p>
    <w:p>
      <w:pPr>
        <w:pStyle w:val="Point1"/>
        <w:rPr>
          <w:noProof/>
        </w:rPr>
      </w:pPr>
      <w:r>
        <w:rPr>
          <w:noProof/>
        </w:rPr>
        <w:t>v)</w:t>
      </w:r>
      <w:r>
        <w:rPr>
          <w:noProof/>
        </w:rPr>
        <w:tab/>
        <w:t>за немскоезичната общност:</w:t>
      </w:r>
    </w:p>
    <w:p>
      <w:pPr>
        <w:pStyle w:val="Tiret1"/>
        <w:rPr>
          <w:bCs/>
          <w:noProof/>
        </w:rPr>
      </w:pPr>
      <w:r>
        <w:rPr>
          <w:noProof/>
        </w:rPr>
        <w:t xml:space="preserve">предвидената в Parlament der Deutschsprachigen Gemeinschaft, Corona-Krisendekret I vom 6. April 2020, Art. 7 субсидия за културни дейци и самостоятелно заети лица, за частта от разходите, свързана със заеми, които са били преобразувани в безвъзмездни средства; </w:t>
      </w:r>
    </w:p>
    <w:p>
      <w:pPr>
        <w:pStyle w:val="Tiret1"/>
        <w:rPr>
          <w:bCs/>
          <w:noProof/>
        </w:rPr>
      </w:pPr>
      <w:r>
        <w:rPr>
          <w:noProof/>
        </w:rPr>
        <w:t xml:space="preserve">предвидената в член 4 от Parlament der Deutschsprachigen Gemeinschaft, Corona-Krisendekret III vom 20. Juli 2020 субсидия за туристически оператори, за частта от разходите, свързана с подкрепата за самостоятелно заетите лица и едноличните дружества; </w:t>
      </w:r>
    </w:p>
    <w:p>
      <w:pPr>
        <w:pStyle w:val="ManualNumPar1"/>
        <w:ind w:hanging="130"/>
        <w:rPr>
          <w:bCs/>
          <w:noProof/>
        </w:rPr>
      </w:pPr>
      <w:r>
        <w:rPr>
          <w:rStyle w:val="Strong"/>
          <w:b w:val="0"/>
          <w:noProof/>
        </w:rPr>
        <w:t xml:space="preserve">д) мерките, свързани със здравеопазването в немскоезичната общност, предвидени в </w:t>
      </w:r>
      <w:r>
        <w:rPr>
          <w:noProof/>
        </w:rPr>
        <w:t>Parlament der Deutschsprachigen Gemeinschaft, Corona-Krisendekret I vom 6. April 2020, Art. 7</w:t>
      </w:r>
      <w:r>
        <w:rPr>
          <w:rStyle w:val="Strong"/>
          <w:b w:val="0"/>
          <w:noProof/>
        </w:rPr>
        <w:t>.</w:t>
      </w:r>
    </w:p>
    <w:p>
      <w:pPr>
        <w:pStyle w:val="Titrearticle"/>
        <w:rPr>
          <w:noProof/>
        </w:rPr>
      </w:pPr>
      <w:r>
        <w:rPr>
          <w:noProof/>
        </w:rPr>
        <w:lastRenderedPageBreak/>
        <w:t>Член 4</w:t>
      </w:r>
    </w:p>
    <w:p>
      <w:pPr>
        <w:rPr>
          <w:noProof/>
        </w:rPr>
      </w:pPr>
      <w:r>
        <w:rPr>
          <w:noProof/>
        </w:rPr>
        <w:t>Белгия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Кралство Белгия.</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 w:id="2">
    <w:p>
      <w:pPr>
        <w:pStyle w:val="FootnoteText"/>
        <w:ind w:left="142" w:hanging="142"/>
      </w:pPr>
      <w:r>
        <w:rPr>
          <w:rStyle w:val="FootnoteReference"/>
        </w:rPr>
        <w:footnoteRef/>
      </w:r>
      <w:r>
        <w:tab/>
        <w:t>Arrêté royal du 30 mars 2020 visant à adapter les procédures dans le cadre du chômage temporaire dû au virus Covid-19 et à modifier l'article 10 de l'arrêté royal du 6 mai 2019 modifiant les articles 27, 51, 52bis, 58, 58/3 et 63 de l'arrêté royal du 25 novembre 1991 portant réglementation du chômage et insérant les articles 36sexies, 63bis et 124bis dans le même arrêté.</w:t>
      </w:r>
    </w:p>
  </w:footnote>
  <w:footnote w:id="3">
    <w:p>
      <w:pPr>
        <w:pStyle w:val="FootnoteText"/>
        <w:ind w:left="142" w:hanging="142"/>
      </w:pPr>
      <w:r>
        <w:rPr>
          <w:rStyle w:val="FootnoteReference"/>
        </w:rPr>
        <w:footnoteRef/>
      </w:r>
      <w:r>
        <w:tab/>
        <w:t>Loi du 23 mars 2020 modifiant la loi du 22 décembre 2016 instaurant un droit passerelle en faveur des travailleurs indépendants et introduisant les mesures temporaires dans le cadre du COVID-19 en faveur des travailleurs indépendants</w:t>
      </w:r>
    </w:p>
  </w:footnote>
  <w:footnote w:id="4">
    <w:p>
      <w:pPr>
        <w:pStyle w:val="FootnoteText"/>
        <w:ind w:left="142" w:hanging="142"/>
      </w:pPr>
      <w:r>
        <w:rPr>
          <w:rStyle w:val="FootnoteReference"/>
        </w:rPr>
        <w:footnoteRef/>
      </w:r>
      <w:r>
        <w:tab/>
        <w:t>Arrêté royal du 13 mai 2020 n° 23 pris en exécution de l'article 5, § 1, 5°, de la loi du 27 mars 2020 accordant des pouvoirs au Roi afin de prendre des mesures dans la lutte contre la propagation du coronavirus COVID-19 (II) visant le congé parental corona</w:t>
      </w:r>
    </w:p>
  </w:footnote>
  <w:footnote w:id="5">
    <w:p>
      <w:pPr>
        <w:pStyle w:val="FootnoteText"/>
        <w:ind w:left="142" w:hanging="142"/>
      </w:pPr>
      <w:r>
        <w:rPr>
          <w:rStyle w:val="FootnoteReference"/>
        </w:rPr>
        <w:footnoteRef/>
      </w:r>
      <w:r>
        <w:tab/>
        <w:t>Arrêté du Gouvernement de la Région de Bruxelles-Capitale de pouvoirs spéciaux n° 2020/019 modifiant l’arrêté de pouvoirs spéciaux n° 2020/013 du 7 avril 2020 relatif à une aide en vue de l’indemnisation des entreprises affectées par les mesures d’urgence pour limiter la propagation du coronavirus.</w:t>
      </w:r>
    </w:p>
  </w:footnote>
  <w:footnote w:id="6">
    <w:p>
      <w:pPr>
        <w:pStyle w:val="FootnoteText"/>
        <w:ind w:left="142" w:hanging="142"/>
      </w:pPr>
      <w:r>
        <w:rPr>
          <w:rStyle w:val="FootnoteReference"/>
        </w:rPr>
        <w:footnoteRef/>
      </w:r>
      <w:r>
        <w:tab/>
        <w:t>Arrêté du Gouvernement de la Région de Bruxelles-Capitale de pouvoirs spéciaux n° 2020/030 relatif à l’aide aux entreprises qui subissent une baisse d’activité en raison de la crise sanitaire du COVID−19.</w:t>
      </w:r>
    </w:p>
  </w:footnote>
  <w:footnote w:id="7">
    <w:p>
      <w:pPr>
        <w:pStyle w:val="FootnoteText"/>
        <w:ind w:left="142" w:hanging="142"/>
      </w:pPr>
      <w:r>
        <w:rPr>
          <w:rStyle w:val="FootnoteReference"/>
        </w:rPr>
        <w:footnoteRef/>
      </w:r>
      <w:r>
        <w:tab/>
        <w:t>Notification de la reunion du conseil des ministres du gouvernement de la région de Bruxelles-Capitale du jeudi 14 mai 2020 point 23 - Mesures de soutien d’urgence au secteur créatif et culturel bruxellois suite à la crise COVID-19.</w:t>
      </w:r>
    </w:p>
  </w:footnote>
  <w:footnote w:id="8">
    <w:p>
      <w:pPr>
        <w:pStyle w:val="FootnoteText"/>
        <w:ind w:left="142" w:hanging="142"/>
      </w:pPr>
      <w:r>
        <w:rPr>
          <w:rStyle w:val="FootnoteReference"/>
        </w:rPr>
        <w:footnoteRef/>
      </w:r>
      <w:r>
        <w:tab/>
        <w:t>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ind w:left="142" w:hanging="142"/>
      </w:pPr>
      <w:r>
        <w:rPr>
          <w:rStyle w:val="FootnoteReference"/>
        </w:rPr>
        <w:footnoteRef/>
      </w:r>
      <w:r>
        <w:tab/>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p>
  </w:footnote>
  <w:footnote w:id="10">
    <w:p>
      <w:pPr>
        <w:pStyle w:val="FootnoteText"/>
        <w:ind w:left="142" w:hanging="142"/>
      </w:pPr>
      <w:r>
        <w:rPr>
          <w:rStyle w:val="FootnoteReference"/>
        </w:rPr>
        <w:footnoteRef/>
      </w:r>
      <w:r>
        <w:tab/>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11">
    <w:p>
      <w:pPr>
        <w:pStyle w:val="FootnoteText"/>
        <w:ind w:left="142" w:hanging="142"/>
      </w:pPr>
      <w:r>
        <w:rPr>
          <w:rStyle w:val="FootnoteReference"/>
        </w:rPr>
        <w:footnoteRef/>
      </w:r>
      <w:r>
        <w:tab/>
        <w:t>Arrêté du Gouvernement de la Communauté française de pouvoirs spéciaux n° 4 du 23 avril 2020 relatif au soutien du secteur culturel dans le cadre de la crise sanitaire du COVID-19.</w:t>
      </w:r>
    </w:p>
  </w:footnote>
  <w:footnote w:id="12">
    <w:p>
      <w:pPr>
        <w:pStyle w:val="FootnoteText"/>
        <w:ind w:left="142" w:hanging="142"/>
      </w:pPr>
      <w:r>
        <w:rPr>
          <w:rStyle w:val="FootnoteReference"/>
        </w:rPr>
        <w:footnoteRef/>
      </w:r>
      <w:r>
        <w:tab/>
        <w:t>Arrêté du Gouvernement de la Communauté française du 7 avril 2020 relatif au soutien des milieux d’accueil dans le cadre de la crise sanitaire du COVID-19.</w:t>
      </w:r>
    </w:p>
  </w:footnote>
  <w:footnote w:id="13">
    <w:p>
      <w:pPr>
        <w:pStyle w:val="FootnoteText"/>
        <w:ind w:left="142" w:hanging="142"/>
      </w:pPr>
      <w:r>
        <w:rPr>
          <w:rStyle w:val="FootnoteReference"/>
        </w:rPr>
        <w:footnoteRef/>
      </w:r>
      <w:r>
        <w:tab/>
        <w:t>Arrêté ministériel portant exécution de l'arrêté du Gouvernement wallon du 20 mars 2020 relatif à l'octroi d'indemnités compensatoires dans le cadre des mesures contre le coronavirus COVID-19 and Arrêté du Gouvernement wallon relatif à l'octroi d'indemnités compensatoires dans le cadre des mesures contre le coronavirus COVID-19.</w:t>
      </w:r>
    </w:p>
  </w:footnote>
  <w:footnote w:id="14">
    <w:p>
      <w:pPr>
        <w:pStyle w:val="FootnoteText"/>
        <w:ind w:left="142" w:hanging="142"/>
      </w:pPr>
      <w:r>
        <w:rPr>
          <w:rStyle w:val="FootnoteReference"/>
        </w:rPr>
        <w:footnoteRef/>
      </w:r>
      <w:r>
        <w:tab/>
        <w:t>Arrêté du Gouvernement wallon du 19 juin portant des dispositions diverses relatives aux formateurs et au subventionnement des activités de formation des centres de formation du réseau IFAPME</w:t>
      </w:r>
    </w:p>
  </w:footnote>
  <w:footnote w:id="15">
    <w:p>
      <w:pPr>
        <w:pStyle w:val="FootnoteText"/>
        <w:ind w:left="142" w:hanging="142"/>
      </w:pPr>
      <w:r>
        <w:rPr>
          <w:rStyle w:val="FootnoteReference"/>
        </w:rPr>
        <w:footnoteRef/>
      </w:r>
      <w:r>
        <w:tab/>
        <w:t>Parlament der Deutschsprachigen Gemeinschaft, Corona-Krisendekret I vom 6. April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2A0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20A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22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201C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0065F83"/>
    <w:multiLevelType w:val="hybridMultilevel"/>
    <w:tmpl w:val="E6D629D0"/>
    <w:lvl w:ilvl="0" w:tplc="08090017">
      <w:start w:val="1"/>
      <w:numFmt w:val="lowerLetter"/>
      <w:lvlText w:val="%1)"/>
      <w:lvlJc w:val="left"/>
      <w:pPr>
        <w:ind w:left="780" w:hanging="360"/>
      </w:pPr>
    </w:lvl>
    <w:lvl w:ilvl="1" w:tplc="7474DF88">
      <w:start w:val="1"/>
      <w:numFmt w:val="bullet"/>
      <w:pStyle w:val="Tiert1"/>
      <w:lvlText w:val="-"/>
      <w:lvlJc w:val="left"/>
      <w:pPr>
        <w:ind w:left="1500" w:hanging="360"/>
      </w:pPr>
      <w:rPr>
        <w:rFonts w:ascii="Times New Roman" w:eastAsiaTheme="minorHAnsi" w:hAnsi="Times New Roman" w:cs="Times New Roman"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2"/>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2"/>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11: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0B7064-878D-4885-A7B6-03638AD22BC1"/>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5"/>
    <w:docVar w:name="LW_REF.II.NEW.CP_YEAR" w:val="2020"/>
    <w:docVar w:name="LW_REF.INST.NEW" w:val="COM"/>
    <w:docVar w:name="LW_REF.INST.NEW_ADOPTED" w:val="final"/>
    <w:docVar w:name="LW_REF.INST.NEW_TEXT" w:val="(2020)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74?\u1088?\u1077?\u1084?\u1077?\u1085?\u1085?\u1072? \u1087?\u1086?\u1076?\u1082?\u1088?\u1077?\u1087?\u1072? \u1085?\u1072? \u1041?\u1077?\u1083?\u1075?\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4">
      <w:bodyDiv w:val="1"/>
      <w:marLeft w:val="0"/>
      <w:marRight w:val="0"/>
      <w:marTop w:val="0"/>
      <w:marBottom w:val="0"/>
      <w:divBdr>
        <w:top w:val="none" w:sz="0" w:space="0" w:color="auto"/>
        <w:left w:val="none" w:sz="0" w:space="0" w:color="auto"/>
        <w:bottom w:val="none" w:sz="0" w:space="0" w:color="auto"/>
        <w:right w:val="none" w:sz="0" w:space="0" w:color="auto"/>
      </w:divBdr>
    </w:div>
    <w:div w:id="12551267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94739613">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1538934832">
      <w:bodyDiv w:val="1"/>
      <w:marLeft w:val="0"/>
      <w:marRight w:val="0"/>
      <w:marTop w:val="0"/>
      <w:marBottom w:val="0"/>
      <w:divBdr>
        <w:top w:val="none" w:sz="0" w:space="0" w:color="auto"/>
        <w:left w:val="none" w:sz="0" w:space="0" w:color="auto"/>
        <w:bottom w:val="none" w:sz="0" w:space="0" w:color="auto"/>
        <w:right w:val="none" w:sz="0" w:space="0" w:color="auto"/>
      </w:divBdr>
    </w:div>
    <w:div w:id="1886259531">
      <w:bodyDiv w:val="1"/>
      <w:marLeft w:val="0"/>
      <w:marRight w:val="0"/>
      <w:marTop w:val="0"/>
      <w:marBottom w:val="0"/>
      <w:divBdr>
        <w:top w:val="none" w:sz="0" w:space="0" w:color="auto"/>
        <w:left w:val="none" w:sz="0" w:space="0" w:color="auto"/>
        <w:bottom w:val="none" w:sz="0" w:space="0" w:color="auto"/>
        <w:right w:val="none" w:sz="0" w:space="0" w:color="auto"/>
      </w:divBdr>
    </w:div>
    <w:div w:id="21078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841BB1-CFF9-4FE1-9652-B742EBFE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3479</Words>
  <Characters>20253</Characters>
  <Application>Microsoft Office Word</Application>
  <DocSecurity>0</DocSecurity>
  <Lines>375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2020-09-04T14:24:00Z</dcterms:created>
  <dcterms:modified xsi:type="dcterms:W3CDTF">2020-09-07T08:11:00Z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