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86E0234-9141-4325-9905-A7A199DB8BD0" style="width:450.45pt;height:36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свързани със здравето мерки, по‐специално на работното място.</w:t>
      </w:r>
    </w:p>
    <w:p>
      <w:pPr>
        <w:rPr>
          <w:noProof/>
          <w:highlight w:val="yellow"/>
        </w:rPr>
      </w:pPr>
      <w:r>
        <w:rPr>
          <w:noProof/>
        </w:rPr>
        <w:t>На 7 август 2020 г. Португалия поиска финансова помощ от Съюза по силата на Регламента за SURE. В изпълнение на член 6, параграф 2 от Регламента за SURE Комисията се консултира с португалските власти, за да провери внезапното и съществено увеличение на извършените и планирани разходи, пряко свързани със схемите за подпомагане на работата на непълно работно време, сходни мерки и мерки по здравеопазване в резултат на пандемията от COVID-19. По-специално, увеличените разходи обхващат:</w:t>
      </w:r>
    </w:p>
    <w:p>
      <w:pPr>
        <w:pStyle w:val="Point0"/>
        <w:rPr>
          <w:noProof/>
        </w:rPr>
      </w:pPr>
      <w:r>
        <w:t>(1)</w:t>
      </w:r>
      <w:r>
        <w:tab/>
      </w:r>
      <w:r>
        <w:rPr>
          <w:noProof/>
        </w:rPr>
        <w:t xml:space="preserve">мярка за подкрепа с цел запазване на трудовите договори чрез временно прекъсване на работата или намаляване на нормалното работно време, заложени в Трудовия кодекс на Португалия. Мярката е предназначена за допустими предприятия, за да покрият 70 % от възнагражденията на служителите, като получените от тях възнаграждения се равняват на две трети от нормалната им брутна заплата. За тази две трети от корекцията се прилага долна граница, равняваща се на минимална работна заплата в страната, и горна граница, равна на трикратния размер на минимална работна заплата в страната. Допустимите предприятия трябва да са прекъснали дейността си или да понасят значителни загуби на приходи. </w:t>
      </w:r>
    </w:p>
    <w:p>
      <w:pPr>
        <w:pStyle w:val="Point0"/>
        <w:rPr>
          <w:noProof/>
        </w:rPr>
      </w:pPr>
      <w:r>
        <w:t>(2)</w:t>
      </w:r>
      <w:r>
        <w:tab/>
      </w:r>
      <w:r>
        <w:rPr>
          <w:noProof/>
        </w:rPr>
        <w:t xml:space="preserve">новата и опростена специална подкрепа за запазване на трудовите договори чрез временно прекъсване на работата или намаляване на нормалното работно време. Тази мярка е подобна на мярката, посочена в точка (1), но включва опростени процедури, за да се даде възможност за по-бърз достъп до средства. Мярката е предназначена за допустими предприятия, за да покрият 70 % от възнагражденията на служителите, като получените от тях възнаграждения се равняват на две трети от нормалната им брутна заплата. Работодателят е освободен също от вноски за социално осигуряване. За тази две трети от корекцията се прилага долна граница, равняваща се на минимална работна заплата в страната, и горна граница, равна на трикратния размер на минимална работна заплата в страната. Допустимите предприятия трябва да са прекъснали търговската си дейност или да са претърпели загуби на приходи от най-малко 40 % през 30 дневния период, предшестващ искането за подпомагане, в сравнение със същия месец на предходната година или с месечната средна стойност от двата месеца преди този период. Мярката е удължавана неколкократно, включително чрез преразглеждане на изчисляването на възнаграждението на служителите в размер на четири пети от тяхната </w:t>
      </w:r>
      <w:r>
        <w:rPr>
          <w:noProof/>
        </w:rPr>
        <w:lastRenderedPageBreak/>
        <w:t>нормална брутна заплата и постепенното премахване на освобождаванията от социалноосигурителни вноски за предприятията бенефициери.</w:t>
      </w:r>
    </w:p>
    <w:p>
      <w:pPr>
        <w:pStyle w:val="Point0"/>
        <w:rPr>
          <w:noProof/>
        </w:rPr>
      </w:pPr>
      <w:r>
        <w:t>(3)</w:t>
      </w:r>
      <w:r>
        <w:tab/>
      </w:r>
      <w:r>
        <w:rPr>
          <w:noProof/>
        </w:rPr>
        <w:t>в случаите, когато предприятия са в криза поради избухналата пандемия от COVID-19, възползват от мерките, посочени в точка (1) или (2), и разполагат с програма за обучение, одобрена от националните публични служби за заетост и обучение съгласно специалните програми за професионално обучение, служителите и предприятията могат да получат помощ за обучение, за да покрият разходите за заместване на доходите, както и свързаните разходи за обучение, което да бъде проведено в работно време като алтернатива на намаляването на работното време.</w:t>
      </w:r>
    </w:p>
    <w:p>
      <w:pPr>
        <w:pStyle w:val="Point0"/>
        <w:rPr>
          <w:noProof/>
        </w:rPr>
      </w:pPr>
      <w:r>
        <w:t>(4)</w:t>
      </w:r>
      <w:r>
        <w:tab/>
      </w:r>
      <w:r>
        <w:rPr>
          <w:noProof/>
        </w:rPr>
        <w:t>специална подкрепа за предприятията за възобновяване на стопанската дейност. С цел да се улесни преходът към връщане на работа и да се улесни запазването на работни места, предприятията, чиито служители се възползват от мерките, посочени в точка (1) или (2), могат да получат обезщетение, равно на минимална работна заплата в страната за всеки съответен служител, изплатена на един транш, или равно на удвоената минимална работна заплата в страната за всеки такъв служител, изплащана поетапно в продължение на шест месеца. Когато подпомагането се предоставя поетапно, предприятията се възползват също от частично освобождаване в размер на 50 % от социалноосигурителните вноски на съответния работодател по отношение на съответните служители.</w:t>
      </w:r>
    </w:p>
    <w:p>
      <w:pPr>
        <w:pStyle w:val="Point0"/>
        <w:rPr>
          <w:noProof/>
        </w:rPr>
      </w:pPr>
      <w:r>
        <w:t>(5)</w:t>
      </w:r>
      <w:r>
        <w:tab/>
      </w:r>
      <w:r>
        <w:rPr>
          <w:noProof/>
        </w:rPr>
        <w:t xml:space="preserve">добавка за стабилизиране на доходите за служителите, които се възползват от мерките, посочени в точка (1) или (2). Допустими са служителите чиято брутна заплата спрямо февруари 2020 г. не надвишава двукратно минималната работна заплата в страната. Служителите получават обезщетение, равно на разликата между брутната заплата от февруари 2020 г. и заплатата от периода, през който служителят е бил покрит от една от двете горепосочени схеми за подпомагане, с долна граница от 100 евро и горна граница от 351 евро. </w:t>
      </w:r>
    </w:p>
    <w:p>
      <w:pPr>
        <w:pStyle w:val="Point0"/>
        <w:rPr>
          <w:noProof/>
        </w:rPr>
      </w:pPr>
      <w:r>
        <w:t>(6)</w:t>
      </w:r>
      <w:r>
        <w:tab/>
      </w:r>
      <w:r>
        <w:rPr>
          <w:noProof/>
        </w:rPr>
        <w:t xml:space="preserve">специална подкрепа за самостоятелно заетите лица, недекларираните работници и управляващите партньори. Мярката осигурява месечно обезщетение, равняващо се на регистрираните доходи на физическите лица с горна граница от 438,81 евро, когато доходът е по-нисък от 658,21 евро, или на две трети от регистрираните доходи на физическите лица с горна граница от 438,81 евро, когато доходът надвишава 658,21 EUR. Между 13 март и 30 юни 2020 г. бе приложена първоначална долна граница, равна на 219,41 евро, върху цялостния размер на месечната помощ. Допустимите физически лица са тези, които са прекъснали търговската си дейност или понасят загуби на приходи от най-малко 40 % през 30 дневния период, предшестващ искането за подпомагане, в сравнение със същия месец на предходната година или с месечната средна стойност от двата месеца преди този период. </w:t>
      </w:r>
    </w:p>
    <w:p>
      <w:pPr>
        <w:pStyle w:val="Point0"/>
        <w:rPr>
          <w:noProof/>
          <w:color w:val="0000FF"/>
        </w:rPr>
      </w:pPr>
      <w:r>
        <w:t>(7)</w:t>
      </w:r>
      <w:r>
        <w:tab/>
      </w:r>
      <w:r>
        <w:rPr>
          <w:noProof/>
        </w:rPr>
        <w:t>семейна надбавка за служители, които са възпрепятствани да работят поради необходимостта да се грижат за децата си на възраст под 12 години или други зависими лица. Мярката осигурява обезщетение в размер на 50 % от възнаграждението на служителя. Като правило възнаграждението на служителите съответства на две трети от нормалната брутна заплата с долна граница, равняваща се на минималната работна заплата в страната, и горна граница, равняваща се на трикратния размер на минимална работна заплата в страната.</w:t>
      </w:r>
    </w:p>
    <w:p>
      <w:pPr>
        <w:pStyle w:val="Point0"/>
        <w:rPr>
          <w:noProof/>
        </w:rPr>
      </w:pPr>
      <w:r>
        <w:lastRenderedPageBreak/>
        <w:t>(8)</w:t>
      </w:r>
      <w:r>
        <w:tab/>
      </w:r>
      <w:r>
        <w:rPr>
          <w:noProof/>
        </w:rPr>
        <w:t>специална подкрепа за запазване на трудовите договори на обучителите с оглед на отмяната на професионалното обучение. Публичната подкрепа се състои от обезщетение, покриващо заплатите на обучителите, въпреки че професионалното обучение не се провежда.</w:t>
      </w:r>
    </w:p>
    <w:p>
      <w:pPr>
        <w:pStyle w:val="Point0"/>
        <w:rPr>
          <w:noProof/>
        </w:rPr>
      </w:pPr>
      <w:r>
        <w:t>(9)</w:t>
      </w:r>
      <w:r>
        <w:tab/>
      </w:r>
      <w:r>
        <w:rPr>
          <w:noProof/>
        </w:rPr>
        <w:t>редица мерки, свързани с регионалната заетост в автономния регион на Азорските острови. Специфичните мерки, включително регионалните мерки, допълващи схемите на национално равнище, а именно за работа при намалено работно време, подкрепа за самостоятелно заетите лица и за предприятията, възнамеряващи да възобновят стопанската си дейност, са предназначени да запазят заетостта на Азорските острови по време на избухналата пандемия от COVID-19. Подпомагането по мерките зависи от запазването на трудовите договори и поддържането на стопанската дейност.</w:t>
      </w:r>
    </w:p>
    <w:p>
      <w:pPr>
        <w:pStyle w:val="Point0"/>
        <w:rPr>
          <w:noProof/>
        </w:rPr>
      </w:pPr>
      <w:r>
        <w:t>(10)</w:t>
      </w:r>
      <w:r>
        <w:tab/>
      </w:r>
      <w:r>
        <w:rPr>
          <w:noProof/>
        </w:rPr>
        <w:t>редица мерки, свързани с регионалната заетост в автономния регион на Мадейра. Специфичните мерки, включително регионалните мерки, допълващи схемите на национално равнище, а именно за работа при намалено работно време, подкрепа за самостоятелно заетите лица и за предприятията, възнамеряващи да възобновят стопанската си дейност, са предназначени да запазят заетостта на Азорските острови по време на избухналата пандемия от COVID-19. Подпомагането по мерките зависи от запазването на трудовите договори и поддържането на стопанската дейност.</w:t>
      </w:r>
    </w:p>
    <w:p>
      <w:pPr>
        <w:pStyle w:val="Point0"/>
        <w:rPr>
          <w:noProof/>
        </w:rPr>
      </w:pPr>
      <w:r>
        <w:t>(11)</w:t>
      </w:r>
      <w:r>
        <w:tab/>
      </w:r>
      <w:r>
        <w:rPr>
          <w:noProof/>
        </w:rPr>
        <w:t xml:space="preserve">обезщетение за служители и самостоятелно заети лица, които са временно възпрепятствани да упражняват професионалната си дейност поради факта, че са били подложени на профилактична изолация. Тези работници имат право на надбавка, равна на основната им заплата. </w:t>
      </w:r>
    </w:p>
    <w:p>
      <w:pPr>
        <w:pStyle w:val="Point0"/>
        <w:rPr>
          <w:noProof/>
        </w:rPr>
      </w:pPr>
      <w:r>
        <w:t>(12)</w:t>
      </w:r>
      <w:r>
        <w:tab/>
      </w:r>
      <w:r>
        <w:rPr>
          <w:noProof/>
        </w:rPr>
        <w:t>обезщетение за болест поради заразяване с COVID-19. В сравнение със стандартната схема за обезщетения за болест в Португалия, предоставянето на обезщетение за болест поради заразяване с COVID-19 не е обвързано с период на изчакване. Публичната подкрепа представлява доход, равен на брутната заплата.</w:t>
      </w:r>
    </w:p>
    <w:p>
      <w:pPr>
        <w:pStyle w:val="Point0"/>
        <w:rPr>
          <w:noProof/>
        </w:rPr>
      </w:pPr>
      <w:r>
        <w:t>(13)</w:t>
      </w:r>
      <w:r>
        <w:tab/>
      </w:r>
      <w:r>
        <w:rPr>
          <w:noProof/>
        </w:rPr>
        <w:t>закупуването на лични предпазни средства, които да се използват на работното място, по-специално в обществени болници, ресорни министерства, общини и автономните области на Азорските острови и Мадейра като мярка за здравеопазване.</w:t>
      </w:r>
    </w:p>
    <w:p>
      <w:pPr>
        <w:pStyle w:val="Point0"/>
        <w:rPr>
          <w:noProof/>
        </w:rPr>
      </w:pPr>
      <w:r>
        <w:t>(14)</w:t>
      </w:r>
      <w:r>
        <w:tab/>
      </w:r>
      <w:r>
        <w:rPr>
          <w:noProof/>
        </w:rPr>
        <w:t>кампания за хигиена в училищата, чиято цел е да се гарантира безопасното завръщане на работа на преподаватели, други служители и студенти.</w:t>
      </w:r>
    </w:p>
    <w:p>
      <w:pPr>
        <w:pStyle w:val="Point0"/>
        <w:rPr>
          <w:noProof/>
        </w:rPr>
      </w:pPr>
      <w:r>
        <w:t>(15)</w:t>
      </w:r>
      <w:r>
        <w:tab/>
      </w:r>
      <w:r>
        <w:rPr>
          <w:noProof/>
        </w:rPr>
        <w:t xml:space="preserve">тестването за зараза с COVID-19 на постъпили в обществени болници пациенти и работещи в тях, както и на служители в домове за възрастни хора и детски заведения. </w:t>
      </w:r>
    </w:p>
    <w:p>
      <w:pPr>
        <w:pStyle w:val="Point0"/>
        <w:rPr>
          <w:noProof/>
        </w:rPr>
      </w:pPr>
      <w:r>
        <w:t>(16)</w:t>
      </w:r>
      <w:r>
        <w:tab/>
      </w:r>
      <w:r>
        <w:rPr>
          <w:noProof/>
        </w:rPr>
        <w:t>специално обезщетение за работници в Националната здравна служба, участващи в борбата с избухналата пандемия от COVID-19. То се състои от бонус за ефективност, изплащан еднократно, който съответства на сума, равна на 50 % от нормалната брутна заплата на служителя.</w:t>
      </w:r>
    </w:p>
    <w:p>
      <w:pPr>
        <w:rPr>
          <w:noProof/>
        </w:rPr>
      </w:pPr>
      <w:r>
        <w:rPr>
          <w:noProof/>
        </w:rPr>
        <w:t xml:space="preserve">Португалия предостави на Комисията необходимите сведения. </w:t>
      </w:r>
    </w:p>
    <w:p>
      <w:pPr>
        <w:rPr>
          <w:b/>
          <w:bCs/>
          <w:noProof/>
        </w:rPr>
      </w:pPr>
      <w:r>
        <w:rPr>
          <w:noProof/>
        </w:rPr>
        <w:t>Предвид наличните доказателства Комисията предлага на Съвета да приеме решение за изпълнение, с което на Португалия по силата на Регламента за SURE да се предостави финансова помощ в подкрепа на горепосочените мерки.</w:t>
      </w:r>
    </w:p>
    <w:p>
      <w:pPr>
        <w:pStyle w:val="ManualHeading2"/>
        <w:rPr>
          <w:noProof/>
          <w:color w:val="000000" w:themeColor="text1"/>
          <w:u w:color="000000"/>
          <w:bdr w:val="nil"/>
        </w:rPr>
      </w:pPr>
      <w:r>
        <w:rPr>
          <w:noProof/>
          <w:color w:val="000000" w:themeColor="text1"/>
          <w:u w:color="000000"/>
          <w:bdr w:val="nil"/>
        </w:rPr>
        <w:lastRenderedPageBreak/>
        <w:t>•</w:t>
      </w:r>
      <w:r>
        <w:rPr>
          <w:noProof/>
        </w:rPr>
        <w:tab/>
      </w:r>
      <w:r>
        <w:rPr>
          <w:noProof/>
          <w:color w:val="000000" w:themeColor="text1"/>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Правното основание на настоящия инструмент е Регламент (ЕС) 2020/672 на Съвета.</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lastRenderedPageBreak/>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6"/>
        </w:numPr>
        <w:rPr>
          <w:noProof/>
          <w:color w:val="000000" w:themeColor="text1"/>
        </w:rPr>
      </w:pPr>
      <w:r>
        <w:rPr>
          <w:noProof/>
          <w:color w:val="000000" w:themeColor="text1"/>
        </w:rPr>
        <w:t>стриктен и консервативен подход към финансовото управление;</w:t>
      </w:r>
    </w:p>
    <w:p>
      <w:pPr>
        <w:pStyle w:val="Bullet1"/>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2020/0227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Португалия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11 август 2020 г. Португалия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 </w:t>
      </w:r>
    </w:p>
    <w:p>
      <w:pPr>
        <w:pStyle w:val="ManualConsidrant"/>
        <w:rPr>
          <w:noProof/>
        </w:rPr>
      </w:pPr>
      <w:r>
        <w:t>(2)</w:t>
      </w:r>
      <w:r>
        <w:tab/>
      </w:r>
      <w:r>
        <w:rPr>
          <w:noProof/>
        </w:rPr>
        <w:t xml:space="preserve">Избухването на COVID-19 и предприетите от Португалия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Португалия от пролетта на 2020 г., към края на 2020 г. дефицитът по консолидирания държавен бюджет се очаква да достигне 6,5 % от брутния вътрешен продукт (БВП), а консолидираният държавен дълг — 131,6 % от БВП. Според междинната прогноза на Комисията за Португалия от лятото на 2020 г., през 2020 г. БВП се очаква да намалее със 9,8 %. </w:t>
      </w:r>
    </w:p>
    <w:p>
      <w:pPr>
        <w:pStyle w:val="ManualConsidrant"/>
        <w:rPr>
          <w:noProof/>
        </w:rPr>
      </w:pPr>
      <w:r>
        <w:t>(3)</w:t>
      </w:r>
      <w:r>
        <w:tab/>
      </w:r>
      <w:r>
        <w:rPr>
          <w:noProof/>
        </w:rPr>
        <w:t xml:space="preserve">Избухването на COVID-19 блокира значителна част от португалската работна сила. Това доведе до внезапно и съществено увеличение на публичните разходи в Португалия във връзка със схемите за подпомагане на работата на непълно работно време и подобни мерки и прибягването до съответните здравни мерки във връзка с избухването на COVID-19, както е посочено в съображения 4—17. </w:t>
      </w:r>
    </w:p>
    <w:p>
      <w:pPr>
        <w:pStyle w:val="ManualConsidrant"/>
        <w:rPr>
          <w:noProof/>
        </w:rPr>
      </w:pPr>
      <w:r>
        <w:t>(4)</w:t>
      </w:r>
      <w:r>
        <w:tab/>
      </w:r>
      <w:r>
        <w:rPr>
          <w:noProof/>
        </w:rPr>
        <w:t xml:space="preserve">С посочения в искането на Португалия от 11 август 2020 г. „Закон № 7/2009 от 12 февруари“ се въвежда мярка за подпомагане на трудовите договори чрез временно прекъсване на работата или намаляване на нормалното работно време, заложено в Кодекса на труда на Португалия. Мярката е предназначена за допустими предприятия, за да покрият 70 % от възнагражденията на служителите, като получените от тях възнаграждения се равняват на две трети от нормалната им брутна заплата. За тази две трети от корекцията се прилага долна </w:t>
      </w:r>
      <w:r>
        <w:rPr>
          <w:noProof/>
        </w:rPr>
        <w:lastRenderedPageBreak/>
        <w:t xml:space="preserve">граница, равняваща се на минималната работна заплата в страната, и горна граница, равна на трикратния размер на минимална работна заплата в страната. Допустимите предприятия трябва да са прекъснали дейността си или да понасят значителни загуби на приходи. </w:t>
      </w:r>
    </w:p>
    <w:p>
      <w:pPr>
        <w:pStyle w:val="ManualConsidrant"/>
        <w:rPr>
          <w:noProof/>
        </w:rPr>
      </w:pPr>
      <w:r>
        <w:t>(5)</w:t>
      </w:r>
      <w:r>
        <w:tab/>
      </w:r>
      <w:r>
        <w:rPr>
          <w:noProof/>
        </w:rPr>
        <w:t>Посочените в искането на Португалия от 11 август 2020 г. „Наредба-закон № 10-G/2020 от 26 март“ и „Наредба-закон № 27-B/2020 от 19 юни“ са основата за въвеждането на редица мерки за справяне с въздействието на избухналата пандемия от COVID-19. Сред тях са новата и опростена специална подкрепа за запазване на трудовите договори чрез временно прекъсване на работата или намаляване на нормалното работно време. Тази мярка е подобна на мярката, посочена в съображение 4, но включва опростени процедури, за да се даде възможност за по-бърз достъп до средства. Мярката е предназначена за допустими предприятия, за да покрият 70 % от възнагражденията на служителите, като получените от тях възнаграждения се равняват на две трети от нормалната им брутна заплата. Работодателят е освободен също от вноски за социално осигуряване. За тази две трети от корекцията се прилага долна граница, равняваща се на минималната работна заплата в страната, и горна граница, равна на трикратния размер на минимална работна заплата в страната. Допустимите предприятия трябва да са прекъснали търговската си дейност или да са претърпели загуби на приходи от най-малко 40 % през 30 дневния период, предшестващ искането за подпомагане, в сравнение със същия месец на предходната година или с месечната средна стойност от двата месеца преди този период. Мярката е удължавана неколкократно, включително чрез преразглеждане на изчисляването на възнаграждението на служителите в размер на четири пети от тяхната нормална брутна заплата и въвеждане на постепенното премахване на освобождаванията от социалноосигурителни вноски за предприятията бенефициери. Тъй като намаляването на социалноосигурителните вноски се състои от пропуснати приходи за правителството по смисъла на Регламент (ЕО) № 2020/672 на Съвета, те могат да се считат за еквивалентни на публични разходи.</w:t>
      </w:r>
    </w:p>
    <w:p>
      <w:pPr>
        <w:pStyle w:val="ManualConsidrant"/>
        <w:rPr>
          <w:noProof/>
        </w:rPr>
      </w:pPr>
      <w:r>
        <w:t>(6)</w:t>
      </w:r>
      <w:r>
        <w:tab/>
      </w:r>
      <w:r>
        <w:rPr>
          <w:noProof/>
        </w:rPr>
        <w:t>В случаите, когато предприятия са в криза поради избухналата пандемия от COVID-19, възползват от мерките, посочени в съображения 4 или 5, и разполагат с програма за обучение, одобрена от националните публични служби за заетост и обучение съгласно специалните програми за професионално обучение, служителите и предприятията могат да получат помощ за обучение, за да покрият разходите за заместване на доходите, както и свързаните разходи за обучение, което да бъде проведено в работно време като алтернатива на намаляването на работното време.</w:t>
      </w:r>
    </w:p>
    <w:p>
      <w:pPr>
        <w:pStyle w:val="ManualConsidrant"/>
        <w:rPr>
          <w:noProof/>
        </w:rPr>
      </w:pPr>
      <w:r>
        <w:t>(7)</w:t>
      </w:r>
      <w:r>
        <w:tab/>
      </w:r>
      <w:r>
        <w:rPr>
          <w:noProof/>
        </w:rPr>
        <w:t>Освен това органите въведоха специална подкрепа за предприятията за възобновяване на стопанската им дейност. С цел да се улесни преходът към връщане на работа и да се улесни запазването на работни места, предприятията, чиито служители се възползват от мерките, посочени в съображения 4 или 5, могат да получат обезщетение, равно на минимална работна заплата в страната за всеки съответен служител, платена на един транш, или равно на удвоената минимална работна заплата в страната за всеки такъв служител, плащана поетапно в продължение на шест месеца. Когато подпомагането се предоставя поетапно, предприятията се възползват също от частично освобождаване в размер на 50 % от социалноосигурителните вноски на съответния работодател по отношение на съответните служители.</w:t>
      </w:r>
    </w:p>
    <w:p>
      <w:pPr>
        <w:pStyle w:val="ManualConsidrant"/>
        <w:rPr>
          <w:noProof/>
        </w:rPr>
      </w:pPr>
      <w:r>
        <w:lastRenderedPageBreak/>
        <w:t>(8)</w:t>
      </w:r>
      <w:r>
        <w:tab/>
      </w:r>
      <w:r>
        <w:rPr>
          <w:noProof/>
        </w:rPr>
        <w:t xml:space="preserve">Накрая, съгласно Наредба-закон № 27-B/2020 от 19 юни 2020 г., властите въведоха добавка за стабилизиране на доходите за служителите, които се възползват от мерките, посочени в съображения 4 и 5. Допустими са служителите чиято брутна заплата спрямо февруари 2020 г. не надвишава двукратно минималната работна заплата в страната. Служителите получават обезщетение, равно на разликата между брутната заплата от февруари 2020 г. и заплатата от периода, през който служителят е бил покрит от една от двете горепосочени схеми за подпомагане, с долна граница от 100 евро и горна граница от 351 евро. </w:t>
      </w:r>
    </w:p>
    <w:p>
      <w:pPr>
        <w:pStyle w:val="ManualConsidrant"/>
        <w:rPr>
          <w:noProof/>
        </w:rPr>
      </w:pPr>
      <w:r>
        <w:t>(9)</w:t>
      </w:r>
      <w:r>
        <w:tab/>
      </w:r>
      <w:r>
        <w:rPr>
          <w:noProof/>
        </w:rPr>
        <w:t>С посочените в искането на Португалия от 11 август 2020 г. „Наредба-закон № 10-A/2020 от 13 март“ и „Закон № 2/2020 от 31 март“</w:t>
      </w:r>
      <w:r>
        <w:rPr>
          <w:rStyle w:val="FootnoteReference"/>
          <w:noProof/>
        </w:rPr>
        <w:footnoteReference w:id="2"/>
      </w:r>
      <w:r>
        <w:rPr>
          <w:noProof/>
        </w:rPr>
        <w:t xml:space="preserve">, се въвежда специална подкрепа за самостоятелно заетите лица, недекларираните работници и управляващите партньори. Мярката осигурява месечно обезщетение, равняващо се на регистрираните доходи на физическите лица с горна граница от 438,81 евро, когато доходът е по-нисък от 658,21 евро, или на две трети от регистрираните доходи на физическите лица с горна граница от 438,81 евро, когато доходът надвишава 658,21 EUR. Между 13 март и 30 юни 2020 г. бе приложена първоначална долна граница, равна на 219,41 евро, върху цялостния размер на месечната помощ. Допустимите физически лица са тези, които са прекъснали търговската си дейност или понасят загуби на приходи от най-малко 40 % през 30 дневния период, предшестващ искането за подпомагане, в сравнение със същия месец на предходната година или с месечната средна стойност от двата месеца преди този период. </w:t>
      </w:r>
    </w:p>
    <w:p>
      <w:pPr>
        <w:pStyle w:val="ManualConsidrant"/>
        <w:rPr>
          <w:noProof/>
          <w:color w:val="0000FF"/>
        </w:rPr>
      </w:pPr>
      <w:r>
        <w:t>(10)</w:t>
      </w:r>
      <w:r>
        <w:tab/>
      </w:r>
      <w:r>
        <w:rPr>
          <w:noProof/>
        </w:rPr>
        <w:t xml:space="preserve">С посочената в искането на Португалия от 11 август 2020 г. „Наредба-закон № 10-A/2020 от 13 март“ се въвежда семейна надбавка за служители, които са възпрепятствани да работят поради необходимостта да помагат на децата си на възраст под 12 години или други зависими лица. Мярката осигурява обезщетение в размер на 50 % от възнаграждението на служителя. Като правило възнаграждението на служителите съответства на две трети от нормалната брутна заплата с долна граница, равняваща се на минималната работна заплата в страната, и горна граница, равняваща се на трикратния размер на минимална работна заплата в страната. Тези мерки могат да се приемат за подобна мярка на схемите за работа с намалено работно време съгласно Регламент (ЕС) 2020/672, тъй като те осигуряват подпомагане за доходите на служителите, което ще позволи да бъдат покрити разходите за гледане на деца, докато училищата са затворени, и по този начин ще се помогне на родителите да продължат да работят и ще се избегне трудовите правоотношения да бъдат поставени на риск. </w:t>
      </w:r>
    </w:p>
    <w:p>
      <w:pPr>
        <w:pStyle w:val="ManualConsidrant"/>
        <w:rPr>
          <w:noProof/>
        </w:rPr>
      </w:pPr>
      <w:r>
        <w:t>(11)</w:t>
      </w:r>
      <w:r>
        <w:tab/>
      </w:r>
      <w:r>
        <w:rPr>
          <w:noProof/>
        </w:rPr>
        <w:t>С посочените в искането на Португалия от 11 август 2020 г. „Правителствено постановление № 3485-C/2020 от 17 март“, „Правителствено постановление № 4395/2020 от 10 април“ и „Правителствено постановление № 5897-B/2020 от 28 май“, се въвежда специална подкрепа за запазване на трудовите договори на обучителите с оглед на отмяната на професионалното обучение. Публичната подкрепа се състои от обезщетение, покриващо заплатите на обучителите, въпреки че професионалното обучение не се провежда.</w:t>
      </w:r>
    </w:p>
    <w:p>
      <w:pPr>
        <w:pStyle w:val="ManualConsidrant"/>
        <w:rPr>
          <w:noProof/>
        </w:rPr>
      </w:pPr>
      <w:r>
        <w:t>(12)</w:t>
      </w:r>
      <w:r>
        <w:tab/>
      </w:r>
      <w:r>
        <w:rPr>
          <w:noProof/>
        </w:rPr>
        <w:t xml:space="preserve">С посочените в искането на Португалия от 11 август 2020 г. „Резолюция на Съвета на регионалното правителство на Азорските острови № 97/2020 от 8 април“, „Резолюция на Съвета на регионалното правителство на Азорските </w:t>
      </w:r>
      <w:r>
        <w:rPr>
          <w:noProof/>
        </w:rPr>
        <w:lastRenderedPageBreak/>
        <w:t>острови 120/2020 от 28 април“, „Резолюция на Съвета на регионалното правителство на Азорските острови № 128/2020 от 5 май“, „Резолюция на Съвета на регионалното правителство на Азорските острови № 129/2020 от 5 май“, „Резолюция на Съвета на регионалното правителство на Азорските острови № 195/2020 от 15 юли“, „Резолюция на Съвета на регионалното правителство на Азорските острови № 196/2020 от 15 юли“ и „Резолюция на Съвета на регионалното правителство на Азорските острови № 200/2020“ от 17 юли 2020 г. се въвеждат редица мерки, свързани с регионалната заетост в автономния регион на Азорските острови. Специфичните мерки, включително регионалните мерки, допълващи схемите на национално равнище, а именно за работа при намалено работно време, подкрепа за самостоятелно заетите лица и за предприятията, възнамеряващи да възобновят стопанската си дейност, са предназначени да запазят заетостта на Азорските острови по време на избухналата пандемия от COVID-19. Подпомагането по мерките зависи от запазването на трудовите договори и поддържането на стопанската дейност.</w:t>
      </w:r>
    </w:p>
    <w:p>
      <w:pPr>
        <w:pStyle w:val="ManualConsidrant"/>
        <w:rPr>
          <w:noProof/>
        </w:rPr>
      </w:pPr>
      <w:r>
        <w:t>(13)</w:t>
      </w:r>
      <w:r>
        <w:tab/>
      </w:r>
      <w:r>
        <w:rPr>
          <w:noProof/>
        </w:rPr>
        <w:t>С посочените в искането на Португалия от 11 август 2020 г. „Резолюция № 101/2020 на регионалното правителство на Мадейра № от 13 март“ и „Наредба № 133-B/2020 на заместник-председателя на регионалното правителство на Мадейра и на регионалния секретариат за социално приобщаване и гражданство от 22 април 2020 г.“ се въвеждат редица мерки, свързани с регионалната заетост в автономния регион на Мадейра. Специфичните мерки, включително регионалните мерки, допълващи схемите на национално равнище, а именно за работа при намалено работно време, подкрепа за самостоятелно заетите лица и за предприятията, възнамеряващи да възобновят стопанската си дейност, са предназначени да запазят заетостта на Азорските острови по време на избухналата пандемия от COVID-19. Подпомагането по мерките зависи от запазването на трудовите договори и поддържането на стопанската дейност.</w:t>
      </w:r>
    </w:p>
    <w:p>
      <w:pPr>
        <w:pStyle w:val="ManualConsidrant"/>
        <w:rPr>
          <w:noProof/>
        </w:rPr>
      </w:pPr>
      <w:r>
        <w:t>(14)</w:t>
      </w:r>
      <w:r>
        <w:tab/>
      </w:r>
      <w:r>
        <w:rPr>
          <w:noProof/>
        </w:rPr>
        <w:t>В посочените в искането на Португалия от 11 август 2020 г. „Наредба-закон № 10-A/2020 от 13 март“ и „Закон № 2/2020 от 31 март“</w:t>
      </w:r>
      <w:r>
        <w:rPr>
          <w:rStyle w:val="FootnoteReference"/>
          <w:noProof/>
        </w:rPr>
        <w:footnoteReference w:id="3"/>
      </w:r>
      <w:r>
        <w:rPr>
          <w:noProof/>
        </w:rPr>
        <w:t xml:space="preserve"> се предвижда обезщетение за служители и самостоятелно заети лица, които са временно възпрепятствани да упражняват професионалната си дейност поради факта, че са били подложени на профилактична изолация. Тези работници имат право на надбавка, равна на основната им заплата. С правното основание се въвежда също обезщетение за болест поради заразяване с COVID-19. В сравнение със стандартната схема за обезщетения за болест в Португалия, предоставянето на обезщетение за болест поради заразяване с COVID-19 не е обвързано с период на изчакване. Публичната подкрепа представлява доход, равен на брутната заплата.</w:t>
      </w:r>
    </w:p>
    <w:p>
      <w:pPr>
        <w:pStyle w:val="ManualConsidrant"/>
        <w:rPr>
          <w:noProof/>
        </w:rPr>
      </w:pPr>
      <w:r>
        <w:t>(15)</w:t>
      </w:r>
      <w:r>
        <w:tab/>
      </w:r>
      <w:r>
        <w:rPr>
          <w:noProof/>
        </w:rPr>
        <w:t>С посочената в искането на Португалия от 11 август 2020 г. „Наредба-закон 10-A от 13 март“ се дава възможност да бъдат закупени лични предпазни средства, които да се използват на работното място, по-специално в обществени болници, ресорни министерства, общини и автономните области на Азорските острови и Мадейра като мярка за здравеопазване. Освен това с правното основание се въвежда кампания за хигиена в училищата, чиято цел е да се гарантира безопасното завръщане на работа на преподаватели, други служители и студенти.</w:t>
      </w:r>
    </w:p>
    <w:p>
      <w:pPr>
        <w:pStyle w:val="ManualConsidrant"/>
        <w:rPr>
          <w:noProof/>
        </w:rPr>
      </w:pPr>
      <w:r>
        <w:lastRenderedPageBreak/>
        <w:t>(16)</w:t>
      </w:r>
      <w:r>
        <w:tab/>
      </w:r>
      <w:r>
        <w:rPr>
          <w:noProof/>
        </w:rPr>
        <w:t>Властите въведоха тестване за зараза с COVID-19 на постъпили в обществени болници пациенти и работещи в тях, както и на служители в домове за възрастни хора и детски заведения. Тази сума се финансира от общия бюджет и по тази причина е без изрично правно основание.</w:t>
      </w:r>
    </w:p>
    <w:p>
      <w:pPr>
        <w:pStyle w:val="ManualConsidrant"/>
        <w:rPr>
          <w:noProof/>
        </w:rPr>
      </w:pPr>
      <w:r>
        <w:t>(17)</w:t>
      </w:r>
      <w:r>
        <w:tab/>
      </w:r>
      <w:r>
        <w:rPr>
          <w:noProof/>
        </w:rPr>
        <w:t>Накрая, с посочения в искането на Португалия от 11 август 2020 г. „Закон № 27-A/2020 от 24 юли“ се въвежда специално обезщетение за работници в Националната здравна служба, участващи в борбата с избухналата пандемия от COVID-19. То се състои от бонус за ефективност, изплащан еднократно, който съответства на сума, равна на 50 % от нормалната брутна заплата на служителя.</w:t>
      </w:r>
    </w:p>
    <w:p>
      <w:pPr>
        <w:pStyle w:val="ManualConsidrant"/>
        <w:rPr>
          <w:noProof/>
        </w:rPr>
      </w:pPr>
      <w:r>
        <w:t>(18)</w:t>
      </w:r>
      <w:r>
        <w:tab/>
      </w:r>
      <w:r>
        <w:rPr>
          <w:noProof/>
        </w:rPr>
        <w:t xml:space="preserve">Португалия удовлетворява условията по член 3 от Регламент (ЕС) 2020/672 за отпускане на финансова помощ. Португалия предостави на Комисията подходящи доказателства, че нейните извършени и планирани публични разходи са се увеличили със 5 934 462 488 евро, считано от 1 февруари 2020 г., в резултат на националните мерки за справяне със социално-икономическите последици от избухването на COVID-19. Увеличението, пряко свързано с горепосочените мерки, които са схеми за работа с намалено работно време или подобни мерки, представлява внезапно и съществено увеличение, тъй като е свързано както с нови мерки, така и с увеличаване на търсенето на действащи мерки, които заедно обхващат значителна част от предприятията и работната сила в Португалия. </w:t>
      </w:r>
    </w:p>
    <w:p>
      <w:pPr>
        <w:pStyle w:val="ManualConsidrant"/>
        <w:rPr>
          <w:noProof/>
        </w:rPr>
      </w:pPr>
      <w:r>
        <w:t>(19)</w:t>
      </w:r>
      <w:r>
        <w:tab/>
      </w:r>
      <w:r>
        <w:rPr>
          <w:noProof/>
        </w:rPr>
        <w:t xml:space="preserve">В изпълнение на член 6 от Регламент (ЕС) 2020/672 Комисията се консултира с Португалия и провери внезапното и съществено увеличение на извършените и планирани публични разходи, пряко свързани с посочените в искането от 11 август 2020 г. схеми за подпомагане на работата на непълно работно време и подобни мерки, и прибягване до съответните здравни мерки във връзка с избухването на COVID-19. </w:t>
      </w:r>
    </w:p>
    <w:p>
      <w:pPr>
        <w:pStyle w:val="ManualConsidrant"/>
        <w:rPr>
          <w:noProof/>
        </w:rPr>
      </w:pPr>
      <w:r>
        <w:t>(20)</w:t>
      </w:r>
      <w:r>
        <w:tab/>
      </w:r>
      <w:r>
        <w:rPr>
          <w:noProof/>
        </w:rPr>
        <w:t>Поради това на Португалия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(21)</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(22)</w:t>
      </w:r>
      <w:r>
        <w:tab/>
      </w:r>
      <w:r>
        <w:rPr>
          <w:noProof/>
        </w:rPr>
        <w:t>Португалия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(23)</w:t>
      </w:r>
      <w:r>
        <w:tab/>
      </w:r>
      <w:r>
        <w:rPr>
          <w:noProof/>
        </w:rPr>
        <w:t>Решението за предоставяне на финансова помощ се взима с отчитане на съществуващите и очакваните нужди на Португалия,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i/>
          <w:noProof/>
        </w:rPr>
      </w:pPr>
      <w:r>
        <w:rPr>
          <w:noProof/>
        </w:rPr>
        <w:t xml:space="preserve">Португалия удовлетворява условията по член 3 от Регламент (ЕС) 2020/672. </w:t>
      </w:r>
    </w:p>
    <w:p>
      <w:pPr>
        <w:pStyle w:val="Titrearticle"/>
        <w:rPr>
          <w:noProof/>
        </w:rPr>
      </w:pPr>
      <w:r>
        <w:rPr>
          <w:noProof/>
        </w:rPr>
        <w:t>Член 2</w:t>
      </w:r>
    </w:p>
    <w:p>
      <w:pPr>
        <w:pStyle w:val="ManualNumPar1"/>
        <w:rPr>
          <w:noProof/>
        </w:rPr>
      </w:pPr>
      <w:r>
        <w:t>1.</w:t>
      </w:r>
      <w:r>
        <w:tab/>
      </w:r>
      <w:r>
        <w:rPr>
          <w:noProof/>
        </w:rPr>
        <w:t>Съюзът отпуска на Португалия заем с максимален размер 5 934 462 488 евро. Неговият максимален среден срок до падежа е 15 години.</w:t>
      </w:r>
    </w:p>
    <w:p>
      <w:pPr>
        <w:pStyle w:val="ManualNumPar1"/>
        <w:rPr>
          <w:noProof/>
        </w:rPr>
      </w:pPr>
      <w:r>
        <w:t>2.</w:t>
      </w:r>
      <w:r>
        <w:tab/>
      </w:r>
      <w:r>
        <w:rPr>
          <w:noProof/>
        </w:rPr>
        <w:t xml:space="preserve">Периодът на усвояване на предоставената по силата на настоящото решение финансова помощ е 18 месеца, считано от датата на влизането му в сила. </w:t>
      </w:r>
    </w:p>
    <w:p>
      <w:pPr>
        <w:pStyle w:val="ManualNumPar1"/>
        <w:rPr>
          <w:noProof/>
        </w:rPr>
      </w:pPr>
      <w:r>
        <w:t>3.</w:t>
      </w:r>
      <w:r>
        <w:tab/>
      </w:r>
      <w:r>
        <w:rPr>
          <w:noProof/>
        </w:rPr>
        <w:t xml:space="preserve">Комисията предоставя на Португалия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 </w:t>
      </w:r>
    </w:p>
    <w:p>
      <w:pPr>
        <w:pStyle w:val="ManualNumPar1"/>
        <w:rPr>
          <w:noProof/>
        </w:rPr>
      </w:pPr>
      <w:r>
        <w:t>4.</w:t>
      </w:r>
      <w:r>
        <w:tab/>
      </w:r>
      <w:r>
        <w:rPr>
          <w:noProof/>
        </w:rPr>
        <w:t>Отпускането на първия транш зависи от влизането в сила на споразумението за заем, посочено в член 8, параграф 2 от Регламент (ЕС) 2020/672.</w:t>
      </w:r>
    </w:p>
    <w:p>
      <w:pPr>
        <w:pStyle w:val="ManualNumPar1"/>
        <w:rPr>
          <w:noProof/>
        </w:rPr>
      </w:pPr>
      <w:r>
        <w:t>5.</w:t>
      </w:r>
      <w:r>
        <w:tab/>
      </w:r>
      <w:r>
        <w:rPr>
          <w:noProof/>
        </w:rPr>
        <w:t xml:space="preserve">Португалия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 </w:t>
      </w:r>
    </w:p>
    <w:p>
      <w:pPr>
        <w:pStyle w:val="ManualNumPar1"/>
        <w:rPr>
          <w:noProof/>
        </w:rPr>
      </w:pPr>
      <w:r>
        <w:t>6.</w:t>
      </w:r>
      <w:r>
        <w:tab/>
      </w:r>
      <w:r>
        <w:rPr>
          <w:noProof/>
        </w:rPr>
        <w:t xml:space="preserve">Комисията определя размера и датата на отпускане на траншовете, както и размера на вноските. </w:t>
      </w:r>
    </w:p>
    <w:p>
      <w:pPr>
        <w:pStyle w:val="Titrearticle"/>
        <w:rPr>
          <w:noProof/>
        </w:rPr>
      </w:pPr>
      <w:r>
        <w:rPr>
          <w:noProof/>
        </w:rPr>
        <w:t xml:space="preserve">Член 3 </w:t>
      </w:r>
    </w:p>
    <w:p>
      <w:pPr>
        <w:rPr>
          <w:noProof/>
        </w:rPr>
      </w:pPr>
      <w:r>
        <w:rPr>
          <w:noProof/>
        </w:rPr>
        <w:t>Португалия може да финансира следните мерки:</w:t>
      </w:r>
    </w:p>
    <w:p>
      <w:pPr>
        <w:pStyle w:val="Point0"/>
        <w:rPr>
          <w:noProof/>
          <w:sz w:val="16"/>
        </w:rPr>
      </w:pPr>
      <w:r>
        <w:rPr>
          <w:noProof/>
        </w:rPr>
        <w:t>а)</w:t>
      </w:r>
      <w:r>
        <w:rPr>
          <w:noProof/>
        </w:rPr>
        <w:tab/>
        <w:t>подкрепата за запазване на трудовите договори чрез временно прекъсване на работата или намаляване на нормалното работно време, предвидена в членове 298—308 от Закон № 7/2009 от 12 февруари;</w:t>
      </w:r>
    </w:p>
    <w:p>
      <w:pPr>
        <w:pStyle w:val="Point0"/>
        <w:rPr>
          <w:noProof/>
        </w:rPr>
      </w:pPr>
      <w:r>
        <w:rPr>
          <w:noProof/>
        </w:rPr>
        <w:t>б)</w:t>
      </w:r>
      <w:r>
        <w:rPr>
          <w:noProof/>
        </w:rPr>
        <w:tab/>
        <w:t>новата и опростена специална подкрепа за запазване на трудовите договори чрез временно прекъсване на работата или намаляване на нормалното работно време, предвидена в Наредба-закон № 10-G/2020 от 26 март и член 2 от Наредба-закон № 27-B/2020 от 19 юни;</w:t>
      </w:r>
    </w:p>
    <w:p>
      <w:pPr>
        <w:pStyle w:val="Point0"/>
        <w:rPr>
          <w:noProof/>
        </w:rPr>
      </w:pPr>
      <w:r>
        <w:rPr>
          <w:noProof/>
        </w:rPr>
        <w:t>в)</w:t>
      </w:r>
      <w:r>
        <w:rPr>
          <w:noProof/>
        </w:rPr>
        <w:tab/>
        <w:t>специалните програми за професионално обучение за запазване на трудовите договори чрез временно прекъсване на работата или намаляване на нормалното работно време, предвидени в членове 7—9 от Наредба-закон № 10-G/2020 от 26 март;</w:t>
      </w:r>
    </w:p>
    <w:p>
      <w:pPr>
        <w:pStyle w:val="Point0"/>
        <w:rPr>
          <w:noProof/>
        </w:rPr>
      </w:pPr>
      <w:r>
        <w:rPr>
          <w:noProof/>
        </w:rPr>
        <w:t>г)</w:t>
      </w:r>
      <w:r>
        <w:rPr>
          <w:noProof/>
        </w:rPr>
        <w:tab/>
        <w:t>новата специална подкрепа за предприятията за възобновяване на стопанската им дейност, предвидена в член 4, параграфи 1— 7 и 10—12 и член 5 от Наредба-закон № 27-B/2020 от 19 юни;</w:t>
      </w:r>
    </w:p>
    <w:p>
      <w:pPr>
        <w:pStyle w:val="Point0"/>
        <w:rPr>
          <w:noProof/>
        </w:rPr>
      </w:pPr>
      <w:r>
        <w:rPr>
          <w:noProof/>
        </w:rPr>
        <w:t>д)</w:t>
      </w:r>
      <w:r>
        <w:rPr>
          <w:noProof/>
        </w:rPr>
        <w:tab/>
        <w:t xml:space="preserve">новата добавка за стабилизиране на доходите за служителите, обхванати от посочената по-горе подкрепа за запазване на трудовите договори чрез временно прекъсване на работата или намаляване на нормалното работно </w:t>
      </w:r>
      <w:r>
        <w:rPr>
          <w:noProof/>
        </w:rPr>
        <w:lastRenderedPageBreak/>
        <w:t>време, предвидена в Трудовия кодекс на Португалия, или чрез новата и опростена подкрепа, въведена в отговор на пандемията от COVID-19, предвидена в член 3 от Наредба-закон № 27-B/2020 от 19 юни;</w:t>
      </w:r>
    </w:p>
    <w:p>
      <w:pPr>
        <w:pStyle w:val="Point0"/>
        <w:rPr>
          <w:noProof/>
        </w:rPr>
      </w:pPr>
      <w:r>
        <w:rPr>
          <w:noProof/>
        </w:rPr>
        <w:t>е)</w:t>
      </w:r>
      <w:r>
        <w:rPr>
          <w:noProof/>
        </w:rPr>
        <w:tab/>
        <w:t>новата и прогресивна специална подкрепа за запазване на трудовите договори чрез временно намаляване на нормалното работно време, предвидена в Наредба-закон № 46-A/2020 от 30 юли;</w:t>
      </w:r>
    </w:p>
    <w:p>
      <w:pPr>
        <w:pStyle w:val="Point0"/>
        <w:rPr>
          <w:noProof/>
        </w:rPr>
      </w:pPr>
      <w:r>
        <w:rPr>
          <w:noProof/>
        </w:rPr>
        <w:t>ж)</w:t>
      </w:r>
      <w:r>
        <w:rPr>
          <w:noProof/>
        </w:rPr>
        <w:tab/>
        <w:t>новата специална подкрепа за самостоятелно заетите лица, недекларираните работници и управляващите партньори, предвидена в членове 26—28 от Наредба-закон № 10-A/2020 от 13 март и член 325-G от Закон № 2/2020 от 31 март, изменен с член 3 от Закон 27-A/2020 от 24 юли;</w:t>
      </w:r>
    </w:p>
    <w:p>
      <w:pPr>
        <w:pStyle w:val="Point0"/>
        <w:rPr>
          <w:noProof/>
        </w:rPr>
      </w:pPr>
      <w:r>
        <w:rPr>
          <w:noProof/>
        </w:rPr>
        <w:t>з)</w:t>
      </w:r>
      <w:r>
        <w:rPr>
          <w:noProof/>
        </w:rPr>
        <w:tab/>
        <w:t>семейна надбавка за служители, които са възпрепятствани да работят поради необходимостта да помагат на децата си на възраст под 12 години или други зависими лица, както е предвидено в член 23 от Наредба-закон № 10-A/2020 от 13 март;</w:t>
      </w:r>
    </w:p>
    <w:p>
      <w:pPr>
        <w:pStyle w:val="Point0"/>
        <w:rPr>
          <w:noProof/>
        </w:rPr>
      </w:pPr>
      <w:r>
        <w:rPr>
          <w:noProof/>
        </w:rPr>
        <w:t>и)</w:t>
      </w:r>
      <w:r>
        <w:rPr>
          <w:noProof/>
        </w:rPr>
        <w:tab/>
        <w:t>специалната подкрепа за запазване на трудовите договори на обучителите с оглед на отмяната на професионалното обучение, предвидена в Правителствено постановление № 3485-C/2020 от 17 март, Правителствено постановление № 4395/2020 от 10 април и Правителствено постановление № 5897-B/2020 от 28 май;</w:t>
      </w:r>
    </w:p>
    <w:p>
      <w:pPr>
        <w:pStyle w:val="Point0"/>
        <w:rPr>
          <w:noProof/>
        </w:rPr>
      </w:pPr>
      <w:r>
        <w:rPr>
          <w:noProof/>
        </w:rPr>
        <w:t>й)</w:t>
      </w:r>
      <w:r>
        <w:rPr>
          <w:noProof/>
        </w:rPr>
        <w:tab/>
        <w:t>регионалните мерки, свързани със заетостта в автономния регион Азорски острови, предвидени в Резолюция № 97/2020 на Съвета на регионалното правителство на Азорските острови от 8 април 2008 г., Резолюция на Съвета на регионалното правителство на Азорските острови № 120/2020 от 28 април, Резолюция на Съвета на регионалното правителство на Азорските острови № 128/2020 от 5 май, Резолюция на Съвета на регионалното правителство на Азорските острови № 129/2020 от 5 май, Резолюция на Съвета на регионалното правителство на Азорските острови № 195/2020 от 15 юли, Резолюция на Съвета на регионалното правителство на Азорските острови № 196/2020 от 15 юли и Резолюция на Съвета на регионалното правителство на Азорските острови № 200/2020 от 17 юли;</w:t>
      </w:r>
    </w:p>
    <w:p>
      <w:pPr>
        <w:pStyle w:val="Point0"/>
        <w:rPr>
          <w:noProof/>
        </w:rPr>
      </w:pPr>
      <w:r>
        <w:rPr>
          <w:noProof/>
        </w:rPr>
        <w:t>к)</w:t>
      </w:r>
      <w:r>
        <w:rPr>
          <w:noProof/>
        </w:rPr>
        <w:tab/>
        <w:t>регионалните мерки, свързани със заетостта в автономната област Мадейра, предвидени в Резолюция № 101/2020 на регионалното правителство на Мадейра № от 13 март и Наредба № 133-B/2020 на заместник-председателя на регионалното правителство на Мадейра и на Регионалния секретариат за социално приобщаване и гражданство от 22 април;</w:t>
      </w:r>
    </w:p>
    <w:p>
      <w:pPr>
        <w:pStyle w:val="Point0"/>
        <w:rPr>
          <w:noProof/>
        </w:rPr>
      </w:pPr>
      <w:r>
        <w:rPr>
          <w:noProof/>
        </w:rPr>
        <w:t>л)</w:t>
      </w:r>
      <w:r>
        <w:rPr>
          <w:noProof/>
        </w:rPr>
        <w:tab/>
        <w:t>обезщетението за служители и самостоятелно заети лица, подложени на профилактична изолация, предвидено в член 19 от Наредба-закон № 10-A/2020 от 13 март и член 325-F от Закон № 2/2020 от 31 март, изменен с член 3 от Закон № 27-A/2020 от 24 юли;</w:t>
      </w:r>
    </w:p>
    <w:p>
      <w:pPr>
        <w:pStyle w:val="Point0"/>
        <w:rPr>
          <w:noProof/>
        </w:rPr>
      </w:pPr>
      <w:r>
        <w:rPr>
          <w:noProof/>
        </w:rPr>
        <w:t>м)</w:t>
      </w:r>
      <w:r>
        <w:rPr>
          <w:noProof/>
        </w:rPr>
        <w:tab/>
        <w:t>обезщетението за болест поради заразяване с COVID-19, предвидено в член 20 от Наредба-закон № 10-A/2020 от 13 март и член 325-F от Закон № 2/2020 от 31 март, изменен с член 3 от Закон № 27-A/2020 от 24 юли;</w:t>
      </w:r>
    </w:p>
    <w:p>
      <w:pPr>
        <w:pStyle w:val="Point0"/>
        <w:rPr>
          <w:noProof/>
        </w:rPr>
      </w:pPr>
      <w:r>
        <w:rPr>
          <w:noProof/>
        </w:rPr>
        <w:t>н)</w:t>
      </w:r>
      <w:r>
        <w:rPr>
          <w:noProof/>
        </w:rPr>
        <w:tab/>
        <w:t>закупуването на лични предпазни средства, които да се използват на работното място, по-специално в обществени болници, ресорни министерства, общини и автономните области на Азорските острови и Мадейра като мярка за здравеопазване, както е предвидено в член 3 от Наредба-закон № 10-A от 13 март.</w:t>
      </w:r>
    </w:p>
    <w:p>
      <w:pPr>
        <w:pStyle w:val="Point0"/>
        <w:rPr>
          <w:noProof/>
        </w:rPr>
      </w:pPr>
      <w:r>
        <w:rPr>
          <w:noProof/>
        </w:rPr>
        <w:lastRenderedPageBreak/>
        <w:t>о)</w:t>
      </w:r>
      <w:r>
        <w:rPr>
          <w:noProof/>
        </w:rPr>
        <w:tab/>
        <w:t>кампанията за хигиена в училищата, предвидена в член 9 от Наредба-закон № 10-A/2020 от 13 март;</w:t>
      </w:r>
    </w:p>
    <w:p>
      <w:pPr>
        <w:pStyle w:val="Point0"/>
        <w:rPr>
          <w:noProof/>
        </w:rPr>
      </w:pPr>
      <w:r>
        <w:rPr>
          <w:noProof/>
        </w:rPr>
        <w:t>п)</w:t>
      </w:r>
      <w:r>
        <w:rPr>
          <w:noProof/>
        </w:rPr>
        <w:tab/>
        <w:t>тестването за зараза с COVID-19 на постъпили в обществени болници пациенти и работещи в тях, както и на служители в домове за възрастни хора и детски заведения.</w:t>
      </w:r>
    </w:p>
    <w:p>
      <w:pPr>
        <w:pStyle w:val="Point0"/>
        <w:rPr>
          <w:noProof/>
        </w:rPr>
      </w:pPr>
      <w:r>
        <w:rPr>
          <w:noProof/>
        </w:rPr>
        <w:t>р)</w:t>
      </w:r>
      <w:r>
        <w:rPr>
          <w:noProof/>
        </w:rPr>
        <w:tab/>
        <w:t>новото специално обезщетение за работници в Националната здравна служба, участващи в борбата с избухналата пандемия от COVID-19, предвидена в член 42-A от Закон № 2/2020 от 31 март, изменен с член 3 от Закон № 27-A/2020 от 24 юли.</w:t>
      </w:r>
    </w:p>
    <w:p>
      <w:pPr>
        <w:pStyle w:val="Titrearticle"/>
        <w:rPr>
          <w:noProof/>
        </w:rPr>
      </w:pPr>
      <w:r>
        <w:rPr>
          <w:noProof/>
        </w:rPr>
        <w:t>Член 4</w:t>
      </w:r>
    </w:p>
    <w:p>
      <w:pPr>
        <w:rPr>
          <w:noProof/>
        </w:rPr>
      </w:pPr>
      <w:r>
        <w:rPr>
          <w:noProof/>
        </w:rPr>
        <w:t>Португалия уведомява Комисията до [</w:t>
      </w:r>
      <w:r>
        <w:rPr>
          <w:i/>
          <w:iCs/>
          <w:noProof/>
        </w:rPr>
        <w:t>ДАТА:</w:t>
      </w:r>
      <w:r>
        <w:rPr>
          <w:noProof/>
        </w:rPr>
        <w:t xml:space="preserve"> </w:t>
      </w:r>
      <w:r>
        <w:rPr>
          <w:i/>
          <w:noProof/>
        </w:rPr>
        <w:t>6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t>Член 5</w:t>
      </w:r>
    </w:p>
    <w:p>
      <w:pPr>
        <w:keepNext/>
        <w:keepLines/>
        <w:rPr>
          <w:noProof/>
        </w:rPr>
      </w:pPr>
      <w:r>
        <w:rPr>
          <w:noProof/>
          <w:color w:val="000000"/>
        </w:rPr>
        <w:t>Адресат на настоящото решение е Португалската република</w:t>
      </w:r>
      <w:r>
        <w:rPr>
          <w:noProof/>
        </w:rPr>
        <w:t>.</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стр.1.</w:t>
      </w:r>
    </w:p>
  </w:footnote>
  <w:footnote w:id="2">
    <w:p>
      <w:pPr>
        <w:pStyle w:val="FootnoteText"/>
      </w:pPr>
      <w:r>
        <w:rPr>
          <w:rStyle w:val="FootnoteReference"/>
        </w:rPr>
        <w:footnoteRef/>
      </w:r>
      <w:r>
        <w:tab/>
        <w:t>Изменен със Закон 27-A/2020 от 24 юли 2020 г.</w:t>
      </w:r>
    </w:p>
  </w:footnote>
  <w:footnote w:id="3">
    <w:p>
      <w:pPr>
        <w:pStyle w:val="FootnoteText"/>
      </w:pPr>
      <w:r>
        <w:rPr>
          <w:rStyle w:val="FootnoteReference"/>
        </w:rPr>
        <w:footnoteRef/>
      </w:r>
      <w:r>
        <w:tab/>
        <w:t>Изменен със Закон 27-A/2020 от 24 юли 2020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2A07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20A9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7221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D201C2"/>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44643A"/>
    <w:multiLevelType w:val="hybridMultilevel"/>
    <w:tmpl w:val="0F8CB710"/>
    <w:lvl w:ilvl="0" w:tplc="98E29958">
      <w:start w:val="1"/>
      <w:numFmt w:val="lowerLetter"/>
      <w:pStyle w:val="Poin0"/>
      <w:lvlText w:val="%1)"/>
      <w:lvlJc w:val="left"/>
      <w:pPr>
        <w:ind w:left="992" w:hanging="708"/>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065F83"/>
    <w:multiLevelType w:val="hybridMultilevel"/>
    <w:tmpl w:val="E6D629D0"/>
    <w:lvl w:ilvl="0" w:tplc="08090017">
      <w:start w:val="1"/>
      <w:numFmt w:val="lowerLetter"/>
      <w:lvlText w:val="%1)"/>
      <w:lvlJc w:val="left"/>
      <w:pPr>
        <w:ind w:left="780" w:hanging="360"/>
      </w:pPr>
    </w:lvl>
    <w:lvl w:ilvl="1" w:tplc="7474DF88">
      <w:start w:val="1"/>
      <w:numFmt w:val="bullet"/>
      <w:pStyle w:val="Tiert1"/>
      <w:lvlText w:val="-"/>
      <w:lvlJc w:val="left"/>
      <w:pPr>
        <w:ind w:left="1500" w:hanging="360"/>
      </w:pPr>
      <w:rPr>
        <w:rFonts w:ascii="Times New Roman" w:eastAsiaTheme="minorHAnsi" w:hAnsi="Times New Roman" w:cs="Times New Roman"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num>
  <w:num w:numId="6">
    <w:abstractNumId w:val="16"/>
    <w:lvlOverride w:ilvl="0">
      <w:startOverride w:val="1"/>
    </w:lvlOverride>
  </w:num>
  <w:num w:numId="7">
    <w:abstractNumId w:val="6"/>
  </w:num>
  <w:num w:numId="8">
    <w:abstractNumId w:val="2"/>
  </w:num>
  <w:num w:numId="9">
    <w:abstractNumId w:val="1"/>
  </w:num>
  <w:num w:numId="10">
    <w:abstractNumId w:val="0"/>
  </w:num>
  <w:num w:numId="11">
    <w:abstractNumId w:val="23"/>
    <w:lvlOverride w:ilvl="0">
      <w:startOverride w:val="1"/>
    </w:lvlOverride>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1"/>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3"/>
  </w:num>
  <w:num w:numId="30">
    <w:abstractNumId w:val="18"/>
  </w:num>
  <w:num w:numId="31">
    <w:abstractNumId w:val="12"/>
  </w:num>
  <w:num w:numId="32">
    <w:abstractNumId w:val="21"/>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34: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86E0234-9141-4325-9905-A7A199DB8BD0"/>
    <w:docVar w:name="LW_COVERPAGE_TYPE" w:val="1"/>
    <w:docVar w:name="LW_CROSSREFERENCE" w:val="&lt;UNUSED&gt;"/>
    <w:docVar w:name="LW_DocType" w:val="COM"/>
    <w:docVar w:name="LW_EMISSION" w:val="25.8.2020"/>
    <w:docVar w:name="LW_EMISSION_ISODATE" w:val="2020-08-25"/>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7"/>
    <w:docVar w:name="LW_REF.II.NEW.CP_YEAR" w:val="2020"/>
    <w:docVar w:name="LW_REF.INST.NEW" w:val="COM"/>
    <w:docVar w:name="LW_REF.INST.NEW_ADOPTED" w:val="final"/>
    <w:docVar w:name="LW_REF.INST.NEW_TEXT" w:val="(2020) 4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55?\u1086?\u1088?\u1090?\u1091?\u1075?\u1072?\u1083?\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style>
  <w:style w:type="paragraph" w:customStyle="1" w:styleId="Poin0">
    <w:name w:val="Poin 0"/>
    <w:basedOn w:val="ListParagraph"/>
    <w:pPr>
      <w:numPr>
        <w:numId w:val="12"/>
      </w:numPr>
      <w:contextualSpacing w:val="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style>
  <w:style w:type="paragraph" w:customStyle="1" w:styleId="Poin0">
    <w:name w:val="Poin 0"/>
    <w:basedOn w:val="ListParagraph"/>
    <w:pPr>
      <w:numPr>
        <w:numId w:val="12"/>
      </w:numPr>
      <w:contextualSpacing w:val="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8744">
      <w:bodyDiv w:val="1"/>
      <w:marLeft w:val="0"/>
      <w:marRight w:val="0"/>
      <w:marTop w:val="0"/>
      <w:marBottom w:val="0"/>
      <w:divBdr>
        <w:top w:val="none" w:sz="0" w:space="0" w:color="auto"/>
        <w:left w:val="none" w:sz="0" w:space="0" w:color="auto"/>
        <w:bottom w:val="none" w:sz="0" w:space="0" w:color="auto"/>
        <w:right w:val="none" w:sz="0" w:space="0" w:color="auto"/>
      </w:divBdr>
    </w:div>
    <w:div w:id="125512679">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94739613">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814104482">
      <w:bodyDiv w:val="1"/>
      <w:marLeft w:val="0"/>
      <w:marRight w:val="0"/>
      <w:marTop w:val="0"/>
      <w:marBottom w:val="0"/>
      <w:divBdr>
        <w:top w:val="none" w:sz="0" w:space="0" w:color="auto"/>
        <w:left w:val="none" w:sz="0" w:space="0" w:color="auto"/>
        <w:bottom w:val="none" w:sz="0" w:space="0" w:color="auto"/>
        <w:right w:val="none" w:sz="0" w:space="0" w:color="auto"/>
      </w:divBdr>
    </w:div>
    <w:div w:id="1538934832">
      <w:bodyDiv w:val="1"/>
      <w:marLeft w:val="0"/>
      <w:marRight w:val="0"/>
      <w:marTop w:val="0"/>
      <w:marBottom w:val="0"/>
      <w:divBdr>
        <w:top w:val="none" w:sz="0" w:space="0" w:color="auto"/>
        <w:left w:val="none" w:sz="0" w:space="0" w:color="auto"/>
        <w:bottom w:val="none" w:sz="0" w:space="0" w:color="auto"/>
        <w:right w:val="none" w:sz="0" w:space="0" w:color="auto"/>
      </w:divBdr>
    </w:div>
    <w:div w:id="1886259531">
      <w:bodyDiv w:val="1"/>
      <w:marLeft w:val="0"/>
      <w:marRight w:val="0"/>
      <w:marTop w:val="0"/>
      <w:marBottom w:val="0"/>
      <w:divBdr>
        <w:top w:val="none" w:sz="0" w:space="0" w:color="auto"/>
        <w:left w:val="none" w:sz="0" w:space="0" w:color="auto"/>
        <w:bottom w:val="none" w:sz="0" w:space="0" w:color="auto"/>
        <w:right w:val="none" w:sz="0" w:space="0" w:color="auto"/>
      </w:divBdr>
    </w:div>
    <w:div w:id="21078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680EE5-1EDF-40B2-8AEA-E00D997A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5251</Words>
  <Characters>29880</Characters>
  <Application>Microsoft Office Word</Application>
  <DocSecurity>0</DocSecurity>
  <Lines>543</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2020-09-04T14:22:00Z</dcterms:created>
  <dcterms:modified xsi:type="dcterms:W3CDTF">2020-09-07T08:34:00Z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