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B16BF90-5074-4E06-9578-856A10D77C65"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7 август 2020 г. Словения поиска финансова помощ от Съюза по силата на Регламента за SURE. В изпълнение на член 6, параграф 2 от Регламента за SURE Комисията се консултира със словенските власти, за да провери внезапното и съществено увеличение на извършените и планирани разходи, пряко свързани с въведените в отговор на пандемията от COVID-19 схеми за подпомагане на работата на непълно работно време и подобни мерки. По-специално, увеличените разходи обхващат:</w:t>
      </w:r>
    </w:p>
    <w:p>
      <w:pPr>
        <w:pStyle w:val="Point0"/>
        <w:rPr>
          <w:noProof/>
        </w:rPr>
      </w:pPr>
      <w:r>
        <w:t>(1)</w:t>
      </w:r>
      <w:r>
        <w:tab/>
      </w:r>
      <w:r>
        <w:rPr>
          <w:noProof/>
        </w:rPr>
        <w:t>схема за компенсиране на заплатите на наетите лица, които не са работили (или са чакали работа) поради временна невъзможност на работодателите да осигурят работа поради свързани с дейността причини. По схемата се изплаща компенсация в размер до 80 % от средната заплата на наетите лица през последните три месеца, но не по-малко от минималната работна заплата в Словения; от своя страна работодателите трябва да задържат наетите лица, докато участват в схемата. Първоначално схемата бе в сила от 13 март 2020 г. до 31 май 2020 г. Впоследствие тя бе подновена от 1 юни 2020 г. до 31 август 2020 г., като се планира допълнителното ѝ удължаване до края на септември 2020 г.;</w:t>
      </w:r>
    </w:p>
    <w:p>
      <w:pPr>
        <w:pStyle w:val="Point0"/>
        <w:rPr>
          <w:noProof/>
        </w:rPr>
      </w:pPr>
      <w:r>
        <w:t>(2)</w:t>
      </w:r>
      <w:r>
        <w:tab/>
      </w:r>
      <w:r>
        <w:rPr>
          <w:noProof/>
        </w:rPr>
        <w:t>освобождаване на наетите лица, ползващи се от схемата за компенсиране на заплатите, от плащането на социалноосигурителни вноски. Тази схема също бе в сила от 13 март 2020 г. до 31 май 2020 г.;</w:t>
      </w:r>
    </w:p>
    <w:p>
      <w:pPr>
        <w:pStyle w:val="Point0"/>
        <w:rPr>
          <w:noProof/>
        </w:rPr>
      </w:pPr>
      <w:r>
        <w:t>(3)</w:t>
      </w:r>
      <w:r>
        <w:tab/>
      </w:r>
      <w:r>
        <w:rPr>
          <w:noProof/>
        </w:rPr>
        <w:t>схема за работа на намалено работно време, която позволява на работодателите временно да въведат непълно работно време, без да се намалява заплатата на наетите лица. Работодателите получават фиксирана субсидия за неотработените часове, като в замяна трябва да задържат наетите лица за периода на участие в схемата плюс още един месец. Схемата е в сила от 1 юни 2020 г. до 31 декември 2020 г.;</w:t>
      </w:r>
    </w:p>
    <w:p>
      <w:pPr>
        <w:pStyle w:val="Point0"/>
        <w:rPr>
          <w:noProof/>
        </w:rPr>
      </w:pPr>
      <w:r>
        <w:t>(4)</w:t>
      </w:r>
      <w:r>
        <w:tab/>
      </w:r>
      <w:r>
        <w:rPr>
          <w:noProof/>
        </w:rPr>
        <w:t xml:space="preserve">схема за субсидиране на плащаните от задържаните на работа наети лица вноски за пенсия за инвалидност или за старост (в т.ч. вноските за професионално пенсионно осигуряване). Мярката е придружена от задължение за работодателя да изплаща месечна кризисна помощ от 200 евро на работещите наети лица с възнаграждение по-ниско от трикратния размер на минималната работна заплата. Властите поискаха подкрепа само за тези разходи, свързани с наетите лица, които непрекъснато са упражнявали трудова </w:t>
      </w:r>
      <w:r>
        <w:rPr>
          <w:noProof/>
        </w:rPr>
        <w:lastRenderedPageBreak/>
        <w:t>дейност до последния период преди отправяне на искането, за който има налични данни. Схемата бе в сила от 13 март 2020 г. до 31 май 2020 г.;</w:t>
      </w:r>
    </w:p>
    <w:p>
      <w:pPr>
        <w:pStyle w:val="Point0"/>
        <w:rPr>
          <w:noProof/>
        </w:rPr>
      </w:pPr>
      <w:r>
        <w:t>(5)</w:t>
      </w:r>
      <w:r>
        <w:tab/>
      </w:r>
      <w:r>
        <w:rPr>
          <w:noProof/>
        </w:rPr>
        <w:t>мярка за финансиране на социалноосигурителните вноски на самостоятелно заетите лица, земеделските стопани и църковните служители. Мярката обхваща всички социалноосигурителни вноски на лицата, които са били осигурени, но по време на епидемията не са могли да упражняват дейността си — изцяло или частично. Схемата бе в сила от 13 март 2020 г. до 31 май 2020 г.;</w:t>
      </w:r>
    </w:p>
    <w:p>
      <w:pPr>
        <w:pStyle w:val="Point0"/>
        <w:rPr>
          <w:noProof/>
        </w:rPr>
      </w:pPr>
      <w:r>
        <w:t>(6)</w:t>
      </w:r>
      <w:r>
        <w:tab/>
      </w:r>
      <w:r>
        <w:rPr>
          <w:noProof/>
        </w:rPr>
        <w:t>подпомагане, с 350 евро през март и 700 евро през април и май, на основните доходи на самостоятелно заетите лица, земеделските стопани и църковните служители, които са били осигурени, но по време на епидемията не са могли да упражняват дейността си — изцяло или частично. Схемата бе в сила от 13 март 2020 г. до 31 май 2020 г.</w:t>
      </w:r>
    </w:p>
    <w:p>
      <w:pPr>
        <w:rPr>
          <w:noProof/>
        </w:rPr>
      </w:pPr>
      <w:r>
        <w:rPr>
          <w:noProof/>
        </w:rPr>
        <w:t>Словения предостави на Комисията необходимите сведения.</w:t>
      </w:r>
    </w:p>
    <w:p>
      <w:pPr>
        <w:rPr>
          <w:noProof/>
        </w:rPr>
      </w:pPr>
      <w:r>
        <w:rPr>
          <w:noProof/>
        </w:rPr>
        <w:t>Предвид наличните доказателства Комисията предлага на Съвета да приеме решение за изпълнение, с което на Словения по силата на Регламента за SURE да се предостави финансова помощ в подкрепа на горепосочените мерки.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spacing w:before="0" w:after="240"/>
        <w:rPr>
          <w:noProof/>
          <w:color w:val="000000" w:themeColor="text1"/>
        </w:rPr>
      </w:pPr>
      <w:r>
        <w:rPr>
          <w:noProof/>
          <w:color w:val="000000" w:themeColor="text1"/>
        </w:rPr>
        <w:t>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bdr w:val="none" w:sz="0" w:space="0" w:color="auto" w:frame="1"/>
        </w:rPr>
      </w:pPr>
      <w:r>
        <w:rPr>
          <w:noProof/>
          <w:color w:val="000000" w:themeColor="text1"/>
          <w:bdr w:val="none" w:sz="0" w:space="0" w:color="auto" w:frame="1"/>
        </w:rPr>
        <w:lastRenderedPageBreak/>
        <w:t>•</w:t>
      </w:r>
      <w:r>
        <w:rPr>
          <w:noProof/>
        </w:rPr>
        <w:tab/>
      </w:r>
      <w:r>
        <w:rPr>
          <w:noProof/>
          <w:color w:val="000000" w:themeColor="text1"/>
          <w:bdr w:val="none" w:sz="0" w:space="0" w:color="auto" w:frame="1"/>
        </w:rPr>
        <w:t>Субсидиарност (при неизключителна компетентност)</w:t>
      </w:r>
    </w:p>
    <w:p>
      <w:pP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spacing w:before="0" w:after="240"/>
        <w:rPr>
          <w:rFonts w:eastAsia="Arial Unicode MS"/>
          <w:noProof/>
        </w:rPr>
      </w:pPr>
      <w:r>
        <w:rPr>
          <w:noProof/>
        </w:rPr>
        <w:t>Тази подкрепа ще е от полза на засегнатото население и ще смекчи прякото социално и икономическо въздействие, причинено от настоящата криза с COVID-19.</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Предложението е съобразено с принципа на пропорционалност. То не надхвърля необходимото за постигането на целите на инструмента.</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2020/0220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Словения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7 август 2020 г. Словения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w:t>
      </w:r>
    </w:p>
    <w:p>
      <w:pPr>
        <w:pStyle w:val="ManualConsidrant"/>
        <w:rPr>
          <w:noProof/>
        </w:rPr>
      </w:pPr>
      <w:r>
        <w:t>(2)</w:t>
      </w:r>
      <w:r>
        <w:tab/>
      </w:r>
      <w:r>
        <w:rPr>
          <w:noProof/>
        </w:rPr>
        <w:t>Избухването на COVID-19 и предприетите от Словения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Словения от пролетта на 2020 г., към края на 2020 г. дефицитът по консолидирания държавен бюджет се очаква да достигне 7,2 % от брутния вътрешен продукт (БВП), а консолидираният държавен дълг — 83,7 % от БВП. Според междинната прогноза на Комисията за Словения от лятото на 2020 г., през 2020 г. БВП се очаква да намалее със 7,0 %.</w:t>
      </w:r>
    </w:p>
    <w:p>
      <w:pPr>
        <w:pStyle w:val="ManualConsidrant"/>
        <w:rPr>
          <w:noProof/>
        </w:rPr>
      </w:pPr>
      <w:r>
        <w:t>(3)</w:t>
      </w:r>
      <w:r>
        <w:tab/>
      </w:r>
      <w:r>
        <w:rPr>
          <w:noProof/>
        </w:rPr>
        <w:t>Избухването на COVID-19 блокира значителна част от словенската работна сила. Това доведе до внезапно и съществено увеличение на публичните разходи в Словения, свързани с описаните в съображения 4—9 схеми за подпомагане на работата на непълно работно време и подобни мерки.</w:t>
      </w:r>
    </w:p>
    <w:p>
      <w:pPr>
        <w:pStyle w:val="ManualConsidrant"/>
        <w:rPr>
          <w:noProof/>
        </w:rPr>
      </w:pPr>
      <w:r>
        <w:t>(4)</w:t>
      </w:r>
      <w:r>
        <w:tab/>
      </w:r>
      <w:r>
        <w:rPr>
          <w:noProof/>
        </w:rPr>
        <w:t>С посочените в искането на Словения от 7 август 2020 г. закон за временна мярка за частично възстановяване на компенсацията на заплатите</w:t>
      </w:r>
      <w:r>
        <w:rPr>
          <w:rStyle w:val="FootnoteReference"/>
          <w:noProof/>
        </w:rPr>
        <w:footnoteReference w:id="2"/>
      </w:r>
      <w:r>
        <w:rPr>
          <w:noProof/>
        </w:rPr>
        <w:t xml:space="preserve"> и закон за определяне на интервенционни мерки за овладяване на епидемията от COVID-19 и ограничаване на нейните последици за гражданите и икономиката</w:t>
      </w:r>
      <w:r>
        <w:rPr>
          <w:rStyle w:val="FootnoteReference"/>
          <w:noProof/>
        </w:rPr>
        <w:footnoteReference w:id="3"/>
      </w:r>
      <w:r>
        <w:rPr>
          <w:noProof/>
        </w:rPr>
        <w:t xml:space="preserve"> се въведе схема за компенсиране на заплатите на наетите лица, които не са работили (или са чакали работа) поради временна невъзможност на работодателите да осигурят </w:t>
      </w:r>
      <w:r>
        <w:rPr>
          <w:noProof/>
        </w:rPr>
        <w:lastRenderedPageBreak/>
        <w:t>работа поради свързани с дейността причини. По схемата се изплаща компенсация в размер до 80 % от средната заплата на наетите лица през последните три месеца, но не по-малко от минималната работна заплата в Словения; от своя страна работодателите трябва да задържат наетите лица, докато участват в схемата. Първоначално схемата бе в сила от 13 март 2020 г. до 31 май 2020 г. По силата на закона за определяне на интервенционни мерки за ограничаване и преодоляване на последиците от епидемията от COVID-19</w:t>
      </w:r>
      <w:r>
        <w:rPr>
          <w:rStyle w:val="FootnoteReference"/>
          <w:noProof/>
        </w:rPr>
        <w:footnoteReference w:id="4"/>
      </w:r>
      <w:r>
        <w:rPr>
          <w:noProof/>
        </w:rPr>
        <w:t xml:space="preserve"> схемата бе подновена от 1 юни 2020 г. до 31 август 2020 г., като се планира допълнителното ѝ удължаване до края на септември 2020 г.</w:t>
      </w:r>
    </w:p>
    <w:p>
      <w:pPr>
        <w:pStyle w:val="ManualConsidrant"/>
        <w:rPr>
          <w:noProof/>
        </w:rPr>
      </w:pPr>
      <w:r>
        <w:t>(5)</w:t>
      </w:r>
      <w:r>
        <w:tab/>
      </w:r>
      <w:r>
        <w:rPr>
          <w:noProof/>
        </w:rPr>
        <w:t>Наетите лица, ползващи се от схемата за компенсиране на заплатите, бяха освободени от плащането на социалноосигурителни вноски. Тази схема също бе в сила от 13 март 2020 г. до 31 май 2020 г.</w:t>
      </w:r>
    </w:p>
    <w:p>
      <w:pPr>
        <w:pStyle w:val="ManualConsidrant"/>
        <w:rPr>
          <w:noProof/>
        </w:rPr>
      </w:pPr>
      <w:r>
        <w:t>(6)</w:t>
      </w:r>
      <w:r>
        <w:tab/>
      </w:r>
      <w:r>
        <w:rPr>
          <w:noProof/>
        </w:rPr>
        <w:t>Бе създадена схема за работа на намалено работно време, която позволява на работодателите временно да въведат непълно работно време, без да се намалява заплатата на наетите лица. Работодателите получават фиксирана субсидия за неотработените часове, като в замяна трябва да задържат наетите лица за периода на участие в схемата плюс още един месец. Схемата е в сила от 1 юни 2020 г. до 31 декември 2020 г.</w:t>
      </w:r>
    </w:p>
    <w:p>
      <w:pPr>
        <w:pStyle w:val="ManualConsidrant"/>
        <w:rPr>
          <w:noProof/>
        </w:rPr>
      </w:pPr>
      <w:r>
        <w:t>(7)</w:t>
      </w:r>
      <w:r>
        <w:tab/>
      </w:r>
      <w:r>
        <w:rPr>
          <w:noProof/>
        </w:rPr>
        <w:t>Властите въведоха схема за субсидиране на плащаните от задържаните на работа наети лица вноски за пенсия за инвалидност или за старост (в т.ч. вноските за професионално пенсионно осигуряване). Мярката е придружена от задължение за работодателя да изплаща месечна кризисна помощ от 200 евро на работещите наети лица с възнаграждение по-ниско от трикратния размер на минималната работна заплата. Властите поискаха подкрепа само за тези разходи, свързани с наетите лица, които непрекъснато са упражнявали трудова дейност до последния период преди отправяне на искането, за който има налични данни. Схемата бе в сила от 13 март 2020 г. до 31 май 2020 г.</w:t>
      </w:r>
    </w:p>
    <w:p>
      <w:pPr>
        <w:pStyle w:val="ManualConsidrant"/>
        <w:rPr>
          <w:noProof/>
        </w:rPr>
      </w:pPr>
      <w:r>
        <w:t>(8)</w:t>
      </w:r>
      <w:r>
        <w:tab/>
      </w:r>
      <w:r>
        <w:rPr>
          <w:noProof/>
        </w:rPr>
        <w:t>Бе въведена мярка за финансиране на социалноосигурителните вноски на самостоятелно заетите лица, земеделските стопани и църковните служители. Мярката обхваща всички социалноосигурителни вноски на лицата, които са били осигурени, но по време на епидемията не са могли да упражняват дейността си — изцяло или частично. Схемата бе в сила от 13 март 2020 г. до 31 май 2020 г.</w:t>
      </w:r>
    </w:p>
    <w:p>
      <w:pPr>
        <w:pStyle w:val="ManualConsidrant"/>
        <w:rPr>
          <w:noProof/>
        </w:rPr>
      </w:pPr>
      <w:r>
        <w:t>(9)</w:t>
      </w:r>
      <w:r>
        <w:tab/>
      </w:r>
      <w:r>
        <w:rPr>
          <w:noProof/>
        </w:rPr>
        <w:t>Накрая, с 350 евро през март и 700 евро през април и май бяха подпомогнати основните доходи на самостоятелно заетите лица, земеделските стопани и църковните служители, които са били осигурени, но по време на епидемията не са могли да упражняват дейността си — изцяло или частично. Схемата бе в сила от 13 март 2020 г. до 31 май 2020 г.</w:t>
      </w:r>
    </w:p>
    <w:p>
      <w:pPr>
        <w:pStyle w:val="ManualConsidrant"/>
        <w:rPr>
          <w:noProof/>
        </w:rPr>
      </w:pPr>
      <w:r>
        <w:t>(10)</w:t>
      </w:r>
      <w:r>
        <w:tab/>
      </w:r>
      <w:r>
        <w:rPr>
          <w:noProof/>
        </w:rPr>
        <w:t xml:space="preserve">Словения удовлетворява условията по член 3 от Регламент (ЕС) 2020/672 за отпускане на финансова помощ. Словения предостави на Комисията убедителни доказателства, че, считано от 1 февруари 2020 г., нейните извършени и планирани публични разходи са се увеличили с 1 203 670 000 евро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новите мерки обхващат значителна част от предприятията </w:t>
      </w:r>
      <w:r>
        <w:rPr>
          <w:noProof/>
        </w:rPr>
        <w:lastRenderedPageBreak/>
        <w:t>и работната сила в Словения. Словения възнамерява да финансира със средства на Съюза 90 000 000 евро от увеличения размер на разходите.</w:t>
      </w:r>
    </w:p>
    <w:p>
      <w:pPr>
        <w:pStyle w:val="ManualConsidrant"/>
        <w:rPr>
          <w:noProof/>
        </w:rPr>
      </w:pPr>
      <w:r>
        <w:t>(11)</w:t>
      </w:r>
      <w:r>
        <w:tab/>
      </w:r>
      <w:r>
        <w:rPr>
          <w:noProof/>
        </w:rPr>
        <w:t>В изпълнение на член 6 от Регламент (ЕС) 2020/672 Комисията се консултира със Словения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w:t>
      </w:r>
    </w:p>
    <w:p>
      <w:pPr>
        <w:pStyle w:val="ManualConsidrant"/>
        <w:rPr>
          <w:noProof/>
        </w:rPr>
      </w:pPr>
      <w:r>
        <w:t>(12)</w:t>
      </w:r>
      <w:r>
        <w:tab/>
      </w:r>
      <w:r>
        <w:rPr>
          <w:noProof/>
        </w:rPr>
        <w:t>Поради това на Словения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(13)</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(14)</w:t>
      </w:r>
      <w:r>
        <w:tab/>
      </w:r>
      <w:r>
        <w:rPr>
          <w:noProof/>
        </w:rPr>
        <w:t>Словения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(15)</w:t>
      </w:r>
      <w:r>
        <w:tab/>
      </w:r>
      <w:r>
        <w:rPr>
          <w:noProof/>
        </w:rPr>
        <w:t>Решението за предоставяне на финансова помощ се взима с отчитане на съществуващите и очакваните нужди на Словения,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Словения удовлетворява условията по член 3 от Регламент (ЕС) 2020/672.</w:t>
      </w:r>
    </w:p>
    <w:p>
      <w:pPr>
        <w:pStyle w:val="Titrearticle"/>
        <w:rPr>
          <w:noProof/>
        </w:rPr>
      </w:pPr>
      <w:r>
        <w:rPr>
          <w:noProof/>
        </w:rPr>
        <w:t>Член 2</w:t>
      </w:r>
    </w:p>
    <w:p>
      <w:pPr>
        <w:rPr>
          <w:noProof/>
        </w:rPr>
      </w:pPr>
      <w:r>
        <w:rPr>
          <w:noProof/>
        </w:rPr>
        <w:t>1. Съюзът отпуска на Словения заем с максимален размер 1 113 670 000 евро. Неговият максимален среден срок до падежа е 15 години.</w:t>
      </w:r>
    </w:p>
    <w:p>
      <w:pPr>
        <w:rPr>
          <w:noProof/>
        </w:rPr>
      </w:pPr>
      <w:r>
        <w:rPr>
          <w:noProof/>
        </w:rPr>
        <w:t>2. Периодът на усвояване на предоставената по силата на настоящото решение финансова помощ е 18 месеца, считано от датата на влизането му в сила.</w:t>
      </w:r>
    </w:p>
    <w:p>
      <w:pPr>
        <w:rPr>
          <w:noProof/>
        </w:rPr>
      </w:pPr>
      <w:r>
        <w:rPr>
          <w:noProof/>
        </w:rPr>
        <w:t>3. Комисията предоставя на Словения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w:t>
      </w:r>
    </w:p>
    <w:p>
      <w:pPr>
        <w:rPr>
          <w:noProof/>
        </w:rPr>
      </w:pPr>
      <w:r>
        <w:rPr>
          <w:noProof/>
        </w:rPr>
        <w:t>4. Отпускането на първия транш зависи от влизането в сила на споразумението за заем, посочено в член 8, параграф 2 от Регламент (ЕС) 2020/672.</w:t>
      </w:r>
    </w:p>
    <w:p>
      <w:pPr>
        <w:rPr>
          <w:noProof/>
        </w:rPr>
      </w:pPr>
      <w:r>
        <w:rPr>
          <w:noProof/>
        </w:rPr>
        <w:t>5. Словения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w:t>
      </w:r>
    </w:p>
    <w:p>
      <w:pPr>
        <w:rPr>
          <w:noProof/>
        </w:rPr>
      </w:pPr>
      <w:r>
        <w:rPr>
          <w:noProof/>
        </w:rPr>
        <w:lastRenderedPageBreak/>
        <w:t>6. Комисията определя размера и датата на отпускане на траншовете, както и размера на вноските.</w:t>
      </w:r>
    </w:p>
    <w:p>
      <w:pPr>
        <w:pStyle w:val="Titrearticle"/>
        <w:rPr>
          <w:noProof/>
        </w:rPr>
      </w:pPr>
      <w:r>
        <w:rPr>
          <w:noProof/>
        </w:rPr>
        <w:t>Член 3</w:t>
      </w:r>
    </w:p>
    <w:p>
      <w:pPr>
        <w:rPr>
          <w:noProof/>
        </w:rPr>
      </w:pPr>
      <w:r>
        <w:rPr>
          <w:noProof/>
        </w:rPr>
        <w:t>Словения може да финансира следните мерки:</w:t>
      </w:r>
    </w:p>
    <w:p>
      <w:pPr>
        <w:pStyle w:val="Point0"/>
        <w:rPr>
          <w:noProof/>
        </w:rPr>
      </w:pPr>
      <w:r>
        <w:t>(1)</w:t>
      </w:r>
      <w:r>
        <w:tab/>
      </w:r>
      <w:r>
        <w:rPr>
          <w:noProof/>
        </w:rPr>
        <w:t>схема за компенсиране на заплатите — както е предвидено в членове 7 и 8 от закона за временна мярка за частично възстановяване на компенсацията на заплатите, в членове 21—32 от изменения закон за определяне на интервенционни мерки за овладяване на епидемията от COVID-19 и ограничаване на нейните последици за гражданите и икономиката, както и в членове 24—34 от закона за определяне на интервенционни мерки за ограничаване и преодоляване на последиците от епидемията от COVID-19;</w:t>
      </w:r>
    </w:p>
    <w:p>
      <w:pPr>
        <w:pStyle w:val="Point0"/>
        <w:rPr>
          <w:noProof/>
        </w:rPr>
      </w:pPr>
      <w:r>
        <w:t>(2)</w:t>
      </w:r>
      <w:r>
        <w:tab/>
      </w:r>
      <w:r>
        <w:rPr>
          <w:noProof/>
        </w:rPr>
        <w:t>освобождаване на наетите лица, ползващи се от схемата за компенсиране на заплатите, от плащането на социалноосигурителни вноски — както е предвидено в членове 21—32 от закона за определяне на интервенционни мерки за овладяване на епидемията от COVID-19 и ограничаване на нейните последици за гражданите и икономиката;</w:t>
      </w:r>
    </w:p>
    <w:p>
      <w:pPr>
        <w:pStyle w:val="Point0"/>
        <w:rPr>
          <w:noProof/>
        </w:rPr>
      </w:pPr>
      <w:r>
        <w:t>(3)</w:t>
      </w:r>
      <w:r>
        <w:tab/>
      </w:r>
      <w:r>
        <w:rPr>
          <w:noProof/>
        </w:rPr>
        <w:t>схема за работа на намалено работно време, с която се субсидира временната заетост на непълно работно време — както е предвидено в членове 11—23 от закона за определяне на интервенционни мерки за ограничаване и преодоляване на последиците от епидемията от COVID-19;</w:t>
      </w:r>
    </w:p>
    <w:p>
      <w:pPr>
        <w:pStyle w:val="Point0"/>
        <w:rPr>
          <w:noProof/>
        </w:rPr>
      </w:pPr>
      <w:r>
        <w:t>(4)</w:t>
      </w:r>
      <w:r>
        <w:tab/>
      </w:r>
      <w:r>
        <w:rPr>
          <w:noProof/>
        </w:rPr>
        <w:t>плащане на вноските на наетите лица за пенсия за инвалидност или за старост, както и на месечна кризисна помощ — за частта от разходите на дружествата, въвели намалено работно време или принудителен отпуск, или в които работниците или служителите са били постоянно наети на работа — както е предвидено в член 33 от закона за определяне на интервенционни мерки за овладяване на епидемията от COVID-19 и ограничаване на нейните последици за гражданите и икономиката;</w:t>
      </w:r>
    </w:p>
    <w:p>
      <w:pPr>
        <w:pStyle w:val="Point0"/>
        <w:rPr>
          <w:noProof/>
        </w:rPr>
      </w:pPr>
      <w:r>
        <w:t>(5)</w:t>
      </w:r>
      <w:r>
        <w:tab/>
      </w:r>
      <w:r>
        <w:rPr>
          <w:noProof/>
        </w:rPr>
        <w:t>финансиране на социалноосигурителните вноски на самостоятелно заетите лица, земеделските стопани и църковните служители — както е предвидено в член 38 от закона за определяне на интервенционни мерки за овладяване на епидемията от COVID-19 и ограничаване на нейните последици за гражданите и икономиката;</w:t>
      </w:r>
    </w:p>
    <w:p>
      <w:pPr>
        <w:pStyle w:val="Point0"/>
        <w:rPr>
          <w:noProof/>
        </w:rPr>
      </w:pPr>
      <w:r>
        <w:t>(6)</w:t>
      </w:r>
      <w:r>
        <w:tab/>
      </w:r>
      <w:r>
        <w:rPr>
          <w:noProof/>
        </w:rPr>
        <w:t>подпомагане на основните доходи на самостоятелно заетите лица, земеделските стопани и църковните служители — както е предвидено в член 34 от закона за определяне на интервенционни мерки за овладяване на епидемията от COVID-19 и ограничаване на нейните последици за гражданите и икономиката.</w:t>
      </w:r>
    </w:p>
    <w:p>
      <w:pPr>
        <w:pStyle w:val="Titrearticle"/>
        <w:rPr>
          <w:noProof/>
        </w:rPr>
      </w:pPr>
      <w:r>
        <w:rPr>
          <w:noProof/>
        </w:rPr>
        <w:t>Член 4</w:t>
      </w:r>
    </w:p>
    <w:p>
      <w:pPr>
        <w:rPr>
          <w:noProof/>
        </w:rPr>
      </w:pPr>
      <w:r>
        <w:rPr>
          <w:noProof/>
        </w:rPr>
        <w:t>Словения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lastRenderedPageBreak/>
        <w:t>Член 5</w:t>
      </w:r>
    </w:p>
    <w:p>
      <w:pPr>
        <w:keepNext/>
        <w:keepLines/>
        <w:rPr>
          <w:noProof/>
        </w:rPr>
      </w:pPr>
      <w:r>
        <w:rPr>
          <w:noProof/>
        </w:rPr>
        <w:t>Адресат на настоящото решение е Република Словения.</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 w:id="2">
    <w:p>
      <w:pPr>
        <w:pStyle w:val="FootnoteText"/>
      </w:pPr>
      <w:r>
        <w:rPr>
          <w:rStyle w:val="FootnoteReference"/>
        </w:rPr>
        <w:footnoteRef/>
      </w:r>
      <w:r>
        <w:tab/>
        <w:t>(ZIUPPP), Държавен вестник № 36/20.</w:t>
      </w:r>
    </w:p>
  </w:footnote>
  <w:footnote w:id="3">
    <w:p>
      <w:pPr>
        <w:pStyle w:val="FootnoteText"/>
      </w:pPr>
      <w:r>
        <w:rPr>
          <w:rStyle w:val="FootnoteReference"/>
        </w:rPr>
        <w:footnoteRef/>
      </w:r>
      <w:r>
        <w:tab/>
        <w:t>(ZIUZEOP), Държавен вестник № 49/20.</w:t>
      </w:r>
    </w:p>
  </w:footnote>
  <w:footnote w:id="4">
    <w:p>
      <w:pPr>
        <w:pStyle w:val="FootnoteText"/>
        <w:ind w:left="142" w:hanging="142"/>
      </w:pPr>
      <w:r>
        <w:rPr>
          <w:rStyle w:val="FootnoteReference"/>
        </w:rPr>
        <w:footnoteRef/>
      </w:r>
      <w:r>
        <w:tab/>
        <w:t>(Закон за инвервенционните мерки), Zakon o interventnih ukrepih za omilitev in odpravo posledic epidemije COVID-19 (ZIUOOPE), приет на 30.5.2020 г., Държавен вестник № 80/20.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D6EB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AECB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266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0EAE1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36: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16BF90-5074-4E06-9578-856A10D77C65"/>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0"/>
    <w:docVar w:name="LW_REF.II.NEW.CP_YEAR" w:val="2020"/>
    <w:docVar w:name="LW_REF.INST.NEW" w:val="COM"/>
    <w:docVar w:name="LW_REF.INST.NEW_ADOPTED" w:val="final"/>
    <w:docVar w:name="LW_REF.INST.NEW_TEXT" w:val="(2020)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7?\u1083?\u1086?\u1074?\u1077?\u1085?\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75155985">
      <w:bodyDiv w:val="1"/>
      <w:marLeft w:val="0"/>
      <w:marRight w:val="0"/>
      <w:marTop w:val="0"/>
      <w:marBottom w:val="0"/>
      <w:divBdr>
        <w:top w:val="none" w:sz="0" w:space="0" w:color="auto"/>
        <w:left w:val="none" w:sz="0" w:space="0" w:color="auto"/>
        <w:bottom w:val="none" w:sz="0" w:space="0" w:color="auto"/>
        <w:right w:val="none" w:sz="0" w:space="0" w:color="auto"/>
      </w:divBdr>
    </w:div>
    <w:div w:id="700325261">
      <w:bodyDiv w:val="1"/>
      <w:marLeft w:val="0"/>
      <w:marRight w:val="0"/>
      <w:marTop w:val="0"/>
      <w:marBottom w:val="0"/>
      <w:divBdr>
        <w:top w:val="none" w:sz="0" w:space="0" w:color="auto"/>
        <w:left w:val="none" w:sz="0" w:space="0" w:color="auto"/>
        <w:bottom w:val="none" w:sz="0" w:space="0" w:color="auto"/>
        <w:right w:val="none" w:sz="0" w:space="0" w:color="auto"/>
      </w:divBdr>
    </w:div>
    <w:div w:id="11773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3C8AC7-E524-44D8-BE5C-4FA2A190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2899</Words>
  <Characters>15948</Characters>
  <Application>Microsoft Office Word</Application>
  <DocSecurity>0</DocSecurity>
  <Lines>300</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2020-09-02T06:14:00Z</dcterms:created>
  <dcterms:modified xsi:type="dcterms:W3CDTF">2020-09-07T08:36:00Z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