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0029790-409E-4C78-BA40-EA409EE5B82D" style="width:451.35pt;height:365.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На 7 август 2020 г. Румъния поиска финансова помощ от Съюза по силата на Регламента за SURE. В изпълнение на член 6, параграф 2 от Регламента за SURE Комисията се консултира с румънските власти, за да провери внезапното и съществено увеличение на извършените и планирани публични разходи в отговор на пандемията от COVID-19, пряко свързани със схеми за подпомагане на работата на непълно работно време и подобни мерки, и със здравни мерки. По-специално, увеличените разходи обхващат:</w:t>
      </w:r>
    </w:p>
    <w:p>
      <w:pPr>
        <w:pStyle w:val="Point0"/>
        <w:rPr>
          <w:noProof/>
        </w:rPr>
      </w:pPr>
      <w:r>
        <w:t>(1)</w:t>
      </w:r>
      <w:r>
        <w:tab/>
      </w:r>
      <w:r>
        <w:rPr>
          <w:noProof/>
        </w:rPr>
        <w:t>помощ за наетите лица, чиито работодатели са ограничили или временно са преустановили дейността си поради въздействието на избухването на COVID-19. Помощта е с максимален размер 75 % от основната им заплата (но не повече от 75 % от средната брутна заплата в страната) и се предоставя, докато трае извънредното положение;</w:t>
      </w:r>
    </w:p>
    <w:p>
      <w:pPr>
        <w:pStyle w:val="Point0"/>
        <w:rPr>
          <w:noProof/>
        </w:rPr>
      </w:pPr>
      <w:r>
        <w:t>(2)</w:t>
      </w:r>
      <w:r>
        <w:tab/>
      </w:r>
      <w:r>
        <w:rPr>
          <w:noProof/>
        </w:rPr>
        <w:t>помощ за лицата, чийто трудов договор е бил прекратен в продължение най-малко на 15 дни по време на извънредното положение или на тревогата, при условие че трудовото им правоотношение се запази до 31 декември 2020 г. Помощта е в размер на 41,5 % от брутната им основна заплата (но не повече от 41,5 % от средната брутна заплата в страната);</w:t>
      </w:r>
    </w:p>
    <w:p>
      <w:pPr>
        <w:pStyle w:val="Point0"/>
        <w:rPr>
          <w:noProof/>
        </w:rPr>
      </w:pPr>
      <w:r>
        <w:t>(3)</w:t>
      </w:r>
      <w:r>
        <w:tab/>
      </w:r>
      <w:r>
        <w:rPr>
          <w:noProof/>
        </w:rPr>
        <w:t>схема за подпомагане на работата на непълно работно време, при която в случай на временно ограничаване на дейността вследствие на извънредното положение или тревогата, работодателят има възможност да намали до 50 % работното време на наетите лица. През периода на намалено работно време засегнатите наети лица имат право на компенсация в размер на 75 % от разликата между брутната им заплата при обичайното работно време и текущата им заплата;</w:t>
      </w:r>
    </w:p>
    <w:p>
      <w:pPr>
        <w:pStyle w:val="Point0"/>
        <w:rPr>
          <w:noProof/>
        </w:rPr>
      </w:pPr>
      <w:r>
        <w:t>(4)</w:t>
      </w:r>
      <w:r>
        <w:tab/>
      </w:r>
      <w:r>
        <w:rPr>
          <w:noProof/>
        </w:rPr>
        <w:t>две мерки за самостоятелно заетите лица и свободните професии: на изцяло преустановилите работа поради въздействието на избухването на COVID-19 държавата дава компенсации в размер на 75 % от средната им брутна заплата; на работещите на намалено работно време държавата дава компенсации в размер до 41,5 % от средната им брутна заплата;</w:t>
      </w:r>
    </w:p>
    <w:p>
      <w:pPr>
        <w:pStyle w:val="Point0"/>
        <w:rPr>
          <w:noProof/>
        </w:rPr>
      </w:pPr>
      <w:r>
        <w:t>(5)</w:t>
      </w:r>
      <w:r>
        <w:tab/>
      </w:r>
      <w:r>
        <w:rPr>
          <w:noProof/>
        </w:rPr>
        <w:t>мярка, с която работещите на дневна надница, които са преустановили работа в резултат на прекратяването на стопанската дейност поради въздействието на избухването на COVID-19, получават за максимален период от 3 месеца компенсация в размер на 35 % от дължимата дневна надница;</w:t>
      </w:r>
    </w:p>
    <w:p>
      <w:pPr>
        <w:pStyle w:val="Point0"/>
        <w:rPr>
          <w:noProof/>
        </w:rPr>
      </w:pPr>
      <w:r>
        <w:lastRenderedPageBreak/>
        <w:t>(6)</w:t>
      </w:r>
      <w:r>
        <w:tab/>
      </w:r>
      <w:r>
        <w:rPr>
          <w:noProof/>
        </w:rPr>
        <w:t>премия за извънреден труд за персонала на специализираните структури на националния институт по здравеопазване и областните дирекции по здравеопазване и/или дирекцията по здравеопазване на Букурещ, които координират и прилагат предохранителните мерки и мерките за ограничаване на събитията, обявени от СЗО за извънредни ситуации за общественото здраве вследствие на заразата от COVID-19. Премията е в размер на 75 % от основната заплата — за часовете, отработени в допълнение към обичайното работно време, и 100 % от основната заплата — за часовете, отработени през почивните дни, официалните празници и другите дни, които не се броят за работни дни;</w:t>
      </w:r>
    </w:p>
    <w:p>
      <w:pPr>
        <w:pStyle w:val="Point0"/>
        <w:rPr>
          <w:noProof/>
        </w:rPr>
      </w:pPr>
      <w:r>
        <w:t>(7)</w:t>
      </w:r>
      <w:r>
        <w:tab/>
      </w:r>
      <w:r>
        <w:rPr>
          <w:noProof/>
        </w:rPr>
        <w:t>помощи за детски грижи за работещите в националната система за отбрана, местата за лишаване от свобода, структурите на системата на здравеопазване и другите категории, създадени с министерски постановления. Помощта се предоставя, ако другият родител не се ползва от алтернативни права, които предвиждат родителски отпуск за наглеждане на децата при временно затваряне на учебните заведения;</w:t>
      </w:r>
    </w:p>
    <w:p>
      <w:pPr>
        <w:pStyle w:val="Point0"/>
        <w:rPr>
          <w:noProof/>
        </w:rPr>
      </w:pPr>
      <w:r>
        <w:t>(8)</w:t>
      </w:r>
      <w:r>
        <w:tab/>
      </w:r>
      <w:r>
        <w:rPr>
          <w:noProof/>
        </w:rPr>
        <w:t>премия за работа при изключително опасни условия в размер до 30 % от заплатата за здравните работници, които участват в медицинските действия за борба с COVID-19.</w:t>
      </w:r>
    </w:p>
    <w:p>
      <w:pPr>
        <w:rPr>
          <w:noProof/>
        </w:rPr>
      </w:pPr>
      <w:r>
        <w:rPr>
          <w:noProof/>
        </w:rPr>
        <w:t>Румъния предостави на Комисията необходимите сведения.</w:t>
      </w:r>
    </w:p>
    <w:p>
      <w:pPr>
        <w:rPr>
          <w:noProof/>
        </w:rPr>
      </w:pPr>
      <w:r>
        <w:rPr>
          <w:noProof/>
        </w:rPr>
        <w:t>Предвид наличните доказателства Комисията предлага на Съвета да приеме решение за изпълнение, с което на Румъния по силата на Регламента за SURE да се предостави финансова помощ в подкрепа на горепосочените мерки.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Съгласуваност с действащите разпоредби в тази област на политика</w:t>
      </w:r>
    </w:p>
    <w:p>
      <w:pP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spacing w:before="0" w:after="240"/>
        <w:rPr>
          <w:noProof/>
          <w:color w:val="000000" w:themeColor="text1"/>
        </w:rPr>
      </w:pPr>
      <w:r>
        <w:rPr>
          <w:noProof/>
          <w:color w:val="000000" w:themeColor="text1"/>
        </w:rPr>
        <w:t>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Съгласуваност с други политики на Съюза</w:t>
      </w:r>
    </w:p>
    <w:p>
      <w:pPr>
        <w:spacing w:before="0" w:after="240"/>
        <w:rPr>
          <w:rFonts w:eastAsia="Arial Unicode MS"/>
          <w:noProof/>
          <w:color w:val="000000" w:themeColor="text1"/>
        </w:rPr>
      </w:pPr>
      <w:r>
        <w:rPr>
          <w:noProof/>
        </w:rPr>
        <w:t>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w:t>
      </w:r>
    </w:p>
    <w:p>
      <w:pPr>
        <w:pStyle w:val="ManualHeading1"/>
        <w:rPr>
          <w:noProof/>
          <w:color w:val="000000" w:themeColor="text1"/>
        </w:rPr>
      </w:pPr>
      <w:r>
        <w:rPr>
          <w:noProof/>
          <w:color w:val="000000" w:themeColor="text1"/>
        </w:rPr>
        <w:lastRenderedPageBreak/>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Правно основание</w:t>
      </w:r>
    </w:p>
    <w:p>
      <w:pPr>
        <w:spacing w:before="0" w:after="240"/>
        <w:rPr>
          <w:rFonts w:eastAsia="Arial Unicode MS"/>
          <w:noProof/>
          <w:color w:val="000000" w:themeColor="text1"/>
        </w:rPr>
      </w:pPr>
      <w:r>
        <w:rPr>
          <w:noProof/>
        </w:rPr>
        <w:t>Правното основание на настоящия инструмент е Регламент (ЕС) 2020/672 на Съвета.</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Субсидиарност (при неизключителна компетентност)</w:t>
      </w:r>
    </w:p>
    <w:p>
      <w:pP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spacing w:before="0" w:after="240"/>
        <w:rPr>
          <w:rFonts w:eastAsia="Arial Unicode MS"/>
          <w:noProof/>
        </w:rPr>
      </w:pPr>
      <w:r>
        <w:rPr>
          <w:noProof/>
        </w:rPr>
        <w:t>Тази подкрепа ще е от полза на засегнатото население и ще смекчи прякото социално и икономическо въздействие, причинено от настоящата криза с COVID-19.</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Пропорционалност</w:t>
      </w:r>
    </w:p>
    <w:p>
      <w:pPr>
        <w:spacing w:before="0" w:after="240"/>
        <w:rPr>
          <w:rFonts w:eastAsia="Arial Unicode MS"/>
          <w:noProof/>
          <w:color w:val="000000" w:themeColor="text1"/>
        </w:rPr>
      </w:pPr>
      <w:r>
        <w:rPr>
          <w:noProof/>
        </w:rPr>
        <w:t>Предложението е съобразено с принципа на пропорционалност. То не надхвърля необходимото за постигането на целите на инструмента.</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Консултации със заинтересованите страни</w:t>
      </w:r>
    </w:p>
    <w:p>
      <w:pP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Оценка на въздействието</w:t>
      </w:r>
    </w:p>
    <w:p>
      <w:pP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spacing w:before="0" w:after="240"/>
        <w:rPr>
          <w:rFonts w:eastAsia="Arial Unicode MS"/>
          <w:noProof/>
          <w:color w:val="000000" w:themeColor="text1"/>
        </w:rPr>
      </w:pPr>
      <w:r>
        <w:rPr>
          <w:noProof/>
          <w:color w:val="000000" w:themeColor="text1"/>
        </w:rPr>
        <w:t>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numPr>
          <w:ilvl w:val="0"/>
          <w:numId w:val="5"/>
        </w:numPr>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numPr>
          <w:ilvl w:val="0"/>
          <w:numId w:val="5"/>
        </w:numPr>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2020/0211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Румъния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7 август 2020 г. Румъния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w:t>
      </w:r>
    </w:p>
    <w:p>
      <w:pPr>
        <w:pStyle w:val="ManualConsidrant"/>
        <w:rPr>
          <w:noProof/>
        </w:rPr>
      </w:pPr>
      <w:r>
        <w:t>(2)</w:t>
      </w:r>
      <w:r>
        <w:tab/>
      </w:r>
      <w:r>
        <w:rPr>
          <w:noProof/>
        </w:rPr>
        <w:t>Избухването на COVID-19 и предприетите от Румъния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Румъния от пролетта на 2020 г., към края на 2020 г. дефицитът по консолидирания държавен бюджет се очаква да достигне 9,2 % от брутния вътрешен продукт (БВП), а консолидираният държавен дълг — 46,2 % от БВП. Според междинната прогноза на Комисията за Румъния от лятото на 2020 г., през 2020 г. БВП се очаква да намалее с 6,0 %.</w:t>
      </w:r>
    </w:p>
    <w:p>
      <w:pPr>
        <w:pStyle w:val="ManualConsidrant"/>
        <w:rPr>
          <w:noProof/>
        </w:rPr>
      </w:pPr>
      <w:r>
        <w:t>(3)</w:t>
      </w:r>
      <w:r>
        <w:tab/>
      </w:r>
      <w:r>
        <w:rPr>
          <w:noProof/>
        </w:rPr>
        <w:t>Избухването на COVID-19 блокира значителна част от румънската работна сила. Това доведе до внезапно и съществено увеличение на публичните разходи в Румъния, свързани с описаните в съображения 4—11 схеми за подпомагане на работата на непълно работно време и подобни мерки.</w:t>
      </w:r>
    </w:p>
    <w:p>
      <w:pPr>
        <w:pStyle w:val="ManualConsidrant"/>
        <w:rPr>
          <w:noProof/>
        </w:rPr>
      </w:pPr>
      <w:r>
        <w:t>(4)</w:t>
      </w:r>
      <w:r>
        <w:tab/>
      </w:r>
      <w:r>
        <w:rPr>
          <w:noProof/>
        </w:rPr>
        <w:t>С посоченото в искането на Румъния от 7 август 2020 г. Извънредно правителствено постановление 30/2020</w:t>
      </w:r>
      <w:r>
        <w:rPr>
          <w:rStyle w:val="FootnoteReference"/>
          <w:noProof/>
        </w:rPr>
        <w:footnoteReference w:id="2"/>
      </w:r>
      <w:r>
        <w:rPr>
          <w:noProof/>
        </w:rPr>
        <w:t xml:space="preserve"> се подпомагат наетите лица, чиито работодатели са ограничили или временно са преустановили дейността си поради въздействието на избухването на COVID-19. Помощта е с максимален размер 75 % от основната им заплата (но не повече от 75 % от средната брутна заплата в страната) и се предоставя, докато трае извънредното положение.</w:t>
      </w:r>
    </w:p>
    <w:p>
      <w:pPr>
        <w:pStyle w:val="ManualConsidrant"/>
        <w:rPr>
          <w:noProof/>
        </w:rPr>
      </w:pPr>
      <w:r>
        <w:lastRenderedPageBreak/>
        <w:t>(5)</w:t>
      </w:r>
      <w:r>
        <w:tab/>
      </w:r>
      <w:r>
        <w:rPr>
          <w:noProof/>
        </w:rPr>
        <w:t>С посоченото в искането на Румъния от 7 август 2020 г. Извънредно правителствено постановление 92/2020</w:t>
      </w:r>
      <w:r>
        <w:rPr>
          <w:rStyle w:val="FootnoteReference"/>
          <w:noProof/>
        </w:rPr>
        <w:footnoteReference w:id="3"/>
      </w:r>
      <w:r>
        <w:rPr>
          <w:noProof/>
        </w:rPr>
        <w:t xml:space="preserve"> се подпомагат лицата, чийто трудов договор е бил прекратен в продължение най-малко на 15 дни по време на извънредното положение или на тревогата, при условие че трудовото им правоотношение се запази до 31 декември 2020 г. Помощта е в размер на 41,5 % от брутната им основна заплата (но не повече от 41,5 % от средната брутна заплата в страната).</w:t>
      </w:r>
    </w:p>
    <w:p>
      <w:pPr>
        <w:pStyle w:val="ManualConsidrant"/>
        <w:rPr>
          <w:noProof/>
        </w:rPr>
      </w:pPr>
      <w:r>
        <w:t>(6)</w:t>
      </w:r>
      <w:r>
        <w:tab/>
      </w:r>
      <w:r>
        <w:rPr>
          <w:noProof/>
        </w:rPr>
        <w:t>С Извънредно правителствено постановление 132/2020</w:t>
      </w:r>
      <w:r>
        <w:rPr>
          <w:rStyle w:val="FootnoteReference"/>
          <w:noProof/>
        </w:rPr>
        <w:footnoteReference w:id="4"/>
      </w:r>
      <w:r>
        <w:rPr>
          <w:noProof/>
        </w:rPr>
        <w:t xml:space="preserve"> се въведе схема за подпомагане на работата на непълно работно време, при която в случай на временно ограничаване на дейността вследствие на извънредното положение или тревогата, работодателят има възможност да намали до 50 % работното време на наетите лица. През периода на намалено работно време засегнатите наети лица биват компенсирани в размер на 75 % от разликата между брутната им заплата при обичайното работно време и текущата им заплата.</w:t>
      </w:r>
    </w:p>
    <w:p>
      <w:pPr>
        <w:pStyle w:val="ManualConsidrant"/>
        <w:rPr>
          <w:noProof/>
        </w:rPr>
      </w:pPr>
      <w:r>
        <w:t>(7)</w:t>
      </w:r>
      <w:r>
        <w:tab/>
      </w:r>
      <w:r>
        <w:rPr>
          <w:noProof/>
        </w:rPr>
        <w:t>За самостоятелно заетите лица и свободните професии бяха въведени две мерки. На изцяло преустановилите работа поради въздействието на избухването на COVID-19 държавата дава компенсации в размер на 75 % от средната им брутна заплата</w:t>
      </w:r>
      <w:r>
        <w:rPr>
          <w:rStyle w:val="FootnoteReference"/>
          <w:noProof/>
        </w:rPr>
        <w:footnoteReference w:id="5"/>
      </w:r>
      <w:r>
        <w:rPr>
          <w:noProof/>
        </w:rPr>
        <w:t>. На работещите на намалено работно време държавата дава компенсации в размер до 41,5 % от средната им брутна заплата.</w:t>
      </w:r>
    </w:p>
    <w:p>
      <w:pPr>
        <w:pStyle w:val="ManualConsidrant"/>
        <w:rPr>
          <w:noProof/>
        </w:rPr>
      </w:pPr>
      <w:r>
        <w:t>(8)</w:t>
      </w:r>
      <w:r>
        <w:tab/>
      </w:r>
      <w:r>
        <w:rPr>
          <w:noProof/>
        </w:rPr>
        <w:t>С компенсация в размер на 35 % от дължимата дневна надница държавата подпомага за максимален период от 3 месеца надничарите, които са преустановили работа в резултат на прекратяване на стопанската дейност поради въздействието на избухването на COVID-19.</w:t>
      </w:r>
    </w:p>
    <w:p>
      <w:pPr>
        <w:pStyle w:val="ManualConsidrant"/>
        <w:rPr>
          <w:noProof/>
        </w:rPr>
      </w:pPr>
      <w:r>
        <w:t>(9)</w:t>
      </w:r>
      <w:r>
        <w:tab/>
      </w:r>
      <w:r>
        <w:rPr>
          <w:noProof/>
        </w:rPr>
        <w:t>С посоченото в искането на Румъния от 7 август 2020 г. Извънредно правителствено постановление 11/2020</w:t>
      </w:r>
      <w:r>
        <w:rPr>
          <w:rStyle w:val="FootnoteReference"/>
          <w:noProof/>
        </w:rPr>
        <w:footnoteReference w:id="6"/>
      </w:r>
      <w:r>
        <w:rPr>
          <w:noProof/>
        </w:rPr>
        <w:t>, на персонала на специализираните структури на националния институт по здравеопазване и областните дирекции по здравеопазване и/или дирекцията по здравеопазване на Букурещ, които координират и прилагат предохранителните мерки и мерките за ограничаване на събитията, обявени от СЗО за извънредни ситуации за общественото здраве вследствие на заразата от COVID-19, се предоставя премия за извънреден труд. Премията е в размер на 75 % от основната заплата — за часовете, отработени в допълнение към обичайното работно време, и 100 % от основната заплата — за часовете, отработени през почивните дни, официалните празници и другите дни, които не се броят за работни дни. Тази мярка може да се приеме за здравна мярка съгласно Регламент (ЕС) 2020/672.</w:t>
      </w:r>
    </w:p>
    <w:p>
      <w:pPr>
        <w:pStyle w:val="ManualConsidrant"/>
        <w:rPr>
          <w:noProof/>
        </w:rPr>
      </w:pPr>
      <w:r>
        <w:t>(10)</w:t>
      </w:r>
      <w:r>
        <w:tab/>
      </w:r>
      <w:r>
        <w:rPr>
          <w:noProof/>
        </w:rPr>
        <w:t xml:space="preserve">Властите предоставиха помощи за детски грижи за работещите в националната система за отбрана, местата за лишаване от свобода, структурите на системата на здравеопазване и другите категории, създадени с министерски постановления. Помощта се предоставя, ако другият родител не се ползва от алтернативни права, които предвиждат родителски отпуск за наглеждане на децата при временно затваряне на учебните заведения. Тази мярка може да се приеме за подобна мярка на схемите за подпомагане на работата на непълно работно време съгласно Регламент (ЕС) 2020/672, тъй като с нея се компенсират разходите на наетите лица за детски грижи по време на затваряне на училищата и така се </w:t>
      </w:r>
      <w:r>
        <w:rPr>
          <w:noProof/>
        </w:rPr>
        <w:lastRenderedPageBreak/>
        <w:t>помага на родителите да продължат да работят, предотвратявайки опасността от прекъсване на трудовите правоотношения.</w:t>
      </w:r>
    </w:p>
    <w:p>
      <w:pPr>
        <w:pStyle w:val="ManualConsidrant"/>
        <w:rPr>
          <w:noProof/>
        </w:rPr>
      </w:pPr>
      <w:r>
        <w:t>(11)</w:t>
      </w:r>
      <w:r>
        <w:tab/>
      </w:r>
      <w:r>
        <w:rPr>
          <w:noProof/>
        </w:rPr>
        <w:t>Накрая, с посочения в искането на Румъния от 7 август 2020 г. Закон № 56/2020</w:t>
      </w:r>
      <w:r>
        <w:rPr>
          <w:rStyle w:val="FootnoteReference"/>
          <w:noProof/>
        </w:rPr>
        <w:footnoteReference w:id="7"/>
      </w:r>
      <w:r>
        <w:rPr>
          <w:noProof/>
        </w:rPr>
        <w:t>, на здравните работници, които участват в медицинските действия за борба с COVID-19, се предоставя премия за работа при изключително опасни условия в размер до 30 % от заплатата.</w:t>
      </w:r>
    </w:p>
    <w:p>
      <w:pPr>
        <w:pStyle w:val="ManualConsidrant"/>
        <w:rPr>
          <w:noProof/>
        </w:rPr>
      </w:pPr>
      <w:r>
        <w:t>(12)</w:t>
      </w:r>
      <w:r>
        <w:tab/>
      </w:r>
      <w:r>
        <w:rPr>
          <w:noProof/>
        </w:rPr>
        <w:t>Румъния удовлетворява условията по член 3 от Регламент (ЕС) 2020/672 за отпускане на финансова помощ. Румъния предостави на Комисията убедителни доказателства, че, считано от 1 февруари 2020 г., нейните извършени и планирани публични разходи са се увеличили с 4 370 779 006 евро в резултат на увеличаването на сумите, пряко свързани с помощите за принудителен неплатен отпуск за наетите лица и другите категории трудещи се, помощите за възобновилите работа наети лица и други категории трудещи се, предстоящата схема за подпомагане на работата на намалено работно време, помощта за надничарите и помощта за детски грижи за някои трудещи се. Това представлява внезапно и съществено увеличение, тъй като е свързано с нови мерки, които обхващат значителна част от предприятията и работната сила в Румъния. Румъния възнамерява да финансира със средства на Съюза 271 534 419 евро от увеличения размер на разходите.</w:t>
      </w:r>
    </w:p>
    <w:p>
      <w:pPr>
        <w:pStyle w:val="ManualConsidrant"/>
        <w:rPr>
          <w:noProof/>
        </w:rPr>
      </w:pPr>
      <w:r>
        <w:t>(13)</w:t>
      </w:r>
      <w:r>
        <w:tab/>
      </w:r>
      <w:r>
        <w:rPr>
          <w:noProof/>
        </w:rPr>
        <w:t>В изпълнение на член 6 от Регламент (ЕС) 2020/672 Комисията се консултира с Румъния и провери внезапното и съществено увеличение на извършените и планирани публични разходи, пряко свързани с посочените в искането от 7 август 2020 г. схеми за подпомагане на работата на непълно работно време и подобни мерки, и със съответните здравни мерки, в отговор на избухването на COVID-19.</w:t>
      </w:r>
    </w:p>
    <w:p>
      <w:pPr>
        <w:pStyle w:val="ManualConsidrant"/>
        <w:rPr>
          <w:noProof/>
        </w:rPr>
      </w:pPr>
      <w:r>
        <w:t>(14)</w:t>
      </w:r>
      <w:r>
        <w:tab/>
      </w:r>
      <w:r>
        <w:rPr>
          <w:noProof/>
        </w:rPr>
        <w:t>Поради това на Румъния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(15)</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(16)</w:t>
      </w:r>
      <w:r>
        <w:tab/>
      </w:r>
      <w:r>
        <w:rPr>
          <w:noProof/>
        </w:rPr>
        <w:t>Румъния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(17)</w:t>
      </w:r>
      <w:r>
        <w:tab/>
      </w:r>
      <w:r>
        <w:rPr>
          <w:noProof/>
        </w:rPr>
        <w:t>Решението за предоставяне на финансова помощ се взима с отчитане на съществуващите и очакваните нужди на Румъния,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i/>
          <w:noProof/>
        </w:rPr>
      </w:pPr>
      <w:r>
        <w:rPr>
          <w:noProof/>
        </w:rPr>
        <w:t>Румъния удовлетворява условията по член 3 от Регламент (ЕС) 2020/672.</w:t>
      </w:r>
    </w:p>
    <w:p>
      <w:pPr>
        <w:pStyle w:val="Titrearticle"/>
        <w:rPr>
          <w:noProof/>
        </w:rPr>
      </w:pPr>
      <w:r>
        <w:rPr>
          <w:noProof/>
        </w:rPr>
        <w:t>Член 2</w:t>
      </w:r>
    </w:p>
    <w:p>
      <w:pPr>
        <w:pStyle w:val="ManualNumPar1"/>
        <w:rPr>
          <w:noProof/>
        </w:rPr>
      </w:pPr>
      <w:r>
        <w:t>1.</w:t>
      </w:r>
      <w:r>
        <w:tab/>
      </w:r>
      <w:r>
        <w:rPr>
          <w:noProof/>
        </w:rPr>
        <w:t>Съюзът отпуска на Румъния заем с максимален размер 4 099 244 587 евро. Неговият максимален среден срок до падежа е 15 години.</w:t>
      </w:r>
    </w:p>
    <w:p>
      <w:pPr>
        <w:pStyle w:val="ManualNumPar1"/>
        <w:rPr>
          <w:noProof/>
        </w:rPr>
      </w:pPr>
      <w:r>
        <w:t>2.</w:t>
      </w:r>
      <w:r>
        <w:tab/>
      </w:r>
      <w:r>
        <w:rPr>
          <w:noProof/>
        </w:rPr>
        <w:t>Периодът на усвояване на предоставената по силата на настоящото решение финансова помощ е 18 месеца, считано от датата на влизането му в сила.</w:t>
      </w:r>
    </w:p>
    <w:p>
      <w:pPr>
        <w:pStyle w:val="ManualNumPar1"/>
        <w:rPr>
          <w:noProof/>
        </w:rPr>
      </w:pPr>
      <w:r>
        <w:t>3.</w:t>
      </w:r>
      <w:r>
        <w:tab/>
      </w:r>
      <w:r>
        <w:rPr>
          <w:noProof/>
        </w:rPr>
        <w:t>Комисията предоставя на Румъния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w:t>
      </w:r>
    </w:p>
    <w:p>
      <w:pPr>
        <w:pStyle w:val="ManualNumPar1"/>
        <w:rPr>
          <w:noProof/>
        </w:rPr>
      </w:pPr>
      <w:r>
        <w:t>4.</w:t>
      </w:r>
      <w:r>
        <w:tab/>
      </w:r>
      <w:r>
        <w:rPr>
          <w:noProof/>
        </w:rPr>
        <w:t>Отпускането на първия транш зависи от влизането в сила на споразумението за заем, посочено в член 8, параграф 2 от Регламент (ЕС) 2020/672.</w:t>
      </w:r>
    </w:p>
    <w:p>
      <w:pPr>
        <w:pStyle w:val="ManualNumPar1"/>
        <w:rPr>
          <w:noProof/>
        </w:rPr>
      </w:pPr>
      <w:r>
        <w:t>5.</w:t>
      </w:r>
      <w:r>
        <w:tab/>
      </w:r>
      <w:r>
        <w:rPr>
          <w:noProof/>
        </w:rPr>
        <w:t>Румъния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w:t>
      </w:r>
    </w:p>
    <w:p>
      <w:pPr>
        <w:pStyle w:val="ManualNumPar1"/>
        <w:rPr>
          <w:noProof/>
        </w:rPr>
      </w:pPr>
      <w:r>
        <w:t>6.</w:t>
      </w:r>
      <w:r>
        <w:tab/>
      </w:r>
      <w:r>
        <w:rPr>
          <w:noProof/>
        </w:rPr>
        <w:t>Комисията определя размера и датата на отпускане на траншовете, както и размера на вноските.</w:t>
      </w:r>
    </w:p>
    <w:p>
      <w:pPr>
        <w:pStyle w:val="Titrearticle"/>
        <w:rPr>
          <w:noProof/>
        </w:rPr>
      </w:pPr>
      <w:r>
        <w:rPr>
          <w:noProof/>
        </w:rPr>
        <w:t>Член 3</w:t>
      </w:r>
    </w:p>
    <w:p>
      <w:pPr>
        <w:rPr>
          <w:noProof/>
        </w:rPr>
      </w:pPr>
      <w:r>
        <w:rPr>
          <w:noProof/>
        </w:rPr>
        <w:t>1. Румъния може да финансира следните мерки:</w:t>
      </w:r>
    </w:p>
    <w:p>
      <w:pPr>
        <w:pStyle w:val="Point0"/>
        <w:rPr>
          <w:noProof/>
        </w:rPr>
      </w:pPr>
      <w:r>
        <w:t>(1)</w:t>
      </w:r>
      <w:r>
        <w:tab/>
      </w:r>
      <w:r>
        <w:rPr>
          <w:noProof/>
        </w:rPr>
        <w:t>помощите за принудителен неплатен отпуск за наетите лица, чиито работодатели са ограничили или временно са преустановили дейността си — както е предвидено в член 11 от Извънредно правителствено постановление 30/2020;</w:t>
      </w:r>
    </w:p>
    <w:p>
      <w:pPr>
        <w:pStyle w:val="Point0"/>
        <w:rPr>
          <w:noProof/>
        </w:rPr>
      </w:pPr>
      <w:r>
        <w:t>(2)</w:t>
      </w:r>
      <w:r>
        <w:tab/>
      </w:r>
      <w:r>
        <w:rPr>
          <w:noProof/>
        </w:rPr>
        <w:t>помощите за лицата, чийто трудов договор е бил прекратен — както е предвидено в член 1 от Извънредно правителствено постановление 92/2020;</w:t>
      </w:r>
    </w:p>
    <w:p>
      <w:pPr>
        <w:pStyle w:val="Point0"/>
        <w:rPr>
          <w:noProof/>
        </w:rPr>
      </w:pPr>
      <w:r>
        <w:t>(3)</w:t>
      </w:r>
      <w:r>
        <w:tab/>
      </w:r>
      <w:r>
        <w:rPr>
          <w:noProof/>
        </w:rPr>
        <w:t>схемата за подпомагане на работата на непълно работно време — както е предвидена в член 1 от Извънредно правителствено постановление 132/2020;</w:t>
      </w:r>
    </w:p>
    <w:p>
      <w:pPr>
        <w:pStyle w:val="Point0"/>
        <w:rPr>
          <w:noProof/>
        </w:rPr>
      </w:pPr>
      <w:r>
        <w:t>(4)</w:t>
      </w:r>
      <w:r>
        <w:tab/>
      </w:r>
      <w:r>
        <w:rPr>
          <w:noProof/>
        </w:rPr>
        <w:t>подобните на посочените в точка 1) помощи за категориите, различни от наети лица, в т.ч. самостоятелно заети лица и свободни професии — както е предвидено в член 15 от Извънредно правителствено постановление 30/2020;</w:t>
      </w:r>
    </w:p>
    <w:p>
      <w:pPr>
        <w:pStyle w:val="Point0"/>
        <w:rPr>
          <w:noProof/>
        </w:rPr>
      </w:pPr>
      <w:r>
        <w:t>(5)</w:t>
      </w:r>
      <w:r>
        <w:tab/>
      </w:r>
      <w:r>
        <w:rPr>
          <w:noProof/>
        </w:rPr>
        <w:t>помощите, предвидени в Закон № 6/2020 за държавния бюджет за социално осигуряване за 2020 г. за категориите, различни от наети лица, в т.ч. самостоятелно заети лица и свободни професии — както е предвидено в член 3 от Извънредно правителствено постановление 132/2020;</w:t>
      </w:r>
    </w:p>
    <w:p>
      <w:pPr>
        <w:pStyle w:val="Point0"/>
        <w:rPr>
          <w:noProof/>
        </w:rPr>
      </w:pPr>
      <w:r>
        <w:t>(6)</w:t>
      </w:r>
      <w:r>
        <w:tab/>
      </w:r>
      <w:r>
        <w:rPr>
          <w:noProof/>
        </w:rPr>
        <w:t>помощите за надничарите — както е предвидено в член 4 от Извънредно правителствено постановление 132/2020;</w:t>
      </w:r>
    </w:p>
    <w:p>
      <w:pPr>
        <w:pStyle w:val="Point0"/>
        <w:rPr>
          <w:noProof/>
        </w:rPr>
      </w:pPr>
      <w:r>
        <w:lastRenderedPageBreak/>
        <w:t>(7)</w:t>
      </w:r>
      <w:r>
        <w:tab/>
      </w:r>
      <w:r>
        <w:rPr>
          <w:noProof/>
        </w:rPr>
        <w:t>премията за извънреден труд за персонала на специализираните структури на националния институт по здравеопазване и областните дирекции по здравеопазване и/или дирекцията по здравеопазване на Букурещ — както е предвидено в член 8, алинея 6 от Извънредно правителствено постановление 11/2020;</w:t>
      </w:r>
    </w:p>
    <w:p>
      <w:pPr>
        <w:pStyle w:val="Point0"/>
        <w:rPr>
          <w:noProof/>
        </w:rPr>
      </w:pPr>
      <w:r>
        <w:t>(8)</w:t>
      </w:r>
      <w:r>
        <w:tab/>
      </w:r>
      <w:r>
        <w:rPr>
          <w:noProof/>
        </w:rPr>
        <w:t>помощите за детски грижи за работещите в националната система за отбрана, местата за лишаване от свобода, структурите на системата на здравеопазване и другите категории, създадени с министерски постановления — както е предвидено в член 1, алинея 6 от Извънредно правителствено постановление 30/2020;</w:t>
      </w:r>
    </w:p>
    <w:p>
      <w:pPr>
        <w:pStyle w:val="Point0"/>
        <w:rPr>
          <w:noProof/>
        </w:rPr>
      </w:pPr>
      <w:r>
        <w:t>(9)</w:t>
      </w:r>
      <w:r>
        <w:tab/>
      </w:r>
      <w:r>
        <w:rPr>
          <w:noProof/>
        </w:rPr>
        <w:t>премията за работа при изключително опасни условия, предоставена като признание за заслугите на здравните работници — както е предвидено в член 7 от Закон № 56/2020.</w:t>
      </w:r>
    </w:p>
    <w:p>
      <w:pPr>
        <w:pStyle w:val="Titrearticle"/>
        <w:rPr>
          <w:noProof/>
        </w:rPr>
      </w:pPr>
      <w:r>
        <w:rPr>
          <w:noProof/>
        </w:rPr>
        <w:t>Член 4</w:t>
      </w:r>
    </w:p>
    <w:p>
      <w:pPr>
        <w:rPr>
          <w:noProof/>
        </w:rPr>
      </w:pPr>
      <w:r>
        <w:rPr>
          <w:noProof/>
        </w:rPr>
        <w:t>Румъния уведомява Комисията до [</w:t>
      </w:r>
      <w:r>
        <w:rPr>
          <w:i/>
          <w:iCs/>
          <w:noProof/>
        </w:rPr>
        <w:t>ДАТА:</w:t>
      </w:r>
      <w:r>
        <w:rPr>
          <w:noProof/>
        </w:rPr>
        <w:t xml:space="preserve"> </w:t>
      </w:r>
      <w:r>
        <w:rPr>
          <w:i/>
          <w:noProof/>
        </w:rPr>
        <w:t>6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t>Член 5</w:t>
      </w:r>
    </w:p>
    <w:p>
      <w:pPr>
        <w:keepNext/>
        <w:keepLines/>
        <w:rPr>
          <w:noProof/>
        </w:rPr>
      </w:pPr>
      <w:r>
        <w:rPr>
          <w:noProof/>
        </w:rPr>
        <w:t>Адресат на настоящото решение е Румъния.</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стр.1.</w:t>
      </w:r>
    </w:p>
  </w:footnote>
  <w:footnote w:id="2">
    <w:p>
      <w:pPr>
        <w:pStyle w:val="FootnoteText"/>
      </w:pPr>
      <w:r>
        <w:rPr>
          <w:rStyle w:val="FootnoteReference"/>
        </w:rPr>
        <w:footnoteRef/>
      </w:r>
      <w:r>
        <w:tab/>
        <w:t>Обнародвано в Държавен вестник № 231 от 21 март 2020 г.</w:t>
      </w:r>
    </w:p>
  </w:footnote>
  <w:footnote w:id="3">
    <w:p>
      <w:pPr>
        <w:pStyle w:val="FootnoteText"/>
      </w:pPr>
      <w:r>
        <w:rPr>
          <w:rStyle w:val="FootnoteReference"/>
        </w:rPr>
        <w:footnoteRef/>
      </w:r>
      <w:r>
        <w:tab/>
        <w:t>Обнародвано в Държавен вестник № 459 от 29 май 2020 г.</w:t>
      </w:r>
    </w:p>
  </w:footnote>
  <w:footnote w:id="4">
    <w:p>
      <w:pPr>
        <w:pStyle w:val="FootnoteText"/>
      </w:pPr>
      <w:r>
        <w:rPr>
          <w:rStyle w:val="FootnoteReference"/>
        </w:rPr>
        <w:footnoteRef/>
      </w:r>
      <w:r>
        <w:tab/>
        <w:t>Обнародвано в Държавен вестник № 720 от 10 август 2020 г.</w:t>
      </w:r>
    </w:p>
  </w:footnote>
  <w:footnote w:id="5">
    <w:p>
      <w:pPr>
        <w:pStyle w:val="FootnoteText"/>
      </w:pPr>
      <w:r>
        <w:rPr>
          <w:rStyle w:val="FootnoteReference"/>
        </w:rPr>
        <w:footnoteRef/>
      </w:r>
      <w:r>
        <w:tab/>
        <w:t>Както е предвидено в Закон № 6/2020 за държавния бюджет за социално осигуряване за 2020 г.</w:t>
      </w:r>
    </w:p>
  </w:footnote>
  <w:footnote w:id="6">
    <w:p>
      <w:pPr>
        <w:pStyle w:val="FootnoteText"/>
      </w:pPr>
      <w:r>
        <w:rPr>
          <w:rStyle w:val="FootnoteReference"/>
        </w:rPr>
        <w:footnoteRef/>
      </w:r>
      <w:r>
        <w:tab/>
        <w:t>Обнародвано в Държавен вестник № 102 от 11 февруари 2020 г.</w:t>
      </w:r>
    </w:p>
  </w:footnote>
  <w:footnote w:id="7">
    <w:p>
      <w:pPr>
        <w:pStyle w:val="FootnoteText"/>
      </w:pPr>
      <w:r>
        <w:rPr>
          <w:rStyle w:val="FootnoteReference"/>
        </w:rPr>
        <w:footnoteRef/>
      </w:r>
      <w:r>
        <w:tab/>
        <w:t>Обнародван в Държавен вестник № 402 от 15 май 2020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6C1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109D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86DD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121E4C"/>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54: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0029790-409E-4C78-BA40-EA409EE5B82D"/>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1"/>
    <w:docVar w:name="LW_REF.II.NEW.CP_YEAR" w:val="2020"/>
    <w:docVar w:name="LW_REF.INST.NEW" w:val="COM"/>
    <w:docVar w:name="LW_REF.INST.NEW_ADOPTED" w:val="final"/>
    <w:docVar w:name="LW_REF.INST.NEW_TEXT" w:val="(2020)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56?\u1091?\u1084?\u1098?\u1085?\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87340579">
      <w:bodyDiv w:val="1"/>
      <w:marLeft w:val="0"/>
      <w:marRight w:val="0"/>
      <w:marTop w:val="0"/>
      <w:marBottom w:val="0"/>
      <w:divBdr>
        <w:top w:val="none" w:sz="0" w:space="0" w:color="auto"/>
        <w:left w:val="none" w:sz="0" w:space="0" w:color="auto"/>
        <w:bottom w:val="none" w:sz="0" w:space="0" w:color="auto"/>
        <w:right w:val="none" w:sz="0" w:space="0" w:color="auto"/>
      </w:divBdr>
    </w:div>
    <w:div w:id="15873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CCAC43-44DA-4ECD-BDE9-9530FE52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3032</Words>
  <Characters>17074</Characters>
  <Application>Microsoft Office Word</Application>
  <DocSecurity>0</DocSecurity>
  <Lines>322</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2020-09-02T05:57:00Z</dcterms:created>
  <dcterms:modified xsi:type="dcterms:W3CDTF">2020-09-07T08:54:00Z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