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1A3A1ED8-E02A-4565-A377-13E0668A0173" style="width:450.45pt;height:366.35pt">
            <v:imagedata r:id="rId12" o:title=""/>
          </v:shape>
        </w:pict>
      </w:r>
    </w:p>
    <w:p>
      <w:pPr>
        <w:rPr>
          <w:noProof/>
        </w:rPr>
        <w:sectPr>
          <w:footerReference w:type="default" r:id="rId13"/>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noProof/>
        </w:rPr>
      </w:pPr>
      <w:r>
        <w:rPr>
          <w:noProof/>
        </w:rPr>
        <w:tab/>
      </w:r>
    </w:p>
    <w:p>
      <w:pPr>
        <w:rPr>
          <w:noProof/>
        </w:rPr>
      </w:pPr>
      <w:r>
        <w:rPr>
          <w:noProof/>
        </w:rPr>
        <w:t>С Регламент (ЕС) 2020/672 („Регламентът за SURE“) се урежда предоставянето на финансова помощ от Съюза на държавите членки, които изпитват или са сериозно застрашени от тежък икономически шок, причинен от избухването на COVID-19. Предвидената в Регламента за SURE подкрепа е предназначена преди всичко за финансирането на схеми за подпомагане на работата на непълно работно време или подобни мерки за защита на работниците и служителите, както и на самостоятелно заетите лица, и съответно — за намаляване на последиците от безработица и загуба на доходи, както и, в допълнителен аспект, за финансирането на някои здравни мерки, по‐специално на работното място.</w:t>
      </w:r>
    </w:p>
    <w:p>
      <w:pPr>
        <w:rPr>
          <w:noProof/>
        </w:rPr>
      </w:pPr>
      <w:r>
        <w:rPr>
          <w:noProof/>
        </w:rPr>
        <w:t xml:space="preserve">На 7 август 2020 г. Италия поиска финансова помощ от Съюза по силата на Регламента за SURE. В изпълнение на член 6, параграф 2 от Регламента за SURE Комисията се консултира с италианските власти, за да провери внезапното и съществено увеличение на извършените и планирани разходи, пряко свързани с въведените в отговор на пандемията от COVID-19 схеми за подпомагане на работата на непълно работно време и подобни мерки, и здравни мерки. По-специално, увеличените разходи обхващат: </w:t>
      </w:r>
    </w:p>
    <w:p>
      <w:pPr>
        <w:pStyle w:val="Point0"/>
        <w:rPr>
          <w:noProof/>
        </w:rPr>
      </w:pPr>
      <w:r>
        <w:t>(1)</w:t>
      </w:r>
      <w:r>
        <w:tab/>
      </w:r>
      <w:r>
        <w:rPr>
          <w:noProof/>
        </w:rPr>
        <w:t>продължаване на схемите за подпомагане на работата на непълно работно време („</w:t>
      </w:r>
      <w:r>
        <w:rPr>
          <w:i/>
          <w:noProof/>
        </w:rPr>
        <w:t>Cassa integrazione guadagni</w:t>
      </w:r>
      <w:r>
        <w:rPr>
          <w:noProof/>
        </w:rPr>
        <w:t>“). Мярката е насочена към предприятията, които изцяло или частично са преустановили дейността си поради COVID-19, и обхваща 80 % от обичайната заплата на наетите в тях лица, чийто трудов договор се запазва, за максимален срок от 18 седмици в периода от 23 февруари 2020 г. до 31 октомври 2020 г.;</w:t>
      </w:r>
    </w:p>
    <w:p>
      <w:pPr>
        <w:pStyle w:val="Point0"/>
        <w:rPr>
          <w:noProof/>
        </w:rPr>
      </w:pPr>
      <w:r>
        <w:t>(2)</w:t>
      </w:r>
      <w:r>
        <w:tab/>
      </w:r>
      <w:r>
        <w:rPr>
          <w:noProof/>
        </w:rPr>
        <w:t>месечна помощ в размер на 600 евро за март и април 2020 г. за самостоятелно заетите лица и работещите на свободна практика. Работещите на свободна практика, чиито доходи през март и април 2020 г. са спаднали поне с 33 % спрямо миналата година, имат право на помощ и за май 2020 г. в размер на 1 000 евро. Допълнителна помощ в размер на 600 евро за март 2020 г. се предоставя на самостоятелно заетите лица и работещите на свободна практика, регистрирани в частни институции за задължително социално осигуряване;</w:t>
      </w:r>
    </w:p>
    <w:p>
      <w:pPr>
        <w:pStyle w:val="Point0"/>
        <w:rPr>
          <w:noProof/>
        </w:rPr>
      </w:pPr>
      <w:r>
        <w:t>(3)</w:t>
      </w:r>
      <w:r>
        <w:tab/>
      </w:r>
      <w:r>
        <w:rPr>
          <w:noProof/>
        </w:rPr>
        <w:t>редица мерки за дадени професии, неблагоприятно засегнати от избухването на COVID-19. Тук спада помощ в размер на 600 евро за март 2020 г. и 500 евро за април 2020 г. за наетите на срочен трудов договор в селското стопанство; месечна помощ в размер на 600 евро за март, април и май 2020 г. за работещите в развлекателния бизнес (с годишни приходи до 50 000 евро); месечна помощ в размер на 600 евро за март, април и май 2020 г. за сътрудниците на спортните сдружения; месечна помощ в размер на 600 евро за март, април и май 2020 г. за работещите на повикване и месечна помощ от 500 евро за април и май 2020 г. за домашните работници;</w:t>
      </w:r>
    </w:p>
    <w:p>
      <w:pPr>
        <w:pStyle w:val="Point0"/>
        <w:rPr>
          <w:noProof/>
        </w:rPr>
      </w:pPr>
      <w:r>
        <w:t>(4)</w:t>
      </w:r>
      <w:r>
        <w:tab/>
      </w:r>
      <w:r>
        <w:rPr>
          <w:noProof/>
        </w:rPr>
        <w:t xml:space="preserve">две мерки за ограничаване на въздействието от затварянето на яслите, детските градини и училищата: родителският отпуск на наетите или самостоятелно заетите лица с деца до 12-годишна възраст (или над 12 години, ако детето е с увреждания и посещава училище) се субсидира с 50 % от доходите — до 30 </w:t>
      </w:r>
      <w:r>
        <w:rPr>
          <w:noProof/>
        </w:rPr>
        <w:lastRenderedPageBreak/>
        <w:t xml:space="preserve">дни в периода 5 март 2020 г. — 31 август 2020 г., или вместо това се дава валиден за същия период ваучер за гледане на деца на стойност до 2 000 евро; </w:t>
      </w:r>
    </w:p>
    <w:p>
      <w:pPr>
        <w:pStyle w:val="Point0"/>
        <w:rPr>
          <w:noProof/>
        </w:rPr>
      </w:pPr>
      <w:r>
        <w:t>(5)</w:t>
      </w:r>
      <w:r>
        <w:tab/>
      </w:r>
      <w:r>
        <w:rPr>
          <w:noProof/>
        </w:rPr>
        <w:t>допълнителни помощи за отпуск за инвалидност за трудещите се, които имат тежки уреждания или имат роднини с такива увреждания: до 12 дни в периода 1 март 2020 г. — 30 април 2020 г. и за още 12 дни — в периода 1 май 2020 г. — 30 юни 2020 г. Това е продължение на съществуваща схема, която дава на служителите право на три дни отпуск за инвалидност на месец;</w:t>
      </w:r>
    </w:p>
    <w:p>
      <w:pPr>
        <w:pStyle w:val="Point0"/>
        <w:rPr>
          <w:noProof/>
        </w:rPr>
      </w:pPr>
      <w:r>
        <w:t>(6)</w:t>
      </w:r>
      <w:r>
        <w:tab/>
      </w:r>
      <w:r>
        <w:rPr>
          <w:noProof/>
        </w:rPr>
        <w:t>безвъзмездно подпомагане на самостоятелно заети лица и индивидуални предприятия. Размерът на безвъзмездните средства се изчислява, като се вземе предвид спадът в оборота през април 2020 г. спрямо април 2019 г. (от минимум 1 000 евро до максимум 20 % от спада на оборота);</w:t>
      </w:r>
    </w:p>
    <w:p>
      <w:pPr>
        <w:pStyle w:val="Point0"/>
        <w:rPr>
          <w:noProof/>
        </w:rPr>
      </w:pPr>
      <w:r>
        <w:t>(7)</w:t>
      </w:r>
      <w:r>
        <w:tab/>
      </w:r>
      <w:r>
        <w:rPr>
          <w:noProof/>
        </w:rPr>
        <w:t xml:space="preserve">две здравни мерки: нов временен данъчен кредит в размер на 60 % от разходите за подобряване на безопасността на работното място (до максимум 80 000 евро) и нов временен данъчен кредит в размер на 60 % от разходите за дезинфекциране в малки предприятия, търговски офиси и организации с нестопанска цел, и за закупуване на защитно оборудване (до максимум 60 000 евро). </w:t>
      </w:r>
    </w:p>
    <w:p>
      <w:pPr>
        <w:rPr>
          <w:noProof/>
        </w:rPr>
      </w:pPr>
      <w:r>
        <w:rPr>
          <w:noProof/>
        </w:rPr>
        <w:t xml:space="preserve">Италия предостави на Комисията необходимите сведения. </w:t>
      </w:r>
    </w:p>
    <w:p>
      <w:pPr>
        <w:rPr>
          <w:noProof/>
        </w:rPr>
      </w:pPr>
      <w:r>
        <w:rPr>
          <w:noProof/>
        </w:rPr>
        <w:t xml:space="preserve">Предвид наличните доказателства Комисията предлага на Съвета да приеме решение за изпълнение, с което на Италия по силата на Регламента за SURE да се предостави финансова помощ в подкрепа на горепосочените мерки. </w:t>
      </w:r>
    </w:p>
    <w:p>
      <w:pPr>
        <w:pStyle w:val="ManualHeading2"/>
        <w:rPr>
          <w:noProof/>
          <w:color w:val="000000" w:themeColor="text1"/>
          <w:bdr w:val="none" w:sz="0" w:space="0" w:color="auto" w:frame="1"/>
        </w:rPr>
      </w:pPr>
      <w:r>
        <w:rPr>
          <w:noProof/>
          <w:color w:val="000000" w:themeColor="text1"/>
          <w:bdr w:val="none" w:sz="0" w:space="0" w:color="auto" w:frame="1"/>
        </w:rPr>
        <w:t>•</w:t>
      </w:r>
      <w:r>
        <w:rPr>
          <w:noProof/>
        </w:rPr>
        <w:tab/>
      </w:r>
      <w:r>
        <w:rPr>
          <w:noProof/>
          <w:color w:val="000000" w:themeColor="text1"/>
        </w:rPr>
        <w:t>Съгласуваност с действащите разпоредби в тази област на политика</w:t>
      </w:r>
    </w:p>
    <w:p>
      <w:pPr>
        <w:spacing w:before="0" w:after="240"/>
        <w:rPr>
          <w:noProof/>
          <w:color w:val="000000" w:themeColor="text1"/>
        </w:rPr>
      </w:pPr>
      <w:r>
        <w:rPr>
          <w:noProof/>
        </w:rPr>
        <w:t>Настоящото предложение е напълно съобразено с Регламент (ЕС) 2020/672, по силата на който е изготвено.</w:t>
      </w:r>
    </w:p>
    <w:p>
      <w:pPr>
        <w:spacing w:before="0" w:after="240"/>
        <w:rPr>
          <w:noProof/>
          <w:color w:val="000000" w:themeColor="text1"/>
        </w:rPr>
      </w:pPr>
      <w:r>
        <w:rPr>
          <w:noProof/>
          <w:color w:val="000000" w:themeColor="text1"/>
        </w:rPr>
        <w:t xml:space="preserve">С настоящото предложение се допълва друг правен инструмент на Съюза за предоставяне на подкрепа на държавите членки при извънредни ситуации — Регламент (ЕО) № 2012/2002 на Съвета от 11 ноември 2002 г. за създаване на фонд „Солидарност“ на Европейския съюз („Регламент (ЕО) № 2012/2002“). На 30 март бе приет Регламент (ЕС) 2020/461 на Европейския парламент и на Съвета, с който в обхвата на посочения инструмент се включват тежките извънредни ситуации в областта на общественото здраве и се определят специални операции, допустими за финансиране. </w:t>
      </w:r>
    </w:p>
    <w:p>
      <w:pPr>
        <w:pStyle w:val="ManualHeading2"/>
        <w:rPr>
          <w:rFonts w:eastAsia="Arial Unicode MS"/>
          <w:noProof/>
          <w:color w:val="000000" w:themeColor="text1"/>
        </w:rPr>
      </w:pPr>
      <w:r>
        <w:rPr>
          <w:noProof/>
          <w:color w:val="000000" w:themeColor="text1"/>
          <w:bdr w:val="none" w:sz="0" w:space="0" w:color="auto" w:frame="1"/>
        </w:rPr>
        <w:t>•</w:t>
      </w:r>
      <w:r>
        <w:rPr>
          <w:noProof/>
        </w:rPr>
        <w:tab/>
      </w:r>
      <w:r>
        <w:rPr>
          <w:noProof/>
          <w:color w:val="000000" w:themeColor="text1"/>
        </w:rPr>
        <w:t>Съгласуваност с други политики на Съюза</w:t>
      </w:r>
    </w:p>
    <w:p>
      <w:pPr>
        <w:spacing w:before="0" w:after="240"/>
        <w:rPr>
          <w:rFonts w:eastAsia="Arial Unicode MS"/>
          <w:noProof/>
          <w:color w:val="000000" w:themeColor="text1"/>
        </w:rPr>
      </w:pPr>
      <w:r>
        <w:rPr>
          <w:noProof/>
        </w:rPr>
        <w:t xml:space="preserve">Предложението е част от набор от мерки, разработени в отговор на настоящата пандемия от COVID-19, като „инвестиционната инициатива в отговор на коронавируса“, и допълва други инструменти в подкрепа на заетостта, като Европейския социален фонд и Европейския фонд за стратегически инвестиции (ЕФСИ)/InvestEU. Като предвижда заемането на средства и след това отпускането на заеми в подкрепа на държавите членки в този конкретен случай на пандемия от COVID-19, настоящото предложение служи като втора защитна линия за финансиране на схеми за подпомагане на работата на непълно работно време и подобни мерки, които спомагат за съхраняването на работните места и оттам — за защитата на работниците и служителите, както и на самостоятелно заетите лица срещу риска от безработица. </w:t>
      </w:r>
    </w:p>
    <w:p>
      <w:pPr>
        <w:pStyle w:val="ManualHeading1"/>
        <w:rPr>
          <w:noProof/>
          <w:color w:val="000000" w:themeColor="text1"/>
        </w:rPr>
      </w:pPr>
      <w:r>
        <w:rPr>
          <w:noProof/>
          <w:color w:val="000000" w:themeColor="text1"/>
        </w:rPr>
        <w:lastRenderedPageBreak/>
        <w:t>2.</w:t>
      </w:r>
      <w:r>
        <w:rPr>
          <w:noProof/>
        </w:rPr>
        <w:tab/>
      </w:r>
      <w:r>
        <w:rPr>
          <w:noProof/>
          <w:color w:val="000000" w:themeColor="text1"/>
        </w:rPr>
        <w:t>ПРАВНО ОСНОВАНИЕ, СУБСИДИАРНОСТ И ПРОПОРЦИОНАЛНОСТ</w:t>
      </w:r>
    </w:p>
    <w:p>
      <w:pPr>
        <w:pStyle w:val="ManualHeading2"/>
        <w:rPr>
          <w:noProof/>
          <w:color w:val="000000" w:themeColor="text1"/>
          <w:bdr w:val="none" w:sz="0" w:space="0" w:color="auto" w:frame="1"/>
        </w:rPr>
      </w:pPr>
      <w:r>
        <w:rPr>
          <w:noProof/>
          <w:color w:val="000000" w:themeColor="text1"/>
          <w:bdr w:val="none" w:sz="0" w:space="0" w:color="auto" w:frame="1"/>
        </w:rPr>
        <w:t>•</w:t>
      </w:r>
      <w:r>
        <w:rPr>
          <w:noProof/>
        </w:rPr>
        <w:tab/>
      </w:r>
      <w:r>
        <w:rPr>
          <w:noProof/>
          <w:color w:val="000000" w:themeColor="text1"/>
          <w:bdr w:val="none" w:sz="0" w:space="0" w:color="auto" w:frame="1"/>
        </w:rPr>
        <w:t>Правно основание</w:t>
      </w:r>
    </w:p>
    <w:p>
      <w:pPr>
        <w:spacing w:before="0" w:after="240"/>
        <w:rPr>
          <w:rFonts w:eastAsia="Arial Unicode MS"/>
          <w:noProof/>
          <w:color w:val="000000" w:themeColor="text1"/>
        </w:rPr>
      </w:pPr>
      <w:r>
        <w:rPr>
          <w:noProof/>
        </w:rPr>
        <w:t>Правното основание на настоящия инструмент е Регламент (ЕС) 2020/672 на Съвета.</w:t>
      </w:r>
    </w:p>
    <w:p>
      <w:pPr>
        <w:pStyle w:val="ManualHeading2"/>
        <w:rPr>
          <w:noProof/>
          <w:color w:val="000000" w:themeColor="text1"/>
          <w:bdr w:val="none" w:sz="0" w:space="0" w:color="auto" w:frame="1"/>
        </w:rPr>
      </w:pPr>
      <w:r>
        <w:rPr>
          <w:noProof/>
          <w:color w:val="000000" w:themeColor="text1"/>
          <w:bdr w:val="none" w:sz="0" w:space="0" w:color="auto" w:frame="1"/>
        </w:rPr>
        <w:t>•</w:t>
      </w:r>
      <w:r>
        <w:rPr>
          <w:noProof/>
        </w:rPr>
        <w:tab/>
      </w:r>
      <w:r>
        <w:rPr>
          <w:noProof/>
          <w:color w:val="000000" w:themeColor="text1"/>
          <w:bdr w:val="none" w:sz="0" w:space="0" w:color="auto" w:frame="1"/>
        </w:rPr>
        <w:t xml:space="preserve">Субсидиарност (при неизключителна компетентност) </w:t>
      </w:r>
    </w:p>
    <w:p>
      <w:pPr>
        <w:spacing w:before="0" w:after="240"/>
        <w:rPr>
          <w:noProof/>
        </w:rPr>
      </w:pPr>
      <w:r>
        <w:rPr>
          <w:noProof/>
        </w:rPr>
        <w:t>Предложението е в резултат на отправено от държава членка искане и като проява на европейската солидарност предоставя на тази засегната от избухването на COVID-19 държава членка финансова помощ от Съюза под формата на временни заеми. Като втора защитна линия такава финансова помощ ще облекчи временно увеличените публични разходи на правителството за схеми за подпомагане на работата на непълно работно време и подобни мерки и ще спомогне за съхраняването на работните места и оттам — за защитата на работниците и служителите, както и на самостоятелно заетите лица срещу риска от безработица и загуба на доходи.</w:t>
      </w:r>
    </w:p>
    <w:p>
      <w:pPr>
        <w:spacing w:before="0" w:after="240"/>
        <w:rPr>
          <w:rFonts w:eastAsia="Arial Unicode MS"/>
          <w:noProof/>
        </w:rPr>
      </w:pPr>
      <w:r>
        <w:rPr>
          <w:noProof/>
        </w:rPr>
        <w:t xml:space="preserve">Тази подкрепа ще е от полза на засегнатото население и ще смекчи прякото социално и икономическо въздействие, причинено от настоящата криза с COVID-19. </w:t>
      </w:r>
    </w:p>
    <w:p>
      <w:pPr>
        <w:pStyle w:val="ManualHeading2"/>
        <w:rPr>
          <w:noProof/>
          <w:color w:val="000000" w:themeColor="text1"/>
          <w:bdr w:val="none" w:sz="0" w:space="0" w:color="auto" w:frame="1"/>
        </w:rPr>
      </w:pPr>
      <w:r>
        <w:rPr>
          <w:noProof/>
          <w:color w:val="000000" w:themeColor="text1"/>
          <w:bdr w:val="none" w:sz="0" w:space="0" w:color="auto" w:frame="1"/>
        </w:rPr>
        <w:t>•</w:t>
      </w:r>
      <w:r>
        <w:rPr>
          <w:noProof/>
        </w:rPr>
        <w:tab/>
      </w:r>
      <w:r>
        <w:rPr>
          <w:noProof/>
          <w:color w:val="000000" w:themeColor="text1"/>
          <w:bdr w:val="none" w:sz="0" w:space="0" w:color="auto" w:frame="1"/>
        </w:rPr>
        <w:t>Пропорционалност</w:t>
      </w:r>
    </w:p>
    <w:p>
      <w:pPr>
        <w:spacing w:before="0" w:after="240"/>
        <w:rPr>
          <w:rFonts w:eastAsia="Arial Unicode MS"/>
          <w:noProof/>
          <w:color w:val="000000" w:themeColor="text1"/>
        </w:rPr>
      </w:pPr>
      <w:r>
        <w:rPr>
          <w:noProof/>
        </w:rPr>
        <w:t xml:space="preserve">Предложението е съобразено с принципа на пропорционалност. То не надхвърля необходимото за постигането на целите на инструмента. </w:t>
      </w:r>
    </w:p>
    <w:p>
      <w:pPr>
        <w:pStyle w:val="ManualHeading1"/>
        <w:rPr>
          <w:noProof/>
          <w:color w:val="000000" w:themeColor="text1"/>
        </w:rPr>
      </w:pPr>
      <w:r>
        <w:rPr>
          <w:noProof/>
          <w:color w:val="000000" w:themeColor="text1"/>
        </w:rPr>
        <w:t>3.</w:t>
      </w:r>
      <w:r>
        <w:rPr>
          <w:noProof/>
        </w:rPr>
        <w:tab/>
      </w:r>
      <w:r>
        <w:rPr>
          <w:noProof/>
          <w:color w:val="000000" w:themeColor="text1"/>
        </w:rPr>
        <w:t>РЕЗУЛТАТИ ОТ ПОСЛЕДВАЩИТЕ ОЦЕНКИ, КОНСУЛТАЦИИТЕ СЪС ЗАИНТЕРЕСОВАНИТЕ СТРАНИ И ОЦЕНКИТЕ НА ВЪЗДЕЙСТВИЕТО</w:t>
      </w:r>
    </w:p>
    <w:p>
      <w:pPr>
        <w:pStyle w:val="ManualHeading2"/>
        <w:rPr>
          <w:noProof/>
          <w:color w:val="000000" w:themeColor="text1"/>
          <w:bdr w:val="none" w:sz="0" w:space="0" w:color="auto" w:frame="1"/>
        </w:rPr>
      </w:pPr>
      <w:r>
        <w:rPr>
          <w:noProof/>
          <w:color w:val="000000" w:themeColor="text1"/>
          <w:bdr w:val="none" w:sz="0" w:space="0" w:color="auto" w:frame="1"/>
        </w:rPr>
        <w:t>•</w:t>
      </w:r>
      <w:r>
        <w:rPr>
          <w:noProof/>
        </w:rPr>
        <w:tab/>
      </w:r>
      <w:r>
        <w:rPr>
          <w:noProof/>
          <w:color w:val="000000" w:themeColor="text1"/>
          <w:bdr w:val="none" w:sz="0" w:space="0" w:color="auto" w:frame="1"/>
        </w:rPr>
        <w:t>Консултации със заинтересованите страни</w:t>
      </w:r>
    </w:p>
    <w:p>
      <w:pPr>
        <w:spacing w:before="0" w:after="240"/>
        <w:rPr>
          <w:rFonts w:eastAsia="Arial Unicode MS"/>
          <w:noProof/>
          <w:color w:val="000000" w:themeColor="text1"/>
        </w:rPr>
      </w:pPr>
      <w:r>
        <w:rPr>
          <w:noProof/>
          <w:color w:val="000000" w:themeColor="text1"/>
        </w:rPr>
        <w:t>Предложението трябваше да се изготви в съкратени срокове, за да може да се приеме своевременно от Съвета, поради което не бе възможно да се проведе консултация със заинтересованите страни.</w:t>
      </w:r>
    </w:p>
    <w:p>
      <w:pPr>
        <w:pStyle w:val="ManualHeading2"/>
        <w:rPr>
          <w:noProof/>
          <w:color w:val="000000" w:themeColor="text1"/>
          <w:bdr w:val="none" w:sz="0" w:space="0" w:color="auto" w:frame="1"/>
        </w:rPr>
      </w:pPr>
      <w:r>
        <w:rPr>
          <w:noProof/>
          <w:color w:val="000000" w:themeColor="text1"/>
          <w:bdr w:val="none" w:sz="0" w:space="0" w:color="auto" w:frame="1"/>
        </w:rPr>
        <w:t>•</w:t>
      </w:r>
      <w:r>
        <w:rPr>
          <w:noProof/>
        </w:rPr>
        <w:tab/>
      </w:r>
      <w:r>
        <w:rPr>
          <w:noProof/>
          <w:color w:val="000000" w:themeColor="text1"/>
          <w:bdr w:val="none" w:sz="0" w:space="0" w:color="auto" w:frame="1"/>
        </w:rPr>
        <w:t>Оценка на въздействието</w:t>
      </w:r>
    </w:p>
    <w:p>
      <w:pPr>
        <w:spacing w:before="0" w:after="240"/>
        <w:rPr>
          <w:rFonts w:eastAsia="Arial Unicode MS"/>
          <w:noProof/>
          <w:color w:val="000000" w:themeColor="text1"/>
        </w:rPr>
      </w:pPr>
      <w:r>
        <w:rPr>
          <w:noProof/>
          <w:color w:val="000000" w:themeColor="text1"/>
        </w:rPr>
        <w:t>Поради спешния характер на предложението не беше направена оценка на въздействието.</w:t>
      </w:r>
    </w:p>
    <w:p>
      <w:pPr>
        <w:pStyle w:val="ManualHeading1"/>
        <w:rPr>
          <w:noProof/>
          <w:color w:val="000000" w:themeColor="text1"/>
        </w:rPr>
      </w:pPr>
      <w:r>
        <w:rPr>
          <w:noProof/>
          <w:color w:val="000000" w:themeColor="text1"/>
        </w:rPr>
        <w:t>4.</w:t>
      </w:r>
      <w:r>
        <w:rPr>
          <w:noProof/>
        </w:rPr>
        <w:tab/>
      </w:r>
      <w:r>
        <w:rPr>
          <w:noProof/>
          <w:color w:val="000000" w:themeColor="text1"/>
        </w:rPr>
        <w:t>ОТРАЖЕНИЕ ВЪРХУ БЮДЖЕТА</w:t>
      </w:r>
    </w:p>
    <w:p>
      <w:pPr>
        <w:spacing w:before="0" w:after="240"/>
        <w:rPr>
          <w:rFonts w:eastAsia="Arial Unicode MS"/>
          <w:noProof/>
          <w:color w:val="000000" w:themeColor="text1"/>
        </w:rPr>
      </w:pPr>
      <w:r>
        <w:rPr>
          <w:noProof/>
          <w:color w:val="000000" w:themeColor="text1"/>
        </w:rPr>
        <w:t xml:space="preserve">Комисията следва да може да заема средства на финансовите пазари, които след това да предоставя в заем на държавата членка, искаща финансова помощ по инструмента SURE. </w:t>
      </w:r>
    </w:p>
    <w:p>
      <w:pPr>
        <w:rPr>
          <w:noProof/>
          <w:color w:val="000000" w:themeColor="text1"/>
        </w:rPr>
      </w:pPr>
      <w:r>
        <w:rPr>
          <w:noProof/>
          <w:color w:val="000000" w:themeColor="text1"/>
        </w:rPr>
        <w:t>Освен предоставянето на гаранции от държавите членки са предвидени и други мерки с оглед на финансовата стабилност на схемата:</w:t>
      </w:r>
    </w:p>
    <w:p>
      <w:pPr>
        <w:pStyle w:val="Bullet1"/>
        <w:numPr>
          <w:ilvl w:val="0"/>
          <w:numId w:val="5"/>
        </w:numPr>
        <w:rPr>
          <w:noProof/>
          <w:color w:val="000000" w:themeColor="text1"/>
        </w:rPr>
      </w:pPr>
      <w:r>
        <w:rPr>
          <w:noProof/>
          <w:color w:val="000000" w:themeColor="text1"/>
        </w:rPr>
        <w:t>стриктен и консервативен подход към финансовото управление;</w:t>
      </w:r>
    </w:p>
    <w:p>
      <w:pPr>
        <w:pStyle w:val="Bullet1"/>
        <w:numPr>
          <w:ilvl w:val="0"/>
          <w:numId w:val="5"/>
        </w:numPr>
        <w:rPr>
          <w:noProof/>
          <w:color w:val="000000" w:themeColor="text1"/>
        </w:rPr>
      </w:pPr>
      <w:r>
        <w:rPr>
          <w:noProof/>
          <w:color w:val="000000" w:themeColor="text1"/>
        </w:rPr>
        <w:t>изграждане на портфейл от заеми, при който се ограничава рискът от концентрация, годишната експозиция и прекомерната експозиция към отделни държави членки, като същевременно се осигуряват достатъчни ресурси за най-нуждаещите се държави членки; както и</w:t>
      </w:r>
    </w:p>
    <w:p>
      <w:pPr>
        <w:pStyle w:val="Bullet1"/>
        <w:numPr>
          <w:ilvl w:val="0"/>
          <w:numId w:val="5"/>
        </w:numPr>
        <w:rPr>
          <w:noProof/>
          <w:color w:val="000000" w:themeColor="text1"/>
        </w:rPr>
      </w:pPr>
      <w:r>
        <w:rPr>
          <w:noProof/>
          <w:color w:val="000000" w:themeColor="text1"/>
        </w:rPr>
        <w:t>възможности за подновяване на дълга.</w:t>
      </w:r>
    </w:p>
    <w:p>
      <w:pPr>
        <w:rPr>
          <w:noProof/>
        </w:rPr>
        <w:sectPr>
          <w:footerReference w:type="default" r:id="rId14"/>
          <w:footerReference w:type="first" r:id="rId15"/>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2020/0219 (NLE)</w:t>
      </w:r>
    </w:p>
    <w:p>
      <w:pPr>
        <w:pStyle w:val="Statut"/>
        <w:rPr>
          <w:noProof/>
        </w:rPr>
      </w:pPr>
      <w:r>
        <w:rPr>
          <w:noProof/>
        </w:rPr>
        <w:t>Предложение за</w:t>
      </w:r>
    </w:p>
    <w:p>
      <w:pPr>
        <w:pStyle w:val="Typedudocument"/>
        <w:rPr>
          <w:noProof/>
        </w:rPr>
      </w:pPr>
      <w:r>
        <w:rPr>
          <w:noProof/>
        </w:rPr>
        <w:t>РЕШЕНИЕ ЗА ИЗПЪЛНЕНИЕ НА СЪВЕТА</w:t>
      </w:r>
    </w:p>
    <w:p>
      <w:pPr>
        <w:pStyle w:val="Titreobjet"/>
        <w:rPr>
          <w:noProof/>
        </w:rPr>
      </w:pPr>
      <w:r>
        <w:rPr>
          <w:noProof/>
        </w:rPr>
        <w:t>за предоставяне, по силата на Регламент (ЕС) 2020/672 на Съвета, на временна подкрепа на Италия с цел ограничаване на риска от безработица при извънредните обстоятелства вследствие на избухването на COVID-19</w:t>
      </w:r>
    </w:p>
    <w:p>
      <w:pPr>
        <w:pStyle w:val="Institutionquiagit"/>
        <w:rPr>
          <w:noProof/>
        </w:rPr>
      </w:pPr>
      <w:r>
        <w:rPr>
          <w:noProof/>
        </w:rPr>
        <w:t>СЪВЕТЪТ НА ЕВРОПЕЙСКИЯ СЪЮЗ,</w:t>
      </w:r>
    </w:p>
    <w:p>
      <w:pPr>
        <w:rPr>
          <w:noProof/>
        </w:rPr>
      </w:pPr>
      <w:r>
        <w:rPr>
          <w:noProof/>
        </w:rPr>
        <w:t xml:space="preserve">като взе предвид Договора за функционирането на Европейския съюз, </w:t>
      </w:r>
    </w:p>
    <w:p>
      <w:pPr>
        <w:rPr>
          <w:noProof/>
        </w:rPr>
      </w:pPr>
      <w:r>
        <w:rPr>
          <w:noProof/>
        </w:rPr>
        <w:t>като взе предвид Регламент (ЕС) 2020/672 на Съвета от 19 май 2020 година за създаване на Европейски инструмент за временна подкрепа с цел смекчаване на рисковете от безработица при извънредни обстоятелства (SURE) вследствие на избухването на COVID-19</w:t>
      </w:r>
      <w:r>
        <w:rPr>
          <w:rStyle w:val="FootnoteReference"/>
          <w:noProof/>
        </w:rPr>
        <w:footnoteReference w:id="2"/>
      </w:r>
      <w:r>
        <w:rPr>
          <w:noProof/>
        </w:rPr>
        <w:t>, и по-специално член 6, параграф 1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 xml:space="preserve">На 7 август 2020 г. Италия поиска финансова помощ от Съюза, с която да допълни националните си усилия за преодоляване на въздействието от избухването на COVID-19 и в частност — на социално-икономическите му последици за работниците и служителите. </w:t>
      </w:r>
    </w:p>
    <w:p>
      <w:pPr>
        <w:pStyle w:val="ManualConsidrant"/>
        <w:rPr>
          <w:noProof/>
        </w:rPr>
      </w:pPr>
      <w:r>
        <w:t>(2)</w:t>
      </w:r>
      <w:r>
        <w:tab/>
      </w:r>
      <w:r>
        <w:rPr>
          <w:noProof/>
        </w:rPr>
        <w:t xml:space="preserve">Избухването на COVID-19 и предприетите от Италия извънредни мерки за преодоляване на разпространението на вируса и на социално-икономическите и здравните последици от този феномен се очаква да се отразят изключително сериозно на публичните финанси. Според прогнозата на Комисията за Италия от пролетта на 2020 г., към края на 2020 г. дефицитът по консолидирания държавен бюджет се очаква да достигне 11,1 % от брутния вътрешен продукт (БВП), а консолидираният държавен дълг — 158,9 % от БВП. Според междинната прогноза на Комисията за Италия от лятото на 2020 г., през 2020 г. БВП се очаква да намалее с 11,2 %. </w:t>
      </w:r>
    </w:p>
    <w:p>
      <w:pPr>
        <w:pStyle w:val="ManualConsidrant"/>
        <w:rPr>
          <w:noProof/>
        </w:rPr>
      </w:pPr>
      <w:r>
        <w:t>(3)</w:t>
      </w:r>
      <w:r>
        <w:tab/>
      </w:r>
      <w:r>
        <w:rPr>
          <w:noProof/>
        </w:rPr>
        <w:t>Избухването на COVID-19 блокира значителна част от италианската работна сила. Това доведе до внезапно и съществено увеличение на публичните разходи на Италия, свързани с посочените в съображения 4—10 мерки: схеми за подпомагане на работата на непълно работно време; помощи за самостоятелно заетите лица, работещите на срочни трудови договори в селското стопанство, работещите в развлекателния бизнес, сътрудниците на спортните сдружения, домашните работници и работещите на повикване; ваучери за гледане на деца; допълнителни помощи за гледане на деца и за инвалидност; безвъзмездно подпомагане на самостоятелно заети лица и индивидуални предприятия; както и данъчни кредити в подкрепа на мерки по здравеопазване.</w:t>
      </w:r>
    </w:p>
    <w:p>
      <w:pPr>
        <w:pStyle w:val="ManualConsidrant"/>
        <w:rPr>
          <w:noProof/>
        </w:rPr>
      </w:pPr>
      <w:r>
        <w:lastRenderedPageBreak/>
        <w:t>(4)</w:t>
      </w:r>
      <w:r>
        <w:tab/>
      </w:r>
      <w:r>
        <w:rPr>
          <w:noProof/>
        </w:rPr>
        <w:t>По силата на посочените в искането на Италия от 7 август 2020 г. законодателни укази № 18/2020</w:t>
      </w:r>
      <w:r>
        <w:rPr>
          <w:rStyle w:val="FootnoteReference"/>
          <w:noProof/>
        </w:rPr>
        <w:footnoteReference w:id="3"/>
      </w:r>
      <w:r>
        <w:rPr>
          <w:noProof/>
        </w:rPr>
        <w:t xml:space="preserve"> и № 34/2020</w:t>
      </w:r>
      <w:r>
        <w:rPr>
          <w:rStyle w:val="FootnoteReference"/>
          <w:noProof/>
        </w:rPr>
        <w:footnoteReference w:id="4"/>
      </w:r>
      <w:r>
        <w:rPr>
          <w:noProof/>
        </w:rPr>
        <w:t xml:space="preserve"> бяха въведени редица мерки за справяне с въздействието на избухването на COVID-19, в т.ч. продължаване на съществуващите схеми за подпомагане на работата на непълно работно време на наетите лица („</w:t>
      </w:r>
      <w:r>
        <w:rPr>
          <w:i/>
          <w:iCs/>
          <w:noProof/>
        </w:rPr>
        <w:t>Cassa integrazione guadagni</w:t>
      </w:r>
      <w:r>
        <w:rPr>
          <w:noProof/>
        </w:rPr>
        <w:t>“). Мярката е насочена към предприятията, които изцяло или частично са преустановили дейността си поради COVID-19, и обхваща 80 % от обичайната заплата на наетите лица, чийто трудов договор се запазва, за максимален срок от 18 седмици в периода 23 февруари 2020 г. — 31 октомври 2020 г.</w:t>
      </w:r>
    </w:p>
    <w:p>
      <w:pPr>
        <w:pStyle w:val="ManualConsidrant"/>
        <w:rPr>
          <w:noProof/>
        </w:rPr>
      </w:pPr>
      <w:r>
        <w:t>(5)</w:t>
      </w:r>
      <w:r>
        <w:tab/>
      </w:r>
      <w:r>
        <w:rPr>
          <w:noProof/>
        </w:rPr>
        <w:t>Властите въведоха месечна помощ в размер на 600 евро за март и април 2020 г. за самостоятелно заетите лица и работещите на свободна практика. Работещите на свободна практика, чиито доходи през март и април 2020 г. са спаднали поне с 33 % спрямо миналата година, имат право на помощ и за май 2020 г. в размер на 1 000 евро. Допълнителна помощ в размер на 600 евро за март 2020 г. бе предоставена на самостоятелно заетите лица и работещите на свободна практика, регистрирани в частни институции за задължително социално осигуряване.</w:t>
      </w:r>
    </w:p>
    <w:p>
      <w:pPr>
        <w:pStyle w:val="ManualConsidrant"/>
        <w:rPr>
          <w:noProof/>
        </w:rPr>
      </w:pPr>
      <w:r>
        <w:t>(6)</w:t>
      </w:r>
      <w:r>
        <w:tab/>
      </w:r>
      <w:r>
        <w:rPr>
          <w:noProof/>
        </w:rPr>
        <w:t>Властите въведоха редица мерки за дадени професии, неблагоприятно засегнати от избухването на COVID-19. Тук спадат: помощ в размер на 600 евро за март 2020 г. и 500 евро за април 2020 г. за наетите на срочен трудов договор в селското стопанство; месечна помощ в размер на 600 евро за март, април и май 2020 г. за работещите в развлекателния бизнес (с годишни приходи до 50 000 евро); месечна помощ в размер на 600 евро за март, април и май 2020 г. за сътрудниците на спортните сдружения; месечна помощ в размер на 600 евро за март, април и май 2020 г. за работещите на повикване и месечна помощ от 500 евро за април и май 2020 г. за домашните работници.</w:t>
      </w:r>
    </w:p>
    <w:p>
      <w:pPr>
        <w:pStyle w:val="ManualConsidrant"/>
        <w:rPr>
          <w:noProof/>
        </w:rPr>
      </w:pPr>
      <w:r>
        <w:t>(7)</w:t>
      </w:r>
      <w:r>
        <w:tab/>
      </w:r>
      <w:r>
        <w:rPr>
          <w:noProof/>
        </w:rPr>
        <w:t xml:space="preserve">Властите въведоха и две мерки за ограничаване на въздействието от затварянето на яслите, детските градини и училищата: родителският отпуск на наетите или самостоятелно заетите лица с деца до 12-годишна възраст (или над 12 години, ако детето е с увреждания и посещава училище) се субсидира с 50 % от доходите — до 30 дни в периода 5 март 2020 г. — 31 август 2020 г., или вместо това се дава валиден за същия период ваучер за гледане на деца на стойност до 2 000 евро. Тези мерки могат да се приемат за подобни мерки на схемите за подпомагане на работата на непълно работно време съгласно Регламент (ЕС) 2020/672, тъй като с тях се подпомагат доходите на наетите и самостоятелно заетите лица във връзка с разходите за детски грижи по време на закриването на училищата, с което се помага на родителите да продължат да работят и оттам — да съхранят трудовите си правоотношения. </w:t>
      </w:r>
    </w:p>
    <w:p>
      <w:pPr>
        <w:pStyle w:val="ManualConsidrant"/>
        <w:rPr>
          <w:noProof/>
        </w:rPr>
      </w:pPr>
      <w:r>
        <w:t>(8)</w:t>
      </w:r>
      <w:r>
        <w:tab/>
      </w:r>
      <w:r>
        <w:rPr>
          <w:noProof/>
        </w:rPr>
        <w:t>Властите въведоха също така допълнителни помощи за отпуск за инвалидност за трудещите се, които имат тежки уреждания или имат роднини с такива увреждания: до 12 дни в периода 1 март 2020 г. — 30 април 2020 г. и за още 12 дни — в периода 1 май 2020 г. — 30 юни 2020 г. Това е продължение на съществуваща схема, която дава на служителите право на три дни отпуск за инвалидност на месец.</w:t>
      </w:r>
    </w:p>
    <w:p>
      <w:pPr>
        <w:pStyle w:val="ManualConsidrant"/>
        <w:rPr>
          <w:noProof/>
        </w:rPr>
      </w:pPr>
      <w:r>
        <w:lastRenderedPageBreak/>
        <w:t>(9)</w:t>
      </w:r>
      <w:r>
        <w:tab/>
      </w:r>
      <w:r>
        <w:rPr>
          <w:noProof/>
        </w:rPr>
        <w:t xml:space="preserve">Бе въведено и безвъзмездно подпомагане на самостоятелно заети лица и индивидуални предприятия. Размерът на безвъзмездните средства се изчислява, като се вземе предвид спадът в оборота през април 2020 г. спрямо април 2019 г. (от минимум 1 000 евро до максимум 20 % от спада на оборота). </w:t>
      </w:r>
    </w:p>
    <w:p>
      <w:pPr>
        <w:pStyle w:val="ManualConsidrant"/>
        <w:rPr>
          <w:noProof/>
        </w:rPr>
      </w:pPr>
      <w:r>
        <w:t>(10)</w:t>
      </w:r>
      <w:r>
        <w:tab/>
      </w:r>
      <w:r>
        <w:rPr>
          <w:noProof/>
        </w:rPr>
        <w:t>Накрая, властите въведоха две здравни мерки: нов временен данъчен кредит в размер на 60 % от разходите за подобряване на безопасността на работното място (до максимум 80 000 евро) и нов временен данъчен кредит в размер на 60 % от разходите за дезинфекциране в малки предприятия, търговски офиси и организации с нестопанска цел, и за закупуване на защитно оборудване (до максимум 60 000 евро). Данъчните кредити представляват пропуснати приходи за държавата, поради което могат да се приемат за равностойни на публични разходи.</w:t>
      </w:r>
    </w:p>
    <w:p>
      <w:pPr>
        <w:pStyle w:val="ManualConsidrant"/>
        <w:rPr>
          <w:noProof/>
        </w:rPr>
      </w:pPr>
      <w:r>
        <w:t>(11)</w:t>
      </w:r>
      <w:r>
        <w:tab/>
      </w:r>
      <w:r>
        <w:rPr>
          <w:noProof/>
        </w:rPr>
        <w:t>Италия удовлетворява условията по член 3 от Регламент (ЕС) 2020/672 за отпускане на финансова помощ. Италия предостави на Комисията убедителни доказателства, че, считано от 1 февруари 2020 г., нейните извършени и планирани публични разходи са се увеличили с 28 811 965 628 евро в резултат на увеличените суми, пряко свързани със схемите за подпомагане на работата на непълно работно време; помощите за самостоятелно заетите лица, работещите на срочни трудови договори в селското стопанство, работещите в развлекателния бизнес, сътрудниците в спортните сдружения, домашните работници и работещите на повикване; ваучерите за гледане на деца; допълнителните помощи за гледане на деца и за инвалидност; както и безвъзмездното подпомагане на самостоятелно заети лица и индивидуални предприятия. Това представлява внезапно и съществено увеличение, тъй като е свързано както с нови мерки, така и с продължаване на съществуващи мерки, които обхващат значителна част от предприятията и работната сила в Италия. Италия възнамерява да финансира със средства на Съюза 320 000 000 евро от увеличения размер на разходите.</w:t>
      </w:r>
    </w:p>
    <w:p>
      <w:pPr>
        <w:pStyle w:val="ManualConsidrant"/>
        <w:rPr>
          <w:noProof/>
        </w:rPr>
      </w:pPr>
      <w:r>
        <w:t>(12)</w:t>
      </w:r>
      <w:r>
        <w:tab/>
      </w:r>
      <w:r>
        <w:rPr>
          <w:noProof/>
        </w:rPr>
        <w:t xml:space="preserve">В изпълнение на член 6 от Регламент (ЕС) 2020/672 Комисията се консултира с Италия и провери внезапното и съществено увеличение на извършените и планирани публични разходи, пряко свързани с посочените в искането от 7 август 2020 г. схеми за подпомагане на работата на непълно работно време и подобни мерки, и със съответните здравни мерки, в отговор на избухването на COVID-19. </w:t>
      </w:r>
    </w:p>
    <w:p>
      <w:pPr>
        <w:pStyle w:val="ManualConsidrant"/>
        <w:rPr>
          <w:noProof/>
        </w:rPr>
      </w:pPr>
      <w:r>
        <w:t>(13)</w:t>
      </w:r>
      <w:r>
        <w:tab/>
      </w:r>
      <w:r>
        <w:rPr>
          <w:noProof/>
        </w:rPr>
        <w:t>Поради това на Италия следва да се предостави финансова помощ, за да ѝ се съдейства да се справи със социално-икономическите последици от тежкия икономически шок, причинен от избухването на COVID-19.</w:t>
      </w:r>
    </w:p>
    <w:p>
      <w:pPr>
        <w:pStyle w:val="ManualConsidrant"/>
        <w:rPr>
          <w:noProof/>
        </w:rPr>
      </w:pPr>
      <w:r>
        <w:t>(14)</w:t>
      </w:r>
      <w:r>
        <w:tab/>
      </w:r>
      <w:r>
        <w:rPr>
          <w:noProof/>
        </w:rPr>
        <w:t>Настоящото решение не засяга резултата от евентуалните производства за нарушения на функционирането на вътрешния пазар, които биха могли да бъдат открити в частност по силата на членове 107 и 108 от ДФЕС. То не обезсилва посоченото в член 108 изискване към държавите членки да уведомяват Комисията за случаите, които биха могли да представляват държавна помощ.</w:t>
      </w:r>
    </w:p>
    <w:p>
      <w:pPr>
        <w:pStyle w:val="ManualConsidrant"/>
        <w:rPr>
          <w:noProof/>
        </w:rPr>
      </w:pPr>
      <w:r>
        <w:t>(15)</w:t>
      </w:r>
      <w:r>
        <w:tab/>
      </w:r>
      <w:r>
        <w:rPr>
          <w:noProof/>
        </w:rPr>
        <w:t>Италия следва редовно да уведомява Комисията за изпълнението на планираните публични разходи, за да ѝ позволи да прецени доколко те са били изпълнени.</w:t>
      </w:r>
    </w:p>
    <w:p>
      <w:pPr>
        <w:pStyle w:val="ManualConsidrant"/>
        <w:rPr>
          <w:noProof/>
        </w:rPr>
      </w:pPr>
      <w:r>
        <w:t>(16)</w:t>
      </w:r>
      <w:r>
        <w:tab/>
      </w:r>
      <w:r>
        <w:rPr>
          <w:noProof/>
        </w:rPr>
        <w:t xml:space="preserve">Решението за предоставяне на финансова помощ се взима с отчитане на съществуващите и очакваните нужди на Италия, както и на исканията за финансова помощ по силата на Регламент (ЕС) 2020/672, които вече са </w:t>
      </w:r>
      <w:r>
        <w:rPr>
          <w:noProof/>
        </w:rPr>
        <w:lastRenderedPageBreak/>
        <w:t>представени или за които е планирано да бъдат представени от други държави членки, при прилагане на принципите на равно третиране, солидарност, пропорционалност и прозрачност. В частност размерът на заема бе определен с оглед на пруденциалните норми за посочения в Регламент (ЕС) 2020/672 на Съвета портфейл от заеми,</w:t>
      </w:r>
    </w:p>
    <w:p>
      <w:pPr>
        <w:pStyle w:val="Formuledadoption"/>
        <w:rPr>
          <w:noProof/>
        </w:rPr>
      </w:pPr>
      <w:r>
        <w:rPr>
          <w:noProof/>
        </w:rPr>
        <w:t xml:space="preserve">ПРИЕ НАСТОЯЩОТО РЕШЕНИЕ: </w:t>
      </w:r>
    </w:p>
    <w:p>
      <w:pPr>
        <w:pStyle w:val="Titrearticle"/>
        <w:rPr>
          <w:noProof/>
        </w:rPr>
      </w:pPr>
      <w:r>
        <w:rPr>
          <w:noProof/>
        </w:rPr>
        <w:t>Член 1</w:t>
      </w:r>
    </w:p>
    <w:p>
      <w:pPr>
        <w:rPr>
          <w:i/>
          <w:noProof/>
        </w:rPr>
      </w:pPr>
      <w:r>
        <w:rPr>
          <w:noProof/>
        </w:rPr>
        <w:t>Италия удовлетворява условията по член 3 от Регламент (ЕС) 2020/672.</w:t>
      </w:r>
    </w:p>
    <w:p>
      <w:pPr>
        <w:pStyle w:val="Titrearticle"/>
        <w:rPr>
          <w:noProof/>
        </w:rPr>
      </w:pPr>
      <w:r>
        <w:rPr>
          <w:noProof/>
        </w:rPr>
        <w:t>Член 2</w:t>
      </w:r>
    </w:p>
    <w:p>
      <w:pPr>
        <w:pStyle w:val="ManualNumPar1"/>
        <w:rPr>
          <w:rFonts w:ascii="Calibri" w:eastAsia="Times New Roman" w:hAnsi="Calibri" w:cs="Calibri"/>
          <w:noProof/>
          <w:color w:val="000000"/>
          <w:sz w:val="22"/>
        </w:rPr>
      </w:pPr>
      <w:r>
        <w:t>1.</w:t>
      </w:r>
      <w:r>
        <w:tab/>
      </w:r>
      <w:r>
        <w:rPr>
          <w:noProof/>
        </w:rPr>
        <w:t>Съюзът отпуска на Италия заем с максимален размер 27 438 486 464 евро. Неговият максимален среден срок до падежа е 15 години.</w:t>
      </w:r>
    </w:p>
    <w:p>
      <w:pPr>
        <w:pStyle w:val="ManualNumPar1"/>
        <w:rPr>
          <w:noProof/>
        </w:rPr>
      </w:pPr>
      <w:r>
        <w:t>2.</w:t>
      </w:r>
      <w:r>
        <w:tab/>
      </w:r>
      <w:r>
        <w:rPr>
          <w:noProof/>
        </w:rPr>
        <w:t xml:space="preserve">Периодът на усвояване на предоставената по силата на настоящото решение финансова помощ е 18 месеца, считано от датата на влизането му в сила. </w:t>
      </w:r>
    </w:p>
    <w:p>
      <w:pPr>
        <w:pStyle w:val="ManualNumPar1"/>
        <w:rPr>
          <w:noProof/>
        </w:rPr>
      </w:pPr>
      <w:r>
        <w:t>3.</w:t>
      </w:r>
      <w:r>
        <w:tab/>
      </w:r>
      <w:r>
        <w:rPr>
          <w:noProof/>
        </w:rPr>
        <w:t xml:space="preserve">Комисията предоставя на Италия финансовата помощ от Съюза чрез максимум десет транша. Всеки транш може да се изплаща на една или няколко вноски. Срокът до падежа на вноските по първия транш може да бъде по-дълъг от максималния срок до падежа, посочен в параграф 1. В такъв случай срокът до падежа на останалите вноски се фиксира така, че след изплащането на всички траншове да е бил спазен посоченият в параграф 1 максимален среден срок до падежа. </w:t>
      </w:r>
    </w:p>
    <w:p>
      <w:pPr>
        <w:pStyle w:val="ManualNumPar1"/>
        <w:rPr>
          <w:noProof/>
        </w:rPr>
      </w:pPr>
      <w:r>
        <w:t>4.</w:t>
      </w:r>
      <w:r>
        <w:tab/>
      </w:r>
      <w:r>
        <w:rPr>
          <w:noProof/>
        </w:rPr>
        <w:t xml:space="preserve">Отпускането на първия транш зависи от влизането в сила на споразумението за заем, посочено в член 8, параграф 2 от Регламент (ЕС) 2020/672.  </w:t>
      </w:r>
    </w:p>
    <w:p>
      <w:pPr>
        <w:pStyle w:val="ManualNumPar1"/>
        <w:rPr>
          <w:noProof/>
        </w:rPr>
      </w:pPr>
      <w:r>
        <w:t>5.</w:t>
      </w:r>
      <w:r>
        <w:tab/>
      </w:r>
      <w:r>
        <w:rPr>
          <w:noProof/>
        </w:rPr>
        <w:t xml:space="preserve">Италия поема разходите по посоченото в член 4 от Регламент (ЕС) 2020/672 финансиране от Съюза за всеки транш, а също така и евентуалните такси и направени от Съюза разходи във връзка с това финансиране. </w:t>
      </w:r>
    </w:p>
    <w:p>
      <w:pPr>
        <w:pStyle w:val="ManualNumPar1"/>
        <w:rPr>
          <w:noProof/>
        </w:rPr>
      </w:pPr>
      <w:r>
        <w:t>6.</w:t>
      </w:r>
      <w:r>
        <w:tab/>
      </w:r>
      <w:r>
        <w:rPr>
          <w:noProof/>
        </w:rPr>
        <w:t xml:space="preserve">Комисията определя размера и датата на отпускане на траншовете, както и размера на вноските. </w:t>
      </w:r>
    </w:p>
    <w:p>
      <w:pPr>
        <w:pStyle w:val="Titrearticle"/>
        <w:rPr>
          <w:noProof/>
        </w:rPr>
      </w:pPr>
      <w:r>
        <w:rPr>
          <w:noProof/>
        </w:rPr>
        <w:t xml:space="preserve">Член 3 </w:t>
      </w:r>
    </w:p>
    <w:p>
      <w:pPr>
        <w:rPr>
          <w:noProof/>
        </w:rPr>
      </w:pPr>
      <w:r>
        <w:rPr>
          <w:noProof/>
        </w:rPr>
        <w:t>Италия може да финансира следните мерки:</w:t>
      </w:r>
    </w:p>
    <w:p>
      <w:pPr>
        <w:pStyle w:val="Point0"/>
        <w:rPr>
          <w:noProof/>
        </w:rPr>
      </w:pPr>
      <w:r>
        <w:rPr>
          <w:noProof/>
        </w:rPr>
        <w:t>а)</w:t>
      </w:r>
      <w:r>
        <w:rPr>
          <w:noProof/>
        </w:rPr>
        <w:tab/>
        <w:t>продължаване на съществуващите схеми за подпомагане на работата на непълно работно време на наетите лица („</w:t>
      </w:r>
      <w:r>
        <w:rPr>
          <w:i/>
          <w:iCs/>
          <w:noProof/>
        </w:rPr>
        <w:t>Cassa integrazione guadagni</w:t>
      </w:r>
      <w:r>
        <w:rPr>
          <w:noProof/>
        </w:rPr>
        <w:t xml:space="preserve">“) — както е предвидено в членове 19—22 от Законодателен указ № 18/2020, преобразуван в Закон № 27/2020, и в членове 68—71 от Законодателен указ № 34/2020, преобразуван в Закон № 77/2020; </w:t>
      </w:r>
    </w:p>
    <w:p>
      <w:pPr>
        <w:pStyle w:val="Point0"/>
        <w:rPr>
          <w:noProof/>
        </w:rPr>
      </w:pPr>
      <w:r>
        <w:rPr>
          <w:noProof/>
        </w:rPr>
        <w:t>б)</w:t>
      </w:r>
      <w:r>
        <w:rPr>
          <w:noProof/>
        </w:rPr>
        <w:tab/>
        <w:t xml:space="preserve">подпомагане на самостоятелно заетите лица — както е предвидено в членове 27, 28 и 44 от Законодателен указ № 18/2020, преобразуван в Закон № 27/2020, и в член 84 от Законодателен указ № 34/2020, преобразуван в Закон № 77/2020; </w:t>
      </w:r>
    </w:p>
    <w:p>
      <w:pPr>
        <w:pStyle w:val="Point0"/>
        <w:rPr>
          <w:noProof/>
        </w:rPr>
      </w:pPr>
      <w:r>
        <w:rPr>
          <w:noProof/>
        </w:rPr>
        <w:t>в)</w:t>
      </w:r>
      <w:r>
        <w:rPr>
          <w:noProof/>
        </w:rPr>
        <w:tab/>
        <w:t xml:space="preserve">подпомагане на работещите на срочни договори в селското стопанство — както е предвидено в член 30 от Законодателен указ № 18/2020 и член 84 от Законодателен указ № 34/2020, преобразуван в Закон № 77/2020; </w:t>
      </w:r>
    </w:p>
    <w:p>
      <w:pPr>
        <w:pStyle w:val="Point0"/>
        <w:rPr>
          <w:noProof/>
        </w:rPr>
      </w:pPr>
      <w:r>
        <w:rPr>
          <w:noProof/>
        </w:rPr>
        <w:lastRenderedPageBreak/>
        <w:t>г)</w:t>
      </w:r>
      <w:r>
        <w:rPr>
          <w:noProof/>
        </w:rPr>
        <w:tab/>
        <w:t xml:space="preserve">подпомагане на работещите в развлекателния бизнес — както е предвидено в член 38 от Законодателен указ № 18/2020 и в член 84 от Законодателен указ № 34/2020, преобразуван в Закон № 77/2020; </w:t>
      </w:r>
    </w:p>
    <w:p>
      <w:pPr>
        <w:pStyle w:val="Point0"/>
        <w:rPr>
          <w:noProof/>
        </w:rPr>
      </w:pPr>
      <w:r>
        <w:rPr>
          <w:noProof/>
        </w:rPr>
        <w:t>д)</w:t>
      </w:r>
      <w:r>
        <w:rPr>
          <w:noProof/>
        </w:rPr>
        <w:tab/>
        <w:t xml:space="preserve">подпомагане на сътрудниците на спортните сдружения — както е предвидено в член 96 от Законодателен указ № 18/2020 и член 84 от Законодателен указ № 34/2020, преобразуван в Закон № 77/2020; </w:t>
      </w:r>
    </w:p>
    <w:p>
      <w:pPr>
        <w:pStyle w:val="Point0"/>
        <w:rPr>
          <w:noProof/>
        </w:rPr>
      </w:pPr>
      <w:r>
        <w:rPr>
          <w:noProof/>
        </w:rPr>
        <w:t>е)</w:t>
      </w:r>
      <w:r>
        <w:rPr>
          <w:noProof/>
        </w:rPr>
        <w:tab/>
        <w:t xml:space="preserve">подпомагане на домашните работници — както е предвидено в член 85 от Законодателен указ № 34/2020, преобразуван в Закон № 77/2020; </w:t>
      </w:r>
    </w:p>
    <w:p>
      <w:pPr>
        <w:pStyle w:val="Point0"/>
        <w:rPr>
          <w:noProof/>
        </w:rPr>
      </w:pPr>
      <w:r>
        <w:rPr>
          <w:noProof/>
        </w:rPr>
        <w:t>ж)</w:t>
      </w:r>
      <w:r>
        <w:rPr>
          <w:noProof/>
        </w:rPr>
        <w:tab/>
        <w:t xml:space="preserve">подпомагане на работещите на повикване — както е предвидено в член 44 от Законодателен указ № 18/2020 и член 84 от Законодателен указ № 34/2020, преобразуван в Закон № 77/2020; </w:t>
      </w:r>
    </w:p>
    <w:p>
      <w:pPr>
        <w:pStyle w:val="Point0"/>
        <w:rPr>
          <w:noProof/>
        </w:rPr>
      </w:pPr>
      <w:r>
        <w:rPr>
          <w:noProof/>
        </w:rPr>
        <w:t>з)</w:t>
      </w:r>
      <w:r>
        <w:rPr>
          <w:noProof/>
        </w:rPr>
        <w:tab/>
        <w:t xml:space="preserve">за частта от разходите за подпомагане на самостоятелно заетите лица и едноличните търговци: безвъзмездно подпомагане на самостоятелно заети лица и индивидуални предприятия — както е предвидено в член 25 от Законодателен указ № 34/2020, преобразуван в Закон № 77/2020; </w:t>
      </w:r>
    </w:p>
    <w:p>
      <w:pPr>
        <w:pStyle w:val="Point0"/>
        <w:rPr>
          <w:noProof/>
        </w:rPr>
      </w:pPr>
      <w:r>
        <w:rPr>
          <w:noProof/>
        </w:rPr>
        <w:t>и)</w:t>
      </w:r>
      <w:r>
        <w:rPr>
          <w:noProof/>
        </w:rPr>
        <w:tab/>
        <w:t xml:space="preserve">субсидиране на родителския отпуск — както е предвидено в членове 23 и 25 от Законодателен указ № 18/2020, преобразуван в Закон № 27/2020, и в член 72 от Законодателен указ № 34/2020, преобразуван в Закон № 77/2020; </w:t>
      </w:r>
    </w:p>
    <w:p>
      <w:pPr>
        <w:pStyle w:val="Point0"/>
        <w:rPr>
          <w:noProof/>
        </w:rPr>
      </w:pPr>
      <w:r>
        <w:rPr>
          <w:noProof/>
        </w:rPr>
        <w:t>й)</w:t>
      </w:r>
      <w:r>
        <w:rPr>
          <w:noProof/>
        </w:rPr>
        <w:tab/>
        <w:t xml:space="preserve">ваучери за гледане на деца — както е предвидено в членове 23 и 25 от Законодателен указ № 18/2020, преобразуван в Закон № 27/2020, и в член 73 от Законодателен указ № 34/2020, преобразуван в Закон № 77/2020; </w:t>
      </w:r>
    </w:p>
    <w:p>
      <w:pPr>
        <w:pStyle w:val="Point0"/>
        <w:rPr>
          <w:noProof/>
        </w:rPr>
      </w:pPr>
      <w:r>
        <w:rPr>
          <w:noProof/>
        </w:rPr>
        <w:t>к)</w:t>
      </w:r>
      <w:r>
        <w:rPr>
          <w:noProof/>
        </w:rPr>
        <w:tab/>
        <w:t>подпомагане за инвалидност — както е предвидено в член 24 от Законодателен указ № 18/2020, преобразуван в Закон № 27/2020, и в член 74 от Законодателен указ № 34/2020, преобразуван в Закон № 77/2020;</w:t>
      </w:r>
    </w:p>
    <w:p>
      <w:pPr>
        <w:pStyle w:val="Point0"/>
        <w:rPr>
          <w:noProof/>
        </w:rPr>
      </w:pPr>
      <w:r>
        <w:rPr>
          <w:noProof/>
        </w:rPr>
        <w:t>л)</w:t>
      </w:r>
      <w:r>
        <w:rPr>
          <w:noProof/>
        </w:rPr>
        <w:tab/>
        <w:t xml:space="preserve">данъчни кредити с оглед на подобряването на безопасността на работното място — както е предвидено в член 120 от Законодателен указ № 34/2020, преобразуван в Закон № 77/2020; </w:t>
      </w:r>
    </w:p>
    <w:p>
      <w:pPr>
        <w:pStyle w:val="Point0"/>
        <w:rPr>
          <w:noProof/>
        </w:rPr>
      </w:pPr>
      <w:r>
        <w:rPr>
          <w:noProof/>
        </w:rPr>
        <w:t>м)</w:t>
      </w:r>
      <w:r>
        <w:rPr>
          <w:noProof/>
        </w:rPr>
        <w:tab/>
        <w:t>данъчни кредити за дезинфекциране на работното място и закупуване на защитно оборудване — както е предвидено в член 125 от Законодателен указ № 34/2020, преобразуван в Закон № 77/2020.</w:t>
      </w:r>
    </w:p>
    <w:p>
      <w:pPr>
        <w:pStyle w:val="Titrearticle"/>
        <w:rPr>
          <w:noProof/>
        </w:rPr>
      </w:pPr>
      <w:r>
        <w:rPr>
          <w:noProof/>
        </w:rPr>
        <w:t>Член 4</w:t>
      </w:r>
    </w:p>
    <w:p>
      <w:pPr>
        <w:rPr>
          <w:noProof/>
        </w:rPr>
      </w:pPr>
      <w:r>
        <w:rPr>
          <w:noProof/>
        </w:rPr>
        <w:t>Италия уведомява Комисията до [</w:t>
      </w:r>
      <w:r>
        <w:rPr>
          <w:i/>
          <w:iCs/>
          <w:noProof/>
        </w:rPr>
        <w:t>ДАТА:</w:t>
      </w:r>
      <w:r>
        <w:rPr>
          <w:noProof/>
        </w:rPr>
        <w:t xml:space="preserve"> </w:t>
      </w:r>
      <w:r>
        <w:rPr>
          <w:i/>
          <w:noProof/>
        </w:rPr>
        <w:t>6 месеца след датата на публикуване на настоящото решение</w:t>
      </w:r>
      <w:r>
        <w:rPr>
          <w:noProof/>
        </w:rPr>
        <w:t>] за изпълнението на планираните публични разходи и продължава да я уведомява за това на всеки 6 месеца, докато тези разходи не бъдат изцяло изпълнени.</w:t>
      </w:r>
    </w:p>
    <w:p>
      <w:pPr>
        <w:pStyle w:val="Titrearticle"/>
        <w:rPr>
          <w:noProof/>
        </w:rPr>
      </w:pPr>
      <w:r>
        <w:rPr>
          <w:noProof/>
        </w:rPr>
        <w:lastRenderedPageBreak/>
        <w:t>Член 5</w:t>
      </w:r>
    </w:p>
    <w:p>
      <w:pPr>
        <w:keepNext/>
        <w:keepLines/>
        <w:rPr>
          <w:noProof/>
        </w:rPr>
      </w:pPr>
      <w:r>
        <w:rPr>
          <w:noProof/>
        </w:rPr>
        <w:t>Адресат на настоящото решение е Италианската република.</w:t>
      </w:r>
    </w:p>
    <w:p>
      <w:pPr>
        <w:pStyle w:val="Titrearticle"/>
        <w:rPr>
          <w:noProof/>
        </w:rPr>
      </w:pPr>
      <w:r>
        <w:rPr>
          <w:noProof/>
        </w:rPr>
        <w:t>Член 6</w:t>
      </w:r>
    </w:p>
    <w:p>
      <w:pPr>
        <w:keepNext/>
        <w:keepLines/>
        <w:rPr>
          <w:noProof/>
        </w:rPr>
      </w:pPr>
      <w:r>
        <w:rPr>
          <w:noProof/>
        </w:rPr>
        <w:t xml:space="preserve">Настоящото решение се публикува в </w:t>
      </w:r>
      <w:r>
        <w:rPr>
          <w:i/>
          <w:noProof/>
        </w:rPr>
        <w:t>Официален вестник на Европейския съюз</w:t>
      </w:r>
      <w:r>
        <w:rPr>
          <w:noProof/>
        </w:rPr>
        <w:t xml:space="preserve">. </w:t>
      </w:r>
    </w:p>
    <w:p>
      <w:pPr>
        <w:pStyle w:val="Fait"/>
        <w:rPr>
          <w:noProof/>
        </w:rPr>
      </w:pPr>
      <w:r>
        <w:t xml:space="preserve">Съставено в Брюксел на </w:t>
      </w:r>
      <w:r>
        <w:rPr>
          <w:rStyle w:val="Marker2"/>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ОВ L 159, 20.5.2020 г., стр.1.</w:t>
      </w:r>
    </w:p>
  </w:footnote>
  <w:footnote w:id="3">
    <w:p>
      <w:pPr>
        <w:pStyle w:val="FootnoteText"/>
      </w:pPr>
      <w:r>
        <w:rPr>
          <w:rStyle w:val="FootnoteReference"/>
        </w:rPr>
        <w:footnoteRef/>
      </w:r>
      <w:r>
        <w:tab/>
        <w:t>Законодателен указ № 18/2020, превърнат в Закон № 27/2020.</w:t>
      </w:r>
    </w:p>
  </w:footnote>
  <w:footnote w:id="4">
    <w:p>
      <w:pPr>
        <w:pStyle w:val="FootnoteText"/>
      </w:pPr>
      <w:r>
        <w:rPr>
          <w:rStyle w:val="FootnoteReference"/>
        </w:rPr>
        <w:footnoteRef/>
      </w:r>
      <w:r>
        <w:tab/>
        <w:t>Законодателен указ № 34/2020, превърнат в Закон № 77/2020.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B38C89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9F0828C"/>
    <w:lvl w:ilvl="0">
      <w:start w:val="1"/>
      <w:numFmt w:val="decimal"/>
      <w:pStyle w:val="ListNumber3"/>
      <w:lvlText w:val="%1."/>
      <w:lvlJc w:val="left"/>
      <w:pPr>
        <w:tabs>
          <w:tab w:val="num" w:pos="926"/>
        </w:tabs>
        <w:ind w:left="926" w:hanging="360"/>
      </w:pPr>
    </w:lvl>
  </w:abstractNum>
  <w:abstractNum w:abstractNumId="2">
    <w:nsid w:val="FFFFFF7F"/>
    <w:multiLevelType w:val="singleLevel"/>
    <w:tmpl w:val="5E9E3036"/>
    <w:lvl w:ilvl="0">
      <w:start w:val="1"/>
      <w:numFmt w:val="decimal"/>
      <w:pStyle w:val="ListNumber2"/>
      <w:lvlText w:val="%1."/>
      <w:lvlJc w:val="left"/>
      <w:pPr>
        <w:tabs>
          <w:tab w:val="num" w:pos="643"/>
        </w:tabs>
        <w:ind w:left="643" w:hanging="360"/>
      </w:pPr>
    </w:lvl>
  </w:abstractNum>
  <w:abstractNum w:abstractNumId="3">
    <w:nsid w:val="FFFFFF81"/>
    <w:multiLevelType w:val="singleLevel"/>
    <w:tmpl w:val="4E2450C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AE2146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6C0634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4BA3312"/>
    <w:lvl w:ilvl="0">
      <w:start w:val="1"/>
      <w:numFmt w:val="decimal"/>
      <w:pStyle w:val="ListNumber"/>
      <w:lvlText w:val="%1."/>
      <w:lvlJc w:val="left"/>
      <w:pPr>
        <w:tabs>
          <w:tab w:val="num" w:pos="360"/>
        </w:tabs>
        <w:ind w:left="360" w:hanging="360"/>
      </w:pPr>
    </w:lvl>
  </w:abstractNum>
  <w:abstractNum w:abstractNumId="7">
    <w:nsid w:val="FFFFFF89"/>
    <w:multiLevelType w:val="singleLevel"/>
    <w:tmpl w:val="C86A2B7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6"/>
    <w:lvlOverride w:ilvl="0">
      <w:startOverride w:val="1"/>
    </w:lvlOverride>
  </w:num>
  <w:num w:numId="6">
    <w:abstractNumId w:val="21"/>
    <w:lvlOverride w:ilvl="0">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
  </w:num>
  <w:num w:numId="11">
    <w:abstractNumId w:val="1"/>
  </w:num>
  <w:num w:numId="12">
    <w:abstractNumId w:val="0"/>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hideSpellingErrors/>
  <w:hideGrammaticalErrors/>
  <w:attachedTemplate r:id="rId1"/>
  <w:revisionView w:markup="0"/>
  <w:defaultTabStop w:val="720"/>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07 11:29:29"/>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1A3A1ED8-E02A-4565-A377-13E0668A0173"/>
    <w:docVar w:name="LW_COVERPAGE_TYPE" w:val="1"/>
    <w:docVar w:name="LW_CROSSREFERENCE" w:val="&lt;UNUSED&gt;"/>
    <w:docVar w:name="LW_DocType" w:val="COM"/>
    <w:docVar w:name="LW_EMISSION" w:val="24.8.2020"/>
    <w:docVar w:name="LW_EMISSION_ISODATE" w:val="2020-08-24"/>
    <w:docVar w:name="LW_EMISSION_LOCATION" w:val="BRX"/>
    <w:docVar w:name="LW_EMISSION_PREFIX" w:val="Брюксел, "/>
    <w:docVar w:name="LW_EMISSION_SUFFIX" w:val=" \u1075?."/>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19"/>
    <w:docVar w:name="LW_REF.II.NEW.CP_YEAR" w:val="2020"/>
    <w:docVar w:name="LW_REF.INST.NEW" w:val="COM"/>
    <w:docVar w:name="LW_REF.INST.NEW_ADOPTED" w:val="final"/>
    <w:docVar w:name="LW_REF.INST.NEW_TEXT" w:val="(2020) 46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7?\u1088?\u1077?\u1076?\u1086?\u1089?\u1090?\u1072?\u1074?\u1103?\u1085?\u1077?, \u1087?\u1086? \u1089?\u1080?\u1083?\u1072?\u1090?\u1072? \u1085?\u1072? \u1056?\u1077?\u1075?\u1083?\u1072?\u1084?\u1077?\u1085?\u1090? (\u1045?\u1057?) 2020/672 \u1085?\u1072? \u1057?\u1098?\u1074?\u1077?\u1090?\u1072?, \u1085?\u1072? \u1074?\u1088?\u1077?\u1084?\u1077?\u1085?\u1085?\u1072? \u1087?\u1086?\u1076?\u1082?\u1088?\u1077?\u1087?\u1072? \u1085?\u1072? \u1048?\u1090?\u1072?\u1083?\u1080?\u1103? \u1089? \u1094?\u1077?\u1083? \u1086?\u1075?\u1088?\u1072?\u1085?\u1080?\u1095?\u1072?\u1074?\u1072?\u1085?\u1077? \u1085?\u1072? \u1088?\u1080?\u1089?\u1082?\u1072? \u1086?\u1090? \u1073?\u1077?\u1079?\u1088?\u1072?\u1073?\u1086?\u1090?\u1080?\u1094?\u1072? \u1087?\u1088?\u1080? \u1080?\u1079?\u1074?\u1098?\u1085?\u1088?\u1077?\u1076?\u1085?\u1080?\u1090?\u1077? \u1086?\u1073?\u1089?\u1090?\u1086?\u1103?\u1090?\u1077?\u1083?\u1089?\u1090?\u1074?\u1072? \u1074?\u1089?\u1083?\u1077?\u1076?\u1089?\u1090?\u1074?\u1080?\u1077? \u1085?\u1072? \u1080?\u1079?\u1073?\u1091?\u1093?\u1074?\u1072?\u1085?\u1077?\u1090?\u1086? \u1085?\u1072? COVID-19"/>
    <w:docVar w:name="LW_TYPE.DOC.CP" w:val="\u1056?\u1045?\u1064?\u1045?\u1053?\u1048?\u1045? \u1047?\u1040? \u1048?\u1047?\u1055?\u1066?\u1051?\u1053?\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rPr>
  </w:style>
  <w:style w:type="character" w:customStyle="1" w:styleId="Marker0">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2">
    <w:name w:val="Marker"/>
    <w:basedOn w:val="DefaultParagraphFont"/>
    <w:rPr>
      <w:color w:val="0000FF"/>
      <w:shd w:val="clear" w:color="auto" w:fill="auto"/>
    </w:rPr>
  </w:style>
  <w:style w:type="character" w:customStyle="1" w:styleId="Marker10">
    <w:name w:val="Marker1"/>
    <w:basedOn w:val="DefaultParagraphFont"/>
    <w:rPr>
      <w:color w:val="008000"/>
      <w:shd w:val="clear" w:color="auto" w:fill="auto"/>
    </w:rPr>
  </w:style>
  <w:style w:type="character" w:customStyle="1" w:styleId="Marker20">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Hyperlink">
    <w:name w:val="Hyperlink"/>
    <w:basedOn w:val="DefaultParagraphFont"/>
    <w:uiPriority w:val="99"/>
    <w:unhideWhenUsed/>
    <w:rPr>
      <w:color w:val="0000FF" w:themeColor="hyperlink"/>
      <w:u w:val="single"/>
    </w:rPr>
  </w:style>
  <w:style w:type="character" w:customStyle="1" w:styleId="marker">
    <w:name w:val="marker"/>
    <w:basedOn w:val="DefaultParagraphFont"/>
    <w:rPr>
      <w:color w:val="0000FF"/>
    </w:rPr>
  </w:style>
  <w:style w:type="character" w:customStyle="1" w:styleId="Marker0">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2">
    <w:name w:val="Marker"/>
    <w:basedOn w:val="DefaultParagraphFont"/>
    <w:rPr>
      <w:color w:val="0000FF"/>
      <w:shd w:val="clear" w:color="auto" w:fill="auto"/>
    </w:rPr>
  </w:style>
  <w:style w:type="character" w:customStyle="1" w:styleId="Marker10">
    <w:name w:val="Marker1"/>
    <w:basedOn w:val="DefaultParagraphFont"/>
    <w:rPr>
      <w:color w:val="008000"/>
      <w:shd w:val="clear" w:color="auto" w:fill="auto"/>
    </w:rPr>
  </w:style>
  <w:style w:type="character" w:customStyle="1" w:styleId="Marker20">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89996">
      <w:bodyDiv w:val="1"/>
      <w:marLeft w:val="0"/>
      <w:marRight w:val="0"/>
      <w:marTop w:val="0"/>
      <w:marBottom w:val="0"/>
      <w:divBdr>
        <w:top w:val="none" w:sz="0" w:space="0" w:color="auto"/>
        <w:left w:val="none" w:sz="0" w:space="0" w:color="auto"/>
        <w:bottom w:val="none" w:sz="0" w:space="0" w:color="auto"/>
        <w:right w:val="none" w:sz="0" w:space="0" w:color="auto"/>
      </w:divBdr>
    </w:div>
    <w:div w:id="166093505">
      <w:bodyDiv w:val="1"/>
      <w:marLeft w:val="0"/>
      <w:marRight w:val="0"/>
      <w:marTop w:val="0"/>
      <w:marBottom w:val="0"/>
      <w:divBdr>
        <w:top w:val="none" w:sz="0" w:space="0" w:color="auto"/>
        <w:left w:val="none" w:sz="0" w:space="0" w:color="auto"/>
        <w:bottom w:val="none" w:sz="0" w:space="0" w:color="auto"/>
        <w:right w:val="none" w:sz="0" w:space="0" w:color="auto"/>
      </w:divBdr>
    </w:div>
    <w:div w:id="178199314">
      <w:bodyDiv w:val="1"/>
      <w:marLeft w:val="0"/>
      <w:marRight w:val="0"/>
      <w:marTop w:val="0"/>
      <w:marBottom w:val="0"/>
      <w:divBdr>
        <w:top w:val="none" w:sz="0" w:space="0" w:color="auto"/>
        <w:left w:val="none" w:sz="0" w:space="0" w:color="auto"/>
        <w:bottom w:val="none" w:sz="0" w:space="0" w:color="auto"/>
        <w:right w:val="none" w:sz="0" w:space="0" w:color="auto"/>
      </w:divBdr>
    </w:div>
    <w:div w:id="337931380">
      <w:bodyDiv w:val="1"/>
      <w:marLeft w:val="0"/>
      <w:marRight w:val="0"/>
      <w:marTop w:val="0"/>
      <w:marBottom w:val="0"/>
      <w:divBdr>
        <w:top w:val="none" w:sz="0" w:space="0" w:color="auto"/>
        <w:left w:val="none" w:sz="0" w:space="0" w:color="auto"/>
        <w:bottom w:val="none" w:sz="0" w:space="0" w:color="auto"/>
        <w:right w:val="none" w:sz="0" w:space="0" w:color="auto"/>
      </w:divBdr>
    </w:div>
    <w:div w:id="343098337">
      <w:bodyDiv w:val="1"/>
      <w:marLeft w:val="0"/>
      <w:marRight w:val="0"/>
      <w:marTop w:val="0"/>
      <w:marBottom w:val="0"/>
      <w:divBdr>
        <w:top w:val="none" w:sz="0" w:space="0" w:color="auto"/>
        <w:left w:val="none" w:sz="0" w:space="0" w:color="auto"/>
        <w:bottom w:val="none" w:sz="0" w:space="0" w:color="auto"/>
        <w:right w:val="none" w:sz="0" w:space="0" w:color="auto"/>
      </w:divBdr>
    </w:div>
    <w:div w:id="372006037">
      <w:bodyDiv w:val="1"/>
      <w:marLeft w:val="0"/>
      <w:marRight w:val="0"/>
      <w:marTop w:val="0"/>
      <w:marBottom w:val="0"/>
      <w:divBdr>
        <w:top w:val="none" w:sz="0" w:space="0" w:color="auto"/>
        <w:left w:val="none" w:sz="0" w:space="0" w:color="auto"/>
        <w:bottom w:val="none" w:sz="0" w:space="0" w:color="auto"/>
        <w:right w:val="none" w:sz="0" w:space="0" w:color="auto"/>
      </w:divBdr>
    </w:div>
    <w:div w:id="1548028428">
      <w:bodyDiv w:val="1"/>
      <w:marLeft w:val="0"/>
      <w:marRight w:val="0"/>
      <w:marTop w:val="0"/>
      <w:marBottom w:val="0"/>
      <w:divBdr>
        <w:top w:val="none" w:sz="0" w:space="0" w:color="auto"/>
        <w:left w:val="none" w:sz="0" w:space="0" w:color="auto"/>
        <w:bottom w:val="none" w:sz="0" w:space="0" w:color="auto"/>
        <w:right w:val="none" w:sz="0" w:space="0" w:color="auto"/>
      </w:divBdr>
    </w:div>
    <w:div w:id="1769503458">
      <w:bodyDiv w:val="1"/>
      <w:marLeft w:val="0"/>
      <w:marRight w:val="0"/>
      <w:marTop w:val="0"/>
      <w:marBottom w:val="0"/>
      <w:divBdr>
        <w:top w:val="none" w:sz="0" w:space="0" w:color="auto"/>
        <w:left w:val="none" w:sz="0" w:space="0" w:color="auto"/>
        <w:bottom w:val="none" w:sz="0" w:space="0" w:color="auto"/>
        <w:right w:val="none" w:sz="0" w:space="0" w:color="auto"/>
      </w:divBdr>
    </w:div>
    <w:div w:id="1904875803">
      <w:bodyDiv w:val="1"/>
      <w:marLeft w:val="0"/>
      <w:marRight w:val="0"/>
      <w:marTop w:val="0"/>
      <w:marBottom w:val="0"/>
      <w:divBdr>
        <w:top w:val="none" w:sz="0" w:space="0" w:color="auto"/>
        <w:left w:val="none" w:sz="0" w:space="0" w:color="auto"/>
        <w:bottom w:val="none" w:sz="0" w:space="0" w:color="auto"/>
        <w:right w:val="none" w:sz="0" w:space="0" w:color="auto"/>
      </w:divBdr>
    </w:div>
    <w:div w:id="2067798666">
      <w:bodyDiv w:val="1"/>
      <w:marLeft w:val="0"/>
      <w:marRight w:val="0"/>
      <w:marTop w:val="0"/>
      <w:marBottom w:val="0"/>
      <w:divBdr>
        <w:top w:val="none" w:sz="0" w:space="0" w:color="auto"/>
        <w:left w:val="none" w:sz="0" w:space="0" w:color="auto"/>
        <w:bottom w:val="none" w:sz="0" w:space="0" w:color="auto"/>
        <w:right w:val="none" w:sz="0" w:space="0" w:color="auto"/>
      </w:divBdr>
    </w:div>
    <w:div w:id="209762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FC77C118D859E54EB67580662C84FC1D" ma:contentTypeVersion="5" ma:contentTypeDescription="Create a new document in this library." ma:contentTypeScope="" ma:versionID="61af9db13edfa5bf54c66ba27f679c45">
  <xsd:schema xmlns:xsd="http://www.w3.org/2001/XMLSchema" xmlns:xs="http://www.w3.org/2001/XMLSchema" xmlns:p="http://schemas.microsoft.com/office/2006/metadata/properties" xmlns:ns3="52620ba7-763e-42f0-8a8d-d357237415df" xmlns:ns4="fe36a264-c730-4012-8728-159324ca18ef" targetNamespace="http://schemas.microsoft.com/office/2006/metadata/properties" ma:root="true" ma:fieldsID="65ee4e6a5e254cbca4aec72af8b0bb00" ns3:_="" ns4:_="">
    <xsd:import namespace="52620ba7-763e-42f0-8a8d-d357237415df"/>
    <xsd:import namespace="fe36a264-c730-4012-8728-159324ca18ef"/>
    <xsd:element name="properties">
      <xsd:complexType>
        <xsd:sequence>
          <xsd:element name="documentManagement">
            <xsd:complexType>
              <xsd:all>
                <xsd:element ref="ns3:EC_Collab_Reference" minOccurs="0"/>
                <xsd:element ref="ns3:EC_Collab_DocumentLanguage"/>
                <xsd:element ref="ns3:EC_Collab_Status"/>
                <xsd:element ref="ns4:EC_ARES_NUMBER" minOccurs="0"/>
                <xsd:element ref="ns4:EC_ARES_DATE_TRANSFERRED" minOccurs="0"/>
                <xsd:element ref="ns4:EC_ARES_TRANSFERRED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620ba7-763e-42f0-8a8d-d357237415df"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fe36a264-c730-4012-8728-159324ca18ef" elementFormDefault="qualified">
    <xsd:import namespace="http://schemas.microsoft.com/office/2006/documentManagement/types"/>
    <xsd:import namespace="http://schemas.microsoft.com/office/infopath/2007/PartnerControls"/>
    <xsd:element name="EC_ARES_NUMBER" ma:index="15" nillable="true" ma:displayName="Ares Number" ma:format="Hyperlink"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6" nillable="true" ma:displayName="Transferred to ARES" ma:format="DateTime" ma:internalName="EC_ARES_DATE_TRANSFERRED">
      <xsd:simpleType>
        <xsd:restriction base="dms:DateTime"/>
      </xsd:simpleType>
    </xsd:element>
    <xsd:element name="EC_ARES_TRANSFERRED_BY" ma:index="17" nillable="true" ma:displayName="Transferred By" ma:internalName="EC_ARES_TRANSFERRED_B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Reference xmlns="52620ba7-763e-42f0-8a8d-d357237415df" xsi:nil="true"/>
    <EC_ARES_TRANSFERRED_BY xmlns="fe36a264-c730-4012-8728-159324ca18ef" xsi:nil="true"/>
    <EC_ARES_NUMBER xmlns="fe36a264-c730-4012-8728-159324ca18ef">
      <Url xsi:nil="true"/>
      <Description xsi:nil="true"/>
    </EC_ARES_NUMBER>
    <EC_ARES_DATE_TRANSFERRED xmlns="fe36a264-c730-4012-8728-159324ca18ef" xsi:nil="true"/>
    <EC_Collab_DocumentLanguage xmlns="52620ba7-763e-42f0-8a8d-d357237415df">EN</EC_Collab_DocumentLanguage>
    <EC_Collab_Status xmlns="52620ba7-763e-42f0-8a8d-d357237415df">Not Started</EC_Collab_Statu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AEC4911-4415-4862-B8FE-EE5131E29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620ba7-763e-42f0-8a8d-d357237415df"/>
    <ds:schemaRef ds:uri="fe36a264-c730-4012-8728-159324ca18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B2DD70-A3F4-4F96-83B3-840A823FBF75}">
  <ds:schemaRefs>
    <ds:schemaRef ds:uri="http://schemas.microsoft.com/sharepoint/v3/contenttype/forms"/>
  </ds:schemaRefs>
</ds:datastoreItem>
</file>

<file path=customXml/itemProps3.xml><?xml version="1.0" encoding="utf-8"?>
<ds:datastoreItem xmlns:ds="http://schemas.openxmlformats.org/officeDocument/2006/customXml" ds:itemID="{9AD5CC2D-B0B1-4BCB-9C79-5256112B305A}">
  <ds:schemaRefs>
    <ds:schemaRef ds:uri="http://schemas.openxmlformats.org/package/2006/metadata/core-properties"/>
    <ds:schemaRef ds:uri="fe36a264-c730-4012-8728-159324ca18ef"/>
    <ds:schemaRef ds:uri="http://schemas.microsoft.com/office/2006/documentManagement/types"/>
    <ds:schemaRef ds:uri="http://schemas.microsoft.com/office/infopath/2007/PartnerControls"/>
    <ds:schemaRef ds:uri="52620ba7-763e-42f0-8a8d-d357237415df"/>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B0A4C581-6792-4AB2-88A5-68B70535C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10</Pages>
  <Words>3452</Words>
  <Characters>18369</Characters>
  <Application>Microsoft Office Word</Application>
  <DocSecurity>0</DocSecurity>
  <Lines>340</Lines>
  <Paragraphs>115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21</cp:revision>
  <dcterms:created xsi:type="dcterms:W3CDTF">2020-09-01T14:44:00Z</dcterms:created>
  <dcterms:modified xsi:type="dcterms:W3CDTF">2020-09-07T09:29:00Z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ContentTypeId">
    <vt:lpwstr>0x010100258AA79CEB83498886A3A0868112325000FC77C118D859E54EB67580662C84FC1D</vt:lpwstr>
  </property>
  <property fmtid="{D5CDD505-2E9C-101B-9397-08002B2CF9AE}" pid="11" name="DQCStatus">
    <vt:lpwstr>Green (DQC version 03)</vt:lpwstr>
  </property>
</Properties>
</file>