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21F01CA-4F8F-424D-80D0-8ADD976CEECD" style="width:450.8pt;height:365.6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свързани със здравето мерки, по‐специално на работното място.</w:t>
      </w:r>
    </w:p>
    <w:p>
      <w:pPr>
        <w:rPr>
          <w:bCs/>
          <w:noProof/>
          <w:szCs w:val="24"/>
        </w:rPr>
      </w:pPr>
      <w:r>
        <w:rPr>
          <w:noProof/>
        </w:rPr>
        <w:t xml:space="preserve">На 6 август 2020 г. Гърция поиска финансова помощ от Съюза по силата на Регламента за SURE. В изпълнение на член 6, параграф 2 от Регламента за SURE Комисията се консултира с гръцките власти, за да провери внезапното и съществено увеличение на извършените и планирани разходи, пряко свързани с а) специалната помощ, предоставена на служителите в частния сектор, поради наложеното от кризата спиране на изпълнението на техните трудови договори, б) разходите за тяхното социално осигуряване през периода на спирането, в) специалната помощ, предоставяна на самостоятелно заетите специалисти; г) схемата за работа при непълно работно време и д) социалноосигурителните вноски за сметка на работодателя за лицата, наети в сезонните предприятия от сектора на услугите, възникнали поради пандемията на COVID-19. По-специално: </w:t>
      </w:r>
    </w:p>
    <w:p>
      <w:pPr>
        <w:pStyle w:val="Point0"/>
        <w:rPr>
          <w:noProof/>
        </w:rPr>
      </w:pPr>
      <w:r>
        <w:t>(1)</w:t>
      </w:r>
      <w:r>
        <w:tab/>
      </w:r>
      <w:r>
        <w:rPr>
          <w:noProof/>
        </w:rPr>
        <w:t>специалната помощ за служители в частния сектор, поради наложеното от кризата спиране на изпълнението на техните трудови договори. Тази мярка има за цел да защити заетостта в предприятията, чиято дейност е била спряна по нареждане на властите или се числят към икономически сектори, които са сериозно засегнати от избухналата пандемия от COVID-19, и касае предоставянето на специална месечна помощ от 543 евро за служители, изпълнението на чиито трудови договори е спряно от средата на март 2020 г. Предварително условие за ползване на схемата е работодателят да запази същия брой служители (което означава абсолютно същите служители) за период с продължителността на периода, през който изпълнението на трудовия договор е било спряно.</w:t>
      </w:r>
    </w:p>
    <w:p>
      <w:pPr>
        <w:pStyle w:val="Point0"/>
        <w:rPr>
          <w:noProof/>
          <w:szCs w:val="24"/>
        </w:rPr>
      </w:pPr>
      <w:r>
        <w:t>(2)</w:t>
      </w:r>
      <w:r>
        <w:tab/>
      </w:r>
      <w:r>
        <w:rPr>
          <w:noProof/>
        </w:rPr>
        <w:t xml:space="preserve">освен това властите въведоха държавно финансиране на социалноосигурителното покритие на служителите, които получават специалната помощ, посочена в буква а). Предварително условие за ползване на схемата е работодателят да запази същия брой служители (което означава абсолютно същите служители) за период с продължителността на периода, през който изпълнението на трудовия договор е било спряно. </w:t>
      </w:r>
    </w:p>
    <w:p>
      <w:pPr>
        <w:pStyle w:val="Point0"/>
        <w:rPr>
          <w:noProof/>
          <w:szCs w:val="24"/>
        </w:rPr>
      </w:pPr>
      <w:r>
        <w:t>(3)</w:t>
      </w:r>
      <w:r>
        <w:tab/>
      </w:r>
      <w:r>
        <w:rPr>
          <w:noProof/>
        </w:rPr>
        <w:t xml:space="preserve">специалната помощ за самостоятелно заети специалисти. Мярката се отнася до еднократна специална помощ от 600 евро, предоставена през април или юни 2020 г. на самостоятелно заети специалисти (икономисти, счетоводители, инженери, юристи, лекари, учители и изследователи). </w:t>
      </w:r>
    </w:p>
    <w:p>
      <w:pPr>
        <w:pStyle w:val="Point0"/>
        <w:rPr>
          <w:noProof/>
        </w:rPr>
      </w:pPr>
      <w:r>
        <w:t>(4)</w:t>
      </w:r>
      <w:r>
        <w:tab/>
      </w:r>
      <w:r>
        <w:rPr>
          <w:noProof/>
        </w:rPr>
        <w:t xml:space="preserve">схемата за работа при намалено работно време, която се прилага от 15 юни 2020 г. до 15 октомври 2020 г. във всички предприятия, с изключение на </w:t>
      </w:r>
      <w:r>
        <w:rPr>
          <w:noProof/>
        </w:rPr>
        <w:lastRenderedPageBreak/>
        <w:t>въздухоплаването, където тя може да бъде удължена до края на 2020 г. На условията за допустимост отговарят предприятията, които са регистрирали спад в оборота си от най-малко 20 % и мярката позволява седмичното работно време на наетите лица да бъде намалено до 50 %, при условие че се запазва трудовото правоотношение. От 15 юни 2020 г. до 30 юни 2020 г. държавата покрива 60 % от нетните доходи на служителя и 60 % от социалноосигурителните вноски за сметка на работодателя за неотработените часове. Считано от 1 юли 2020 г., държавата покрива 100 % от вноските за социално осигуряване на работодателя и на служителя за неотработените часове, както и 60 % от нетните доходи на служителите за неотработените часове.</w:t>
      </w:r>
    </w:p>
    <w:p>
      <w:pPr>
        <w:pStyle w:val="Point0"/>
        <w:rPr>
          <w:noProof/>
        </w:rPr>
      </w:pPr>
      <w:r>
        <w:t>(5)</w:t>
      </w:r>
      <w:r>
        <w:tab/>
      </w:r>
      <w:r>
        <w:rPr>
          <w:noProof/>
        </w:rPr>
        <w:t xml:space="preserve">държавното финансиране на социалноосигурителните вноски за сметка на работодателя по отношение на лицата, наети в сезонни предприятия. Мярката е предназначена за сезонни предприятия в сектора на услугите, а именно предприятия, които реализират 50 % от своя оборот през третото тримесечие на годината въз основа на данните от 2019 г., и има за цел да финансира социалноосигурителните вноски за сметка на работодателя през юли, август и септември 2020 г., при условие че предприятията запазват същия брой служители, които са имали на 30 юни 2020 г. </w:t>
      </w:r>
    </w:p>
    <w:p>
      <w:pPr>
        <w:rPr>
          <w:noProof/>
        </w:rPr>
      </w:pPr>
      <w:r>
        <w:rPr>
          <w:noProof/>
        </w:rPr>
        <w:t xml:space="preserve">Гърция предостави на Комисията необходимите сведения. </w:t>
      </w:r>
    </w:p>
    <w:p>
      <w:pPr>
        <w:rPr>
          <w:noProof/>
          <w:szCs w:val="24"/>
        </w:rPr>
      </w:pPr>
      <w:r>
        <w:rPr>
          <w:noProof/>
        </w:rPr>
        <w:t xml:space="preserve">Предвид наличните доказателства Комисията предлага на Съвета да приеме решение за изпълнение, с което на Гърция по силата на Регламента за SURE да се предостави финансова помощ в подкрепа на горепосочените мерки.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lastRenderedPageBreak/>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6"/>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2020/0212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временна подкрепа на Гърция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6 август 2020 г. Гърция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 </w:t>
      </w:r>
    </w:p>
    <w:p>
      <w:pPr>
        <w:pStyle w:val="ManualConsidrant"/>
        <w:rPr>
          <w:noProof/>
        </w:rPr>
      </w:pPr>
      <w:r>
        <w:t>(2)</w:t>
      </w:r>
      <w:r>
        <w:tab/>
      </w:r>
      <w:r>
        <w:rPr>
          <w:noProof/>
        </w:rPr>
        <w:t xml:space="preserve">Избухването на COVID-19 и предприетите от Гърция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Гърция от пролетта на 2020 г., към края на 2020 г. дефицитът по консолидирания държавен бюджет се очаква да достигне 6,4 % от брутния вътрешен продукт (БВП), а консолидираният държавен дълг — 196,4 % от БВП. Според междинната прогноза на Комисията за Гърция от лятото на 2020 г., през 2020 г. БВП се очаква да намалее със 9 %. </w:t>
      </w:r>
    </w:p>
    <w:p>
      <w:pPr>
        <w:pStyle w:val="ManualConsidrant"/>
        <w:rPr>
          <w:noProof/>
        </w:rPr>
      </w:pPr>
      <w:r>
        <w:t>(3)</w:t>
      </w:r>
      <w:r>
        <w:tab/>
      </w:r>
      <w:r>
        <w:rPr>
          <w:noProof/>
        </w:rPr>
        <w:t xml:space="preserve">Избухването на COVID-19 блокира значителна част от гръцката работна сила. Това доведе до внезапно и рязко нарастване на публичните разходи в Гърция по отношение на специалната помощ, предоставена на служителите в частния сектор, поради наложеното от кризата спиране на изпълнението на техните трудови договори, разходите за тяхното социално осигуряване през периода на спирането, специалната помощ, предоставяна на самостоятелно заетите специалисти и социалноосигурителните вноски за сметка на работодателя за лицата, наети в сезонните предприятия от сектора на услугите както е посочено в съображения 4—8. </w:t>
      </w:r>
    </w:p>
    <w:p>
      <w:pPr>
        <w:pStyle w:val="ManualConsidrant"/>
        <w:rPr>
          <w:noProof/>
        </w:rPr>
      </w:pPr>
      <w:r>
        <w:lastRenderedPageBreak/>
        <w:t>(4)</w:t>
      </w:r>
      <w:r>
        <w:tab/>
      </w:r>
      <w:r>
        <w:rPr>
          <w:noProof/>
        </w:rPr>
        <w:t>По-конкретно с „Нормативен акт от 14 март 2020 г.</w:t>
      </w:r>
      <w:r>
        <w:rPr>
          <w:rStyle w:val="FootnoteReference"/>
          <w:noProof/>
          <w:szCs w:val="24"/>
        </w:rPr>
        <w:footnoteReference w:id="2"/>
      </w:r>
      <w:r>
        <w:rPr>
          <w:noProof/>
        </w:rPr>
        <w:t>“, както е посочен в искането на Гърция от 6 август 2020 г., се въвежда специална помощ за служителите в частния сектор, изпълнението на чиито трудови договори е спряно. Тази мярка има за цел да защити заетостта в предприятията, чиято дейност е била спряна по нареждане на властите или се числят към икономически сектори, които са сериозно засегнати от избухналата пандемия от COVID-19, и касае предоставянето на специална месечна помощ от 543 евро за служители, изпълнението на чиито трудови договори е спряно от средата на март 2020 г. Предварително условие за ползване на схемата е работодателят да запази същия брой служители (което означава абсолютно същите служители) за период с продължителността на периода, през който изпълнението на трудовия договор е било спряно.</w:t>
      </w:r>
    </w:p>
    <w:p>
      <w:pPr>
        <w:pStyle w:val="ManualConsidrant"/>
        <w:rPr>
          <w:noProof/>
          <w:szCs w:val="24"/>
        </w:rPr>
      </w:pPr>
      <w:r>
        <w:t>(5)</w:t>
      </w:r>
      <w:r>
        <w:tab/>
      </w:r>
      <w:r>
        <w:rPr>
          <w:noProof/>
        </w:rPr>
        <w:t xml:space="preserve">Освен това властите въведоха държавно финансиране на социалноосигурителното покритие на служителите, които получават специалната помощ, посочена в съображение 4. Предварително условие за ползване на схемата е работодателят да запази същия брой служители (което означава абсолютно същите служители) за период с продължителността на периода, през който изпълнението на трудовия договор е било спряно. </w:t>
      </w:r>
    </w:p>
    <w:p>
      <w:pPr>
        <w:pStyle w:val="ManualConsidrant"/>
        <w:rPr>
          <w:noProof/>
          <w:szCs w:val="24"/>
        </w:rPr>
      </w:pPr>
      <w:r>
        <w:t>(6)</w:t>
      </w:r>
      <w:r>
        <w:tab/>
      </w:r>
      <w:r>
        <w:rPr>
          <w:noProof/>
        </w:rPr>
        <w:t xml:space="preserve">С „Нормативен акт от 20 март 2020 г.“ </w:t>
      </w:r>
      <w:r>
        <w:rPr>
          <w:rStyle w:val="FootnoteReference"/>
          <w:noProof/>
          <w:spacing w:val="-4"/>
          <w:szCs w:val="24"/>
        </w:rPr>
        <w:footnoteReference w:id="3"/>
      </w:r>
      <w:r>
        <w:rPr>
          <w:noProof/>
        </w:rPr>
        <w:t xml:space="preserve">, както е посочен в искането на Гърция от 6 август 2020 г., се въвежда специална помощ за самостоятелно заети специалисти. Мярката се отнася до еднократна специална помощ от 600 евро, предоставена през април или юни 2020 г. на самостоятелно заети специалисти (икономисти, счетоводители, инженери, юристи, лекари, учители и изследователи). </w:t>
      </w:r>
    </w:p>
    <w:p>
      <w:pPr>
        <w:pStyle w:val="ManualConsidrant"/>
        <w:rPr>
          <w:noProof/>
        </w:rPr>
      </w:pPr>
      <w:r>
        <w:t>(7)</w:t>
      </w:r>
      <w:r>
        <w:tab/>
      </w:r>
      <w:r>
        <w:rPr>
          <w:noProof/>
        </w:rPr>
        <w:t>Схема за работа при намалено работно време, която се прилага от 15 юни 2020 г. до 15 октомври 2020 г. във всички предприятия, с изключение на въздухоплаването, където тя може да бъде удължена до края на 2020 г. бе въведена въз основа на „Закон 4690/2020</w:t>
      </w:r>
      <w:r>
        <w:rPr>
          <w:rStyle w:val="FootnoteReference"/>
          <w:noProof/>
          <w:spacing w:val="-4"/>
          <w:szCs w:val="24"/>
        </w:rPr>
        <w:footnoteReference w:id="4"/>
      </w:r>
      <w:r>
        <w:rPr>
          <w:noProof/>
        </w:rPr>
        <w:t>“, както е посочено в искането на Гърция от 6 август 2020 г. На условията за допустимост отговарят предприятията, които са регистрирали спад в оборота си от най-малко 20 % и мярката позволява седмичното работно време на наетите лица да бъде намалено до 50 %, при условие че се запазва трудовото правоотношение. От 15 юни 2020 г. до 30 юни 2020 г. държавата покрива 60 % от нетните доходи на служителя и 60 % от социалноосигурителните вноски за сметка на работодателя за неотработените часове. Считано от 1 юли 2020 г., държавата покрива 100 % от вноските за социално осигуряване на работодателя и на служителя за неотработените часове, както и 60 % от нетните доходи на служителите за неотработените часове.</w:t>
      </w:r>
    </w:p>
    <w:p>
      <w:pPr>
        <w:pStyle w:val="ManualConsidrant"/>
        <w:rPr>
          <w:noProof/>
        </w:rPr>
      </w:pPr>
      <w:r>
        <w:lastRenderedPageBreak/>
        <w:t>(8)</w:t>
      </w:r>
      <w:r>
        <w:tab/>
      </w:r>
      <w:r>
        <w:rPr>
          <w:noProof/>
        </w:rPr>
        <w:t>И накрая, със „Закон 4714/2020</w:t>
      </w:r>
      <w:r>
        <w:rPr>
          <w:rStyle w:val="FootnoteReference"/>
          <w:noProof/>
          <w:szCs w:val="24"/>
        </w:rPr>
        <w:footnoteReference w:id="5"/>
      </w:r>
      <w:r>
        <w:rPr>
          <w:noProof/>
        </w:rPr>
        <w:t xml:space="preserve">“, както е посочен в искането на Гърция от 6 август 2020 г., се въвежда държавно финансиране на социалноосигурителните вноски за сметка на работодателя по отношение на лицата, наети в сезонни предприятия. Мярката е предназначена за сезонни предприятия в сектора на услугите, а именно предприятия, които реализират 50 % от своя оборот през третото тримесечие на годината въз основа на данните от 2019 г., и има за цел да финансира социалноосигурителните вноски за сметка на работодателя през юли, август и септември 2020 г., при условие че предприятията запазват същия брой служители, които са имали на 30 юни 2020 г. </w:t>
      </w:r>
    </w:p>
    <w:p>
      <w:pPr>
        <w:pStyle w:val="ManualConsidrant"/>
        <w:rPr>
          <w:noProof/>
        </w:rPr>
      </w:pPr>
      <w:r>
        <w:t>(9)</w:t>
      </w:r>
      <w:r>
        <w:tab/>
      </w:r>
      <w:r>
        <w:rPr>
          <w:noProof/>
        </w:rPr>
        <w:t>Гърция удовлетворява условията по член 3 от Регламент (ЕС) 2020/672 за отпускане на финансова помощ. Гърция предостави на Комисията подходящи доказателства, че нейните извършени и планирани публични разходи са се увеличили с 2 728 000 000 евро, считано от 1 февруари 2020 г., в резултат на националните мерки за справяне със социално-икономическите последици от избухването на COVID-19. Това представлява внезапно и съществено увеличение, тъй като е свързано с новите мерки, обхващащи значителна част от предприятията и работната сила в Гърция.</w:t>
      </w:r>
    </w:p>
    <w:p>
      <w:pPr>
        <w:pStyle w:val="ManualConsidrant"/>
        <w:rPr>
          <w:noProof/>
        </w:rPr>
      </w:pPr>
      <w:r>
        <w:t>(10)</w:t>
      </w:r>
      <w:r>
        <w:tab/>
      </w:r>
      <w:r>
        <w:rPr>
          <w:noProof/>
        </w:rPr>
        <w:t xml:space="preserve">В изпълнение на член 6 от Регламент (ЕС) 2020/672 Комисията се консултира с Гърция и провери внезапното и съществено увеличение на извършените и планирани публични разходи, пряко свързани с посочените в искането от 6 август 2020 г. схеми за подпомагане на работата на непълно работно време и подобни мерки. </w:t>
      </w:r>
    </w:p>
    <w:p>
      <w:pPr>
        <w:pStyle w:val="ManualConsidrant"/>
        <w:rPr>
          <w:noProof/>
        </w:rPr>
      </w:pPr>
      <w:r>
        <w:t>(11)</w:t>
      </w:r>
      <w:r>
        <w:tab/>
      </w:r>
      <w:r>
        <w:rPr>
          <w:noProof/>
        </w:rPr>
        <w:t>Поради това на Гърция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(12)</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(13)</w:t>
      </w:r>
      <w:r>
        <w:tab/>
      </w:r>
      <w:r>
        <w:rPr>
          <w:noProof/>
        </w:rPr>
        <w:t>Гърция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(14)</w:t>
      </w:r>
      <w:r>
        <w:tab/>
      </w:r>
      <w:r>
        <w:rPr>
          <w:noProof/>
        </w:rPr>
        <w:t>Решението за предоставяне на финансова помощ се взима с отчитане на съществуващите и очакваните нужди на Гърция,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t xml:space="preserve">ПРИЕ НАСТОЯЩОТО РЕШЕНИЕ: </w:t>
      </w:r>
    </w:p>
    <w:p>
      <w:pPr>
        <w:pStyle w:val="Titrearticle"/>
        <w:rPr>
          <w:noProof/>
        </w:rPr>
      </w:pPr>
      <w:r>
        <w:rPr>
          <w:noProof/>
        </w:rPr>
        <w:t>Член 1</w:t>
      </w:r>
    </w:p>
    <w:p>
      <w:pPr>
        <w:rPr>
          <w:i/>
          <w:noProof/>
        </w:rPr>
      </w:pPr>
      <w:r>
        <w:rPr>
          <w:noProof/>
        </w:rPr>
        <w:t xml:space="preserve">Гърция удовлетворява условията по член 3 от Регламент (ЕС) 2020/672. </w:t>
      </w:r>
    </w:p>
    <w:p>
      <w:pPr>
        <w:pStyle w:val="Titrearticle"/>
        <w:rPr>
          <w:noProof/>
        </w:rPr>
      </w:pPr>
      <w:r>
        <w:rPr>
          <w:noProof/>
        </w:rPr>
        <w:lastRenderedPageBreak/>
        <w:t>Член 2</w:t>
      </w:r>
    </w:p>
    <w:p>
      <w:pPr>
        <w:pStyle w:val="ManualNumPar1"/>
        <w:rPr>
          <w:noProof/>
        </w:rPr>
      </w:pPr>
      <w:r>
        <w:t>1.</w:t>
      </w:r>
      <w:r>
        <w:tab/>
      </w:r>
      <w:r>
        <w:rPr>
          <w:noProof/>
        </w:rPr>
        <w:t>Съюзът отпуска на Гърция заем с максимален размер 2 728 000 000 евро. Неговият максимален среден срок до падежа е 15 години.</w:t>
      </w:r>
    </w:p>
    <w:p>
      <w:pPr>
        <w:pStyle w:val="ManualNumPar1"/>
        <w:rPr>
          <w:noProof/>
        </w:rPr>
      </w:pPr>
      <w:r>
        <w:t>2.</w:t>
      </w:r>
      <w:r>
        <w:tab/>
      </w:r>
      <w:r>
        <w:rPr>
          <w:noProof/>
        </w:rPr>
        <w:t xml:space="preserve">Периодът на усвояване на предоставената по силата на настоящото решение финансова помощ е 18 месеца, считано от датата на влизането му в сила. </w:t>
      </w:r>
    </w:p>
    <w:p>
      <w:pPr>
        <w:pStyle w:val="ManualNumPar1"/>
        <w:rPr>
          <w:noProof/>
        </w:rPr>
      </w:pPr>
      <w:r>
        <w:t>3.</w:t>
      </w:r>
      <w:r>
        <w:tab/>
      </w:r>
      <w:r>
        <w:rPr>
          <w:noProof/>
        </w:rPr>
        <w:t xml:space="preserve">Комисията предоставя на Гърция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Отпускането на първия транш зависи от влизането в сила на споразумението за заем, посочено в член 8, параграф 2 от Регламент (ЕС) 2020/672.</w:t>
      </w:r>
    </w:p>
    <w:p>
      <w:pPr>
        <w:pStyle w:val="ManualNumPar1"/>
        <w:rPr>
          <w:noProof/>
        </w:rPr>
      </w:pPr>
      <w:r>
        <w:t>5.</w:t>
      </w:r>
      <w:r>
        <w:tab/>
      </w:r>
      <w:r>
        <w:rPr>
          <w:noProof/>
        </w:rPr>
        <w:t xml:space="preserve">Гърция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 </w:t>
      </w:r>
    </w:p>
    <w:p>
      <w:pPr>
        <w:pStyle w:val="ManualNumPar1"/>
        <w:rPr>
          <w:noProof/>
        </w:rPr>
      </w:pPr>
      <w:r>
        <w:t>6.</w:t>
      </w:r>
      <w:r>
        <w:tab/>
      </w:r>
      <w:r>
        <w:rPr>
          <w:noProof/>
        </w:rPr>
        <w:t xml:space="preserve">Комисията определя размера и датата на отпускане на траншовете, както и размера на вноските. </w:t>
      </w:r>
    </w:p>
    <w:p>
      <w:pPr>
        <w:pStyle w:val="Titrearticle"/>
        <w:rPr>
          <w:noProof/>
          <w:szCs w:val="24"/>
        </w:rPr>
      </w:pPr>
      <w:r>
        <w:rPr>
          <w:noProof/>
        </w:rPr>
        <w:t xml:space="preserve">Член 3 </w:t>
      </w:r>
    </w:p>
    <w:p>
      <w:pPr>
        <w:rPr>
          <w:noProof/>
          <w:szCs w:val="24"/>
        </w:rPr>
      </w:pPr>
      <w:r>
        <w:rPr>
          <w:noProof/>
        </w:rPr>
        <w:t>Гърция може да финансира следните мерки:</w:t>
      </w:r>
    </w:p>
    <w:p>
      <w:pPr>
        <w:pStyle w:val="ManualNumPar1"/>
        <w:ind w:hanging="426"/>
        <w:rPr>
          <w:noProof/>
        </w:rPr>
      </w:pPr>
      <w:r>
        <w:rPr>
          <w:noProof/>
        </w:rPr>
        <w:t>а)</w:t>
      </w:r>
      <w:r>
        <w:rPr>
          <w:noProof/>
        </w:rPr>
        <w:tab/>
        <w:t xml:space="preserve">специалната помощ за служителите в частния сектор, изпълнението на чиито трудови договори е спряно, както е предвидена в член 13 от нормативния акт от 14 март 2020 г.; </w:t>
      </w:r>
    </w:p>
    <w:p>
      <w:pPr>
        <w:pStyle w:val="ManualNumPar1"/>
        <w:ind w:hanging="426"/>
        <w:rPr>
          <w:noProof/>
        </w:rPr>
      </w:pPr>
      <w:r>
        <w:rPr>
          <w:noProof/>
        </w:rPr>
        <w:t>б)</w:t>
      </w:r>
      <w:r>
        <w:rPr>
          <w:noProof/>
        </w:rPr>
        <w:tab/>
        <w:t xml:space="preserve">социалноосигурителното покритие на служителите по мярката, посочена в буква а) от настоящия член, както е предвидено в член 13 от нормативния акт от 14 март 2020 г.; </w:t>
      </w:r>
    </w:p>
    <w:p>
      <w:pPr>
        <w:pStyle w:val="ManualNumPar1"/>
        <w:ind w:hanging="426"/>
        <w:rPr>
          <w:noProof/>
        </w:rPr>
      </w:pPr>
      <w:r>
        <w:rPr>
          <w:noProof/>
        </w:rPr>
        <w:t>в)</w:t>
      </w:r>
      <w:r>
        <w:rPr>
          <w:noProof/>
        </w:rPr>
        <w:tab/>
        <w:t>специалната помощ, предоставяна на самостоятелно заетите специалисти, както е предвидена в член 8 от нормативния акт от 20 март 2020 г.;</w:t>
      </w:r>
    </w:p>
    <w:p>
      <w:pPr>
        <w:pStyle w:val="ManualNumPar1"/>
        <w:ind w:hanging="426"/>
        <w:rPr>
          <w:noProof/>
        </w:rPr>
      </w:pPr>
      <w:r>
        <w:rPr>
          <w:noProof/>
        </w:rPr>
        <w:t>г)</w:t>
      </w:r>
      <w:r>
        <w:rPr>
          <w:noProof/>
        </w:rPr>
        <w:tab/>
        <w:t xml:space="preserve">схемата за работа при намалено работно време, както е предвидена в член 31 от Закон 4690/2020; </w:t>
      </w:r>
    </w:p>
    <w:p>
      <w:pPr>
        <w:pStyle w:val="ManualNumPar1"/>
        <w:ind w:hanging="426"/>
        <w:rPr>
          <w:noProof/>
        </w:rPr>
      </w:pPr>
      <w:r>
        <w:rPr>
          <w:noProof/>
        </w:rPr>
        <w:t>д)</w:t>
      </w:r>
      <w:r>
        <w:rPr>
          <w:noProof/>
        </w:rPr>
        <w:tab/>
        <w:t>социалноосигурителните вноски за сметка на работодателя за лицата, наети в сезонните предприятия от сектора на услугите, предвидени в член 123 от Закон 4714/2020.</w:t>
      </w:r>
    </w:p>
    <w:p>
      <w:pPr>
        <w:pStyle w:val="Titrearticle"/>
        <w:rPr>
          <w:noProof/>
        </w:rPr>
      </w:pPr>
      <w:r>
        <w:rPr>
          <w:noProof/>
        </w:rPr>
        <w:t>Член 4</w:t>
      </w:r>
    </w:p>
    <w:p>
      <w:pPr>
        <w:rPr>
          <w:noProof/>
          <w:spacing w:val="-4"/>
        </w:rPr>
      </w:pPr>
      <w:r>
        <w:rPr>
          <w:noProof/>
          <w:spacing w:val="-4"/>
        </w:rPr>
        <w:t>Гърция уведомява Комисията до [</w:t>
      </w:r>
      <w:r>
        <w:rPr>
          <w:i/>
          <w:iCs/>
          <w:noProof/>
          <w:spacing w:val="-4"/>
        </w:rPr>
        <w:t>ДАТА:</w:t>
      </w:r>
      <w:r>
        <w:rPr>
          <w:noProof/>
          <w:spacing w:val="-4"/>
        </w:rPr>
        <w:t xml:space="preserve"> </w:t>
      </w:r>
      <w:r>
        <w:rPr>
          <w:i/>
          <w:noProof/>
          <w:spacing w:val="-4"/>
        </w:rPr>
        <w:t>6 месеца след датата на публикуване на настоящото решение</w:t>
      </w:r>
      <w:r>
        <w:rPr>
          <w:noProof/>
          <w:spacing w:val="-4"/>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lastRenderedPageBreak/>
        <w:t>Член 5</w:t>
      </w:r>
    </w:p>
    <w:p>
      <w:pPr>
        <w:keepNext/>
        <w:keepLines/>
        <w:rPr>
          <w:noProof/>
        </w:rPr>
      </w:pPr>
      <w:r>
        <w:rPr>
          <w:noProof/>
        </w:rPr>
        <w:t>Адресат на настоящото решение е Република Гърция.</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sz w:val="22"/>
          <w:szCs w:val="22"/>
        </w:rPr>
      </w:pPr>
      <w:r>
        <w:rPr>
          <w:rStyle w:val="FootnoteReference"/>
        </w:rPr>
        <w:footnoteRef/>
      </w:r>
      <w:r>
        <w:tab/>
      </w:r>
      <w:r>
        <w:rPr>
          <w:sz w:val="22"/>
          <w:szCs w:val="22"/>
        </w:rPr>
        <w:t>ОВ L 159, 20.5.2020 г., стр.1.</w:t>
      </w:r>
    </w:p>
  </w:footnote>
  <w:footnote w:id="2">
    <w:p>
      <w:pPr>
        <w:pStyle w:val="FootnoteText"/>
        <w:ind w:left="142" w:hanging="142"/>
        <w:rPr>
          <w:sz w:val="22"/>
          <w:szCs w:val="22"/>
        </w:rPr>
      </w:pPr>
      <w:r>
        <w:rPr>
          <w:rStyle w:val="FootnoteReference"/>
        </w:rPr>
        <w:footnoteRef/>
      </w:r>
      <w:r>
        <w:tab/>
      </w:r>
      <w:r>
        <w:rPr>
          <w:bCs/>
          <w:sz w:val="22"/>
          <w:szCs w:val="22"/>
        </w:rPr>
        <w:t>Нормативен акт от 14 март 2020 г. (Държавен вестник A’ 64), ратифициран по силата на член 3 от Закон 4682/2020 (Държавен вестник A' 76); Министерско решение 12998/232 (Държавен вестник Б '1078 от 28 март 2020 г.), Министерско решение 16073/287/22 април 2020 г. (Държавен вестник Б' 1547/22 април 2020 г.), Министерско решение 17788/346/8 май 2020 г. (Държавен вестник Б '1779/10 май 2020 г.) и Министерско решение 23102/477/2020 (Държавен вестник Б' 2268/13 юни 2020 г.).</w:t>
      </w:r>
    </w:p>
  </w:footnote>
  <w:footnote w:id="3">
    <w:p>
      <w:pPr>
        <w:pStyle w:val="FootnoteText"/>
        <w:ind w:left="142" w:hanging="142"/>
        <w:rPr>
          <w:sz w:val="22"/>
          <w:szCs w:val="22"/>
        </w:rPr>
      </w:pPr>
      <w:r>
        <w:rPr>
          <w:rStyle w:val="FootnoteReference"/>
        </w:rPr>
        <w:footnoteRef/>
      </w:r>
      <w:r>
        <w:tab/>
      </w:r>
      <w:r>
        <w:rPr>
          <w:sz w:val="22"/>
          <w:szCs w:val="22"/>
        </w:rPr>
        <w:t>Нормативен акт от 20 март 2020 г. (Държавен вестник A '68), ратифициран по силата на член 1 от Закон 4683/2020 (Държавен вестник A' 83)</w:t>
      </w:r>
    </w:p>
  </w:footnote>
  <w:footnote w:id="4">
    <w:p>
      <w:pPr>
        <w:pStyle w:val="FootnoteText"/>
        <w:ind w:left="142" w:hanging="142"/>
      </w:pPr>
      <w:r>
        <w:rPr>
          <w:rStyle w:val="FootnoteReference"/>
        </w:rPr>
        <w:footnoteRef/>
      </w:r>
      <w:r>
        <w:tab/>
      </w:r>
      <w:r>
        <w:rPr>
          <w:sz w:val="22"/>
          <w:szCs w:val="22"/>
        </w:rPr>
        <w:t>Закон 4690/2020 (Държавен вестник A’ 104), ратифициран по силата на членове 122 и 123 от Закон 4714/2020 (Държавен вестник A' 148), Министерско решение 23103/478 (Държавен вестник Б 2274/14 юни 2020 г.) и Министерско решение 32085/1771</w:t>
      </w:r>
    </w:p>
  </w:footnote>
  <w:footnote w:id="5">
    <w:p>
      <w:pPr>
        <w:pStyle w:val="FootnoteText"/>
        <w:ind w:left="142" w:hanging="142"/>
      </w:pPr>
      <w:r>
        <w:rPr>
          <w:rStyle w:val="FootnoteReference"/>
        </w:rPr>
        <w:footnoteRef/>
      </w:r>
      <w:r>
        <w:tab/>
      </w:r>
      <w:r>
        <w:rPr>
          <w:spacing w:val="-4"/>
          <w:sz w:val="22"/>
          <w:szCs w:val="22"/>
        </w:rPr>
        <w:t>Закон 4714/2020 (Държавен вестник A‘ 148), ратифициран с Министерско решение 32085/1771.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688E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C0FA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64D2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08B938"/>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1:27: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1F01CA-4F8F-424D-80D0-8ADD976CEECD"/>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2"/>
    <w:docVar w:name="LW_REF.II.NEW.CP_YEAR" w:val="2020"/>
    <w:docVar w:name="LW_REF.INST.NEW" w:val="COM"/>
    <w:docVar w:name="LW_REF.INST.NEW_ADOPTED" w:val="final"/>
    <w:docVar w:name="LW_REF.INST.NEW_TEXT" w:val="(2020) 4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74?\u1088?\u1077?\u1084?\u1077?\u1085?\u1085?\u1072? \u1087?\u1086?\u1076?\u1082?\u1088?\u1077?\u1087?\u1072? \u1085?\u1072? \u1043?\u1098?\u1088?\u1094?\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868058209">
      <w:bodyDiv w:val="1"/>
      <w:marLeft w:val="0"/>
      <w:marRight w:val="0"/>
      <w:marTop w:val="0"/>
      <w:marBottom w:val="0"/>
      <w:divBdr>
        <w:top w:val="none" w:sz="0" w:space="0" w:color="auto"/>
        <w:left w:val="none" w:sz="0" w:space="0" w:color="auto"/>
        <w:bottom w:val="none" w:sz="0" w:space="0" w:color="auto"/>
        <w:right w:val="none" w:sz="0" w:space="0" w:color="auto"/>
      </w:divBdr>
    </w:div>
    <w:div w:id="21413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83DD97-0EDB-4F72-AD26-C2C4444A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0A747-C67B-4724-9F20-B996660EC4E1}">
  <ds:schemaRefs>
    <ds:schemaRef ds:uri="http://schemas.microsoft.com/office/2006/documentManagement/types"/>
    <ds:schemaRef ds:uri="http://purl.org/dc/dcmitype/"/>
    <ds:schemaRef ds:uri="http://schemas.microsoft.com/office/infopath/2007/PartnerControls"/>
    <ds:schemaRef ds:uri="$ListId:Shared Documents;"/>
    <ds:schemaRef ds:uri="http://purl.org/dc/elements/1.1/"/>
    <ds:schemaRef ds:uri="http://schemas.microsoft.com/office/2006/metadata/properties"/>
    <ds:schemaRef ds:uri="37c275fd-9572-4d80-bb3f-e0295c71b8c9"/>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15115D1-BB33-4D7A-977C-1ABD70A399DE}">
  <ds:schemaRefs>
    <ds:schemaRef ds:uri="http://schemas.microsoft.com/sharepoint/v3/contenttype/forms"/>
  </ds:schemaRefs>
</ds:datastoreItem>
</file>

<file path=customXml/itemProps4.xml><?xml version="1.0" encoding="utf-8"?>
<ds:datastoreItem xmlns:ds="http://schemas.openxmlformats.org/officeDocument/2006/customXml" ds:itemID="{09586C82-F537-4638-BB95-C621CC1B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2793</Words>
  <Characters>15616</Characters>
  <Application>Microsoft Office Word</Application>
  <DocSecurity>0</DocSecurity>
  <Lines>294</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2020-09-04T12:45:00Z</dcterms:created>
  <dcterms:modified xsi:type="dcterms:W3CDTF">2020-09-07T09:27:00Z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ContentTypeId">
    <vt:lpwstr>0x010100258AA79CEB83498886A3A08681123250006FCFE00C5D85F84383A4CB18CE3724D2</vt:lpwstr>
  </property>
  <property fmtid="{D5CDD505-2E9C-101B-9397-08002B2CF9AE}" pid="11" name="DQCStatus">
    <vt:lpwstr>Green (DQC version 03)</vt:lpwstr>
  </property>
</Properties>
</file>