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6DA021B-9D4A-4047-B151-D2C476A8C22A"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Le 7 août 2020, la Lituanie a demandé une assistance financière de l’Union au titre du règlement SURE. Conformément à l’article 6, paragraphe 2, du règlement SURE, la Commission a consulté les autorités lituaniennes afin de vérifier l’augmentation soudaine et très marquée des dépenses effectives et prévues directement liées à des régimes de chômage partiel et à des mesures similaires. Il s'agit en particulier:</w:t>
      </w:r>
    </w:p>
    <w:p>
      <w:pPr>
        <w:pStyle w:val="Point0"/>
        <w:rPr>
          <w:noProof/>
        </w:rPr>
      </w:pPr>
      <w:r>
        <w:t>(1)</w:t>
      </w:r>
      <w:r>
        <w:tab/>
      </w:r>
      <w:r>
        <w:rPr>
          <w:noProof/>
        </w:rPr>
        <w:t>d’un système de versement de subventions aux employeurs pour couvrir les salaires estimés de chaque travailleur salarié subissant une période d’inactivité. L’employeur peut décider de demander des subventions couvrant 70 % du salaire, à concurrence d’une fois et demie le salaire minimum, ou 90 % du salaire (100 % pour les salariés âgés de 60 ans et plus), à concurrence du salaire minimum. Les employeurs qui ont eu recours au système doivent conserver au moins 50 % de leurs salariés pendant au moins 3 mois après la fin de la subvention.</w:t>
      </w:r>
    </w:p>
    <w:p>
      <w:pPr>
        <w:pStyle w:val="Point0"/>
        <w:rPr>
          <w:noProof/>
        </w:rPr>
      </w:pPr>
      <w:r>
        <w:t>(2)</w:t>
      </w:r>
      <w:r>
        <w:tab/>
      </w:r>
      <w:r>
        <w:rPr>
          <w:noProof/>
        </w:rPr>
        <w:t>de subventions pour les salariés retravaillant après une période d’inactivité, pendant une période pouvant aller jusqu’à six mois après leur retour au travail. Moyennant un plafonnement au niveau du salaire minimum ou de deux fois le salaire minimum, en fonction de l’activité économique exercée par l’employeur, le montant des subventions versées peut représenter jusqu’à 100 % du salaire du travailleur les premier et deuxième mois suivant le retour, 50 % les troisième et quatrième mois et 30 % les cinquième et sixième mois.</w:t>
      </w:r>
    </w:p>
    <w:p>
      <w:pPr>
        <w:pStyle w:val="Point0"/>
        <w:rPr>
          <w:noProof/>
        </w:rPr>
      </w:pPr>
      <w:r>
        <w:t>(3)</w:t>
      </w:r>
      <w:r>
        <w:tab/>
      </w:r>
      <w:r>
        <w:rPr>
          <w:noProof/>
        </w:rPr>
        <w:t>de prestations pour les travailleurs indépendants, y compris les travailleurs indépendants exerçant une activité agricole dans une exploitation agricole d’au moins quatre unités de dimension économique, d’un montant de 257 EUR par mois, versées pendant la période de quarantaine et les deux mois suivants.</w:t>
      </w:r>
    </w:p>
    <w:p>
      <w:pPr>
        <w:pStyle w:val="Point0"/>
        <w:rPr>
          <w:noProof/>
        </w:rPr>
      </w:pPr>
      <w:r>
        <w:t>(4)</w:t>
      </w:r>
      <w:r>
        <w:tab/>
      </w:r>
      <w:r>
        <w:rPr>
          <w:noProof/>
        </w:rPr>
        <w:t>de prestations pour les travailleurs indépendants exerçant une activité agricole dans une exploitation agricole de moins de quatre unités de dimension économique, qui n’étaient pas couverts par la mesure précédente. Cette mesure consiste en un paiement unique de 200 EUR pour les petits exploitants qui n’avaient pas d’autre emploi, ou de 200 EUR pour chacun des trois mois de quarantaine et de période d’urgence nationale, s’ils étaient employés en plus de leur activité agricole indépendante et ne percevaient pas plus que le salaire minimum.</w:t>
      </w:r>
    </w:p>
    <w:p>
      <w:pPr>
        <w:rPr>
          <w:noProof/>
        </w:rPr>
      </w:pPr>
      <w:r>
        <w:rPr>
          <w:noProof/>
        </w:rPr>
        <w:t>La Lituanie a fourni les informations nécessaires à la Commission.</w:t>
      </w:r>
    </w:p>
    <w:p>
      <w:pPr>
        <w:rPr>
          <w:noProof/>
        </w:rPr>
      </w:pPr>
      <w:r>
        <w:rPr>
          <w:noProof/>
        </w:rPr>
        <w:t>Compte tenu des éléments disponibles, la Commission propose au Conseil d'adopter une décision d’exécution octroyant une assistance financière à la Lituanie au titre du règlement SURE afin de soutenir les mesures ci-dessus.</w:t>
      </w:r>
    </w:p>
    <w:p>
      <w:pPr>
        <w:pStyle w:val="ManualHeading2"/>
        <w:rPr>
          <w:noProof/>
          <w:color w:val="000000" w:themeColor="text1"/>
          <w:u w:color="000000"/>
          <w:bdr w:val="nil"/>
        </w:rPr>
      </w:pPr>
      <w:r>
        <w:rPr>
          <w:noProof/>
          <w:color w:val="000000" w:themeColor="text1"/>
          <w:u w:color="000000"/>
          <w:bdr w:val="nil"/>
        </w:rPr>
        <w:lastRenderedPageBreak/>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t>Ce soutien aidera la population touchée et contribue à atténuer les conséquences sociétales et économiques directes de la crise actuellement causée par la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lastRenderedPageBreak/>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7"/>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Lituanie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t xml:space="preserve"> </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7 août 2020, la Lituanie a demandé une assistance financière de l’Union afin de compléter ses efforts nationaux pour faire face à l’impact de la pandémie de COVID-19 et à ses conséquences socioéconomiques pour les travailleurs.</w:t>
      </w:r>
    </w:p>
    <w:p>
      <w:pPr>
        <w:pStyle w:val="ManualConsidrant"/>
        <w:rPr>
          <w:noProof/>
        </w:rPr>
      </w:pPr>
      <w:r>
        <w:t>(2)</w:t>
      </w:r>
      <w:r>
        <w:tab/>
      </w:r>
      <w:r>
        <w:rPr>
          <w:noProof/>
        </w:rPr>
        <w:t>La pandémie de COVID-19 et les mesures extraordinaires mises en œuvre par la Lituanie pour contenir la propagation de la maladie et limiter ses conséquences socioéconomiques et sanitaires devraient grever fortement les finances publiques du pays. Selon les prévisions du printemps 2020 de la Commission, la Lituanie aurait dû afficher, fin 2020, un déficit public et une dette publique de respectivement 6,9 % et 48,5 % du produit intérieur brut (PIB). Selon les prévisions intermédiaires de l’été 2020 de la Commission, le PIB de la Lituanie devrait diminuer de 7,1 % en 2020.</w:t>
      </w:r>
    </w:p>
    <w:p>
      <w:pPr>
        <w:pStyle w:val="ManualConsidrant"/>
        <w:rPr>
          <w:noProof/>
        </w:rPr>
      </w:pPr>
      <w:r>
        <w:t>(3)</w:t>
      </w:r>
      <w:r>
        <w:tab/>
      </w:r>
      <w:r>
        <w:rPr>
          <w:noProof/>
        </w:rPr>
        <w:t>La pandémie de COVID-19 a immobilisé une part substantielle de la main-d'œuvre en Lituanie. Cela a conduit le pays à devoir augmenter de façon soudaine et très marquée le volume de ses dépenses publiques consacré aux subventions salariales pendant et après la période d’inactivité, ainsi que les prestations destinées aux travailleurs indépendants, y compris à ceux exerçant une activité agricole, comme indiqué aux considérants 4 à 7.</w:t>
      </w:r>
    </w:p>
    <w:p>
      <w:pPr>
        <w:pStyle w:val="ManualConsidrant"/>
        <w:rPr>
          <w:noProof/>
        </w:rPr>
      </w:pPr>
      <w:r>
        <w:t>(4)</w:t>
      </w:r>
      <w:r>
        <w:tab/>
      </w:r>
      <w:r>
        <w:rPr>
          <w:noProof/>
        </w:rPr>
        <w:t>La «loi n° XII-2470 sur l’emploi», telle qu’elle est mentionnée dans la demande de la Lituanie du 7 août 2020, a introduit un système de versement de subventions aux employeurs pour couvrir les salaires estimés de chaque travailleur salarié subissant une période d’inactivité. L’employeur avait le choix entre des subventions couvrant 70 % du salaire, à concurrence d’une fois et demie le salaire minimum, et des subventions couvrant 90 % du salaire (100 % pour les salariés âgés de 60 ans et plus), à concurrence du salaire minimum. Les employeurs qui ont participé au système doivent conserver au moins 50 % de leurs salariés pendant au moins 3 mois après la fin de la subvention.</w:t>
      </w:r>
    </w:p>
    <w:p>
      <w:pPr>
        <w:pStyle w:val="ManualConsidrant"/>
        <w:rPr>
          <w:noProof/>
        </w:rPr>
      </w:pPr>
      <w:r>
        <w:lastRenderedPageBreak/>
        <w:t>(5)</w:t>
      </w:r>
      <w:r>
        <w:tab/>
      </w:r>
      <w:r>
        <w:rPr>
          <w:noProof/>
        </w:rPr>
        <w:t>Des subventions sont également versées pour les salariés retravaillant après une période d’inactivité, pendant une période pouvant aller jusqu’à six mois après leur retour au travail. Moyennant un plafonnement au niveau du salaire minimum ou de deux fois le salaire minimum, en fonction de l’activité économique exercée par l’employeur, le montant des subventions versées peut représenter jusqu’à 100 % du salaire du travailleur les premier et deuxième mois suivant le retour, 50 % les troisième et quatrième mois et 30 % les cinquième et sixième mois. Ces subventions peuvent être considérées comme une mesure similaire aux régimes de chômage partiel visés par le règlement (UE) 2020/672, dans la mesure où elles visent à fournir aux salariés une aide au revenu et à maintenir les relations de travail existantes.</w:t>
      </w:r>
    </w:p>
    <w:p>
      <w:pPr>
        <w:pStyle w:val="ManualConsidrant"/>
        <w:rPr>
          <w:noProof/>
        </w:rPr>
      </w:pPr>
      <w:r>
        <w:t>(6)</w:t>
      </w:r>
      <w:r>
        <w:tab/>
      </w:r>
      <w:r>
        <w:rPr>
          <w:noProof/>
        </w:rPr>
        <w:t>Le gouvernement a également introduit des prestations pour les travailleurs indépendants, y compris les travailleurs indépendants exerçant une activité agricole dans une exploitation agricole d’au moins quatre unités de dimension économique, d’un montant de 257 EUR par mois et versées pendant la période de quarantaine et les deux mois suivants. Ces prestations pour les travailleurs indépendants peuvent être considérées comme une mesure similaire aux régimes de chômage partiel visés par le règlement (UE) 2020/672, dans la mesure où elles visent à protéger les travailleurs indépendants ou les catégories similaires de travailleurs contre la réduction ou la perte de revenus.</w:t>
      </w:r>
    </w:p>
    <w:p>
      <w:pPr>
        <w:pStyle w:val="ManualConsidrant"/>
        <w:rPr>
          <w:noProof/>
        </w:rPr>
      </w:pPr>
      <w:r>
        <w:t>(7)</w:t>
      </w:r>
      <w:r>
        <w:tab/>
      </w:r>
      <w:r>
        <w:rPr>
          <w:noProof/>
        </w:rPr>
        <w:t>Enfin, des prestations ont été introduites pour les travailleurs indépendants exerçant une activité agricole dans une exploitation agricole de moins de quatre unités de dimension économique, qui n’étaient pas couverts par la mesure décrite au considérant 6. Cette mesure consiste en un versement unique de 200 EUR pour les petits agriculteurs qui n’avaient pas d’autre emploi. Pour les petits agriculteurs qui avaient un emploi en plus de leur activité agricole indépendante et qui ne gagnaient pas plus que le salaire minimum, la mesure consiste en un versement de 200 EUR pour chacun des trois mois de la période de quarantaine et de la période d’urgence nationale. Cette mesure peut être considérée comme une mesure similaire aux régimes de chômage partiel visés par le règlement (UE) 2020/672, dans la mesure où elle vise à protéger les travailleurs indépendants ou les catégories similaires de travailleurs contre la réduction ou la perte de revenus.</w:t>
      </w:r>
    </w:p>
    <w:p>
      <w:pPr>
        <w:pStyle w:val="ManualConsidrant"/>
        <w:rPr>
          <w:noProof/>
        </w:rPr>
      </w:pPr>
      <w:r>
        <w:t>(8)</w:t>
      </w:r>
      <w:r>
        <w:tab/>
      </w:r>
      <w:r>
        <w:rPr>
          <w:noProof/>
        </w:rPr>
        <w:t>La Lituanie remplit les conditions pour demander une assistance financière énoncées à l’article 3 du règlement (UE) 2020/672. La Lituanie a fourni à la Commission des éléments de preuve appropriés montrant que ses dépenses publiques effectives et prévues ont augmenté de 746 660 000 EUR depuis le 1</w:t>
      </w:r>
      <w:r>
        <w:rPr>
          <w:noProof/>
          <w:vertAlign w:val="superscript"/>
        </w:rPr>
        <w:t>er</w:t>
      </w:r>
      <w:r>
        <w:rPr>
          <w:noProof/>
        </w:rPr>
        <w:t> février 2020 en raison des mesures nationales prises pour faire face aux effets socioéconomiques de la pandémie de COVID-19. Il s'agit d’une augmentation soudaine et très marquée, car les nouvelles mesures couvrent une part importante des entreprises et de la main-d'œuvre en Lituanie. La Lituanie a l’intention de consacrer 144 350 000 EUR provenant de fonds de l’Union au financement de ce surcroît de dépenses.</w:t>
      </w:r>
    </w:p>
    <w:p>
      <w:pPr>
        <w:pStyle w:val="ManualConsidrant"/>
        <w:rPr>
          <w:noProof/>
        </w:rPr>
      </w:pPr>
      <w:r>
        <w:t>(9)</w:t>
      </w:r>
      <w:r>
        <w:tab/>
      </w:r>
      <w:r>
        <w:rPr>
          <w:noProof/>
        </w:rPr>
        <w:t>La Commission a consulté la Lituanie et a vérifié l’augmentation soudaine et très marquée des dépenses publiques effectives, ainsi que des dépenses publiques prévues, directement liées à des dispositifs de chômage partiel et à des mesures similaires, conformément à l’article 6 du règlement (UE) 2020/72.</w:t>
      </w:r>
    </w:p>
    <w:p>
      <w:pPr>
        <w:pStyle w:val="ManualConsidrant"/>
        <w:rPr>
          <w:noProof/>
        </w:rPr>
      </w:pPr>
      <w:r>
        <w:t>(10)</w:t>
      </w:r>
      <w:r>
        <w:tab/>
      </w:r>
      <w:r>
        <w:rPr>
          <w:noProof/>
        </w:rPr>
        <w:t>Par conséquent, il y a lieu de fournir une assistance financière afin d'aider la Lituanie à faire face aux effets socioéconomiques des graves perturbations économiques engendrées par la pandémie de COVID-19.</w:t>
      </w:r>
    </w:p>
    <w:p>
      <w:pPr>
        <w:pStyle w:val="ManualConsidrant"/>
        <w:rPr>
          <w:noProof/>
        </w:rPr>
      </w:pPr>
      <w:r>
        <w:lastRenderedPageBreak/>
        <w:t>(11)</w:t>
      </w:r>
      <w:r>
        <w:tab/>
      </w:r>
      <w:r>
        <w:rPr>
          <w:noProof/>
        </w:rPr>
        <w:t>Il convient que la présente décision ne préjuge pas de l'issue d'éventuelles procédures relatives à des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(12)</w:t>
      </w:r>
      <w:r>
        <w:tab/>
      </w:r>
      <w:r>
        <w:rPr>
          <w:noProof/>
        </w:rPr>
        <w:t>La Lituanie devrait informer régulièrement la Commission de l’exécution des dépenses publiques prévues, afin de lui permettre d'évaluer leur degré d’exécution.</w:t>
      </w:r>
    </w:p>
    <w:p>
      <w:pPr>
        <w:pStyle w:val="ManualConsidrant"/>
        <w:rPr>
          <w:noProof/>
        </w:rPr>
      </w:pPr>
      <w:r>
        <w:t>(13)</w:t>
      </w:r>
      <w:r>
        <w:tab/>
      </w:r>
      <w:r>
        <w:rPr>
          <w:noProof/>
        </w:rPr>
        <w:t>La décision de fournir une assistance financière a été prise compte tenu des besoins existants et attendus de la Lituanie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La Lituanie remplit les conditions énoncées à l’article 3 du règlement (UE) 2020/672.</w:t>
      </w:r>
    </w:p>
    <w:p>
      <w:pPr>
        <w:pStyle w:val="Titrearticle"/>
        <w:rPr>
          <w:noProof/>
        </w:rPr>
      </w:pPr>
      <w:r>
        <w:rPr>
          <w:noProof/>
        </w:rPr>
        <w:t>Article 2</w:t>
      </w:r>
    </w:p>
    <w:p>
      <w:pPr>
        <w:pStyle w:val="ManualNumPar1"/>
        <w:rPr>
          <w:noProof/>
        </w:rPr>
      </w:pPr>
      <w:r>
        <w:t>1.</w:t>
      </w:r>
      <w:r>
        <w:tab/>
      </w:r>
      <w:r>
        <w:rPr>
          <w:noProof/>
        </w:rPr>
        <w:t>L’Union met à la disposition de la Lituanie un prêt d'un montant maximal de 602 310 000 EUR. Ce prêt a une échéance moyenne maximale de 15 ans.</w:t>
      </w:r>
    </w:p>
    <w:p>
      <w:pPr>
        <w:pStyle w:val="ManualNumPar1"/>
        <w:rPr>
          <w:noProof/>
        </w:rPr>
      </w:pPr>
      <w:r>
        <w:t>2.</w:t>
      </w:r>
      <w:r>
        <w:tab/>
      </w:r>
      <w:r>
        <w:rPr>
          <w:noProof/>
        </w:rPr>
        <w:t>L'assistance financière octroyée par la présente décision est disponible pendant 18 mois à compter du premier jour suivant l’entrée en vigueur de la présente décision.</w:t>
      </w:r>
    </w:p>
    <w:p>
      <w:pPr>
        <w:pStyle w:val="ManualNumPar1"/>
        <w:rPr>
          <w:noProof/>
        </w:rPr>
      </w:pPr>
      <w:r>
        <w:t>3.</w:t>
      </w:r>
      <w:r>
        <w:tab/>
      </w:r>
      <w:r>
        <w:rPr>
          <w:noProof/>
        </w:rPr>
        <w:t>La Commission met l’assistance financière de l’Union à la disposition de la Lituanie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w:t>
      </w:r>
    </w:p>
    <w:p>
      <w:pPr>
        <w:pStyle w:val="ManualNumPar1"/>
        <w:rPr>
          <w:noProof/>
        </w:rPr>
      </w:pPr>
      <w:r>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La Lituanie paie le coût de financement supporté par l’Union mentionné à l’article 4 du règlement (UE) 2020/672 pour chaque tranche, ainsi que tous frais, coûts et dépenses supportés par l’Union en lien avec tout financement.</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rPr>
      </w:pPr>
      <w:r>
        <w:rPr>
          <w:noProof/>
        </w:rPr>
        <w:t>Article 3</w:t>
      </w:r>
    </w:p>
    <w:p>
      <w:pPr>
        <w:rPr>
          <w:noProof/>
        </w:rPr>
      </w:pPr>
      <w:r>
        <w:rPr>
          <w:noProof/>
        </w:rPr>
        <w:t>La Lituanie peut financer les mesures suivantes:</w:t>
      </w:r>
    </w:p>
    <w:p>
      <w:pPr>
        <w:pStyle w:val="Point0"/>
        <w:rPr>
          <w:noProof/>
        </w:rPr>
      </w:pPr>
      <w:r>
        <w:t>(a)</w:t>
      </w:r>
      <w:r>
        <w:tab/>
      </w:r>
      <w:r>
        <w:rPr>
          <w:noProof/>
        </w:rPr>
        <w:t xml:space="preserve">les subventions salariales versées pendant et après la période d’inactivité conformément à l’article 41 de la loi n° XII-2470 sur l’emploi; </w:t>
      </w:r>
    </w:p>
    <w:p>
      <w:pPr>
        <w:pStyle w:val="Point0"/>
        <w:rPr>
          <w:noProof/>
        </w:rPr>
      </w:pPr>
      <w:r>
        <w:t>(b)</w:t>
      </w:r>
      <w:r>
        <w:tab/>
      </w:r>
      <w:r>
        <w:rPr>
          <w:noProof/>
        </w:rPr>
        <w:t xml:space="preserve">les prestations versées aux travailleurs indépendants conformément à l’article 5-1 de la loi n° XII-2470 sur l’emploi; </w:t>
      </w:r>
    </w:p>
    <w:p>
      <w:pPr>
        <w:pStyle w:val="Point0"/>
        <w:rPr>
          <w:noProof/>
        </w:rPr>
      </w:pPr>
      <w:r>
        <w:lastRenderedPageBreak/>
        <w:t>(c)</w:t>
      </w:r>
      <w:r>
        <w:tab/>
      </w:r>
      <w:r>
        <w:rPr>
          <w:noProof/>
        </w:rPr>
        <w:t>les prestations versées aux travailleurs indépendants exerçant une activité agricole conformément à l’article 5-2 de la loi n° XII-2470 sur l’emploi.</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la Lituanie informe la Commission de l’exécution des dépenses publiques prévues, jusqu’au moment où ces dépenses publiques prévues ont été entièrement exécutées.</w:t>
      </w:r>
    </w:p>
    <w:p>
      <w:pPr>
        <w:pStyle w:val="Titrearticle"/>
        <w:rPr>
          <w:noProof/>
        </w:rPr>
      </w:pPr>
      <w:r>
        <w:rPr>
          <w:noProof/>
        </w:rPr>
        <w:t>Article 5</w:t>
      </w:r>
    </w:p>
    <w:p>
      <w:pPr>
        <w:keepNext/>
        <w:keepLines/>
        <w:rPr>
          <w:noProof/>
        </w:rPr>
      </w:pPr>
      <w:r>
        <w:rPr>
          <w:noProof/>
        </w:rPr>
        <w:t>La République de Lituanie est destinataire de la présente décision.</w:t>
      </w:r>
    </w:p>
    <w:p>
      <w:pPr>
        <w:pStyle w:val="Titrearticle"/>
        <w:rPr>
          <w:noProof/>
        </w:rPr>
      </w:pPr>
      <w:r>
        <w:rPr>
          <w:noProof/>
        </w:rPr>
        <w:t>Article 6</w:t>
      </w:r>
    </w:p>
    <w:p>
      <w:pPr>
        <w:rPr>
          <w:noProof/>
        </w:rPr>
      </w:pPr>
      <w:r>
        <w:rPr>
          <w:noProof/>
        </w:rPr>
        <w:t>La présente décision est publiée au</w:t>
      </w:r>
      <w:r>
        <w:rPr>
          <w:i/>
          <w:iCs/>
          <w:noProof/>
        </w:rPr>
        <w:t xml:space="preserve"> 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8C21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3AC80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16A9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22760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32: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DA021B-9D4A-4047-B151-D2C476A8C22A"/>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6"/>
    <w:docVar w:name="LW_REF.II.NEW.CP_YEAR" w:val="2020"/>
    <w:docVar w:name="LW_REF.INST.NEW" w:val="COM"/>
    <w:docVar w:name="LW_REF.INST.NEW_ADOPTED" w:val="final"/>
    <w:docVar w:name="LW_REF.INST.NEW_TEXT" w:val="(2020)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Lituani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32FEBA-6AEF-47EB-A821-083932A0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2678</Words>
  <Characters>14599</Characters>
  <Application>Microsoft Office Word</Application>
  <DocSecurity>0</DocSecurity>
  <Lines>243</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2020-09-03T14:23:00Z</dcterms:created>
  <dcterms:modified xsi:type="dcterms:W3CDTF">2020-09-07T09:32:00Z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