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EFD54C2-AE0A-4F37-A5FB-5607D80C4F85"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rPr>
      </w:pPr>
      <w:r>
        <w:rPr>
          <w:noProof/>
        </w:rPr>
        <w:t>На 7 август 2020 г. Литва поиска финансова помощ от Съюза по силата на Регламента за SURE. В изпълнение на член 6, параграф 2 от Регламента за SURE Комисията се консултира с литовските власти, за да провери внезапното и съществено увеличение на извършените и планирани разходи, пряко свързани със схемите за подпомагане на работата на непълно работно време и подобни мерки. По-специално, увеличените разходи обхващат:</w:t>
      </w:r>
    </w:p>
    <w:p>
      <w:pPr>
        <w:pStyle w:val="Point0"/>
        <w:rPr>
          <w:noProof/>
        </w:rPr>
      </w:pPr>
      <w:r>
        <w:t>(1)</w:t>
      </w:r>
      <w:r>
        <w:tab/>
      </w:r>
      <w:r>
        <w:rPr>
          <w:noProof/>
        </w:rPr>
        <w:t>схема за изплащане на субсидии на работодателите за покриване на прогнозните заплати на наетите лица, които е трябвало да излязат в принудителен отпуск за даден период. Работодателите могат да преценят дали със субсидиите да покриват 70 % от заплатата — максимум до 1,5 пъти от минималната работна заплата, или 90 % от заплатата (100 % — за наетите лица на възраст 60 години и повече) — максимум до размера на минималната работна заплата. Възползвалите се от схемата работодатели трябва да запазят поне 50 % от персонала си най-малко 3 месеца след края на периода на субсидиране;</w:t>
      </w:r>
    </w:p>
    <w:p>
      <w:pPr>
        <w:pStyle w:val="Point0"/>
        <w:rPr>
          <w:noProof/>
        </w:rPr>
      </w:pPr>
      <w:r>
        <w:t>(2)</w:t>
      </w:r>
      <w:r>
        <w:tab/>
      </w:r>
      <w:r>
        <w:rPr>
          <w:noProof/>
        </w:rPr>
        <w:t xml:space="preserve">субсидии за наетите лица, които възобновяват работа след период на принудителен отпуск, за период до шест месеца след завръщането им на работа. Като се спазва горна граница — минималната работна заплата или два пъти минималната работна заплата, в зависимост от стопанската дейност на работодателя, изплатените субсидии през първия и втория месец след завръщането на работа на наетото лице могат да достигнат 100 % от заплатата му, през третия и четвъртия месец — 50 %, а през петия и шестия месец — 30 %; </w:t>
      </w:r>
    </w:p>
    <w:p>
      <w:pPr>
        <w:pStyle w:val="Point0"/>
        <w:rPr>
          <w:noProof/>
        </w:rPr>
      </w:pPr>
      <w:r>
        <w:t>(3)</w:t>
      </w:r>
      <w:r>
        <w:tab/>
      </w:r>
      <w:r>
        <w:rPr>
          <w:noProof/>
        </w:rPr>
        <w:t xml:space="preserve">субсидии за самостоятелно заетите лица, в т.ч. в селското стопанство, работещи в земеделско или животновъдно стопанство с големина не по-малка от четири икономически единици; тези субсидии са в размер на 257 евро на месец и се изплащат по време на карантинния период и през следващите два месеца; </w:t>
      </w:r>
    </w:p>
    <w:p>
      <w:pPr>
        <w:pStyle w:val="Point0"/>
        <w:rPr>
          <w:noProof/>
        </w:rPr>
      </w:pPr>
      <w:r>
        <w:t>(4)</w:t>
      </w:r>
      <w:r>
        <w:tab/>
      </w:r>
      <w:r>
        <w:rPr>
          <w:noProof/>
        </w:rPr>
        <w:t xml:space="preserve">субсидии за останалите извън гореописаната мярка самостоятелно заети лица в селското стопанство, работещи в земеделско или животновъдно стопанство с големина по-малка от четири икономически единици. Мярката представлява еднократна субсидия в размер на 200 евро за дребните земеделски стопани, които не са имали никаква друга трудова заетост, както и субсидия в размер на 200 евро за всеки от трите месеца на карантинния период и за месеците на </w:t>
      </w:r>
      <w:r>
        <w:rPr>
          <w:noProof/>
        </w:rPr>
        <w:lastRenderedPageBreak/>
        <w:t xml:space="preserve">периода на извънредно положение в държавата — за дребните земеделски стопани, които в допълнение към селскостопанската си дейност на самостоятелно заето лице са били наети, но не са получили повече от минималната работна заплата. </w:t>
      </w:r>
    </w:p>
    <w:p>
      <w:pPr>
        <w:rPr>
          <w:noProof/>
        </w:rPr>
      </w:pPr>
      <w:r>
        <w:rPr>
          <w:noProof/>
        </w:rPr>
        <w:t xml:space="preserve">Литва предостави на Комисията необходимите сведения. </w:t>
      </w:r>
    </w:p>
    <w:p>
      <w:pPr>
        <w:rPr>
          <w:noProof/>
        </w:rPr>
      </w:pPr>
      <w:r>
        <w:rPr>
          <w:noProof/>
        </w:rPr>
        <w:t>Предвид наличните доказателства Комисията предлага на Съвета да приеме решение за изпълнение, с което на Литва по силата на Регламента за SURE да се предостави финансова помощ в подкрепа на горепосочените мерки.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Съгласуваност с действащите разпоредби в тази област на политика</w:t>
      </w:r>
    </w:p>
    <w:p>
      <w:pPr>
        <w:pBdr>
          <w:top w:val="nil"/>
          <w:left w:val="nil"/>
          <w:bottom w:val="nil"/>
          <w:right w:val="nil"/>
          <w:between w:val="nil"/>
          <w:bar w:val="nil"/>
        </w:pBd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 </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Съгласуваност с други политики на Съюза</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 </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Правното основание на настоящия инструмент е Регламент (ЕС) 2020/672 на Съвета.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pBdr>
          <w:top w:val="nil"/>
          <w:left w:val="nil"/>
          <w:bottom w:val="nil"/>
          <w:right w:val="nil"/>
          <w:between w:val="nil"/>
          <w:bar w:val="nil"/>
        </w:pBdr>
        <w:spacing w:before="0" w:after="240"/>
        <w:rPr>
          <w:rFonts w:eastAsia="Arial Unicode MS"/>
          <w:noProof/>
          <w:color w:val="000000" w:themeColor="text1"/>
        </w:rPr>
      </w:pPr>
      <w:r>
        <w:rPr>
          <w:noProof/>
        </w:rPr>
        <w:lastRenderedPageBreak/>
        <w:t xml:space="preserve">Тази подкрепа ще е от полза на засегнатото население и ще смекчи прякото социално и икономическо въздействие, причинено от настоящата криза с COVID-19.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Пропорционалност</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Оценка на въздействието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7"/>
        </w:numPr>
        <w:rPr>
          <w:noProof/>
          <w:color w:val="000000" w:themeColor="text1"/>
        </w:rPr>
      </w:pPr>
      <w:r>
        <w:rPr>
          <w:noProof/>
          <w:color w:val="000000" w:themeColor="text1"/>
        </w:rPr>
        <w:t>стриктен и консервативен подход към финансовото управление;</w:t>
      </w:r>
    </w:p>
    <w:p>
      <w:pPr>
        <w:pStyle w:val="Bullet1"/>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2020/0216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Съвета, на временна подкрепа на Литва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(ЕС) 2020/672 на Съвета от 19 май 2020 година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t xml:space="preserve"> </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На 7 август 2020 г. Литва поиска финансова помощ от Съюза, с която да допълни националните си усилия за преодоляване на въздействието от избухването на COVID-19 и в частност — на социално-икономическите му последици за работниците и служителите. </w:t>
      </w:r>
    </w:p>
    <w:p>
      <w:pPr>
        <w:pStyle w:val="ManualConsidrant"/>
        <w:rPr>
          <w:noProof/>
        </w:rPr>
      </w:pPr>
      <w:r>
        <w:t>(2)</w:t>
      </w:r>
      <w:r>
        <w:tab/>
      </w:r>
      <w:r>
        <w:rPr>
          <w:noProof/>
        </w:rPr>
        <w:t xml:space="preserve">Избухването на COVID-19 и предприетите от Литва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Литва от пролетта на 2020 г., към края на 2020 г. дефицитът по консолидирания държавен бюджет се очаква да достигне 6,9 % от брутния вътрешен продукт (БВП), а консолидираният държавен дълг — 48,5 % от БВП. Според междинната прогноза на Комисията за Литва от лятото на 2020 г., през 2020 г. БВП се очаква да намалее със 7,1 %. </w:t>
      </w:r>
    </w:p>
    <w:p>
      <w:pPr>
        <w:pStyle w:val="ManualConsidrant"/>
        <w:rPr>
          <w:noProof/>
        </w:rPr>
      </w:pPr>
      <w:r>
        <w:t>(3)</w:t>
      </w:r>
      <w:r>
        <w:tab/>
      </w:r>
      <w:r>
        <w:rPr>
          <w:noProof/>
        </w:rPr>
        <w:t>Избухването на COVID-19 блокира значителна част от литовската работна сила. Това доведе до внезапно и съществено увеличение на публичните разходи в Литва за субсидиране на заплатите за периода на принудителен отпуск и след това, както и за субсидии за самостоятелно заетите лица, в т.ч. в селското стопанство, както е посочено в съображения 4—7.</w:t>
      </w:r>
    </w:p>
    <w:p>
      <w:pPr>
        <w:pStyle w:val="ManualConsidrant"/>
        <w:rPr>
          <w:noProof/>
        </w:rPr>
      </w:pPr>
      <w:r>
        <w:t>(4)</w:t>
      </w:r>
      <w:r>
        <w:tab/>
      </w:r>
      <w:r>
        <w:rPr>
          <w:noProof/>
        </w:rPr>
        <w:t xml:space="preserve">С посочения в искането на Литва от 7 август 2020 г. „Закон за заетостта № XII-2470“ се въвежда схема за изплащане на субсидии на работодателите за покриване на прогнозните заплати на наетите лица, които е трябвало да излязат в принудителен отпуск за даден период. Работодателят може да избере дали със субсидиите да покрива 70 % от заплатата — максимум до 1,5 пъти от минималната работна заплата, или 90 % от заплатата (100 % — за наетите лица на възраст 60 години и повече) — максимум до размера на минималната работна </w:t>
      </w:r>
      <w:r>
        <w:rPr>
          <w:noProof/>
        </w:rPr>
        <w:lastRenderedPageBreak/>
        <w:t>заплата. Възползвалите се от схемата работодатели трябва да запазят поне 50 % от персонала си най-малко 3 месеца след края на периода на субсидиране.</w:t>
      </w:r>
    </w:p>
    <w:p>
      <w:pPr>
        <w:pStyle w:val="ManualConsidrant"/>
        <w:rPr>
          <w:noProof/>
        </w:rPr>
      </w:pPr>
      <w:r>
        <w:t>(5)</w:t>
      </w:r>
      <w:r>
        <w:tab/>
      </w:r>
      <w:r>
        <w:rPr>
          <w:noProof/>
        </w:rPr>
        <w:t xml:space="preserve">Субсидии се изплащат и на наетите лица, които възобновяват работа след период на принудителен отпуск, за период до шест месеца след завръщането им на работа. Като се спазва горна граница — минималната работна заплата или два пъти минималната работна заплата, в зависимост от стопанската дейност на работодателя, изплатените субсидии през първия и втория месец след завръщането на работа на наетото лице могат да достигнат 100 % от заплатата му, през третия и четвъртия месец — 50 %, а през петия и шестия месец — 30 %. Тези субсидии могат да се приемат за подобна мярка на схемите за подпомагане на работата на непълно работно време съгласно Регламент (ЕС) 2020/672, тъй като целта им е да подпомогнат доходите на наетите лица и да спомогнат за съхраняването на съществуващите трудови правоотношения. </w:t>
      </w:r>
    </w:p>
    <w:p>
      <w:pPr>
        <w:pStyle w:val="ManualConsidrant"/>
        <w:rPr>
          <w:noProof/>
        </w:rPr>
      </w:pPr>
      <w:r>
        <w:t>(6)</w:t>
      </w:r>
      <w:r>
        <w:tab/>
      </w:r>
      <w:r>
        <w:rPr>
          <w:noProof/>
        </w:rPr>
        <w:t xml:space="preserve">Властите въведоха и субсидии за самостоятелно заетите лица, в т.ч. в селското стопанство, работещи в земеделско или животновъдно стопанство с големина не по-малка от четири икономически единици; тези субсидии са в размер на 257 евро на месец и се изплащат по време на карантинния период и през следващите два месеца. Субсидиите за самостоятелно заетите лица могат да се приемат за подобна мярка на схемите за подпомагане на работата на непълно работно време съгласно Регламент (ЕС) 2020/672, тъй като целта им е да защитят самостоятелно заетите лица или сходните категории трудещи се от спад или загуба на доходите. </w:t>
      </w:r>
    </w:p>
    <w:p>
      <w:pPr>
        <w:pStyle w:val="ManualConsidrant"/>
        <w:rPr>
          <w:noProof/>
        </w:rPr>
      </w:pPr>
      <w:r>
        <w:t>(7)</w:t>
      </w:r>
      <w:r>
        <w:tab/>
      </w:r>
      <w:r>
        <w:rPr>
          <w:noProof/>
        </w:rPr>
        <w:t>В допълнение бяха въведени субсидии и за останалите извън описаната в съображение 6 мярка самостоятелно заети лица в селското стопанство, работещи в земеделско или животновъдно стопанство с големина по-малка от четири икономически единици. Мярката се състои в еднократна субсидия в размер на 200 евро за тези дребни земеделски стопани, които не са имали никаква друга трудова заетост. За дребните земеделски стопани, които в допълнение към селскостопанската си дейност на самостоятелно заето лице са били наети, но не са получили повече от минималната работна заплата, мярката включва субсидия в размер на 200 евро за всеки от трите месеца на карантинния период и за месеците на периода на извънредно положение в държавата. Мярката може да се приеме за подобна мярка на схемите за подпомагане на работата на непълно работно време съгласно Регламент (ЕС) 2020/672, тъй като целта ѝ е да защити самостоятелно заетите лица или сходните категории трудещи се от спад или загуба на доходите.</w:t>
      </w:r>
    </w:p>
    <w:p>
      <w:pPr>
        <w:pStyle w:val="ManualConsidrant"/>
        <w:rPr>
          <w:noProof/>
        </w:rPr>
      </w:pPr>
      <w:r>
        <w:t>(8)</w:t>
      </w:r>
      <w:r>
        <w:tab/>
      </w:r>
      <w:r>
        <w:rPr>
          <w:noProof/>
        </w:rPr>
        <w:t>Литва удовлетворява условията по член 3 от Регламент (ЕС) 2020/672 за отпускане на финансова помощ. Литва предостави на Комисията убедителни доказателства, че, считано от 1 февруари 2020 г., нейните извършени и планирани публични разходи са се увеличили със 746 660 000 евро в резултат на националните мерки за справяне със социално-икономическите последици от избухването на COVID-19. Това представлява внезапно и съществено увеличение, тъй като новите мерки обхващат значителна част от предприятията и работната сила в Литва. Литва възнамерява да финансира 144 350 000 евро от увеличения размер на разходите със средства на Съюза.</w:t>
      </w:r>
    </w:p>
    <w:p>
      <w:pPr>
        <w:pStyle w:val="ManualConsidrant"/>
        <w:rPr>
          <w:noProof/>
        </w:rPr>
      </w:pPr>
      <w:r>
        <w:t>(9)</w:t>
      </w:r>
      <w:r>
        <w:tab/>
      </w:r>
      <w:r>
        <w:rPr>
          <w:noProof/>
        </w:rPr>
        <w:t xml:space="preserve">В изпълнение на член 6 от Регламент (ЕС) 2020/672 Комисията се консултира с Литва и провери внезапното и съществено увеличение на извършените и </w:t>
      </w:r>
      <w:r>
        <w:rPr>
          <w:noProof/>
        </w:rPr>
        <w:lastRenderedPageBreak/>
        <w:t xml:space="preserve">планирани публични разходи, пряко свързани със схемите за подпомагане на работата на непълно работно време и подобни мерки. </w:t>
      </w:r>
    </w:p>
    <w:p>
      <w:pPr>
        <w:pStyle w:val="ManualConsidrant"/>
        <w:rPr>
          <w:noProof/>
        </w:rPr>
      </w:pPr>
      <w:r>
        <w:t>(10)</w:t>
      </w:r>
      <w:r>
        <w:tab/>
      </w:r>
      <w:r>
        <w:rPr>
          <w:noProof/>
        </w:rPr>
        <w:t>Поради това на Литва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w:t>
      </w:r>
    </w:p>
    <w:p>
      <w:pPr>
        <w:pStyle w:val="ManualConsidrant"/>
        <w:rPr>
          <w:noProof/>
        </w:rPr>
      </w:pPr>
      <w:r>
        <w:t>(11)</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(12)</w:t>
      </w:r>
      <w:r>
        <w:tab/>
      </w:r>
      <w:r>
        <w:rPr>
          <w:noProof/>
        </w:rPr>
        <w:t>Литва следва редовно да уведомява Комисията за изпълнението на планираните публични разходи, за да ѝ позволи да прецени доколко те са били изпълнени.</w:t>
      </w:r>
    </w:p>
    <w:p>
      <w:pPr>
        <w:pStyle w:val="ManualConsidrant"/>
        <w:rPr>
          <w:noProof/>
        </w:rPr>
      </w:pPr>
      <w:r>
        <w:t>(13)</w:t>
      </w:r>
      <w:r>
        <w:tab/>
      </w:r>
      <w:r>
        <w:rPr>
          <w:noProof/>
        </w:rPr>
        <w:t>Решението за предоставяне на финансова помощ се взима с отчитане на съществуващите и очакваните нужди на Литва, както и на исканията за финансова помощ по силата на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w:t>
      </w:r>
    </w:p>
    <w:p>
      <w:pPr>
        <w:pStyle w:val="Formuledadoption"/>
        <w:rPr>
          <w:noProof/>
        </w:rPr>
      </w:pPr>
      <w:r>
        <w:rPr>
          <w:noProof/>
        </w:rPr>
        <w:t xml:space="preserve">ПРИЕ НАСТОЯЩОТО РЕШЕНИЕ: </w:t>
      </w:r>
    </w:p>
    <w:p>
      <w:pPr>
        <w:pStyle w:val="Titrearticle"/>
        <w:rPr>
          <w:noProof/>
        </w:rPr>
      </w:pPr>
      <w:r>
        <w:rPr>
          <w:noProof/>
        </w:rPr>
        <w:t>Член 1</w:t>
      </w:r>
    </w:p>
    <w:p>
      <w:pPr>
        <w:rPr>
          <w:i/>
          <w:noProof/>
        </w:rPr>
      </w:pPr>
      <w:r>
        <w:rPr>
          <w:noProof/>
        </w:rPr>
        <w:t>Литва удовлетворява условията по член 3 от Регламент (ЕС) 2020/672.</w:t>
      </w:r>
    </w:p>
    <w:p>
      <w:pPr>
        <w:pStyle w:val="Titrearticle"/>
        <w:rPr>
          <w:noProof/>
        </w:rPr>
      </w:pPr>
      <w:r>
        <w:rPr>
          <w:noProof/>
        </w:rPr>
        <w:t>Член 2</w:t>
      </w:r>
    </w:p>
    <w:p>
      <w:pPr>
        <w:pStyle w:val="ManualNumPar1"/>
        <w:rPr>
          <w:noProof/>
        </w:rPr>
      </w:pPr>
      <w:r>
        <w:t>1.</w:t>
      </w:r>
      <w:r>
        <w:tab/>
      </w:r>
      <w:r>
        <w:rPr>
          <w:noProof/>
        </w:rPr>
        <w:t>Съюзът отпуска на Литва заем с максимален размер 602 310 000 евро. Неговият максимален среден срок до падежа е 15 години.</w:t>
      </w:r>
    </w:p>
    <w:p>
      <w:pPr>
        <w:pStyle w:val="ManualNumPar1"/>
        <w:rPr>
          <w:noProof/>
        </w:rPr>
      </w:pPr>
      <w:r>
        <w:t>2.</w:t>
      </w:r>
      <w:r>
        <w:tab/>
      </w:r>
      <w:r>
        <w:rPr>
          <w:noProof/>
        </w:rPr>
        <w:t xml:space="preserve">Периодът на усвояване на предоставената по силата на настоящото решение финансова помощ е 18 месеца, считано от датата на влизането му в сила. </w:t>
      </w:r>
    </w:p>
    <w:p>
      <w:pPr>
        <w:pStyle w:val="ManualNumPar1"/>
        <w:rPr>
          <w:noProof/>
        </w:rPr>
      </w:pPr>
      <w:r>
        <w:t>3.</w:t>
      </w:r>
      <w:r>
        <w:tab/>
      </w:r>
      <w:r>
        <w:rPr>
          <w:noProof/>
        </w:rPr>
        <w:t xml:space="preserve">Комисията предоставя на Литва финансовата помощ от Съюза чрез максимум осем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 </w:t>
      </w:r>
    </w:p>
    <w:p>
      <w:pPr>
        <w:pStyle w:val="ManualNumPar1"/>
        <w:rPr>
          <w:noProof/>
        </w:rPr>
      </w:pPr>
      <w:r>
        <w:t>4.</w:t>
      </w:r>
      <w:r>
        <w:tab/>
      </w:r>
      <w:r>
        <w:rPr>
          <w:noProof/>
        </w:rPr>
        <w:t xml:space="preserve">Отпускането на първия транш зависи от влизането в сила на споразумението за заем, посочено в член 8, параграф 2 от Регламент (ЕС) 2020/672.  </w:t>
      </w:r>
    </w:p>
    <w:p>
      <w:pPr>
        <w:pStyle w:val="ManualNumPar1"/>
        <w:rPr>
          <w:noProof/>
        </w:rPr>
      </w:pPr>
      <w:r>
        <w:t>5.</w:t>
      </w:r>
      <w:r>
        <w:tab/>
      </w:r>
      <w:r>
        <w:rPr>
          <w:noProof/>
        </w:rPr>
        <w:t xml:space="preserve">Литва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това финансиране. </w:t>
      </w:r>
    </w:p>
    <w:p>
      <w:pPr>
        <w:pStyle w:val="ManualNumPar1"/>
        <w:rPr>
          <w:noProof/>
        </w:rPr>
      </w:pPr>
      <w:r>
        <w:t>6.</w:t>
      </w:r>
      <w:r>
        <w:tab/>
      </w:r>
      <w:r>
        <w:rPr>
          <w:noProof/>
        </w:rPr>
        <w:t xml:space="preserve">Комисията определя размера и датата на отпускане на траншовете, както и размера на вноските. </w:t>
      </w:r>
    </w:p>
    <w:p>
      <w:pPr>
        <w:pStyle w:val="Titrearticle"/>
        <w:rPr>
          <w:noProof/>
        </w:rPr>
      </w:pPr>
      <w:r>
        <w:rPr>
          <w:noProof/>
        </w:rPr>
        <w:lastRenderedPageBreak/>
        <w:t xml:space="preserve">Член 3 </w:t>
      </w:r>
    </w:p>
    <w:p>
      <w:pPr>
        <w:rPr>
          <w:noProof/>
        </w:rPr>
      </w:pPr>
      <w:r>
        <w:rPr>
          <w:noProof/>
        </w:rPr>
        <w:t>Литва може да финансира следните мерки:</w:t>
      </w:r>
    </w:p>
    <w:p>
      <w:pPr>
        <w:pStyle w:val="Point0"/>
        <w:rPr>
          <w:noProof/>
        </w:rPr>
      </w:pPr>
      <w:r>
        <w:rPr>
          <w:noProof/>
        </w:rPr>
        <w:t>а)</w:t>
      </w:r>
      <w:r>
        <w:rPr>
          <w:noProof/>
        </w:rPr>
        <w:tab/>
        <w:t xml:space="preserve">субсидиране на заплатите за периода на принудителен отпуск и след това, както е предвидено в член 41 от Закона за заетостта № XII-2470; </w:t>
      </w:r>
    </w:p>
    <w:p>
      <w:pPr>
        <w:pStyle w:val="Point0"/>
        <w:rPr>
          <w:noProof/>
        </w:rPr>
      </w:pPr>
      <w:r>
        <w:rPr>
          <w:noProof/>
        </w:rPr>
        <w:t>б)</w:t>
      </w:r>
      <w:r>
        <w:rPr>
          <w:noProof/>
        </w:rPr>
        <w:tab/>
        <w:t xml:space="preserve">субсидии за самостоятелно заетите лица, както е предвидено в член 5-1 от Закона за заетостта № XII-2470; </w:t>
      </w:r>
    </w:p>
    <w:p>
      <w:pPr>
        <w:pStyle w:val="Point0"/>
        <w:rPr>
          <w:noProof/>
        </w:rPr>
      </w:pPr>
      <w:r>
        <w:rPr>
          <w:noProof/>
        </w:rPr>
        <w:t>в)</w:t>
      </w:r>
      <w:r>
        <w:rPr>
          <w:noProof/>
        </w:rPr>
        <w:tab/>
        <w:t>субсидии за самостоятелно заетите лица в селското стопанство, както е предвидено в член 5-2 от Закона за заетостта № XII-2470.</w:t>
      </w:r>
    </w:p>
    <w:p>
      <w:pPr>
        <w:pStyle w:val="Titrearticle"/>
        <w:rPr>
          <w:noProof/>
        </w:rPr>
      </w:pPr>
      <w:r>
        <w:rPr>
          <w:noProof/>
        </w:rPr>
        <w:t>Член 4</w:t>
      </w:r>
    </w:p>
    <w:p>
      <w:pPr>
        <w:rPr>
          <w:noProof/>
        </w:rPr>
      </w:pPr>
      <w:r>
        <w:rPr>
          <w:noProof/>
        </w:rPr>
        <w:t>Литва уведомява Комисията до [</w:t>
      </w:r>
      <w:r>
        <w:rPr>
          <w:i/>
          <w:noProof/>
        </w:rPr>
        <w:t>ДАТА:</w:t>
      </w:r>
      <w:r>
        <w:rPr>
          <w:noProof/>
        </w:rPr>
        <w:t xml:space="preserve"> </w:t>
      </w:r>
      <w:r>
        <w:rPr>
          <w:i/>
          <w:noProof/>
        </w:rPr>
        <w:t>6 месеца след датата на публикуване на настоящото решение</w:t>
      </w:r>
      <w:r>
        <w:rPr>
          <w:noProof/>
        </w:rPr>
        <w:t>]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pStyle w:val="Titrearticle"/>
        <w:rPr>
          <w:noProof/>
        </w:rPr>
      </w:pPr>
      <w:r>
        <w:rPr>
          <w:noProof/>
        </w:rPr>
        <w:t>Член 5</w:t>
      </w:r>
    </w:p>
    <w:p>
      <w:pPr>
        <w:keepNext/>
        <w:keepLines/>
        <w:rPr>
          <w:noProof/>
        </w:rPr>
      </w:pPr>
      <w:r>
        <w:rPr>
          <w:noProof/>
        </w:rPr>
        <w:t>Адресат на настоящото решение е Република Литва.</w:t>
      </w:r>
    </w:p>
    <w:p>
      <w:pPr>
        <w:pStyle w:val="Titrearticle"/>
        <w:rPr>
          <w:noProof/>
        </w:rPr>
      </w:pPr>
      <w:r>
        <w:rPr>
          <w:noProof/>
        </w:rPr>
        <w:t>Член 6</w:t>
      </w:r>
    </w:p>
    <w:p>
      <w:pPr>
        <w:rPr>
          <w:noProof/>
        </w:rPr>
      </w:pPr>
      <w:r>
        <w:rPr>
          <w:noProof/>
        </w:rPr>
        <w:t xml:space="preserve">Настоящото решение се публикува в </w:t>
      </w:r>
      <w:r>
        <w:rPr>
          <w:i/>
          <w:noProof/>
        </w:rPr>
        <w:t>Официален вестник на Европейския съюз</w:t>
      </w:r>
      <w:r>
        <w:rPr>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159, 20.5.2020 г., стр.1.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C8C21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AC80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16A9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22760C"/>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1:34: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EFD54C2-AE0A-4F37-A5FB-5607D80C4F85"/>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6"/>
    <w:docVar w:name="LW_REF.II.NEW.CP_YEAR" w:val="2020"/>
    <w:docVar w:name="LW_REF.INST.NEW" w:val="COM"/>
    <w:docVar w:name="LW_REF.INST.NEW_ADOPTED" w:val="final"/>
    <w:docVar w:name="LW_REF.INST.NEW_TEXT" w:val="(2020) 4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57?\u1098?\u1074?\u1077?\u1090?\u1072?, \u1085?\u1072? \u1074?\u1088?\u1077?\u1084?\u1077?\u1085?\u1085?\u1072? \u1087?\u1086?\u1076?\u1082?\u1088?\u1077?\u1087?\u1072? \u1085?\u1072? \u1051?\u1080?\u1090?\u1074?\u1072?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DCB27A2-885F-4138-8432-78E17DAE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2531</Words>
  <Characters>13976</Characters>
  <Application>Microsoft Office Word</Application>
  <DocSecurity>0</DocSecurity>
  <Lines>263</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2020-09-01T15:00:00Z</dcterms:created>
  <dcterms:modified xsi:type="dcterms:W3CDTF">2020-09-07T09:34:00Z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