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729E3A4-CEBE-4A34-B29E-44A0252C7460" style="width:450.7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Le 7 août 2020, la Bulgarie a demandé une assistance financière de l’Union au titre du règlement SURE. Conformément à l’article 6, paragraphe 2, du règlement SURE, la Commission a consulté les autorités bulgares afin de vérifier l’augmentation soudaine et très marquée des dépenses effectives et prévues, directement liées à deux mesures de subventionnement des salaires adoptées en réaction à la pandémie de COVID-19. En particulier, ces deux mesures prévoient des subventions salariales pour les entreprises qui, en raison de la pandémie de COVID-19, ont connu une réduction significative de leur activité ou de leurs revenus et qui, en l’absence de mesures, ne pourraient préserver l’emploi. La subvention salariale mensuelle versée aux entreprises admissibles au bénéfice de l’aide s’élève à 60 % du salaire brut mensuel (y compris les cotisations de sécurité sociale de l’employeur) des salariés bénéficiaires.</w:t>
      </w:r>
    </w:p>
    <w:p>
      <w:pPr>
        <w:rPr>
          <w:noProof/>
        </w:rPr>
      </w:pPr>
      <w:r>
        <w:rPr>
          <w:noProof/>
        </w:rPr>
        <w:t>La Bulgarie a fourni les informations nécessaires à la Commission.</w:t>
      </w:r>
    </w:p>
    <w:p>
      <w:pPr>
        <w:rPr>
          <w:noProof/>
        </w:rPr>
      </w:pPr>
      <w:r>
        <w:rPr>
          <w:noProof/>
        </w:rPr>
        <w:t>Compte tenu des éléments disponibles, la Commission propose au Conseil d'adopter une décision d’exécution octroyant une assistance financière à la Bulgarie au titre du règlement SURE afin de soutenir les mesures ci-dessus.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Cohérence avec les dispositions existantes dans le domaine d'action</w:t>
      </w:r>
    </w:p>
    <w:p>
      <w:pPr>
        <w:pBdr>
          <w:top w:val="nil"/>
          <w:left w:val="nil"/>
          <w:bottom w:val="nil"/>
          <w:right w:val="nil"/>
          <w:between w:val="nil"/>
          <w:bar w:val="nil"/>
        </w:pBdr>
        <w:spacing w:before="0" w:after="240"/>
        <w:rPr>
          <w:noProof/>
          <w:color w:val="000000" w:themeColor="text1"/>
        </w:rPr>
      </w:pPr>
      <w:r>
        <w:rPr>
          <w:noProof/>
        </w:rPr>
        <w:t>La présente proposition est pleinement compatible avec le règlement (UE) 2020/672 du Conseil, sur lequel elle se fonde.</w:t>
      </w:r>
    </w:p>
    <w:p>
      <w:pPr>
        <w:pBdr>
          <w:top w:val="nil"/>
          <w:left w:val="nil"/>
          <w:bottom w:val="nil"/>
          <w:right w:val="nil"/>
          <w:between w:val="nil"/>
          <w:bar w:val="nil"/>
        </w:pBdr>
        <w:spacing w:before="0" w:after="240"/>
        <w:rPr>
          <w:noProof/>
          <w:color w:val="000000" w:themeColor="text1"/>
        </w:rPr>
      </w:pPr>
      <w:r>
        <w:rPr>
          <w:noProof/>
          <w:color w:val="000000" w:themeColor="text1"/>
        </w:rPr>
        <w:t>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Cohérence avec les autres politiques de l'Union</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w:t>
      </w:r>
      <w:r>
        <w:rPr>
          <w:noProof/>
        </w:rPr>
        <w:lastRenderedPageBreak/>
        <w:t>emplois et à protéger ainsi les salariés et les travailleurs indépendants contre le risque de chômage.</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pPr>
        <w:pBdr>
          <w:top w:val="nil"/>
          <w:left w:val="nil"/>
          <w:bottom w:val="nil"/>
          <w:right w:val="nil"/>
          <w:between w:val="nil"/>
          <w:bar w:val="nil"/>
        </w:pBdr>
        <w:spacing w:before="0" w:after="240"/>
        <w:rPr>
          <w:rFonts w:eastAsia="Arial Unicode MS"/>
          <w:noProof/>
          <w:color w:val="000000" w:themeColor="text1"/>
        </w:rPr>
      </w:pPr>
      <w:r>
        <w:rPr>
          <w:noProof/>
        </w:rPr>
        <w:t>La base juridique de l’instrument est le règlement (UE) 2020/672 du Conseil.</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Subsidiarité (en cas de compétence non exclusive)</w:t>
      </w:r>
    </w:p>
    <w:p>
      <w:pPr>
        <w:pBdr>
          <w:top w:val="nil"/>
          <w:left w:val="nil"/>
          <w:bottom w:val="nil"/>
          <w:right w:val="nil"/>
          <w:between w:val="nil"/>
          <w:bar w:val="nil"/>
        </w:pBd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pBdr>
          <w:top w:val="nil"/>
          <w:left w:val="nil"/>
          <w:bottom w:val="nil"/>
          <w:right w:val="nil"/>
          <w:between w:val="nil"/>
          <w:bar w:val="nil"/>
        </w:pBdr>
        <w:spacing w:before="0" w:after="240"/>
        <w:rPr>
          <w:rFonts w:eastAsia="Arial Unicode MS"/>
          <w:noProof/>
          <w:color w:val="000000" w:themeColor="text1"/>
        </w:rPr>
      </w:pPr>
      <w:r>
        <w:rPr>
          <w:noProof/>
        </w:rPr>
        <w:t>Ce soutien aidera la population touchée et contribuera à atténuer les conséquences sociétales et économiques directes de la crise actuellement causée par la COVID-19.</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pPr>
        <w:pBdr>
          <w:top w:val="nil"/>
          <w:left w:val="nil"/>
          <w:bottom w:val="nil"/>
          <w:right w:val="nil"/>
          <w:between w:val="nil"/>
          <w:bar w:val="nil"/>
        </w:pBdr>
        <w:spacing w:before="0" w:after="240"/>
        <w:rPr>
          <w:rFonts w:eastAsia="Arial Unicode MS"/>
          <w:noProof/>
          <w:color w:val="000000" w:themeColor="text1"/>
        </w:rPr>
      </w:pPr>
      <w:r>
        <w:rPr>
          <w:noProof/>
        </w:rPr>
        <w:t>La proposition respecte le principe de proportionnalité. Elle ne va pas au-delà de ce qui est nécessaire pour atteindre les objectifs poursuivis par l’instrument.</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 des parties intéressées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Commission devrait être en mesure d’emprunter des fonds sur les marchés financiers en vue de les prêter aux États membres qui sollicitent une assistance financière au titre de l’instrument SURE.</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rPr>
          <w:noProof/>
          <w:color w:val="000000" w:themeColor="text1"/>
        </w:rPr>
      </w:pPr>
      <w:r>
        <w:rPr>
          <w:noProof/>
          <w:color w:val="000000" w:themeColor="text1"/>
        </w:rPr>
        <w:lastRenderedPageBreak/>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2020/0223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la Bulgarie un soutien temporaire au titre du règlement (UE) 2020/672 du Conseil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t xml:space="preserve"> </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7 août 2020, la Bulgarie a demandé une assistance financière de l’Union afin de compléter ses efforts nationaux pour faire face à l’impact de la pandémie de COVID-19 et à ses conséquences socioéconomiques pour les travailleurs.</w:t>
      </w:r>
    </w:p>
    <w:p>
      <w:pPr>
        <w:pStyle w:val="ManualConsidrant"/>
        <w:rPr>
          <w:noProof/>
        </w:rPr>
      </w:pPr>
      <w:r>
        <w:t>(2)</w:t>
      </w:r>
      <w:r>
        <w:tab/>
      </w:r>
      <w:r>
        <w:rPr>
          <w:noProof/>
        </w:rPr>
        <w:t>La pandémie de COVID-19 et les mesures extraordinaires mises en œuvre par la Bulgarie pour contenir la propagation de la maladie et limiter ses conséquences socioéconomiques et sanitaires devraient grever fortement les finances publiques du pays. Selon les prévisions du printemps 2020 de la Commission, la Bulgarie aurait dû afficher, fin 2020, un déficit public et une dette publique de respectivement 2,8 % et 25,5 % du produit intérieur brut (PIB). Selon les prévisions intermédiaires de l’été 2020 de la Commission, son PIB devrait diminuer de 7,1 % en 2020.</w:t>
      </w:r>
    </w:p>
    <w:p>
      <w:pPr>
        <w:pStyle w:val="ManualConsidrant"/>
        <w:rPr>
          <w:noProof/>
        </w:rPr>
      </w:pPr>
      <w:r>
        <w:t>(3)</w:t>
      </w:r>
      <w:r>
        <w:tab/>
      </w:r>
      <w:r>
        <w:rPr>
          <w:noProof/>
        </w:rPr>
        <w:t>La pandémie de COVID-19 a immobilisé une part substantielle de la main-d'œuvre en Bulgarie. Cela a conduit le pays à devoir augmenter de façon soudaine et très marquée le volume de ses dépenses publiques consacré à deux mesures de subvention salariale, comme indiqué aux considérants 4 et 5.</w:t>
      </w:r>
    </w:p>
    <w:p>
      <w:pPr>
        <w:pStyle w:val="ManualConsidrant"/>
        <w:rPr>
          <w:noProof/>
        </w:rPr>
      </w:pPr>
      <w:r>
        <w:t>(4)</w:t>
      </w:r>
      <w:r>
        <w:tab/>
      </w:r>
      <w:r>
        <w:rPr>
          <w:noProof/>
        </w:rPr>
        <w:t>Plus précisément, le «décret n° 55 du 30 mars 2020 du Conseil des ministres»</w:t>
      </w:r>
      <w:r>
        <w:rPr>
          <w:rStyle w:val="FootnoteReference"/>
          <w:noProof/>
        </w:rPr>
        <w:footnoteReference w:id="2"/>
      </w:r>
      <w:r>
        <w:rPr>
          <w:noProof/>
        </w:rPr>
        <w:t>, tel qu’il est mentionné dans la demande de la Bulgarie du 7 août 2020, a introduit une mesure qui prévoit des subventions salariales en faveur des entreprises qui, en raison de la pandémie de COVID-19, ont réduit ou interrompu leurs activités volontairement ou sous la contrainte légale. L’emploi des salariés doit être maintenu pendant la durée de la participation à la mesure et ensuite pendant une période de même durée. La subvention salariale mensuelle versée aux entreprises admissibles au bénéfice de l’aide s’élève à 60 % du salaire brut mensuel (y compris les cotisations de sécurité sociale de l’employeur) des salariés bénéficiaires.</w:t>
      </w:r>
    </w:p>
    <w:p>
      <w:pPr>
        <w:pStyle w:val="ManualConsidrant"/>
        <w:rPr>
          <w:noProof/>
        </w:rPr>
      </w:pPr>
      <w:r>
        <w:lastRenderedPageBreak/>
        <w:t>(5)</w:t>
      </w:r>
      <w:r>
        <w:tab/>
      </w:r>
      <w:r>
        <w:rPr>
          <w:noProof/>
        </w:rPr>
        <w:t>En outre, le «décret n° 151 du 3 juillet 2020 du Conseil des ministres»</w:t>
      </w:r>
      <w:r>
        <w:rPr>
          <w:rStyle w:val="FootnoteReference"/>
          <w:noProof/>
        </w:rPr>
        <w:footnoteReference w:id="3"/>
      </w:r>
      <w:r>
        <w:rPr>
          <w:noProof/>
        </w:rPr>
        <w:t>, tel qu’il est mentionné dans la demande de la Bulgarie du 7 août 2020, a introduit une mesure qui prévoit des subventions salariales en faveur des entreprises qui, en raison de la pandémie de COVID-19, ont subi une réduction de leurs revenus d’au moins 20%. L’emploi des salariés doit être maintenu pendant la durée de la participation à la mesure et ensuite pendant une période de même durée. La subvention salariale mensuelle versée aux entreprises admissibles au bénéfice de l’aide s’élève à 60 % du salaire brut mensuel (y compris les cotisations de sécurité sociale de l’employeur) des salariés bénéficiaires.</w:t>
      </w:r>
    </w:p>
    <w:p>
      <w:pPr>
        <w:pStyle w:val="ManualConsidrant"/>
        <w:rPr>
          <w:noProof/>
        </w:rPr>
      </w:pPr>
      <w:r>
        <w:t>(6)</w:t>
      </w:r>
      <w:r>
        <w:tab/>
      </w:r>
      <w:r>
        <w:rPr>
          <w:noProof/>
        </w:rPr>
        <w:t>La Bulgarie remplit les conditions pour demander une assistance financière énoncées à l’article 3 du règlement (UE) 2020/672. La Bulgarie a fourni à la Commission des éléments de preuve appropriés montrant que les dépenses publiques effectives et prévues ont augmenté, à partir du 1</w:t>
      </w:r>
      <w:r>
        <w:rPr>
          <w:noProof/>
          <w:vertAlign w:val="superscript"/>
        </w:rPr>
        <w:t>er</w:t>
      </w:r>
      <w:r>
        <w:rPr>
          <w:noProof/>
        </w:rPr>
        <w:t> février 2020, de 511 000 000 EUR en raison des mesures nationales prises pour faire face aux effets socioéconomiques de la pandémie de COVID-19. Il s'agit d’une augmentation soudaine et très marquée, car les nouvelles mesures couvrent ou sont destinées à couvrir une part importante des entreprises et de la main-d'œuvre en Bulgarie.</w:t>
      </w:r>
    </w:p>
    <w:p>
      <w:pPr>
        <w:pStyle w:val="ManualConsidrant"/>
        <w:rPr>
          <w:noProof/>
        </w:rPr>
      </w:pPr>
      <w:r>
        <w:t>(7)</w:t>
      </w:r>
      <w:r>
        <w:tab/>
      </w:r>
      <w:r>
        <w:rPr>
          <w:noProof/>
        </w:rPr>
        <w:t>La Commission a consulté la Bulgarie et a vérifié l’augmentation soudaine et très marquée des dépenses publiques effectives, ainsi que des dépenses publiques prévues, directement liées aux dispositifs de chômage partiel et aux mesures similaires mentionnés dans la demande du 7 août 2020, conformément à l’article 6 du règlement (UE) 2020/672.</w:t>
      </w:r>
    </w:p>
    <w:p>
      <w:pPr>
        <w:pStyle w:val="ManualConsidrant"/>
        <w:rPr>
          <w:noProof/>
        </w:rPr>
      </w:pPr>
      <w:r>
        <w:t>(8)</w:t>
      </w:r>
      <w:r>
        <w:tab/>
      </w:r>
      <w:r>
        <w:rPr>
          <w:noProof/>
        </w:rPr>
        <w:t>Par conséquent, il y a lieu de fournir une assistance financière à la Bulgarie afin de l'aider à faire face aux effets socioéconomiques des graves perturbations économiques engendrées par la pandémie de COVID-19.</w:t>
      </w:r>
    </w:p>
    <w:p>
      <w:pPr>
        <w:pStyle w:val="ManualConsidrant"/>
        <w:rPr>
          <w:noProof/>
        </w:rPr>
      </w:pPr>
      <w:r>
        <w:t>(9)</w:t>
      </w:r>
      <w:r>
        <w:tab/>
      </w:r>
      <w:r>
        <w:rPr>
          <w:noProof/>
        </w:rPr>
        <w:t>Il convient que la présente décision ne préjuge pas de l'issue d'éventuelles procédures relatives à des distorsions de fonctionnement du marché intérieur qui pourraient être intentées notamment en vertu des articles 107 et 108 du TFUE. La présente décision ne dispense pas les États membres de l'obligation de notifier à la Commission, conformément à l'article 108 du TFUE, les aides d'État susceptibles d'être instituées.</w:t>
      </w:r>
    </w:p>
    <w:p>
      <w:pPr>
        <w:pStyle w:val="ManualConsidrant"/>
        <w:rPr>
          <w:noProof/>
        </w:rPr>
      </w:pPr>
      <w:r>
        <w:t>(10)</w:t>
      </w:r>
      <w:r>
        <w:tab/>
      </w:r>
      <w:r>
        <w:rPr>
          <w:noProof/>
        </w:rPr>
        <w:t>La Bulgarie devrait informer régulièrement la Commission de l’exécution des dépenses publiques prévues, afin de lui permettre d'évaluer leur degré d’exécution.</w:t>
      </w:r>
    </w:p>
    <w:p>
      <w:pPr>
        <w:pStyle w:val="ManualConsidrant"/>
        <w:rPr>
          <w:noProof/>
        </w:rPr>
      </w:pPr>
      <w:r>
        <w:t>(11)</w:t>
      </w:r>
      <w:r>
        <w:tab/>
      </w:r>
      <w:r>
        <w:rPr>
          <w:noProof/>
        </w:rPr>
        <w:t>La décision de fournir une assistance financière a été prise compte tenu des besoins existants et attendus de la Bulgarie ainsi que des demandes d’assistance financière que d’autres États membres ont déjà présentées ou prévu de présenter au titre du règlement (UE) 2020/672, et dans le respect des principes d’égalité de traitement, de solidarité, de proportionnalité et de transparence,</w:t>
      </w:r>
    </w:p>
    <w:p>
      <w:pPr>
        <w:pStyle w:val="Formuledadoption"/>
        <w:rPr>
          <w:noProof/>
        </w:rPr>
      </w:pPr>
      <w:r>
        <w:rPr>
          <w:noProof/>
        </w:rPr>
        <w:t xml:space="preserve">A ADOPTÉ LA PRÉSENTE DÉCISION: </w:t>
      </w:r>
    </w:p>
    <w:p>
      <w:pPr>
        <w:pStyle w:val="Titrearticle"/>
        <w:rPr>
          <w:noProof/>
        </w:rPr>
      </w:pPr>
      <w:r>
        <w:rPr>
          <w:noProof/>
        </w:rPr>
        <w:t>Article premier</w:t>
      </w:r>
    </w:p>
    <w:p>
      <w:pPr>
        <w:rPr>
          <w:i/>
          <w:noProof/>
        </w:rPr>
      </w:pPr>
      <w:r>
        <w:rPr>
          <w:noProof/>
        </w:rPr>
        <w:t>La Bulgarie remplit les conditions énoncées à l’article 3 du règlement (UE) 2020/672.</w:t>
      </w:r>
    </w:p>
    <w:p>
      <w:pPr>
        <w:pStyle w:val="Titrearticle"/>
        <w:rPr>
          <w:noProof/>
        </w:rPr>
      </w:pPr>
      <w:r>
        <w:rPr>
          <w:noProof/>
        </w:rPr>
        <w:lastRenderedPageBreak/>
        <w:t>Article 2</w:t>
      </w:r>
    </w:p>
    <w:p>
      <w:pPr>
        <w:pStyle w:val="ManualNumPar1"/>
        <w:rPr>
          <w:noProof/>
        </w:rPr>
      </w:pPr>
      <w:r>
        <w:t>1.</w:t>
      </w:r>
      <w:r>
        <w:tab/>
      </w:r>
      <w:r>
        <w:rPr>
          <w:noProof/>
        </w:rPr>
        <w:t>L’Union met à la disposition de la Bulgarie un prêt d'un montant maximal de 511 000 000 EUR. Ce prêt a une échéance moyenne maximale de 15 ans.</w:t>
      </w:r>
    </w:p>
    <w:p>
      <w:pPr>
        <w:pStyle w:val="ManualNumPar1"/>
        <w:rPr>
          <w:noProof/>
        </w:rPr>
      </w:pPr>
      <w:r>
        <w:t>2.</w:t>
      </w:r>
      <w:r>
        <w:tab/>
      </w:r>
      <w:r>
        <w:rPr>
          <w:noProof/>
        </w:rPr>
        <w:t>L'assistance financière octroyée par la présente décision est disponible pendant 18 mois à compter du premier jour suivant l’entrée en vigueur de la présente décision.</w:t>
      </w:r>
    </w:p>
    <w:p>
      <w:pPr>
        <w:pStyle w:val="ManualNumPar1"/>
        <w:rPr>
          <w:noProof/>
        </w:rPr>
      </w:pPr>
      <w:r>
        <w:t>3.</w:t>
      </w:r>
      <w:r>
        <w:tab/>
      </w:r>
      <w:r>
        <w:rPr>
          <w:noProof/>
        </w:rPr>
        <w:t>La Commission met l’assistance financière de l’Union à la disposition de la Bulgarie en huit tranches au maximum. Une tranche peut elle-même donner lieu à un ou plusieurs versements échelonnés. Les échéances des versements échelonnés de la première tranche peuvent être plus longues que l’échéance moyenne maximale indiquée au paragraphe 1. Dans ce cas, les échéances des autres versements échelonnés sont fixées de manière à ce que l’échéance moyenne maximale indiquée au paragraphe 1 soit respectée une fois que toutes les tranches ont été versées.</w:t>
      </w:r>
    </w:p>
    <w:p>
      <w:pPr>
        <w:pStyle w:val="ManualNumPar1"/>
        <w:rPr>
          <w:noProof/>
        </w:rPr>
      </w:pPr>
      <w:r>
        <w:t>4.</w:t>
      </w:r>
      <w:r>
        <w:tab/>
      </w:r>
      <w:r>
        <w:rPr>
          <w:noProof/>
        </w:rPr>
        <w:t>Le décaissement de la première tranche est subordonné à l’entrée en vigueur de l’accord de prêt prévu à l’article 8, paragraphe 2, du règlement (UE) 2020/672.</w:t>
      </w:r>
    </w:p>
    <w:p>
      <w:pPr>
        <w:pStyle w:val="ManualNumPar1"/>
        <w:rPr>
          <w:noProof/>
        </w:rPr>
      </w:pPr>
      <w:r>
        <w:t>5.</w:t>
      </w:r>
      <w:r>
        <w:tab/>
      </w:r>
      <w:r>
        <w:rPr>
          <w:noProof/>
        </w:rPr>
        <w:t>La Bulgarie paie le coût de financement supporté par l’Union mentionné à l’article 4 du règlement (UE) 2020/672 pour chaque tranche, ainsi que tous frais, coûts et dépenses supportés par l’Union en lien avec tout financement.</w:t>
      </w:r>
    </w:p>
    <w:p>
      <w:pPr>
        <w:pStyle w:val="ManualNumPar1"/>
        <w:rPr>
          <w:noProof/>
        </w:rPr>
      </w:pPr>
      <w:r>
        <w:t>6.</w:t>
      </w:r>
      <w:r>
        <w:tab/>
      </w:r>
      <w:r>
        <w:rPr>
          <w:noProof/>
        </w:rPr>
        <w:t>La Commission décide du montant des tranches et de leur décaissement, ainsi que du montant des versements échelonnés.</w:t>
      </w:r>
    </w:p>
    <w:p>
      <w:pPr>
        <w:pStyle w:val="Titrearticle"/>
        <w:rPr>
          <w:noProof/>
        </w:rPr>
      </w:pPr>
      <w:r>
        <w:rPr>
          <w:noProof/>
        </w:rPr>
        <w:t>Article 3</w:t>
      </w:r>
    </w:p>
    <w:p>
      <w:pPr>
        <w:rPr>
          <w:noProof/>
        </w:rPr>
      </w:pPr>
      <w:r>
        <w:rPr>
          <w:noProof/>
        </w:rPr>
        <w:t>La Bulgarie peut financer les mesures suivantes:</w:t>
      </w:r>
    </w:p>
    <w:p>
      <w:pPr>
        <w:pStyle w:val="Point1"/>
        <w:rPr>
          <w:noProof/>
        </w:rPr>
      </w:pPr>
      <w:r>
        <w:t>(a)</w:t>
      </w:r>
      <w:r>
        <w:tab/>
      </w:r>
      <w:r>
        <w:rPr>
          <w:noProof/>
        </w:rPr>
        <w:t xml:space="preserve">les subventions salariales aux entreprises prévues par le décret n° 55 du 30 mars 2020 du Conseil des ministres;  </w:t>
      </w:r>
    </w:p>
    <w:p>
      <w:pPr>
        <w:pStyle w:val="Point1"/>
        <w:rPr>
          <w:noProof/>
        </w:rPr>
      </w:pPr>
      <w:r>
        <w:t>(b)</w:t>
      </w:r>
      <w:r>
        <w:tab/>
      </w:r>
      <w:r>
        <w:rPr>
          <w:noProof/>
        </w:rPr>
        <w:t>les subventions salariales aux entreprises prévues par le décret n° 151 du 3 juillet 2020 du Conseil des ministres.</w:t>
      </w:r>
    </w:p>
    <w:p>
      <w:pPr>
        <w:pStyle w:val="Titrearticle"/>
        <w:rPr>
          <w:noProof/>
        </w:rPr>
      </w:pPr>
      <w:r>
        <w:rPr>
          <w:noProof/>
        </w:rPr>
        <w:t>Article 4</w:t>
      </w:r>
    </w:p>
    <w:p>
      <w:pPr>
        <w:rPr>
          <w:noProof/>
        </w:rPr>
      </w:pPr>
      <w:r>
        <w:rPr>
          <w:noProof/>
        </w:rPr>
        <w:t>Au plus tard le [</w:t>
      </w:r>
      <w:r>
        <w:rPr>
          <w:i/>
          <w:noProof/>
        </w:rPr>
        <w:t>DATE: 6 mois après la date de publication de la présente décision</w:t>
      </w:r>
      <w:r>
        <w:rPr>
          <w:noProof/>
        </w:rPr>
        <w:t>], et ensuite tous les six mois, la Bulgarie informe la Commission de l’exécution des dépenses publiques prévues, jusqu’au moment où ces dépenses publiques prévues ont été entièrement exécutées.</w:t>
      </w:r>
    </w:p>
    <w:p>
      <w:pPr>
        <w:pStyle w:val="Titrearticle"/>
        <w:rPr>
          <w:noProof/>
        </w:rPr>
      </w:pPr>
      <w:r>
        <w:rPr>
          <w:noProof/>
        </w:rPr>
        <w:t>Article 5</w:t>
      </w:r>
    </w:p>
    <w:p>
      <w:pPr>
        <w:keepNext/>
        <w:keepLines/>
        <w:rPr>
          <w:noProof/>
        </w:rPr>
      </w:pPr>
      <w:r>
        <w:rPr>
          <w:noProof/>
        </w:rPr>
        <w:t>La République de Bulgarie est destinataire de la présente décision.</w:t>
      </w:r>
    </w:p>
    <w:p>
      <w:pPr>
        <w:pStyle w:val="Titrearticle"/>
        <w:rPr>
          <w:noProof/>
        </w:rPr>
      </w:pPr>
      <w:r>
        <w:rPr>
          <w:noProof/>
        </w:rPr>
        <w:t>Article 6</w:t>
      </w:r>
    </w:p>
    <w:p>
      <w:pPr>
        <w:rPr>
          <w:noProof/>
        </w:rPr>
      </w:pPr>
      <w:r>
        <w:rPr>
          <w:noProof/>
        </w:rPr>
        <w:t>La présente décision est publiée au</w:t>
      </w:r>
      <w:r>
        <w:rPr>
          <w:i/>
          <w:noProof/>
        </w:rPr>
        <w:t xml:space="preserve"> 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159 du 20.5.2020, p. 1.</w:t>
      </w:r>
    </w:p>
  </w:footnote>
  <w:footnote w:id="2">
    <w:p>
      <w:pPr>
        <w:pStyle w:val="FootnoteText"/>
        <w:ind w:left="142" w:hanging="142"/>
        <w:rPr>
          <w:lang w:val="fr-BE"/>
        </w:rPr>
      </w:pPr>
      <w:r>
        <w:rPr>
          <w:rStyle w:val="FootnoteReference"/>
        </w:rPr>
        <w:footnoteRef/>
      </w:r>
      <w:r>
        <w:rPr>
          <w:lang w:val="fr-BE"/>
        </w:rPr>
        <w:tab/>
        <w:t>Décret n° 55 du 30 mars 2020 du Conseil des ministres, modifié par le décret n° 71 du 16 avril 2020 et le décret n° 106 du 28 mai 2020 (Journal officiel n° 31 du 1</w:t>
      </w:r>
      <w:r>
        <w:rPr>
          <w:vertAlign w:val="superscript"/>
          <w:lang w:val="fr-BE"/>
        </w:rPr>
        <w:t>er</w:t>
      </w:r>
      <w:r>
        <w:rPr>
          <w:lang w:val="fr-BE"/>
        </w:rPr>
        <w:t> avril 2020).</w:t>
      </w:r>
    </w:p>
  </w:footnote>
  <w:footnote w:id="3">
    <w:p>
      <w:pPr>
        <w:pStyle w:val="FootnoteText"/>
        <w:ind w:left="142" w:hanging="142"/>
        <w:rPr>
          <w:lang w:val="fr-BE"/>
        </w:rPr>
      </w:pPr>
      <w:r>
        <w:rPr>
          <w:rStyle w:val="FootnoteReference"/>
        </w:rPr>
        <w:footnoteRef/>
      </w:r>
      <w:r>
        <w:rPr>
          <w:lang w:val="fr-BE"/>
        </w:rPr>
        <w:tab/>
        <w:t>Décret n° 151 du 3 juillet 2020 du Conseil des ministres (Journal officiel n° 151 du 7 juillet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454DC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3A75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D027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4EE11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3:02: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29E3A4-CEBE-4A34-B29E-44A0252C7460"/>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3"/>
    <w:docVar w:name="LW_REF.II.NEW.CP_YEAR" w:val="2020"/>
    <w:docVar w:name="LW_REF.INST.NEW" w:val="COM"/>
    <w:docVar w:name="LW_REF.INST.NEW_ADOPTED" w:val="final"/>
    <w:docVar w:name="LW_REF.INST.NEW_TEXT" w:val="(2020)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a Bulgarie un soutien temporaire au titre du règlement (UE) 2020/672 du Conseil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
    <w:name w:val="Point"/>
    <w:basedOn w:val="Poin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
    <w:name w:val="Point"/>
    <w:basedOn w:val="Poin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8316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25F92D-F670-406B-BCB8-2B2FE02F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2130</Words>
  <Characters>11588</Characters>
  <Application>Microsoft Office Word</Application>
  <DocSecurity>0</DocSecurity>
  <Lines>199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2020-09-03T14:14:00Z</dcterms:created>
  <dcterms:modified xsi:type="dcterms:W3CDTF">2020-09-07T11:02:00Z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