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6DC10BE-EE73-4349-9D4F-76E003032A46" style="width:450.75pt;height:420.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Съвета за асоцииране, създаден по силата на Споразумението за асоцииране между ЕС и Израел, във връзка с предвиденото приемане на решение за изменение на протокол 4 към посоченото споразумение.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Евро-средиземноморското споразумение за асоцииране между Европейските общности и техните държави членки, от една страна, и държавата Израел, от друга страна</w:t>
      </w:r>
    </w:p>
    <w:p>
      <w:pPr>
        <w:rPr>
          <w:rFonts w:eastAsia="Arial Unicode MS"/>
          <w:noProof/>
        </w:rPr>
      </w:pPr>
      <w:r>
        <w:rPr>
          <w:noProof/>
        </w:rPr>
        <w:t>Целта на Евро-средиземноморското споразумение за асоцииране между Европейските общности и техните държави членки, от една страна, и държавата Израел, от друга страна („споразумението“)</w:t>
      </w:r>
      <w:r>
        <w:rPr>
          <w:rStyle w:val="FootnoteReference"/>
          <w:noProof/>
        </w:rPr>
        <w:footnoteReference w:id="2"/>
      </w:r>
      <w:r>
        <w:rPr>
          <w:noProof/>
        </w:rPr>
        <w:t>, е да се създадат условия за постепенното либерализиране на търговията със стоки, услуги и капитали. Споразумението влезе в сила на 1 юни 2000 г.</w:t>
      </w:r>
    </w:p>
    <w:p>
      <w:pPr>
        <w:pStyle w:val="ManualHeading2"/>
        <w:rPr>
          <w:noProof/>
        </w:rPr>
      </w:pPr>
      <w:r>
        <w:rPr>
          <w:noProof/>
        </w:rPr>
        <w:t>2.2.</w:t>
      </w:r>
      <w:r>
        <w:rPr>
          <w:noProof/>
        </w:rPr>
        <w:tab/>
        <w:t xml:space="preserve">Съветът за асоцииране </w:t>
      </w:r>
    </w:p>
    <w:p>
      <w:pPr>
        <w:rPr>
          <w:rFonts w:eastAsia="Arial Unicode MS"/>
          <w:noProof/>
        </w:rPr>
      </w:pPr>
      <w:r>
        <w:rPr>
          <w:noProof/>
        </w:rPr>
        <w:t>Съветът за асоцииране, създаден в съответствие с разпоредбите на член 67 от споразумението, може да реши да измени разпоредбите на Протокол 4 относно определението на понятието „продукти с произход“ и методите на административно сътрудничество (член 39 от протокол 4). Съветът за асоцииране изготвя решенията и препоръките си въз основа на съгласие между двете страни.</w:t>
      </w:r>
    </w:p>
    <w:p>
      <w:pPr>
        <w:pStyle w:val="ManualHeading2"/>
        <w:rPr>
          <w:noProof/>
        </w:rPr>
      </w:pPr>
      <w:r>
        <w:rPr>
          <w:noProof/>
        </w:rPr>
        <w:t>2.3.</w:t>
      </w:r>
      <w:r>
        <w:rPr>
          <w:noProof/>
        </w:rPr>
        <w:tab/>
        <w:t>Предвиденият акт на Съвета за асоцииране</w:t>
      </w:r>
    </w:p>
    <w:p>
      <w:pPr>
        <w:rPr>
          <w:rFonts w:eastAsia="Arial Unicode MS"/>
          <w:noProof/>
        </w:rPr>
      </w:pPr>
      <w:r>
        <w:rPr>
          <w:noProof/>
        </w:rPr>
        <w:t>По време на следващото си заседание или чрез размяна на писма Съветът за асоцииране трябва да приеме решение за изменение на разпоредбите на Протокол 4 относно определението на понятието „продукти с произход“ и методите на административно сътрудничество („предвидения акт“).</w:t>
      </w:r>
    </w:p>
    <w:p>
      <w:pPr>
        <w:rPr>
          <w:rFonts w:eastAsia="Arial Unicode MS"/>
          <w:noProof/>
        </w:rPr>
      </w:pPr>
      <w:r>
        <w:rPr>
          <w:noProof/>
        </w:rPr>
        <w:t>Целта на предвидения акт е да се изменят разпоредбите на Протокол 4 относно определението на понятието „продукти с произход“ и методите на административно сътрудничество.</w:t>
      </w:r>
    </w:p>
    <w:p>
      <w:pPr>
        <w:rPr>
          <w:noProof/>
        </w:rPr>
      </w:pPr>
      <w:r>
        <w:rPr>
          <w:noProof/>
        </w:rPr>
        <w:t xml:space="preserve">Предвиденият акт ще бъде обвързващ за страните в съответствие с член 69, параграф 2 от Споразумението за асоцииране. </w:t>
      </w:r>
    </w:p>
    <w:p>
      <w:pPr>
        <w:pStyle w:val="ManualHeading1"/>
        <w:rPr>
          <w:noProof/>
        </w:rPr>
      </w:pPr>
      <w:r>
        <w:rPr>
          <w:noProof/>
        </w:rPr>
        <w:t>3.</w:t>
      </w:r>
      <w:r>
        <w:rPr>
          <w:noProof/>
        </w:rPr>
        <w:tab/>
        <w:t xml:space="preserve">Позиция, която трябва да се заеме от името на Съюза </w:t>
      </w:r>
    </w:p>
    <w:p>
      <w:pPr>
        <w:rPr>
          <w:rFonts w:eastAsia="Arial Unicode MS"/>
          <w:noProof/>
        </w:rPr>
      </w:pPr>
      <w:r>
        <w:rPr>
          <w:noProof/>
        </w:rPr>
        <w:t xml:space="preserve">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ЕС и Израел подписаха Конвенцията съответно на 15 юни 2011 г. и на 10 октомври 2013 г. </w:t>
      </w:r>
    </w:p>
    <w:p>
      <w:pPr>
        <w:rPr>
          <w:rFonts w:eastAsia="Arial Unicode MS"/>
          <w:noProof/>
        </w:rPr>
      </w:pPr>
      <w:r>
        <w:rPr>
          <w:noProof/>
        </w:rPr>
        <w:lastRenderedPageBreak/>
        <w:t>ЕС и Израел депозираха своите документи за приемане при депозитаря на Конвенцията съответно на 26 март 2012 г. и на 28 август 2014 г. В резултат на това и по силата на член 10, параграф 2 от Конвенцията тя влезе в сила съответно на 1 май 2012 г. за ЕС и на 1 декември 2017 г. за Израел.</w:t>
      </w:r>
    </w:p>
    <w:p>
      <w:pPr>
        <w:rPr>
          <w:rFonts w:eastAsia="Arial Unicode MS"/>
          <w:noProof/>
        </w:rPr>
      </w:pPr>
      <w:r>
        <w:rPr>
          <w:noProof/>
        </w:rPr>
        <w:t xml:space="preserve">В член 6 от Конвенцията се предвижда всяка договаряща страна да предприеме подходящи мерки, за да гарантира ефективното ѝ прилагане. За тази цел Съветът за асоцииране, създаден по силата на Споразумението за асоцииране между Европейските общности и техните държави членки, от една страна, и държавата Израел, от друга страна, следва да приеме решение, с което правилата от Конвенцията се въвеждат в Протокол 4 относно определението на понятието „продукти с произход“ и методите на административно сътрудничество. Това се прави, като в изменения протокол се въвежда препратка към Конвенцията, с което последната става приложима. </w:t>
      </w:r>
    </w:p>
    <w:p>
      <w:pPr>
        <w:rPr>
          <w:rFonts w:eastAsia="Arial Unicode MS"/>
          <w:noProof/>
        </w:rPr>
      </w:pPr>
      <w:r>
        <w:rPr>
          <w:noProof/>
        </w:rPr>
        <w:t xml:space="preserve">Същевременно процесът по изменение на Конвенцията, който все още е в ход, доведе като резултат до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са необходими, за да могат те да гласуват по официалното приемане и да подготвят влизането в сила на изменените правила, не могат да се определят ясни срокове за прилагането на изменената Конвенция. </w:t>
      </w:r>
    </w:p>
    <w:p>
      <w:pPr>
        <w:rPr>
          <w:noProof/>
        </w:rPr>
      </w:pPr>
      <w:r>
        <w:rPr>
          <w:noProof/>
        </w:rPr>
        <w:t xml:space="preserve">В този контекст Израел поиска да започне да прилага възможно най-скоро изменения набор от правила като алтернатива на действащите понастоящем правила на Конвенцията, в очакване на резултата от процеса по изменението им. Това искане е обяснено по-долу. </w:t>
      </w:r>
    </w:p>
    <w:p>
      <w:pPr>
        <w:rPr>
          <w:rFonts w:eastAsia="Arial Unicode MS"/>
          <w:noProof/>
        </w:rPr>
      </w:pPr>
      <w:r>
        <w:rPr>
          <w:noProof/>
        </w:rPr>
        <w:t>Тези алтернативни правила за произход са предназначени за временно прилагане — на незадължителна и двустранна основа — от ЕС и Израел, докато бъде сключено и влезе в сила изменението на Конвенцията. Изменените правила ще се прилагат като алтернатива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rPr>
          <w:rFonts w:eastAsia="Arial Unicode MS"/>
          <w:noProof/>
        </w:rPr>
      </w:pPr>
      <w:r>
        <w:rPr>
          <w:noProof/>
        </w:rPr>
        <w:t>Позицията на ЕС в рамките на Съвета за асоцииране следва да бъде определена от Съвета.</w:t>
      </w:r>
    </w:p>
    <w:p>
      <w:pPr>
        <w:rPr>
          <w:rFonts w:eastAsia="Arial Unicode MS"/>
          <w:noProof/>
        </w:rPr>
      </w:pPr>
      <w:r>
        <w:rPr>
          <w:noProof/>
        </w:rPr>
        <w:t>Доколкото са свързани с действащата понастоящем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noProof/>
        </w:rPr>
      </w:pPr>
      <w:r>
        <w:rPr>
          <w:noProof/>
        </w:rPr>
        <w:t>3.1.</w:t>
      </w:r>
      <w:r>
        <w:rPr>
          <w:noProof/>
        </w:rPr>
        <w:tab/>
        <w:t>Подробности за алтернативните правила за произход</w:t>
      </w:r>
    </w:p>
    <w:p>
      <w:pPr>
        <w:rPr>
          <w:rFonts w:eastAsia="Arial Unicode MS"/>
          <w:noProof/>
        </w:rPr>
      </w:pPr>
      <w:r>
        <w:rPr>
          <w:noProof/>
        </w:rPr>
        <w:t xml:space="preserve">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които Съюзът вече прие в други двустранни споразумения (Всеобхватното икономическо и търговско споразумение между ЕС и Канада, Споразумението за </w:t>
      </w:r>
      <w:r>
        <w:rPr>
          <w:noProof/>
        </w:rPr>
        <w:lastRenderedPageBreak/>
        <w:t>свободна търговия между ЕС и Виетнам, Споразумението за икономическо партньорство между ЕС и Япония, Споразумението за икономическо партньорство между ЕС и Южноафриканската общност за развитие) или преференциални схеми (Общата система за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В алтернативния набор от правила така наречените изисквания за плавателните съдове са опростени и предоставят повече гъвкавост. В сравнение със сегашния текст (член 5) определени условия бяха премахнати (например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(член 4) на износителя се позволява да поиска от митническите органи разрешение да изчислява цената франко завода и стойността на материалите без произход въз основа на средна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на продукта франко завода е 10 % (член 6). </w:t>
      </w:r>
    </w:p>
    <w:p>
      <w:pPr>
        <w:rPr>
          <w:rFonts w:eastAsia="Arial Unicode MS"/>
          <w:noProof/>
        </w:rPr>
      </w:pPr>
      <w:r>
        <w:rPr>
          <w:noProof/>
        </w:rPr>
        <w:t>В предложения текст (член 5)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(член 7) се запазва диагоналната кумулация за всички продукти, при условие че същият набор от алтернативни правила за произход бъде приет от участващите в кумулацията партньори.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t>Също така за продуктите от глави 50—63 от ХС се предвижда двустранна пълна кумулация. На последно място, Съюзът и Израел ще разполагат с възможността да се договорят за включване в общата пълна кумулация и на продуктите от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(член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(член 12) се постановява, че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t xml:space="preserve">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w:t>
      </w:r>
      <w:r>
        <w:rPr>
          <w:noProof/>
        </w:rPr>
        <w:lastRenderedPageBreak/>
        <w:t>затруднения; достатъчно ще бъде да отбелязват, че са използвани взаимозаменяеми материали.</w:t>
      </w:r>
    </w:p>
    <w:p>
      <w:pPr>
        <w:rPr>
          <w:rFonts w:eastAsia="Arial Unicode MS"/>
          <w:noProof/>
        </w:rPr>
      </w:pPr>
      <w:r>
        <w:rPr>
          <w:noProof/>
        </w:rPr>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Действащите понастоящем правила (член 12) позволяват при определени условия някои обработки или преработки да бъдат извършвани извън територията, с изключение на продуктите от глави 50—63 от ХС, като текстилните продукти. В предложените правила (член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забрана за промяна (член 14) се предвижда повече толеранс за движението между договарящите страни на продукти с произход. По този начин би следвало да се избегнат положенията, при които продукти, чийто статут на продукти с произход е несъмнен,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действащите понастоящем правила (член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на изискванията от страна на стопанските субекти, тъй като ще се избегнат грешките, дължащи се на сложните правила, и да се улесни управлението от страна на митническите органи. Също така това не би следвало да се отрази на капацитета за проверка на доказателствата за произход, който ще остане същият.</w:t>
      </w:r>
    </w:p>
    <w:p>
      <w:pPr>
        <w:rPr>
          <w:rFonts w:eastAsia="Arial Unicode MS"/>
          <w:noProof/>
        </w:rPr>
      </w:pPr>
      <w:r>
        <w:rPr>
          <w:noProof/>
        </w:rPr>
        <w:t>В изменените правила (член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алтернативния набор от правила, ще трябва да съдържат изявление, в което се посочват приложените правила.</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lastRenderedPageBreak/>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rPr>
          <w:noProof/>
        </w:rPr>
        <w:t>3.2.</w:t>
      </w:r>
      <w:r>
        <w:rPr>
          <w:noProof/>
        </w:rPr>
        <w:tab/>
        <w:t>Правила за списъците</w:t>
      </w:r>
    </w:p>
    <w:p>
      <w:pPr>
        <w:pStyle w:val="ManualHeading3"/>
        <w:rPr>
          <w:noProof/>
        </w:rPr>
      </w:pPr>
      <w:r>
        <w:rPr>
          <w:noProof/>
        </w:rPr>
        <w:t>3.2.1.</w:t>
      </w:r>
      <w:r>
        <w:rPr>
          <w:noProof/>
        </w:rPr>
        <w:tab/>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промяната глави и позиции по ХС са по-специално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Адаптиране спрямо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по-специално при глави 14, 15, 20 (в т.ч. позиция 2008), 23 и 24 по ХС. При алтернативния набор от правила се постига баланс между регионалните и глобалните източници на снабдяване, като например в глави 9 и 12. Правилата са опростени (намаляване на изключенията) и в глави 4, 5, 6, 8, 11 и ex глава 13.</w:t>
      </w:r>
    </w:p>
    <w:p>
      <w:pPr>
        <w:pStyle w:val="ManualHeading3"/>
        <w:rPr>
          <w:noProof/>
        </w:rPr>
      </w:pPr>
      <w:r>
        <w:rPr>
          <w:noProof/>
        </w:rPr>
        <w:t>3.2.2.</w:t>
      </w:r>
      <w:r>
        <w:rPr>
          <w:noProof/>
        </w:rPr>
        <w:tab/>
        <w:t>Промишлени продукти (без текстилни продукти)</w:t>
      </w:r>
    </w:p>
    <w:p>
      <w:pPr>
        <w:rPr>
          <w:rFonts w:eastAsia="Arial Unicode MS"/>
          <w:noProof/>
        </w:rPr>
      </w:pPr>
      <w:r>
        <w:rPr>
          <w:noProof/>
        </w:rPr>
        <w:t xml:space="preserve">В компромисното предложение се съдържат значителни промени в сравнение с действащите понастоящем правила: </w:t>
      </w:r>
    </w:p>
    <w:p>
      <w:pPr>
        <w:rPr>
          <w:rFonts w:eastAsia="Arial Unicode MS"/>
          <w:noProof/>
        </w:rPr>
      </w:pPr>
      <w:r>
        <w:rPr>
          <w:noProof/>
        </w:rPr>
        <w:t>- за редица продукти правилата в действащата понастоящем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правилата на действащата понастоящем глава на алтернативно правило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промени правилата за списъците се актуализират и осъвременяват, което на свой ред улеснява в общия случай удовлетворяването на критерия за получаване на статут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noProof/>
        </w:rPr>
      </w:pPr>
      <w:r>
        <w:rPr>
          <w:noProof/>
        </w:rPr>
        <w:t>3.2.3.</w:t>
      </w:r>
      <w:r>
        <w:rPr>
          <w:noProof/>
        </w:rPr>
        <w:tab/>
        <w:t>Текстилни продукти</w:t>
      </w:r>
    </w:p>
    <w:p>
      <w:pPr>
        <w:rPr>
          <w:rFonts w:eastAsia="Arial Unicode MS"/>
          <w:noProof/>
        </w:rPr>
      </w:pPr>
      <w:r>
        <w:rPr>
          <w:noProof/>
        </w:rPr>
        <w:t xml:space="preserve">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което </w:t>
      </w:r>
      <w:r>
        <w:rPr>
          <w:noProof/>
        </w:rPr>
        <w:lastRenderedPageBreak/>
        <w:t>ще улесни предлагането им. На последно място, пълната двустранна кумулация ще се прилага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(т.е. тъкане, предене и т.н.).</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Съветът за асоцииране е орган, създаден със споразумение, а именно Евро-средиземноморското споразумение за асоцииране между Европейските общности и техните държави членки, от една страна, и държавата Израел, от друга страна.</w:t>
      </w:r>
    </w:p>
    <w:p>
      <w:pPr>
        <w:rPr>
          <w:noProof/>
        </w:rPr>
      </w:pPr>
      <w:r>
        <w:rPr>
          <w:noProof/>
        </w:rPr>
        <w:t xml:space="preserve">Актът, който Съветът за асоцииране има за задача да приеме, представлява акт с правно действие. Предвиденият акт ще бъде обвързващ съгласно международното право в съответствие с член 69, параграф 2 от Споразумението за асоцииране.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lastRenderedPageBreak/>
        <w:t>4.3.</w:t>
      </w:r>
      <w:r>
        <w:rPr>
          <w:noProof/>
        </w:rPr>
        <w:tab/>
        <w:t>Заключение</w:t>
      </w:r>
    </w:p>
    <w:p>
      <w:pPr>
        <w:rPr>
          <w:noProof/>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rPr>
          <w:noProof/>
        </w:rPr>
        <w:t>5.</w:t>
      </w:r>
      <w:r>
        <w:rPr>
          <w:noProof/>
        </w:rPr>
        <w:tab/>
        <w:t>Отражение върху бюджета</w:t>
      </w:r>
    </w:p>
    <w:p>
      <w:pPr>
        <w:rPr>
          <w:noProof/>
        </w:rPr>
      </w:pPr>
      <w:r>
        <w:rPr>
          <w:noProof/>
        </w:rPr>
        <w:t>Предложените изменения, свързани с въвеждането на алтернативния набор от правила за произход, са продиктувани от стремежа да се осъвременят правилата за произход съобразно новите тенденции, залегнали в неотдавнашните споразумения за свободна 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rPr>
          <w:noProof/>
        </w:rPr>
      </w:pPr>
      <w:r>
        <w:rPr>
          <w:noProof/>
        </w:rPr>
        <w:t>Доказателство за произход: то ще бъде опростено, тъй като ще се използва само един тип сертификат за произход — EUR.1;</w:t>
      </w:r>
    </w:p>
    <w:p>
      <w:pPr>
        <w:rPr>
          <w:noProof/>
        </w:rPr>
      </w:pPr>
      <w:r>
        <w:rPr>
          <w:noProof/>
        </w:rPr>
        <w:t>Валидност на доказателството за произход: увеличава се толерансът при движението на продукти с произход, като валидността се увеличава от 4 на 10 месеца.</w:t>
      </w:r>
    </w:p>
    <w:p>
      <w:pPr>
        <w:rPr>
          <w:noProof/>
        </w:rPr>
      </w:pPr>
      <w:r>
        <w:rPr>
          <w:noProof/>
        </w:rPr>
        <w:t>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съвременните практики на митническите органи. Те предвиждат незадължителни облекчения в областите, които остават в компетентността на органите, без да се променят по същество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се осигурява по-голяма предвидимост, а при други е свързано с логистиката (такъв е случаят със забраната за промяна), без да засяга самата същност на правилата.</w:t>
      </w:r>
    </w:p>
    <w:p>
      <w:pPr>
        <w:rPr>
          <w:noProof/>
        </w:rPr>
      </w:pPr>
      <w:r>
        <w:rPr>
          <w:noProof/>
        </w:rPr>
        <w:t>Въпреки изменението на правилата за възстановяване на мита, забраната за възстановяване на мита се запазва в сектора на текстилните продукти и облеклата, който все още е един от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се цели затвърждаване на съществуващите модели на търговия в зоната и тяхната допълняемост, като това не следва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rPr>
          <w:rFonts w:eastAsia="Arial Unicode MS"/>
          <w:noProof/>
          <w:szCs w:val="24"/>
          <w:highlight w:val="yellow"/>
        </w:rPr>
      </w:pPr>
      <w:r>
        <w:rPr>
          <w:noProof/>
        </w:rPr>
        <w:t xml:space="preserve">Измененията на правилата за списъците в сектора на селскостопанските и преработените селскостопански стоки се състоят основно в адаптиране на методиката и не засягат същността на правилата. Съществуващите прагове, понастоящем изразявани в стойност, ще бъдат изразявани в тегло. Този критерий е по-обективен и по-лесно се контролира от митническите органи. Опростяването на правилата за отделните промишлени продукти би следвало да има ограничено отражение върху приходите от мита, тъй като в много случаи то по-скоро би довело до промени в източниците на снабдяване, отколкото до увеличаване на преференциалния внос от държавите от </w:t>
      </w:r>
      <w:r>
        <w:rPr>
          <w:noProof/>
        </w:rPr>
        <w:lastRenderedPageBreak/>
        <w:t>паневросредиземноморската зона, заменящ вноса, който по-рано е подлежал на вносни мита. Поради това отражението на тези промени върху приходите от вносни мита не може да се измери количествено. От гледна точка на търговията и на отражението ѝ върху използването на преференции, при предвидените в новите правила облекчения се акцентира върху икономическата интеграция в цялата зона — например в сектора на текстилните продукти, където използването на преференциите е вече доста значително.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увеличи наличността на материали в самата зона, а не да се насърчава вносът на материали без произход от държави извън зоната.</w:t>
      </w:r>
    </w:p>
    <w:p>
      <w:pPr>
        <w:pStyle w:val="ManualHeading1"/>
        <w:rPr>
          <w:noProof/>
        </w:rPr>
      </w:pPr>
      <w:r>
        <w:rPr>
          <w:noProof/>
        </w:rPr>
        <w:t>6.</w:t>
      </w:r>
      <w:r>
        <w:rPr>
          <w:noProof/>
        </w:rPr>
        <w:tab/>
        <w:t>Публикуване на предвидения акт</w:t>
      </w:r>
    </w:p>
    <w:p>
      <w:pPr>
        <w:rPr>
          <w:noProof/>
        </w:rPr>
      </w:pPr>
      <w:r>
        <w:rPr>
          <w:noProof/>
        </w:rPr>
        <w:t xml:space="preserve">Тъй като актът на Съвета за асоцииране ще измени Споразумението за асоцииране,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Съвета за асоцииране, създаден по силата на Евро-средиземноморското споразумение за асоцииране между Европейските общности и техните държави членки, от една страна, и държавата Израел, от друга страна, във връзка с изменението на включения в посоченото споразумение Протокол 4 относно определението на понятието „продукти с произход“ и методите на административно сътрудничество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Евро-средиземноморското споразумение за асоцииране между Европейските общности и техните държави членки, от една страна, и държавата Израел, от друга страна („споразумението“), бе сключено от Съюза с Решение 2000/384/ЕО, ЕОВС на Съвета и на Комисията</w:t>
      </w:r>
      <w:r>
        <w:rPr>
          <w:rStyle w:val="FootnoteReference"/>
          <w:noProof/>
        </w:rPr>
        <w:footnoteReference w:id="4"/>
      </w:r>
      <w:r>
        <w:rPr>
          <w:noProof/>
        </w:rPr>
        <w:t xml:space="preserve"> и влезе в сила на 1 юни 2000 г.</w:t>
      </w:r>
    </w:p>
    <w:p>
      <w:pPr>
        <w:pStyle w:val="ManualConsidrant"/>
        <w:rPr>
          <w:noProof/>
        </w:rPr>
      </w:pPr>
      <w:r>
        <w:rPr>
          <w:noProof/>
        </w:rPr>
        <w:t>(2)</w:t>
      </w:r>
      <w:r>
        <w:rPr>
          <w:noProof/>
        </w:rPr>
        <w:tab/>
        <w:t>В споразумението е включен Протокол 4 относно определението на понятието „продукти с произход“ и методите на административно сътрудничество. В съответствие с член 39 от посочения протокол Съветът за асоцииране, създаден по силата на член 67 от споразумението („Съвет за асоцииране“), може да реши да измени неговите разпоредби.</w:t>
      </w:r>
    </w:p>
    <w:p>
      <w:pPr>
        <w:pStyle w:val="ManualConsidrant"/>
        <w:rPr>
          <w:noProof/>
        </w:rPr>
      </w:pPr>
      <w:r>
        <w:rPr>
          <w:noProof/>
        </w:rPr>
        <w:t>(3)</w:t>
      </w:r>
      <w:r>
        <w:rPr>
          <w:noProof/>
        </w:rPr>
        <w:tab/>
        <w:t>По време на следващото си заседание Съветът за асоцииране трябва да приеме решение за изменение на протокол 4.</w:t>
      </w:r>
    </w:p>
    <w:p>
      <w:pPr>
        <w:pStyle w:val="ManualConsidrant"/>
        <w:rPr>
          <w:noProof/>
        </w:rPr>
      </w:pPr>
      <w:r>
        <w:rPr>
          <w:noProof/>
        </w:rPr>
        <w:t>(4)</w:t>
      </w:r>
      <w:r>
        <w:rPr>
          <w:noProof/>
        </w:rPr>
        <w:tab/>
        <w:t>Целесъобразно е да се установи позицията, която трябва да се заеме от името на Съюза в рамките на Съвета за асоцииране, тъй като решението на Съвета за асоцииране ще бъде обвързващо за Съюза.</w:t>
      </w:r>
    </w:p>
    <w:p>
      <w:pPr>
        <w:pStyle w:val="ManualConsidrant"/>
        <w:rPr>
          <w:noProof/>
        </w:rPr>
      </w:pPr>
      <w:r>
        <w:rPr>
          <w:noProof/>
        </w:rPr>
        <w:t>(5)</w:t>
      </w:r>
      <w:r>
        <w:rPr>
          <w:noProof/>
        </w:rPr>
        <w:tab/>
        <w:t>С Решение 2013/93/ЕС на Съвета</w:t>
      </w:r>
      <w:r>
        <w:rPr>
          <w:rStyle w:val="FootnoteReference"/>
          <w:noProof/>
        </w:rPr>
        <w:footnoteReference w:id="5"/>
      </w:r>
      <w:r>
        <w:rPr>
          <w:noProof/>
        </w:rPr>
        <w:t xml:space="preserve"> Съюзът сключи Регионалната конвенция за паневросредиземноморските преференциални правила за произход („Конвенцията“), която за него влезе в сила на 1 май 2012 г. В нея се съдържат разпоредби относно произхода на стоките, които се търгуват по силата на </w:t>
      </w:r>
      <w:r>
        <w:rPr>
          <w:noProof/>
        </w:rPr>
        <w:lastRenderedPageBreak/>
        <w:t>съответните споразумения, сключени между договарящите страни, като посочените разпоредби се прилагат, без да се накърняват принципите, заложени в тези споразумения.</w:t>
      </w:r>
    </w:p>
    <w:p>
      <w:pPr>
        <w:pStyle w:val="ManualConsidrant"/>
        <w:rPr>
          <w:noProof/>
        </w:rPr>
      </w:pPr>
      <w:r>
        <w:rPr>
          <w:noProof/>
        </w:rPr>
        <w:t>(6)</w:t>
      </w:r>
      <w:r>
        <w:rPr>
          <w:noProof/>
        </w:rPr>
        <w:tab/>
        <w:t>В член 6 от Конвенцията се предвижда всяка договаряща страна да предприеме подходящи мерки, за да гарантира ефективното ѝ прилагане. За тази цел Съветът за асоцииране следва да приеме решение за въвеждане в протокол 4 към споразумението на препратка към Конвенцията.</w:t>
      </w:r>
    </w:p>
    <w:p>
      <w:pPr>
        <w:pStyle w:val="ManualConsidrant"/>
        <w:rPr>
          <w:noProof/>
        </w:rPr>
      </w:pPr>
      <w:r>
        <w:rPr>
          <w:noProof/>
        </w:rPr>
        <w:t>(7)</w:t>
      </w:r>
      <w:r>
        <w:rPr>
          <w:noProof/>
        </w:rPr>
        <w:tab/>
        <w:t>Обсъжданията по изменението на Конвенцията доведоха като резултат до нов набор от модернизирани и по-гъвкави правила за произход, които ще бъдат включени в Конвенцията. Съюзът и Израел изразиха намерението си да започнат възможно най-скоро да прилагат двустранно новите правила като алтернатива на действащите понастоящем правила, в очакване на крайния резултат от процеса по изменението им,</w:t>
      </w: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рамките на Съвета за асоцииране, се основава на проекта на акт на Съвета за асоцииране, приложен към настоящото решение.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147, 21.6.2000 г., стр. 3.</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Решение на Съвета и на Комисията от 19 април 2000 г. относно сключването на Евро-средиземноморско споразумение за асоцииране между Европейските общности и техните държави членки, от една страна, и държавата Израел, от друга страна (ОВ L 147, 21.6.2000 г., стр. 1).</w:t>
      </w:r>
    </w:p>
  </w:footnote>
  <w:footnote w:id="5">
    <w:p>
      <w:pPr>
        <w:pStyle w:val="FootnoteText"/>
      </w:pPr>
      <w:r>
        <w:rPr>
          <w:rStyle w:val="FootnoteReference"/>
          <w:lang w:val="en-US"/>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8:37: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6DC10BE-EE73-4349-9D4F-76E003032A46"/>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0"/>
    <w:docVar w:name="LW_REF.II.NEW.CP_YEAR" w:val="2020"/>
    <w:docVar w:name="LW_REF.INST.NEW" w:val="COM"/>
    <w:docVar w:name="LW_REF.INST.NEW_ADOPTED" w:val="final"/>
    <w:docVar w:name="LW_REF.INST.NEW_TEXT" w:val="(2020) 4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72?\u1089?\u1086?\u1094?\u1080?\u1080?\u1088?\u1072?\u1085?\u1077?, \u1089?\u1098?\u1079?\u1076?\u1072?\u1076?\u1077?\u1085? \u1087?\u1086? \u1089?\u1080?\u1083?\u1072?\u1090?\u1072? \u1085?\u1072?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76?\u1098?\u1088?\u1078?\u1072?\u1074?\u1072?\u1090?\u1072? \u1048?\u1079?\u1088?\u1072?\u1077?\u108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4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798B2-6D97-4362-9D8F-07264F38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3560</Words>
  <Characters>20757</Characters>
  <Application>Microsoft Office Word</Application>
  <DocSecurity>0</DocSecurity>
  <Lines>377</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2020-09-01T16:24:00Z</dcterms:created>
  <dcterms:modified xsi:type="dcterms:W3CDTF">2020-09-07T16:37:00Z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