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2DD6D15-6ED9-4012-B2A9-6BD2342F07A5" style="width:451.25pt;height:451.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МИТНИЧЕСКИЯ ПОДКОМИТЕТ ЕС—ГРУЗИЯ</w:t>
      </w:r>
    </w:p>
    <w:p>
      <w:pPr>
        <w:spacing w:before="360" w:after="0"/>
        <w:jc w:val="center"/>
        <w:rPr>
          <w:b/>
          <w:noProof/>
        </w:rPr>
      </w:pPr>
      <w:r>
        <w:rPr>
          <w:b/>
          <w:noProof/>
        </w:rPr>
        <w:t>за</w:t>
      </w:r>
    </w:p>
    <w:p>
      <w:pPr>
        <w:spacing w:before="360" w:after="0"/>
        <w:jc w:val="center"/>
        <w:rPr>
          <w:b/>
          <w:noProof/>
        </w:rPr>
      </w:pPr>
      <w:r>
        <w:rPr>
          <w:b/>
          <w:noProof/>
        </w:rPr>
        <w:t>изменение на Протокол I относно определението на понятието „продукти с произход“ и методите на административно сътрудничество към</w:t>
      </w:r>
      <w:r>
        <w:rPr>
          <w:noProof/>
        </w:rPr>
        <w:t xml:space="preserve"> </w:t>
      </w:r>
      <w:r>
        <w:rPr>
          <w:b/>
          <w:noProof/>
        </w:rPr>
        <w:t>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w:t>
      </w:r>
    </w:p>
    <w:p>
      <w:pPr>
        <w:keepNext/>
        <w:spacing w:before="600"/>
        <w:rPr>
          <w:caps/>
          <w:noProof/>
        </w:rPr>
      </w:pPr>
      <w:r>
        <w:rPr>
          <w:caps/>
          <w:noProof/>
        </w:rPr>
        <w:t>МИТНИЧЕСКИЯТ ПОДКОМИТЕТ ЕС—ГРУЗИЯ,</w:t>
      </w:r>
    </w:p>
    <w:p>
      <w:pPr>
        <w:rPr>
          <w:noProof/>
        </w:rPr>
      </w:pPr>
      <w:r>
        <w:rPr>
          <w:noProof/>
        </w:rPr>
        <w:t>като взе предвид 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w:t>
      </w:r>
      <w:r>
        <w:rPr>
          <w:rStyle w:val="FootnoteReference"/>
          <w:noProof/>
        </w:rPr>
        <w:footnoteReference w:id="2"/>
      </w:r>
      <w:r>
        <w:rPr>
          <w:noProof/>
        </w:rPr>
        <w:t>, и по-специално член 3 от неговия Протокол I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rPr>
          <w:noProof/>
        </w:rPr>
      </w:pPr>
      <w:r>
        <w:rPr>
          <w:noProof/>
        </w:rPr>
        <w:t>Член 23, параграф 2 от 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 („споразумението“), се отнася до протокол I към споразумението („протокол I“), в който се определят правилата за произход.</w:t>
      </w:r>
    </w:p>
    <w:p>
      <w:pPr>
        <w:pStyle w:val="Point0number"/>
        <w:ind w:left="851" w:hanging="851"/>
        <w:rPr>
          <w:noProof/>
        </w:rPr>
      </w:pPr>
      <w:r>
        <w:rPr>
          <w:noProof/>
        </w:rPr>
        <w:t>В член 3 от протокол I се посочва, че създаденият по силата на член 74, параграф 1 от споразумението Митническият подкомитет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Съюзът подписа Конвенцията на 15 юни 2011 г. С Решение № 1/2016 Съвместният комитет, създаден по силата на член 3, параграф 1 от Конвенцията, реши, че Грузия следва да бъде поканена да се присъедини към Конвенцията.</w:t>
      </w:r>
    </w:p>
    <w:p>
      <w:pPr>
        <w:pStyle w:val="Point0number"/>
        <w:rPr>
          <w:noProof/>
        </w:rPr>
      </w:pPr>
      <w:r>
        <w:rPr>
          <w:noProof/>
        </w:rPr>
        <w:t xml:space="preserve">Европейският съюз и Грузия депозираха своите документи за приемане при депозитаря на Конвенцията съответно на 26 март 2012 г. и на 17 май 2017 г. В резултат на това и по силата на член 10, параграф 3 от Конвенцията тя влезе в </w:t>
      </w:r>
      <w:r>
        <w:rPr>
          <w:noProof/>
        </w:rPr>
        <w:lastRenderedPageBreak/>
        <w:t>сила съответно на 1 май 2012 г. за Европейския съюз и на 1 юли 2017 г. за Грузия.</w:t>
      </w:r>
    </w:p>
    <w:p>
      <w:pPr>
        <w:pStyle w:val="Point0number"/>
        <w:rPr>
          <w:noProof/>
        </w:rPr>
      </w:pPr>
      <w:r>
        <w:rPr>
          <w:noProof/>
        </w:rPr>
        <w:t>С Решение № 1/2018 на Митническия подкомитет ЕС—Грузия от 20 март 2018 г.</w:t>
      </w:r>
      <w:r>
        <w:rPr>
          <w:rStyle w:val="FootnoteReference"/>
          <w:noProof/>
        </w:rPr>
        <w:footnoteReference w:id="4"/>
      </w:r>
      <w:r>
        <w:rPr>
          <w:noProof/>
        </w:rPr>
        <w:t xml:space="preserve"> протокол I бе заменен с нов протокол, в който се съдържа препратка към Конвенцията.</w:t>
      </w:r>
    </w:p>
    <w:p>
      <w:pPr>
        <w:pStyle w:val="Point0number"/>
        <w:rPr>
          <w:noProof/>
        </w:rPr>
      </w:pPr>
      <w:r>
        <w:rPr>
          <w:noProof/>
        </w:rPr>
        <w:t>Европейският съюз и Грузия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I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I относно определението на понятието „продукти с произход“ и методите на административно сътрудничество към Споразумението за асоцииране между Европейския съюз и Европейската общност за атомна енергия и техните държави членки, от една страна, и Грузия,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Митническия подкомитет</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I</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5"/>
      </w:r>
      <w:r>
        <w:rPr>
          <w:noProof/>
        </w:rPr>
        <w:t xml:space="preserve"> във вида, в който тя може впоследствие да бъде изменена и публикувана в </w:t>
      </w:r>
      <w:r>
        <w:rPr>
          <w:i/>
          <w:iCs/>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rPr>
          <w:noProof/>
        </w:rPr>
      </w:pP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Грузия.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Митническия подкомитет.</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Митническият подкомитет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Грузия изпрати писмено предизвестие до депозитаря на Конвенцията за намерението си да се оттегли от Конвенцията съгласно член 9 от нея, Европейският съюз и Грузия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Грузия.</w:t>
      </w:r>
    </w:p>
    <w:p>
      <w:pPr>
        <w:rPr>
          <w:noProof/>
        </w:rPr>
      </w:pP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Грузия,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6"/>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Митническия подкомитет по искане на някоя от страните. При извършване на това преразглеждане Митническият подкомитет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асоцииране.</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Грузия съответно от Европейския съюз, Исландия, Лихтенщайн или Норвегия, при условие че между Грузия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Грузия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7"/>
      </w:r>
      <w:r>
        <w:rPr>
          <w:noProof/>
        </w:rPr>
        <w:t>. Грузия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8"/>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Грузия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Грузия:</w:t>
      </w:r>
    </w:p>
    <w:p>
      <w:pPr>
        <w:pStyle w:val="Point3"/>
        <w:rPr>
          <w:noProof/>
        </w:rPr>
      </w:pPr>
      <w:r>
        <w:rPr>
          <w:noProof/>
        </w:rPr>
        <w:t>а)</w:t>
      </w:r>
      <w:r>
        <w:rPr>
          <w:noProof/>
        </w:rPr>
        <w:tab/>
        <w:t>продуктите, изцяло получени в Грузия;</w:t>
      </w:r>
    </w:p>
    <w:p>
      <w:pPr>
        <w:pStyle w:val="Point3"/>
        <w:rPr>
          <w:noProof/>
        </w:rPr>
      </w:pPr>
      <w:r>
        <w:rPr>
          <w:noProof/>
        </w:rPr>
        <w:t>б)</w:t>
      </w:r>
      <w:r>
        <w:rPr>
          <w:noProof/>
        </w:rPr>
        <w:tab/>
        <w:t>продуктите, получени в Грузия,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ind w:left="0" w:firstLine="0"/>
        <w:rPr>
          <w:noProof/>
        </w:rPr>
      </w:pPr>
    </w:p>
    <w:p>
      <w:pPr>
        <w:pStyle w:val="Point1"/>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szCs w:val="20"/>
              </w:rPr>
            </w:pP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261, 30.8.2014 г., стр. 4.</w:t>
      </w:r>
    </w:p>
  </w:footnote>
  <w:footnote w:id="3">
    <w:p>
      <w:pPr>
        <w:pStyle w:val="FootnoteText"/>
      </w:pPr>
      <w:r>
        <w:rPr>
          <w:rStyle w:val="FootnoteReference"/>
        </w:rPr>
        <w:footnoteRef/>
      </w:r>
      <w:r>
        <w:tab/>
        <w:t>ОВ L 54, 26.2.2013 г., стр. 4.</w:t>
      </w:r>
    </w:p>
  </w:footnote>
  <w:footnote w:id="4">
    <w:p>
      <w:r>
        <w:rPr>
          <w:rStyle w:val="FootnoteReference"/>
        </w:rPr>
        <w:footnoteRef/>
      </w:r>
      <w:r>
        <w:tab/>
      </w:r>
      <w:r>
        <w:rPr>
          <w:rStyle w:val="FootnoteTextChar"/>
          <w:lang w:val="bg-BG"/>
        </w:rPr>
        <w:t xml:space="preserve">ОВ </w:t>
      </w:r>
      <w:r>
        <w:rPr>
          <w:rStyle w:val="FootnoteTextChar"/>
        </w:rPr>
        <w:t>L </w:t>
      </w:r>
      <w:r>
        <w:rPr>
          <w:rStyle w:val="FootnoteTextChar"/>
          <w:lang w:val="bg-BG"/>
        </w:rPr>
        <w:t>140, 6.6.2018</w:t>
      </w:r>
      <w:r>
        <w:rPr>
          <w:rStyle w:val="FootnoteTextChar"/>
        </w:rPr>
        <w:t> </w:t>
      </w:r>
      <w:r>
        <w:rPr>
          <w:rStyle w:val="FootnoteTextChar"/>
          <w:lang w:val="bg-BG"/>
        </w:rPr>
        <w:t>г., стр.</w:t>
      </w:r>
      <w:r>
        <w:rPr>
          <w:rStyle w:val="FootnoteTextChar"/>
        </w:rPr>
        <w:t> </w:t>
      </w:r>
      <w:r>
        <w:rPr>
          <w:rStyle w:val="FootnoteTextChar"/>
          <w:lang w:val="bg-BG"/>
        </w:rPr>
        <w:t>107—109.</w:t>
      </w:r>
    </w:p>
  </w:footnote>
  <w:footnote w:id="5">
    <w:p>
      <w:pPr>
        <w:pStyle w:val="FootnoteText"/>
      </w:pPr>
      <w:r>
        <w:rPr>
          <w:rStyle w:val="FootnoteReference"/>
        </w:rPr>
        <w:footnoteRef/>
      </w:r>
      <w:r>
        <w:tab/>
        <w:t>ОВ L 54, 26.2.2013 г., стр. 4.</w:t>
      </w:r>
    </w:p>
  </w:footnote>
  <w:footnote w:id="6">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7">
    <w:p>
      <w:pPr>
        <w:pStyle w:val="FootnoteText"/>
      </w:pPr>
      <w:r>
        <w:rPr>
          <w:rStyle w:val="FootnoteReference"/>
        </w:rPr>
        <w:footnoteRef/>
      </w:r>
      <w:r>
        <w:tab/>
      </w:r>
      <w:r>
        <w:rPr>
          <w:sz w:val="18"/>
          <w:szCs w:val="18"/>
        </w:rPr>
        <w:t>OВ ЕО L 302, 15.11.1985 г., стр. 23.</w:t>
      </w:r>
    </w:p>
  </w:footnote>
  <w:footnote w:id="8">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50:31"/>
    <w:docVar w:name="DQCNUMB_1" w:val="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4"/>
    <w:docVar w:name="DQCResult_UnknownFonts" w:val="0;0"/>
    <w:docVar w:name="DQCResult_UnknownStyles" w:val="0;4"/>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2DD6D15-6ED9-4012-B2A9-6BD2342F07A5"/>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80?\u1090?\u1085?\u1080?\u1095?\u1077?\u1089?\u1082?\u1080?\u1103?\u1090?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43?\u1088?\u1091?\u1079?\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80?\u1090?\u1085?\u1080?\u1095?\u1077?\u1089?\u1082?\u1080?\u1103?\u1090?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43?\u1088?\u1091?\u1079?\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4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ChapterTitlefc">
    <w:name w:val="ChapterTitle"/>
    <w:basedOn w:val="Normal"/>
    <w:next w:val="Normal"/>
    <w:pPr>
      <w:keepNext/>
      <w:spacing w:after="360"/>
      <w:jc w:val="center"/>
    </w:pPr>
    <w:rPr>
      <w:b/>
      <w:sz w:val="32"/>
    </w:rPr>
  </w:style>
  <w:style w:type="paragraph" w:customStyle="1" w:styleId="PartTitlefc">
    <w:name w:val="PartTitle"/>
    <w:basedOn w:val="Normal"/>
    <w:next w:val="ChapterTitlefc"/>
    <w:pPr>
      <w:keepNext/>
      <w:pageBreakBefore/>
      <w:spacing w:after="360"/>
      <w:jc w:val="center"/>
    </w:pPr>
    <w:rPr>
      <w:b/>
      <w:sz w:val="36"/>
    </w:rPr>
  </w:style>
  <w:style w:type="paragraph" w:customStyle="1" w:styleId="ChapterTitlefd">
    <w:name w:val="ChapterTitle"/>
    <w:basedOn w:val="Normal"/>
    <w:next w:val="Normal"/>
    <w:pPr>
      <w:keepNext/>
      <w:spacing w:after="360"/>
      <w:jc w:val="center"/>
    </w:pPr>
    <w:rPr>
      <w:b/>
      <w:sz w:val="32"/>
    </w:rPr>
  </w:style>
  <w:style w:type="paragraph" w:customStyle="1" w:styleId="PartTitlefd">
    <w:name w:val="PartTitle"/>
    <w:basedOn w:val="Normal"/>
    <w:next w:val="ChapterTitlefd"/>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e">
    <w:name w:val="ChapterTitle"/>
    <w:basedOn w:val="Normal"/>
    <w:next w:val="Normal"/>
    <w:pPr>
      <w:keepNext/>
      <w:spacing w:after="360"/>
      <w:jc w:val="center"/>
    </w:pPr>
    <w:rPr>
      <w:b/>
      <w:sz w:val="32"/>
    </w:rPr>
  </w:style>
  <w:style w:type="paragraph" w:customStyle="1" w:styleId="PartTitlefe">
    <w:name w:val="PartTitle"/>
    <w:basedOn w:val="Normal"/>
    <w:next w:val="ChapterTitlef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ChapterTitlefc">
    <w:name w:val="ChapterTitle"/>
    <w:basedOn w:val="Normal"/>
    <w:next w:val="Normal"/>
    <w:pPr>
      <w:keepNext/>
      <w:spacing w:after="360"/>
      <w:jc w:val="center"/>
    </w:pPr>
    <w:rPr>
      <w:b/>
      <w:sz w:val="32"/>
    </w:rPr>
  </w:style>
  <w:style w:type="paragraph" w:customStyle="1" w:styleId="PartTitlefc">
    <w:name w:val="PartTitle"/>
    <w:basedOn w:val="Normal"/>
    <w:next w:val="ChapterTitlefc"/>
    <w:pPr>
      <w:keepNext/>
      <w:pageBreakBefore/>
      <w:spacing w:after="360"/>
      <w:jc w:val="center"/>
    </w:pPr>
    <w:rPr>
      <w:b/>
      <w:sz w:val="36"/>
    </w:rPr>
  </w:style>
  <w:style w:type="paragraph" w:customStyle="1" w:styleId="ChapterTitlefd">
    <w:name w:val="ChapterTitle"/>
    <w:basedOn w:val="Normal"/>
    <w:next w:val="Normal"/>
    <w:pPr>
      <w:keepNext/>
      <w:spacing w:after="360"/>
      <w:jc w:val="center"/>
    </w:pPr>
    <w:rPr>
      <w:b/>
      <w:sz w:val="32"/>
    </w:rPr>
  </w:style>
  <w:style w:type="paragraph" w:customStyle="1" w:styleId="PartTitlefd">
    <w:name w:val="PartTitle"/>
    <w:basedOn w:val="Normal"/>
    <w:next w:val="ChapterTitlefd"/>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e">
    <w:name w:val="ChapterTitle"/>
    <w:basedOn w:val="Normal"/>
    <w:next w:val="Normal"/>
    <w:pPr>
      <w:keepNext/>
      <w:spacing w:after="360"/>
      <w:jc w:val="center"/>
    </w:pPr>
    <w:rPr>
      <w:b/>
      <w:sz w:val="32"/>
    </w:rPr>
  </w:style>
  <w:style w:type="paragraph" w:customStyle="1" w:styleId="PartTitlefe">
    <w:name w:val="PartTitle"/>
    <w:basedOn w:val="Normal"/>
    <w:next w:val="ChapterTitlef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9E8F-F6CC-4E1F-8C2A-79454DD2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142</Pages>
  <Words>29439</Words>
  <Characters>170748</Characters>
  <Application>Microsoft Office Word</Application>
  <DocSecurity>0</DocSecurity>
  <Lines>4743</Lines>
  <Paragraphs>2383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2020-09-04T16:25:00Z</dcterms:created>
  <dcterms:modified xsi:type="dcterms:W3CDTF">2020-09-07T16:50:00Z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