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86DA939-8FBC-4B10-B3FA-5FB492536147"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Conseil d’association de l’accord d’association UE-Jordanie, dans la perspective de l’adoption envisagée d’une décision portant modification du protocole nº 3 de l’accord d’association UE-Jordanie.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euro-méditerranéen établissant une association entre les Communautés européennes et leurs États membres, d’une part, et le Royaume hachémite de Jordanie, d’autre part</w:t>
      </w:r>
    </w:p>
    <w:p>
      <w:pPr>
        <w:rPr>
          <w:rFonts w:eastAsia="Arial Unicode MS"/>
          <w:noProof/>
        </w:rPr>
      </w:pPr>
      <w:r>
        <w:rPr>
          <w:noProof/>
        </w:rPr>
        <w:t>L’accord euro-méditerranéen établissant une association entre les Communautés européennes et leurs États membres, d’une part, et le Royaume hachémite de Jordanie, d’autre part</w:t>
      </w:r>
      <w:r>
        <w:rPr>
          <w:rStyle w:val="FootnoteReference"/>
          <w:noProof/>
        </w:rPr>
        <w:footnoteReference w:id="2"/>
      </w:r>
      <w:r>
        <w:rPr>
          <w:noProof/>
        </w:rPr>
        <w:t>, (l’«accord») vise à fixer les conditions de la libéralisation progressive des échanges de biens, de services et de capitaux. L’accord est entré en vigueur le 1</w:t>
      </w:r>
      <w:r>
        <w:rPr>
          <w:noProof/>
          <w:vertAlign w:val="superscript"/>
        </w:rPr>
        <w:t>er</w:t>
      </w:r>
      <w:r>
        <w:rPr>
          <w:noProof/>
        </w:rPr>
        <w:t> mai 2002.</w:t>
      </w:r>
    </w:p>
    <w:p>
      <w:pPr>
        <w:pStyle w:val="ManualHeading2"/>
        <w:rPr>
          <w:noProof/>
        </w:rPr>
      </w:pPr>
      <w:r>
        <w:rPr>
          <w:noProof/>
        </w:rPr>
        <w:t>2.2.</w:t>
      </w:r>
      <w:r>
        <w:rPr>
          <w:noProof/>
        </w:rPr>
        <w:tab/>
        <w:t>Le Conseil d’association</w:t>
      </w:r>
    </w:p>
    <w:p>
      <w:pPr>
        <w:rPr>
          <w:rFonts w:eastAsia="Arial Unicode MS"/>
          <w:noProof/>
        </w:rPr>
      </w:pPr>
      <w:r>
        <w:rPr>
          <w:noProof/>
        </w:rPr>
        <w:t>Le Conseil d’association institué conformément aux dispositions de l’article 89 de l’accord peut décider de modifier les dispositions du protocole nº 3 relatif à la définition de la notion de «produits originaires» et aux méthodes de coopération administrative (article 39 du protocole nº 3). Le Conseil d’association arrête ses décisions et formule ses recommandations d’un commun accord entre les deux parties.</w:t>
      </w:r>
    </w:p>
    <w:p>
      <w:pPr>
        <w:pStyle w:val="ManualHeading2"/>
        <w:rPr>
          <w:noProof/>
        </w:rPr>
      </w:pPr>
      <w:r>
        <w:rPr>
          <w:noProof/>
        </w:rPr>
        <w:t>2.3.</w:t>
      </w:r>
      <w:r>
        <w:rPr>
          <w:noProof/>
        </w:rPr>
        <w:tab/>
        <w:t>L’acte envisagé du Conseil d’association</w:t>
      </w:r>
    </w:p>
    <w:p>
      <w:pPr>
        <w:rPr>
          <w:rFonts w:eastAsia="Arial Unicode MS"/>
          <w:noProof/>
        </w:rPr>
      </w:pPr>
      <w:r>
        <w:rPr>
          <w:noProof/>
        </w:rPr>
        <w:t>Lors de sa prochaine réunion ou par échange de lettres, le Conseil d’association doit adopter une décision relative à la modification des dispositions du protocole nº 3 relatif à la définition de la notion de «produits originaires» et aux méthodes de coopération administrative (l’«acte envisagé»).</w:t>
      </w:r>
    </w:p>
    <w:p>
      <w:pPr>
        <w:rPr>
          <w:rFonts w:eastAsia="Arial Unicode MS"/>
          <w:noProof/>
        </w:rPr>
      </w:pPr>
      <w:r>
        <w:rPr>
          <w:noProof/>
        </w:rPr>
        <w:t>L’acte envisagé a pour objectif de modifier les dispositions du protocole nº 3 relatif à la définition de la notion de «produits originaires» et aux méthodes de coopération administrative.</w:t>
      </w:r>
    </w:p>
    <w:p>
      <w:pPr>
        <w:rPr>
          <w:noProof/>
        </w:rPr>
      </w:pPr>
      <w:r>
        <w:rPr>
          <w:noProof/>
        </w:rPr>
        <w:t>L’acte envisagé deviendra contraignant pour les parties conformément à l’article 91, paragraphe 2, de l’accord d’association.</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la Jordanie ont respectivement signé la convention le 15 juin 2011 et le 22 juillet 2011.</w:t>
      </w:r>
    </w:p>
    <w:p>
      <w:pPr>
        <w:rPr>
          <w:rFonts w:eastAsia="Arial Unicode MS"/>
          <w:noProof/>
        </w:rPr>
      </w:pPr>
      <w:r>
        <w:rPr>
          <w:noProof/>
        </w:rPr>
        <w:t xml:space="preserve">L’Union européenne et la Jordanie ont déposé leur instrument d’acceptation auprès du dépositaire de la convention respectivement le 26 mars 2012 et le 16 août 2013. En conséquence, conformément à son article 10, paragraphe 2, la convention est entrée en </w:t>
      </w:r>
      <w:r>
        <w:rPr>
          <w:noProof/>
        </w:rPr>
        <w:lastRenderedPageBreak/>
        <w:t>vigueur pour l’Union européenne et pour la Jordanie respectivement le 1</w:t>
      </w:r>
      <w:r>
        <w:rPr>
          <w:noProof/>
          <w:vertAlign w:val="superscript"/>
        </w:rPr>
        <w:t>er</w:t>
      </w:r>
      <w:r>
        <w:rPr>
          <w:noProof/>
        </w:rPr>
        <w:t> mai 2012 et le 1</w:t>
      </w:r>
      <w:r>
        <w:rPr>
          <w:noProof/>
          <w:vertAlign w:val="superscript"/>
        </w:rPr>
        <w:t>er</w:t>
      </w:r>
      <w:r>
        <w:rPr>
          <w:noProof/>
        </w:rPr>
        <w:t> octobre 2013.</w:t>
      </w:r>
    </w:p>
    <w:p>
      <w:pPr>
        <w:rPr>
          <w:rFonts w:eastAsia="Arial Unicode MS"/>
          <w:noProof/>
        </w:rPr>
      </w:pPr>
      <w:r>
        <w:rPr>
          <w:noProof/>
        </w:rPr>
        <w:t>L’article 6 de la convention dispose que chaque partie contractante arrête les mesures appropriées pour assurer l’application effective de la convention. À cet effet, le Conseil d’association institué par l’accord d’association entre les Communautés européennes et leurs États membres, d’une part, et le Royaume hachémite de Jordanie, d’autre part, devrait adopter une décision introduisant les règles de la convention dans le protocole nº 3 relatif à la définition de la notion de «produits originaires» et aux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la Jordanie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la Jordanie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Conseil d’association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 xml:space="preserve">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w:t>
      </w:r>
      <w:r>
        <w:rPr>
          <w:noProof/>
        </w:rPr>
        <w:lastRenderedPageBreak/>
        <w:t>ou régimes préférentiels (système de préférences généralisées). Les principales modifications sont les suivantes:</w:t>
      </w:r>
    </w:p>
    <w:p>
      <w:pPr>
        <w:rPr>
          <w:rFonts w:eastAsia="Arial Unicode MS"/>
          <w:noProof/>
        </w:rPr>
      </w:pPr>
    </w:p>
    <w:p>
      <w:pPr>
        <w:pStyle w:val="Point1"/>
        <w:rPr>
          <w:noProof/>
        </w:rPr>
      </w:pPr>
      <w:r>
        <w:rPr>
          <w:noProof/>
        </w:rPr>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la Jordanie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lastRenderedPageBreak/>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lastRenderedPageBreak/>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lastRenderedPageBreak/>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Conseil d’association est une instance créée par un accord, à savoir l’accord euro-méditerranéen établissant une association entre les Communautés européennes et leurs États membres, d’une part, et le Royaume hachémite de Jordanie, d’autre part.</w:t>
      </w:r>
    </w:p>
    <w:p>
      <w:pPr>
        <w:rPr>
          <w:noProof/>
        </w:rPr>
      </w:pPr>
      <w:r>
        <w:rPr>
          <w:noProof/>
        </w:rPr>
        <w:t>L’acte que le Conseil d’association est appelé à adopter est un acte ayant des effets juridiques. L’acte envisagé sera contraignant en vertu du droit international, conformément à l’article 91, paragraphe 2, de l’accord d’association.</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lastRenderedPageBreak/>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 xml:space="preserve">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w:t>
      </w:r>
      <w:r>
        <w:rPr>
          <w:noProof/>
        </w:rPr>
        <w:lastRenderedPageBreak/>
        <w:t>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de l’acte envisagé</w:t>
      </w:r>
    </w:p>
    <w:p>
      <w:pPr>
        <w:rPr>
          <w:noProof/>
        </w:rPr>
      </w:pPr>
      <w:r>
        <w:rPr>
          <w:noProof/>
        </w:rPr>
        <w:t xml:space="preserve">Étant donné que l’acte du Conseil d’association modifiera l’accord d’association,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d’association institué par l’accord euro-méditerranéen établissant une association entre les Communautés européennes et leurs États membres, d’une part, et le Royaume hachémite de Jordanie, d’autre part, en ce qui concerne la modification du protocole nº 3 dudit accord relatif à la définition de la notion de «produits originaires» et aux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euro-méditerranéen établissant une association entre les Communautés européennes et leurs États membres, d’une part, et le Royaume hachémite de Jordanie, d’autre part, (l'«accord») a été conclu par l’Union en vertu de la décision 2002/357/CE, CECA du Conseil et de la Commission</w:t>
      </w:r>
      <w:r>
        <w:rPr>
          <w:rStyle w:val="FootnoteReference"/>
          <w:noProof/>
        </w:rPr>
        <w:footnoteReference w:id="4"/>
      </w:r>
      <w:r>
        <w:rPr>
          <w:noProof/>
        </w:rPr>
        <w:t xml:space="preserve"> et est entré en vigueur le 1</w:t>
      </w:r>
      <w:r>
        <w:rPr>
          <w:noProof/>
          <w:vertAlign w:val="superscript"/>
        </w:rPr>
        <w:t>er</w:t>
      </w:r>
      <w:r>
        <w:rPr>
          <w:noProof/>
        </w:rPr>
        <w:t> mai 2002.</w:t>
      </w:r>
    </w:p>
    <w:p>
      <w:pPr>
        <w:pStyle w:val="ManualConsidrant"/>
        <w:rPr>
          <w:noProof/>
        </w:rPr>
      </w:pPr>
      <w:r>
        <w:rPr>
          <w:noProof/>
        </w:rPr>
        <w:t>(2)</w:t>
      </w:r>
      <w:r>
        <w:rPr>
          <w:noProof/>
        </w:rPr>
        <w:tab/>
        <w:t>Le protocole nº 3 relatif à la définition de la notion de «produits originaires» et aux méthodes de coopération administrative fait partie de l’accord. En vertu de l’article 39 dudit protocole, le Conseil d’association institué par l’article 89 de l’accord (le «Conseil d’association») peut décider de modifier ses dispositions.</w:t>
      </w:r>
    </w:p>
    <w:p>
      <w:pPr>
        <w:pStyle w:val="ManualConsidrant"/>
        <w:rPr>
          <w:noProof/>
        </w:rPr>
      </w:pPr>
      <w:r>
        <w:rPr>
          <w:noProof/>
        </w:rPr>
        <w:t>(3)</w:t>
      </w:r>
      <w:r>
        <w:rPr>
          <w:noProof/>
        </w:rPr>
        <w:tab/>
        <w:t>Le Conseil d’association doit adopter une décision concernant la modification du protocole nº 3 lors de sa prochaine réunion.</w:t>
      </w:r>
    </w:p>
    <w:p>
      <w:pPr>
        <w:pStyle w:val="ManualConsidrant"/>
        <w:rPr>
          <w:noProof/>
        </w:rPr>
      </w:pPr>
      <w:r>
        <w:rPr>
          <w:noProof/>
        </w:rPr>
        <w:t>(4)</w:t>
      </w:r>
      <w:r>
        <w:rPr>
          <w:noProof/>
        </w:rPr>
        <w:tab/>
        <w:t>Il y a lieu d’établir la position à prendre, au nom de l’Union, au sein du Conseil d’association, dès lors que la décision du Conseil d’association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lastRenderedPageBreak/>
        <w:t>(6)</w:t>
      </w:r>
      <w:r>
        <w:rPr>
          <w:noProof/>
        </w:rPr>
        <w:tab/>
        <w:t>L’article 6 de la convention dispose que chaque partie contractante doit arrêter les mesures appropriées pour assurer l’application effective de la convention. À cet effet, le Conseil d’association devrait adopter une décision introduisant dans le protocole nº 3 de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la Jordanie ont fait part de leur volonté d’appliquer les nouvelles règles dès que possible, de manière bilatérale, à titre de règles de substitution aux règles en vigueur, dans l’attente du résultat final du processus de modification,</w:t>
      </w: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Conseil d’association, est fondée sur le projet d’acte du Conseil d’association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129 du 15.5.2002, p. 3.</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et de la Commission du 26 mars 2002 relative à la conclusion de l’accord euro-méditerranéen établissant une association entre les Communautés européennes et leurs États membres, d’une part, et le Royaume hachémite de Jordanie, d’autre part (JO L 129 du 15.5.2002, p. 1).</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8:47:4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986DA939-8FBC-4B10-B3FA-5FB492536147"/>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8"/>
    <w:docVar w:name="LW_REF.II.NEW.CP_YEAR" w:val="2020"/>
    <w:docVar w:name="LW_REF.INST.NEW" w:val="COM"/>
    <w:docVar w:name="LW_REF.INST.NEW_ADOPTED" w:val="final"/>
    <w:docVar w:name="LW_REF.INST.NEW_TEXT" w:val="(2020)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u8217?association institué par l\u8217?accord euro-méditerranéen établissant une association entre les Communautés européennes et leurs États membres, d\u8217?une part, et le Royaume hachémite de Jordanie, d\u8217?autre part, en ce qui concerne la modification du protocole nº 3 dudit accord relatif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96944-3A11-4084-BEF7-302F44C5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3887</Words>
  <Characters>22161</Characters>
  <Application>Microsoft Office Word</Application>
  <DocSecurity>0</DocSecurity>
  <Lines>363</Lines>
  <Paragraphs>137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2020-09-06T21:47:00Z</dcterms:created>
  <dcterms:modified xsi:type="dcterms:W3CDTF">2020-09-07T16:47:00Z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