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67EBC0E-23B5-4F7C-B51F-6021D1BA4479" style="width:450.4pt;height:424.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СЪВМЕСТНИЯ КОМИТЕТ НА ЕИП</w:t>
      </w:r>
    </w:p>
    <w:p>
      <w:pPr>
        <w:spacing w:before="360" w:after="0"/>
        <w:jc w:val="center"/>
        <w:rPr>
          <w:b/>
          <w:noProof/>
        </w:rPr>
      </w:pPr>
      <w:r>
        <w:rPr>
          <w:b/>
          <w:noProof/>
        </w:rPr>
        <w:t>за</w:t>
      </w:r>
    </w:p>
    <w:p>
      <w:pPr>
        <w:spacing w:before="360" w:after="0"/>
        <w:jc w:val="center"/>
        <w:rPr>
          <w:b/>
          <w:noProof/>
        </w:rPr>
      </w:pPr>
      <w:r>
        <w:rPr>
          <w:b/>
          <w:noProof/>
        </w:rPr>
        <w:t>изменение на Протокол 4 относно определението на понятието „продукти с произход“ и методите на административно сътрудничество към Споразумението за ЕИП</w:t>
      </w:r>
    </w:p>
    <w:p>
      <w:pPr>
        <w:keepNext/>
        <w:spacing w:before="600"/>
        <w:rPr>
          <w:caps/>
          <w:noProof/>
        </w:rPr>
      </w:pPr>
      <w:r>
        <w:rPr>
          <w:caps/>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w:t>
      </w:r>
      <w:r>
        <w:rPr>
          <w:rStyle w:val="FootnoteReference"/>
          <w:noProof/>
        </w:rPr>
        <w:footnoteReference w:id="2"/>
      </w:r>
      <w:r>
        <w:rPr>
          <w:noProof/>
        </w:rPr>
        <w:t xml:space="preserve">, и по-специално член 98 от него, </w:t>
      </w:r>
    </w:p>
    <w:p>
      <w:pPr>
        <w:rPr>
          <w:noProof/>
        </w:rPr>
      </w:pPr>
      <w:r>
        <w:rPr>
          <w:noProof/>
        </w:rPr>
        <w:t>като има предвид, че:</w:t>
      </w:r>
    </w:p>
    <w:p>
      <w:pPr>
        <w:pStyle w:val="Point0number"/>
        <w:numPr>
          <w:ilvl w:val="0"/>
          <w:numId w:val="1"/>
        </w:numPr>
        <w:ind w:left="851" w:hanging="851"/>
        <w:rPr>
          <w:noProof/>
        </w:rPr>
      </w:pPr>
      <w:r>
        <w:rPr>
          <w:noProof/>
        </w:rPr>
        <w:t>Член 9 от Споразумението за ЕИП се отнася до протокол 4 към споразумението („протокол 4“), в който се определят правилата за произход.</w:t>
      </w:r>
    </w:p>
    <w:p>
      <w:pPr>
        <w:pStyle w:val="Point0number"/>
        <w:ind w:left="851" w:hanging="851"/>
        <w:rPr>
          <w:noProof/>
        </w:rPr>
      </w:pPr>
      <w:r>
        <w:rPr>
          <w:noProof/>
        </w:rPr>
        <w:t>В член 98 от Споразумението за ЕИП се посочва, че създаденият по силата на член 92 от споразумението Съвместен комитет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ЕС, Норвегия и Лихтенщайн подписаха Конвенцията на 15 юни 2011 г., а Исландия я подписа на 30 юни 2011 г.</w:t>
      </w:r>
    </w:p>
    <w:p>
      <w:pPr>
        <w:pStyle w:val="Point0number"/>
        <w:rPr>
          <w:noProof/>
        </w:rPr>
      </w:pPr>
      <w:r>
        <w:rPr>
          <w:noProof/>
        </w:rPr>
        <w:t xml:space="preserve">ЕС, Норвегия, Исландия и Лихтенщайн депозираха своите документи за приемане при депозитаря на Конвенцията съответно на 26 март 2012 г., 9 ноември 2011 г., 12 март 2012 г. и 28 ноември 2011 г. В резултат на това и по силата на член 10, параграф 3 от Конвенцията тя влезе в сила съответно на 1 май 2012 г. за ЕС и Исландия и на 1 януари 2012 г. за Норвегия и Лихтенщайн. </w:t>
      </w:r>
    </w:p>
    <w:p>
      <w:pPr>
        <w:pStyle w:val="Point0number"/>
        <w:rPr>
          <w:noProof/>
        </w:rPr>
      </w:pPr>
      <w:r>
        <w:rPr>
          <w:noProof/>
        </w:rPr>
        <w:t>Страните по ЕИП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keepNext/>
        <w:rPr>
          <w:noProof/>
        </w:rPr>
      </w:pPr>
      <w:r>
        <w:rPr>
          <w:caps/>
          <w:noProof/>
        </w:rPr>
        <w:lastRenderedPageBreak/>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4 относно определението на понятието „продукти с произход“ и методите на административно сътрудничество към Споразумението за ЕИП се изменя чрез въвеждане на алтернативни приложими правила за произход, съдържащи се в приложението към настоящото решение.</w:t>
      </w:r>
    </w:p>
    <w:p>
      <w:pPr>
        <w:rPr>
          <w:noProof/>
        </w:rPr>
      </w:pPr>
    </w:p>
    <w:p>
      <w:pPr>
        <w:jc w:val="center"/>
        <w:rPr>
          <w:i/>
          <w:noProof/>
        </w:rPr>
      </w:pPr>
      <w:r>
        <w:rPr>
          <w:i/>
          <w:noProof/>
        </w:rPr>
        <w:t>Член 2</w:t>
      </w:r>
    </w:p>
    <w:p>
      <w:pPr>
        <w:rPr>
          <w:noProof/>
        </w:rPr>
      </w:pPr>
      <w:r>
        <w:rPr>
          <w:noProof/>
        </w:rPr>
        <w:t>Продуктите, които придобиват преференциален произход в съответствие с разпоредбите, съдържащи се в приложението към настоящото решение, също се считат за продукти с произход от ЕИП.</w:t>
      </w:r>
    </w:p>
    <w:p>
      <w:pPr>
        <w:keepNext/>
        <w:spacing w:before="360"/>
        <w:jc w:val="center"/>
        <w:rPr>
          <w:i/>
          <w:noProof/>
        </w:rPr>
      </w:pPr>
      <w:r>
        <w:rPr>
          <w:i/>
          <w:noProof/>
        </w:rPr>
        <w:t>Член 3</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Съвместния комитет</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noProof/>
        </w:rPr>
      </w:pPr>
      <w:r>
        <w:rPr>
          <w:i/>
          <w:smallCaps/>
          <w:noProof/>
          <w:szCs w:val="20"/>
        </w:rPr>
        <w:t>Приложение</w:t>
      </w:r>
    </w:p>
    <w:p>
      <w:pPr>
        <w:spacing w:before="0" w:after="200" w:line="276" w:lineRule="auto"/>
        <w:jc w:val="left"/>
        <w:rPr>
          <w:noProof/>
        </w:rPr>
      </w:pPr>
    </w:p>
    <w:p>
      <w:pPr>
        <w:jc w:val="center"/>
        <w:rPr>
          <w:i/>
          <w:noProof/>
        </w:rPr>
      </w:pPr>
      <w:r>
        <w:rPr>
          <w:i/>
          <w:noProof/>
        </w:rPr>
        <w:t>ДОПЪЛНЕНИЕ А към протокол 4 към Споразумението за ЕИП</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Лихтенщайн</w:t>
      </w:r>
    </w:p>
    <w:p>
      <w:pPr>
        <w:pStyle w:val="Text1"/>
        <w:tabs>
          <w:tab w:val="left" w:pos="2268"/>
        </w:tabs>
        <w:rPr>
          <w:noProof/>
        </w:rPr>
      </w:pPr>
      <w:r>
        <w:rPr>
          <w:noProof/>
        </w:rPr>
        <w:t>Член 38</w:t>
      </w:r>
      <w:r>
        <w:rPr>
          <w:noProof/>
        </w:rPr>
        <w:tab/>
      </w:r>
      <w:r>
        <w:rPr>
          <w:b/>
          <w:noProof/>
        </w:rPr>
        <w:t>Република Сан Марино</w:t>
      </w:r>
    </w:p>
    <w:p>
      <w:pPr>
        <w:pStyle w:val="Text1"/>
        <w:tabs>
          <w:tab w:val="left" w:pos="2268"/>
        </w:tabs>
        <w:rPr>
          <w:noProof/>
        </w:rPr>
      </w:pPr>
      <w:r>
        <w:rPr>
          <w:noProof/>
        </w:rPr>
        <w:t>Член 39</w:t>
      </w:r>
      <w:r>
        <w:rPr>
          <w:noProof/>
        </w:rPr>
        <w:tab/>
      </w:r>
      <w:r>
        <w:rPr>
          <w:b/>
          <w:noProof/>
        </w:rPr>
        <w:t>Княжество Андора</w:t>
      </w:r>
    </w:p>
    <w:p>
      <w:pPr>
        <w:pStyle w:val="Text1"/>
        <w:tabs>
          <w:tab w:val="left" w:pos="2268"/>
        </w:tabs>
        <w:rPr>
          <w:noProof/>
        </w:rPr>
      </w:pPr>
      <w:r>
        <w:rPr>
          <w:noProof/>
        </w:rPr>
        <w:t>Член 40</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b/>
          <w:noProof/>
        </w:rPr>
      </w:pPr>
      <w:r>
        <w:rPr>
          <w:i/>
          <w:noProof/>
        </w:rPr>
        <w:t>Член 2</w:t>
      </w:r>
      <w:r>
        <w:rPr>
          <w:noProof/>
        </w:rPr>
        <w:t xml:space="preserve"> </w:t>
      </w:r>
      <w:r>
        <w:rPr>
          <w:noProof/>
        </w:rPr>
        <w:br/>
      </w:r>
      <w:r>
        <w:rPr>
          <w:b/>
          <w:noProof/>
        </w:rPr>
        <w:t>Общи изисквания</w:t>
      </w:r>
    </w:p>
    <w:p>
      <w:pPr>
        <w:pStyle w:val="Text1"/>
        <w:ind w:left="1440" w:hanging="590"/>
        <w:rPr>
          <w:noProof/>
        </w:rPr>
      </w:pPr>
      <w:r>
        <w:rPr>
          <w:noProof/>
        </w:rPr>
        <w:t xml:space="preserve">1. </w:t>
      </w:r>
      <w:r>
        <w:rPr>
          <w:noProof/>
        </w:rPr>
        <w:tab/>
        <w:t xml:space="preserve">За целите на прилагането на споразумението следните продукти се считат за продукти с произход от ЕИП: </w:t>
      </w:r>
    </w:p>
    <w:p>
      <w:pPr>
        <w:pStyle w:val="Text1"/>
        <w:ind w:firstLine="590"/>
        <w:rPr>
          <w:noProof/>
        </w:rPr>
      </w:pPr>
      <w:r>
        <w:rPr>
          <w:noProof/>
        </w:rPr>
        <w:t xml:space="preserve">а) </w:t>
      </w:r>
      <w:r>
        <w:rPr>
          <w:noProof/>
        </w:rPr>
        <w:tab/>
        <w:t xml:space="preserve">продуктите, изцяло получени в ЕИП по смисъла на член 3; </w:t>
      </w:r>
    </w:p>
    <w:p>
      <w:pPr>
        <w:ind w:left="2160" w:hanging="720"/>
        <w:rPr>
          <w:noProof/>
        </w:rPr>
      </w:pPr>
      <w:r>
        <w:rPr>
          <w:noProof/>
        </w:rPr>
        <w:t xml:space="preserve">б) </w:t>
      </w:r>
      <w:r>
        <w:rPr>
          <w:noProof/>
        </w:rPr>
        <w:tab/>
        <w:t xml:space="preserve">продуктите, получени в ЕИП, в които са вложени материали, които не са изцяло получени в него, при условие че тези материали са претърпели достатъчна обработка или преработка в ЕИП по смисъла на член 4. </w:t>
      </w:r>
    </w:p>
    <w:p>
      <w:pPr>
        <w:ind w:left="2160" w:hanging="720"/>
        <w:rPr>
          <w:noProof/>
        </w:rPr>
      </w:pPr>
    </w:p>
    <w:p>
      <w:pPr>
        <w:pStyle w:val="Text1"/>
        <w:ind w:left="1440"/>
        <w:rPr>
          <w:noProof/>
        </w:rPr>
      </w:pPr>
      <w:r>
        <w:rPr>
          <w:noProof/>
        </w:rPr>
        <w:t xml:space="preserve">За тази цел териториите на договарящите страни, по отношение на които се прилага споразумението, се считат за една територия. </w:t>
      </w:r>
    </w:p>
    <w:p>
      <w:pPr>
        <w:pStyle w:val="Text1"/>
        <w:ind w:left="1440" w:hanging="590"/>
        <w:rPr>
          <w:noProof/>
        </w:rPr>
      </w:pPr>
      <w:r>
        <w:rPr>
          <w:noProof/>
        </w:rPr>
        <w:t xml:space="preserve">2. </w:t>
      </w:r>
      <w:r>
        <w:rPr>
          <w:noProof/>
        </w:rPr>
        <w:tab/>
        <w:t>Независимо от параграф 1, територията на Княжество Лихтенщайн се изключва от територията на ЕИП за целите на определяне на произхода на продуктите, посочени в таблици I и II от протокол 3, като посочените продукти се считат като стоки с произход от ЕИП само при условие че са били изцяло получени или достатъчно обработени или преработени на териториите на другите договарящи страни.</w:t>
      </w:r>
    </w:p>
    <w:p>
      <w:pPr>
        <w:autoSpaceDE w:val="0"/>
        <w:autoSpaceDN w:val="0"/>
        <w:ind w:left="851" w:hanging="851"/>
        <w:jc w:val="center"/>
        <w:rPr>
          <w:noProof/>
        </w:rPr>
      </w:pP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 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другите прилагащи договарящи страни, в съответствие с техните вътрешни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4"/>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Point2"/>
        <w:rPr>
          <w:noProof/>
        </w:rPr>
      </w:pP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ind w:left="0" w:firstLine="0"/>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Point1"/>
        <w:rPr>
          <w:noProof/>
        </w:rPr>
      </w:pP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Съвместния комитет по искане на някоя от страните. При извършване на това преразглеждане Съвместният комитет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Съвместния комитет.</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itreqrti"/>
        <w:rPr>
          <w:noProof/>
        </w:rPr>
      </w:pPr>
      <w:r>
        <w:rPr>
          <w:noProof/>
        </w:rPr>
        <w:t xml:space="preserve">Член 37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38</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39</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rPr>
          <w:noProof/>
        </w:rPr>
      </w:pPr>
    </w:p>
    <w:p>
      <w:pPr>
        <w:pStyle w:val="Text1"/>
        <w:rPr>
          <w:noProof/>
        </w:rPr>
      </w:pPr>
    </w:p>
    <w:p>
      <w:pPr>
        <w:pStyle w:val="Text1"/>
        <w:rPr>
          <w:noProof/>
        </w:rPr>
      </w:pPr>
    </w:p>
    <w:p>
      <w:pPr>
        <w:pStyle w:val="Text1"/>
        <w:jc w:val="center"/>
        <w:rPr>
          <w:b/>
          <w:noProof/>
        </w:rPr>
      </w:pPr>
      <w:r>
        <w:rPr>
          <w:i/>
          <w:noProof/>
        </w:rPr>
        <w:t>Член 40</w:t>
      </w:r>
      <w:r>
        <w:rPr>
          <w:noProof/>
        </w:rPr>
        <w:t xml:space="preserve"> </w:t>
      </w:r>
      <w:r>
        <w:rPr>
          <w:noProof/>
        </w:rPr>
        <w:br/>
      </w:r>
      <w:r>
        <w:rPr>
          <w:b/>
          <w:noProof/>
        </w:rPr>
        <w:t>Сеута и Мелила</w:t>
      </w:r>
    </w:p>
    <w:p>
      <w:pPr>
        <w:pStyle w:val="Text1"/>
        <w:jc w:val="center"/>
        <w:rPr>
          <w:i/>
          <w:noProof/>
        </w:rPr>
      </w:pPr>
    </w:p>
    <w:p>
      <w:pPr>
        <w:pStyle w:val="NumPar1"/>
        <w:numPr>
          <w:ilvl w:val="0"/>
          <w:numId w:val="25"/>
        </w:numPr>
        <w:rPr>
          <w:noProof/>
        </w:rPr>
      </w:pPr>
      <w:r>
        <w:rPr>
          <w:noProof/>
        </w:rPr>
        <w:t>За целите на прилагането на настоящите правила понятието „ЕИП“ не обхваща Сеута и Мелила.</w:t>
      </w:r>
    </w:p>
    <w:p>
      <w:pPr>
        <w:pStyle w:val="NumPar1"/>
        <w:rPr>
          <w:noProof/>
        </w:rPr>
      </w:pPr>
      <w:r>
        <w:rPr>
          <w:noProof/>
        </w:rPr>
        <w:t xml:space="preserve">За целите на прилагането на Протокол 49 относно продуктите с произход от Сеута и Мелила към Споразумението за ЕИП настоящите правила се прилагат </w:t>
      </w:r>
      <w:r>
        <w:rPr>
          <w:i/>
          <w:noProof/>
        </w:rPr>
        <w:t>mutatis mutandis</w:t>
      </w:r>
      <w:r>
        <w:rPr>
          <w:noProof/>
        </w:rPr>
        <w:t xml:space="preserve"> при спазване на специалните условия, определени в настоящия член.</w:t>
      </w:r>
    </w:p>
    <w:p>
      <w:pPr>
        <w:pStyle w:val="NumPar1"/>
        <w:rPr>
          <w:noProof/>
        </w:rPr>
      </w:pPr>
      <w:r>
        <w:rPr>
          <w:noProof/>
        </w:rPr>
        <w:t>Когато се внасят в Сеута и Мелила, продуктите с произход от една от страните по ЕИП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 Страните по ЕИП предоставят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pStyle w:val="NumPar1"/>
        <w:rPr>
          <w:noProof/>
        </w:rPr>
      </w:pPr>
      <w:r>
        <w:rPr>
          <w:noProof/>
        </w:rPr>
        <w:t xml:space="preserve">За целите на параграф 2 от настоящия член относно продуктите с произход от Сеута и Мелила, настоящите правила се прилагат </w:t>
      </w:r>
      <w:r>
        <w:rPr>
          <w:i/>
          <w:iCs/>
          <w:noProof/>
        </w:rPr>
        <w:t>mutatis mutandis</w:t>
      </w:r>
      <w:r>
        <w:rPr>
          <w:noProof/>
        </w:rPr>
        <w:t xml:space="preserve"> при спазване на специалните условия, определени в приложение V.</w:t>
      </w:r>
    </w:p>
    <w:p>
      <w:pPr>
        <w:rPr>
          <w:noProof/>
        </w:rPr>
      </w:pP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5"/>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ЕИП,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ЕИП:</w:t>
      </w:r>
    </w:p>
    <w:p>
      <w:pPr>
        <w:pStyle w:val="Point3"/>
        <w:rPr>
          <w:noProof/>
        </w:rPr>
      </w:pPr>
      <w:r>
        <w:rPr>
          <w:noProof/>
        </w:rPr>
        <w:t>а)</w:t>
      </w:r>
      <w:r>
        <w:rPr>
          <w:noProof/>
        </w:rPr>
        <w:tab/>
        <w:t>продуктите, изцяло получени в ЕИП;</w:t>
      </w:r>
    </w:p>
    <w:p>
      <w:pPr>
        <w:pStyle w:val="Point3"/>
        <w:rPr>
          <w:noProof/>
        </w:rPr>
      </w:pPr>
      <w:r>
        <w:rPr>
          <w:noProof/>
        </w:rPr>
        <w:t>б)</w:t>
      </w:r>
      <w:r>
        <w:rPr>
          <w:noProof/>
        </w:rPr>
        <w:tab/>
        <w:t>продуктите, получени в ЕИП,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ЕИП,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rPr>
          <w:noProof/>
        </w:rPr>
      </w:pP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szCs w:val="20"/>
              </w:rPr>
            </w:pP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139</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1, 3.1.1994 г., стр. 3.</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5">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6"/>
  </w:num>
  <w:num w:numId="28">
    <w:abstractNumId w:val="32"/>
  </w:num>
  <w:num w:numId="29">
    <w:abstractNumId w:val="12"/>
  </w:num>
  <w:num w:numId="30">
    <w:abstractNumId w:val="18"/>
  </w:num>
  <w:num w:numId="31">
    <w:abstractNumId w:val="9"/>
  </w:num>
  <w:num w:numId="32">
    <w:abstractNumId w:val="27"/>
  </w:num>
  <w:num w:numId="33">
    <w:abstractNumId w:val="8"/>
  </w:num>
  <w:num w:numId="34">
    <w:abstractNumId w:val="20"/>
  </w:num>
  <w:num w:numId="35">
    <w:abstractNumId w:val="24"/>
  </w:num>
  <w:num w:numId="36">
    <w:abstractNumId w:val="25"/>
  </w:num>
  <w:num w:numId="37">
    <w:abstractNumId w:val="11"/>
  </w:num>
  <w:num w:numId="38">
    <w:abstractNumId w:val="23"/>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9:01:51"/>
    <w:docVar w:name="DQCNUMB_1" w:val="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5"/>
    <w:docVar w:name="DQCResult_ModifiedMarkers" w:val="0;0"/>
    <w:docVar w:name="DQCResult_ModifiedNumbering" w:val="0;0"/>
    <w:docVar w:name="DQCResult_Objects" w:val="0;0"/>
    <w:docVar w:name="DQCResult_Sections" w:val="0;0"/>
    <w:docVar w:name="DQCResult_StructureCheck" w:val="0;0"/>
    <w:docVar w:name="DQCResult_SuperfluousWhitespace" w:val="0;104"/>
    <w:docVar w:name="DQCResult_UnknownFonts" w:val="0;0"/>
    <w:docVar w:name="DQCResult_UnknownStyles" w:val="0;4"/>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367EBC0E-23B5-4F7C-B51F-6021D1BA4479"/>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79?\u1072? \u1045?\u1048?\u1055?,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79?\u1072? \u1045?\u1048?\u1055?,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Titreqrti">
    <w:name w:val="Titre qrti"/>
    <w:basedOn w:val="Text1"/>
    <w:pPr>
      <w:jc w:val="center"/>
    </w:pPr>
    <w:rPr>
      <w:i/>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Nor">
    <w:name w:val="Nor"/>
    <w:aliases w:val="ql"/>
    <w:basedOn w:val="Point1"/>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Titreqrti">
    <w:name w:val="Titre qrti"/>
    <w:basedOn w:val="Text1"/>
    <w:pPr>
      <w:jc w:val="center"/>
    </w:pPr>
    <w:rPr>
      <w:i/>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Nor">
    <w:name w:val="Nor"/>
    <w:aliases w:val="ql"/>
    <w:basedOn w:val="Point1"/>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9D3B-7B8A-4B9E-AA0D-0F2C731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140</Pages>
  <Words>28906</Words>
  <Characters>167368</Characters>
  <Application>Microsoft Office Word</Application>
  <DocSecurity>0</DocSecurity>
  <Lines>4649</Lines>
  <Paragraphs>2364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2020-09-07T06:52:00Z</dcterms:created>
  <dcterms:modified xsi:type="dcterms:W3CDTF">2020-09-07T17:01:00Z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