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022407A-92FF-41B3-992F-BCCF124261EB" style="width:451pt;height:438.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noProof/>
        </w:rPr>
        <w:br/>
      </w:r>
      <w:r>
        <w:rPr>
          <w:b/>
          <w:noProof/>
        </w:rPr>
        <w:t>DÉCISION Nº … DU CONSEIL DE STABILISATION ET D’ASSOCIATION UE-MONTÉNÉGRO</w:t>
      </w:r>
    </w:p>
    <w:p>
      <w:pPr>
        <w:spacing w:before="360" w:after="0"/>
        <w:jc w:val="center"/>
        <w:rPr>
          <w:b/>
          <w:noProof/>
        </w:rPr>
      </w:pPr>
      <w:r>
        <w:rPr>
          <w:b/>
          <w:noProof/>
        </w:rPr>
        <w:t>portant</w:t>
      </w:r>
    </w:p>
    <w:p>
      <w:pPr>
        <w:spacing w:before="360" w:after="0"/>
        <w:jc w:val="center"/>
        <w:rPr>
          <w:b/>
          <w:noProof/>
        </w:rPr>
      </w:pPr>
      <w:r>
        <w:rPr>
          <w:b/>
          <w:noProof/>
        </w:rPr>
        <w:t>modification du protocole nº 3 de l’accord de stabilisation et d’association entre les Communautés européennes et leurs États membres, d’une part, et la République du Monténégro, d’autre part, portant sur la définition de la notion de «produits originaires» et sur les méthodes de coopération administrative</w:t>
      </w:r>
    </w:p>
    <w:p>
      <w:pPr>
        <w:keepNext/>
        <w:spacing w:before="600"/>
        <w:rPr>
          <w:caps/>
          <w:noProof/>
        </w:rPr>
      </w:pPr>
      <w:r>
        <w:rPr>
          <w:caps/>
          <w:noProof/>
        </w:rPr>
        <w:t>Le conseil de stabilisation et d’association UE-MONTÉNÉGRO,</w:t>
      </w:r>
    </w:p>
    <w:p>
      <w:pPr>
        <w:rPr>
          <w:noProof/>
        </w:rPr>
      </w:pPr>
      <w:r>
        <w:rPr>
          <w:noProof/>
        </w:rPr>
        <w:t>Vu l’accord de stabilisation et d’association entre les Communautés européennes et leurs États membres, d’une part, et la République du Monténégro, d’autre part</w:t>
      </w:r>
      <w:r>
        <w:rPr>
          <w:rStyle w:val="FootnoteReference"/>
          <w:noProof/>
        </w:rPr>
        <w:footnoteReference w:id="2"/>
      </w:r>
      <w:r>
        <w:rPr>
          <w:noProof/>
        </w:rPr>
        <w:t>, et notamment l’article 3 de son protocole nº 3 portant sur la définition de la notion de «produits originaires» et sur les méthodes de coopération administrative,</w:t>
      </w:r>
    </w:p>
    <w:p>
      <w:pPr>
        <w:rPr>
          <w:noProof/>
        </w:rPr>
      </w:pPr>
      <w:r>
        <w:rPr>
          <w:noProof/>
        </w:rPr>
        <w:t>considérant ce qui suit:</w:t>
      </w:r>
    </w:p>
    <w:p>
      <w:pPr>
        <w:pStyle w:val="Point0number"/>
        <w:numPr>
          <w:ilvl w:val="0"/>
          <w:numId w:val="1"/>
        </w:numPr>
        <w:ind w:left="851" w:hanging="851"/>
        <w:rPr>
          <w:noProof/>
        </w:rPr>
      </w:pPr>
      <w:r>
        <w:rPr>
          <w:noProof/>
        </w:rPr>
        <w:t>L’article 44 de l’accord de stabilisation et d’association entre les Communautés européennes et leurs États membres, d’une part, et la République du Monténégro, d’autre part, (l'«accord») fait référence au protocole nº 3 de l’accord (le «protocole nº 3»), qui détermine les règles d’origine.</w:t>
      </w:r>
    </w:p>
    <w:p>
      <w:pPr>
        <w:pStyle w:val="Point0number"/>
        <w:rPr>
          <w:noProof/>
        </w:rPr>
      </w:pPr>
      <w:r>
        <w:rPr>
          <w:noProof/>
        </w:rPr>
        <w:t>L’article 3 du protocole nº 3 dispose que le conseil de stabilisation et d’association institué par l’article 119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européenne et le Monténégro ont signé la convention le 15 juin 2011.</w:t>
      </w:r>
    </w:p>
    <w:p>
      <w:pPr>
        <w:pStyle w:val="Point0number"/>
        <w:rPr>
          <w:noProof/>
        </w:rPr>
      </w:pPr>
      <w:r>
        <w:rPr>
          <w:noProof/>
        </w:rPr>
        <w:t>L’Union européenne et le Monténégro ont déposé leurs instruments d’acceptation auprès du dépositaire de la convention respectivement le 26 mars 2012 et le 2 juillet 2012. En conséquence, en application de l’article 10, paragraphe 3, de la convention, celle-ci est entrée en vigueur pour l’Union et pour le Monténégro respectivement le 1</w:t>
      </w:r>
      <w:r>
        <w:rPr>
          <w:noProof/>
          <w:vertAlign w:val="superscript"/>
        </w:rPr>
        <w:t>er</w:t>
      </w:r>
      <w:r>
        <w:rPr>
          <w:noProof/>
        </w:rPr>
        <w:t> mai 2012 et le 1</w:t>
      </w:r>
      <w:r>
        <w:rPr>
          <w:noProof/>
          <w:vertAlign w:val="superscript"/>
        </w:rPr>
        <w:t>er</w:t>
      </w:r>
      <w:r>
        <w:rPr>
          <w:noProof/>
        </w:rPr>
        <w:t> septembre 2012.</w:t>
      </w:r>
    </w:p>
    <w:p>
      <w:pPr>
        <w:pStyle w:val="Point0number"/>
        <w:rPr>
          <w:noProof/>
        </w:rPr>
      </w:pPr>
      <w:r>
        <w:rPr>
          <w:noProof/>
        </w:rPr>
        <w:t xml:space="preserve">L’Union européenne et le Monténégro sont convenus d’introduire un ensemble de règles modifiées qui pourraient être utilisées de façon bilatérale comme règles d’origine de substitution aux règles d’origine prévues par la convention, dans </w:t>
      </w:r>
      <w:r>
        <w:rPr>
          <w:noProof/>
        </w:rPr>
        <w:lastRenderedPageBreak/>
        <w:t>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nº 3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nº 3 de l’accord de stabilisation et d’association entre les Communautés européennes et leurs États membres, d’une part, et la République du Monténégro, d’autre part, portant sur la définition de la notion de «produits originaires» et sur les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conseil de stabilisation et d’association</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nº 3</w:t>
      </w:r>
    </w:p>
    <w:p>
      <w:pPr>
        <w:spacing w:before="0" w:after="240"/>
        <w:jc w:val="center"/>
        <w:rPr>
          <w:b/>
          <w:noProof/>
        </w:rPr>
      </w:pPr>
      <w:r>
        <w:rPr>
          <w:b/>
          <w:noProof/>
        </w:rPr>
        <w:t>portant sur la définition de la notion de “produits originaires” et sur les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(la “convention”), tels qu’ils pourraient être ultérieurement modifiés et publiés au </w:t>
      </w:r>
      <w:r>
        <w:rPr>
          <w:i/>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rPr>
          <w:noProof/>
        </w:rPr>
      </w:pPr>
      <w:r>
        <w:rPr>
          <w:noProof/>
        </w:rPr>
        <w:t>3.</w:t>
      </w:r>
      <w:r>
        <w:rPr>
          <w:noProof/>
        </w:rPr>
        <w:tab/>
        <w:t>Nonobstant l’article 16, paragraphe 5, et l’article 21, paragraphe 3, de l’appendice I de la convention, lorsque le cumul ne concerne que les États de l’AELE, les Îles Féroé, l’Union européenne, la Turquie, les participants au processus de stabilisation et d’association, la République de Moldavie, la Géorgie et l’Ukraine, la preuve de l’origine peut être un certificat de circulation des marchandises EUR.1 ou une déclaration d’origine.</w:t>
      </w:r>
    </w:p>
    <w:p>
      <w:pPr>
        <w:rPr>
          <w:noProof/>
        </w:rPr>
      </w:pP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du Monténégro.</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conseil de stabilisation et d’association.</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rPr>
          <w:noProof/>
        </w:rPr>
      </w:pP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conseil de stabilisation et d’association peut décider de modifier les dispositions du présent protocole.</w:t>
      </w:r>
    </w:p>
    <w:p>
      <w:pPr>
        <w:rPr>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le Monténégro notifie par écrit au dépositaire de la convention son intention de dénoncer la convention conformément à l’article 9 de cette dernière, l’Union européenne et le Monténégro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le Monténégro uniquement.</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au Monténégro, selon ses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5"/>
      </w:r>
      <w:r>
        <w:rPr>
          <w:noProof/>
        </w:rPr>
        <w:t>.</w:t>
      </w:r>
    </w:p>
    <w:p>
      <w:pPr>
        <w:pStyle w:val="Point1"/>
        <w:ind w:firstLine="0"/>
        <w:rPr>
          <w:noProof/>
        </w:rPr>
      </w:pPr>
      <w:r>
        <w:rPr>
          <w:noProof/>
        </w:rPr>
        <w:t>Les parties notifient cette dérogation à la Commission européenne conformément à l’article 8, paragraphe 2.</w:t>
      </w: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ind w:left="1440"/>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conseil de stabilisation et d’association à la demande d’une partie. Lors de ce réexamen, le conseil de stabilisation et d’association examine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conseil de stabilisation et d’association.</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contractantes de l’accord EEE”) lorsqu’elles sont exportées de l’Union européenne, d’Islande, du Liechtenstein ou de Norvège vers le Monténégro, à condition que les accords de libre-échange reprenant les présentes règles soient applicables entre le Monténégro et les parties contractantes de l’accord EEE.</w:t>
      </w:r>
    </w:p>
    <w:p>
      <w:pPr>
        <w:autoSpaceDE w:val="0"/>
        <w:autoSpaceDN w:val="0"/>
        <w:rPr>
          <w:noProof/>
        </w:rPr>
      </w:pPr>
    </w:p>
    <w:p>
      <w:pPr>
        <w:pStyle w:val="Text1"/>
        <w:jc w:val="center"/>
        <w:rPr>
          <w:i/>
          <w:noProof/>
        </w:rPr>
      </w:pPr>
      <w:r>
        <w:rPr>
          <w:i/>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jc w:val="center"/>
        <w:rPr>
          <w:i/>
          <w:noProof/>
        </w:rPr>
      </w:pPr>
      <w:r>
        <w:rPr>
          <w:i/>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du Monténégro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6"/>
      </w:r>
      <w:r>
        <w:rPr>
          <w:noProof/>
        </w:rPr>
        <w:t>. Le Monténégro accorde aux importations de produits couverts par l’accord correspondant et originaires de Ceuta et Melilla le même régime douanier que celui qu’elle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60</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du Monténégro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du Monténégro:</w:t>
      </w:r>
    </w:p>
    <w:p>
      <w:pPr>
        <w:pStyle w:val="Point3"/>
        <w:rPr>
          <w:noProof/>
        </w:rPr>
      </w:pPr>
      <w:r>
        <w:rPr>
          <w:noProof/>
        </w:rPr>
        <w:t>a)</w:t>
      </w:r>
      <w:r>
        <w:rPr>
          <w:noProof/>
        </w:rPr>
        <w:tab/>
        <w:t>les produits entièrement obtenus au Monténégro;</w:t>
      </w:r>
    </w:p>
    <w:p>
      <w:pPr>
        <w:pStyle w:val="Point3"/>
        <w:rPr>
          <w:noProof/>
        </w:rPr>
      </w:pPr>
      <w:r>
        <w:rPr>
          <w:noProof/>
        </w:rPr>
        <w:t>b)</w:t>
      </w:r>
      <w:r>
        <w:rPr>
          <w:noProof/>
        </w:rPr>
        <w:tab/>
        <w:t>les produits obtenus au Monténégro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139</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108 du 29.4.2010, p. 3.</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54 du 26.2.2013, p. 4.</w:t>
      </w:r>
    </w:p>
  </w:footnote>
  <w:footnote w:id="5">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6">
    <w:p>
      <w:pPr>
        <w:pStyle w:val="FootnoteText"/>
      </w:pPr>
      <w:r>
        <w:rPr>
          <w:rStyle w:val="FootnoteReference"/>
        </w:rPr>
        <w:footnoteRef/>
      </w:r>
      <w:r>
        <w:tab/>
      </w:r>
      <w:r>
        <w:rPr>
          <w:sz w:val="18"/>
          <w:szCs w:val="18"/>
        </w:rPr>
        <w:t>JO CE L 302 du 15.11.1985, p. 23.</w:t>
      </w:r>
    </w:p>
  </w:footnote>
  <w:footnote w:id="7">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11:03:49"/>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8"/>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C022407A-92FF-41B3-992F-BCCF124261EB"/>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nseil de stabilisation et d\u8217?association institué par l\u8217?accord de stabilisation et d\u8217?association entre les Communautés européennes et leurs États membres, d\u8217?une part, et la République du Monténégro, d\u8217?autre part, en ce qui concerne la modification du protocole nº 3 dudit accord portant sur la définition de la notion de «produits originaires» et sur les méthodes de coopération administrative"/>
    <w:docVar w:name="LW_OBJETACTEPRINCIPAL.CP" w:val="relative à la position à prendre, au nom de l\u8217?Union européenne, au sein du conseil de stabilisation et d\u8217?association institué par l\u8217?accord de stabilisation et d\u8217?association entre les Communautés européennes et leurs États membres, d\u8217?une part, et la République du Monténégro, d\u8217?autre part, en ce qui concerne la modification du protocole nº 3 dudit accord portant sur la définition de la notion de «produits originaires» et sur les méthodes de coopération administrative"/>
    <w:docVar w:name="LW_PART_NBR" w:val="1"/>
    <w:docVar w:name="LW_PART_NBR_TOTAL" w:val="1"/>
    <w:docVar w:name="LW_REF.INST.NEW" w:val="COM"/>
    <w:docVar w:name="LW_REF.INST.NEW_ADOPTED" w:val="final"/>
    <w:docVar w:name="LW_REF.INST.NEW_TEXT" w:val="(2020) 4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ACD1F-EA82-41D5-BDEF-7E3D7780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140</Pages>
  <Words>31961</Words>
  <Characters>178024</Characters>
  <Application>Microsoft Office Word</Application>
  <DocSecurity>0</DocSecurity>
  <Lines>4342</Lines>
  <Paragraphs>2413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2020-09-07T08:45:00Z</dcterms:created>
  <dcterms:modified xsi:type="dcterms:W3CDTF">2020-09-08T09:03:00Z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