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C55605D9-9E84-49A3-A193-5C2DBB353B97" style="width:451pt;height:437.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Projet de</w:t>
      </w:r>
      <w:r>
        <w:rPr>
          <w:noProof/>
        </w:rPr>
        <w:t xml:space="preserve"> </w:t>
      </w:r>
      <w:r>
        <w:rPr>
          <w:noProof/>
        </w:rPr>
        <w:br/>
        <w:t xml:space="preserve"> </w:t>
      </w:r>
      <w:r>
        <w:rPr>
          <w:noProof/>
        </w:rPr>
        <w:br/>
      </w:r>
      <w:r>
        <w:rPr>
          <w:b/>
          <w:noProof/>
        </w:rPr>
        <w:t>DÉCISION Nº … DU CONSEIL DE STABILISATION ET D’ASSOCIATION UNION EUROPÉENNE-RÉPUBLIQUE DE MACÉDOINE DU NORD</w:t>
      </w:r>
    </w:p>
    <w:p>
      <w:pPr>
        <w:spacing w:before="360" w:after="0"/>
        <w:jc w:val="center"/>
        <w:rPr>
          <w:b/>
          <w:noProof/>
        </w:rPr>
      </w:pPr>
      <w:r>
        <w:rPr>
          <w:b/>
          <w:noProof/>
        </w:rPr>
        <w:t>portant</w:t>
      </w:r>
    </w:p>
    <w:p>
      <w:pPr>
        <w:spacing w:before="360" w:after="0"/>
        <w:jc w:val="center"/>
        <w:rPr>
          <w:b/>
          <w:noProof/>
        </w:rPr>
      </w:pPr>
      <w:r>
        <w:rPr>
          <w:b/>
          <w:noProof/>
        </w:rPr>
        <w:t>modification du protocole nº 4 de l’accord de stabilisation et d’association entre les Communautés européennes et leurs États membres, d’une part, et l’ancienne République yougoslave de Macédoine, d’autre part, relatif à la définition de la notion de «produits originaires» et aux méthodes de coopération administrative</w:t>
      </w:r>
    </w:p>
    <w:p>
      <w:pPr>
        <w:keepNext/>
        <w:spacing w:before="600"/>
        <w:rPr>
          <w:caps/>
          <w:noProof/>
        </w:rPr>
      </w:pPr>
      <w:r>
        <w:rPr>
          <w:caps/>
          <w:noProof/>
        </w:rPr>
        <w:t>Le conseil de stabilisation et d’association,</w:t>
      </w:r>
    </w:p>
    <w:p>
      <w:pPr>
        <w:rPr>
          <w:noProof/>
        </w:rPr>
      </w:pPr>
      <w:r>
        <w:rPr>
          <w:noProof/>
        </w:rPr>
        <w:t>Vu l’accord de stabilisation et d’association entre les Communautés européennes et leurs États membres, d’une part, et l’ancienne République yougoslave de Macédoine, d’autre part</w:t>
      </w:r>
      <w:r>
        <w:rPr>
          <w:rStyle w:val="FootnoteReference"/>
          <w:noProof/>
        </w:rPr>
        <w:footnoteReference w:id="2"/>
      </w:r>
      <w:r>
        <w:rPr>
          <w:noProof/>
        </w:rPr>
        <w:t>, et notamment l’article 3 de son protocole nº 4 relatif à la définition de la notion de «produits originaires» et aux méthodes de coopération administrative,</w:t>
      </w:r>
    </w:p>
    <w:p>
      <w:pPr>
        <w:rPr>
          <w:noProof/>
        </w:rPr>
      </w:pPr>
      <w:r>
        <w:rPr>
          <w:noProof/>
        </w:rPr>
        <w:t>considérant ce qui suit:</w:t>
      </w:r>
    </w:p>
    <w:p>
      <w:pPr>
        <w:pStyle w:val="Point0number"/>
        <w:numPr>
          <w:ilvl w:val="0"/>
          <w:numId w:val="1"/>
        </w:numPr>
        <w:rPr>
          <w:noProof/>
        </w:rPr>
      </w:pPr>
      <w:r>
        <w:rPr>
          <w:noProof/>
        </w:rPr>
        <w:t>L’article 40 de l’accord de stabilisation et d’association entre les Communautés européennes et leurs États membres, d’une part, et l’ancienne République yougoslave de Macédoine, d’autre part, (l'«accord») fait référence au protocole nº 4 de l’accord (le «protocole nº 4»), qui détermine les règles d’origine.</w:t>
      </w:r>
    </w:p>
    <w:p>
      <w:pPr>
        <w:pStyle w:val="Point0number"/>
        <w:ind w:left="851" w:hanging="851"/>
        <w:rPr>
          <w:noProof/>
        </w:rPr>
      </w:pPr>
      <w:r>
        <w:rPr>
          <w:noProof/>
        </w:rPr>
        <w:t>L’article 3 du protocole nº 4 dispose que le conseil de stabilisation et d’association institué par l’article 108 de l’accord peut décider de modifier les dispositions dudit protocole.</w:t>
      </w:r>
    </w:p>
    <w:p>
      <w:pPr>
        <w:pStyle w:val="Point0number"/>
        <w:rPr>
          <w:noProof/>
        </w:rPr>
      </w:pPr>
      <w:r>
        <w:rPr>
          <w:noProof/>
        </w:rPr>
        <w:t>La convention régionale sur les règles d’origine préférentielles paneuro-méditerranéennes</w:t>
      </w:r>
      <w:r>
        <w:rPr>
          <w:rStyle w:val="FootnoteReference"/>
          <w:noProof/>
        </w:rPr>
        <w:footnoteReference w:id="3"/>
      </w:r>
      <w:r>
        <w:rPr>
          <w:noProof/>
        </w:rPr>
        <w:t xml:space="preserve"> (la «convention») vise à transposer dans un cadre multilatéral les systèmes bilatéraux existants concernant les règles d’origine, sans préjudice des principes énoncés dans les accords pertinents conclus entre les parties contractantes.</w:t>
      </w:r>
    </w:p>
    <w:p>
      <w:pPr>
        <w:pStyle w:val="Point0number"/>
        <w:rPr>
          <w:noProof/>
        </w:rPr>
      </w:pPr>
      <w:r>
        <w:rPr>
          <w:noProof/>
        </w:rPr>
        <w:t>L’Union européenne et la Macédoine du Nord ont signé la convention le 15 juin 2011.</w:t>
      </w:r>
    </w:p>
    <w:p>
      <w:pPr>
        <w:pStyle w:val="Point0number"/>
        <w:rPr>
          <w:noProof/>
        </w:rPr>
      </w:pPr>
      <w:r>
        <w:rPr>
          <w:noProof/>
        </w:rPr>
        <w:t>L’Union européenne et la Macédoine du Nord ont déposé leurs instruments d’acceptation auprès du dépositaire de la convention respectivement le 26 mars 2012 et le 14 juin 2012. En conséquence, et conformément à l’article 10, paragraphe 3, de la convention, cette dernière est entrée en vigueur pour l’Union européenne et pour la Macédoine du Nord respectivement le 1</w:t>
      </w:r>
      <w:r>
        <w:rPr>
          <w:noProof/>
          <w:vertAlign w:val="superscript"/>
        </w:rPr>
        <w:t>er</w:t>
      </w:r>
      <w:r>
        <w:rPr>
          <w:noProof/>
        </w:rPr>
        <w:t> mai 2012 et le 1</w:t>
      </w:r>
      <w:r>
        <w:rPr>
          <w:noProof/>
          <w:vertAlign w:val="superscript"/>
        </w:rPr>
        <w:t>er</w:t>
      </w:r>
      <w:r>
        <w:rPr>
          <w:noProof/>
        </w:rPr>
        <w:t> août 2012.</w:t>
      </w:r>
    </w:p>
    <w:p>
      <w:pPr>
        <w:pStyle w:val="Point0number"/>
        <w:rPr>
          <w:noProof/>
        </w:rPr>
      </w:pPr>
      <w:r>
        <w:rPr>
          <w:noProof/>
        </w:rPr>
        <w:t>L’Union européenne et la Macédoine du Nord sont convenues d’introduire un ensemble de règles modifiées qui pourraient être utilisées de façon bilatérale comme règles d’origine de substitution aux règles d’origine prévues par la convention, dans l’attente de la finalisation et de l’entrée en vigueur de la modification de la convention en cours, sur laquelle s’appuient les règles transitoires.</w:t>
      </w:r>
    </w:p>
    <w:p>
      <w:pPr>
        <w:pStyle w:val="Point0number"/>
        <w:rPr>
          <w:noProof/>
        </w:rPr>
      </w:pPr>
      <w:r>
        <w:rPr>
          <w:noProof/>
        </w:rPr>
        <w:t>Il convient dès lors de modifier le protocole nº 4 afin de faire référence à la convention de manière dynamique, dans la mesure où elle est susceptible d’être modifiée par la suite, et de prévoir un ensemble de règles de substitution,</w:t>
      </w:r>
    </w:p>
    <w:p>
      <w:pPr>
        <w:keepNext/>
        <w:rPr>
          <w:noProof/>
        </w:rPr>
      </w:pPr>
      <w:r>
        <w:rPr>
          <w:caps/>
          <w:noProof/>
        </w:rPr>
        <w:t>A ADOPTÉ LA PRÉSENTE DÉCISION</w:t>
      </w:r>
      <w:r>
        <w:rPr>
          <w:noProof/>
        </w:rPr>
        <w:t>:</w:t>
      </w:r>
    </w:p>
    <w:p>
      <w:pPr>
        <w:keepNext/>
        <w:spacing w:before="360"/>
        <w:jc w:val="center"/>
        <w:rPr>
          <w:i/>
          <w:noProof/>
        </w:rPr>
      </w:pPr>
      <w:r>
        <w:rPr>
          <w:i/>
          <w:noProof/>
        </w:rPr>
        <w:t>Article premier</w:t>
      </w:r>
    </w:p>
    <w:p>
      <w:pPr>
        <w:rPr>
          <w:noProof/>
        </w:rPr>
      </w:pPr>
      <w:r>
        <w:rPr>
          <w:noProof/>
        </w:rPr>
        <w:t>Le protocole nº 4 de l’accord de stabilisation et d’association entre les Communautés européennes et leurs États membres, d’une part, et l’ancienne République yougoslave de Macédoine, d’autre part, relatif à la définition de la notion de «produits originaires» et aux méthodes de coopération administrative, est remplacé par le texte figurant à l’annexe de la présente décision.</w:t>
      </w:r>
    </w:p>
    <w:p>
      <w:pPr>
        <w:keepNext/>
        <w:spacing w:before="360"/>
        <w:jc w:val="center"/>
        <w:rPr>
          <w:i/>
          <w:noProof/>
        </w:rPr>
      </w:pPr>
      <w:r>
        <w:rPr>
          <w:i/>
          <w:noProof/>
        </w:rPr>
        <w:t>Article 2</w:t>
      </w:r>
    </w:p>
    <w:p>
      <w:pPr>
        <w:rPr>
          <w:noProof/>
        </w:rPr>
      </w:pPr>
      <w:r>
        <w:rPr>
          <w:noProof/>
        </w:rPr>
        <w:t>La présente décision entre en vigueur le jour de son adoption.</w:t>
      </w:r>
    </w:p>
    <w:p>
      <w:pPr>
        <w:rPr>
          <w:noProof/>
        </w:rPr>
      </w:pPr>
      <w:r>
        <w:rPr>
          <w:noProof/>
        </w:rPr>
        <w:t>Elle est applicable à partir du ….</w:t>
      </w:r>
    </w:p>
    <w:p>
      <w:pPr>
        <w:keepNext/>
        <w:spacing w:after="0"/>
        <w:rPr>
          <w:noProof/>
        </w:rPr>
      </w:pPr>
      <w:r>
        <w:rPr>
          <w:noProof/>
        </w:rPr>
        <w:t>Fait à …, le ….</w:t>
      </w:r>
    </w:p>
    <w:p>
      <w:pPr>
        <w:keepNext/>
        <w:tabs>
          <w:tab w:val="left" w:pos="4252"/>
        </w:tabs>
        <w:spacing w:before="720" w:after="0"/>
        <w:rPr>
          <w:i/>
          <w:noProof/>
        </w:rPr>
      </w:pPr>
      <w:r>
        <w:rPr>
          <w:noProof/>
        </w:rPr>
        <w:tab/>
      </w:r>
      <w:r>
        <w:rPr>
          <w:i/>
          <w:noProof/>
        </w:rPr>
        <w:t>Par le conseil de stabilisation et d’association</w:t>
      </w:r>
    </w:p>
    <w:p>
      <w:pPr>
        <w:tabs>
          <w:tab w:val="left" w:pos="4252"/>
        </w:tabs>
        <w:spacing w:before="0" w:after="0"/>
        <w:jc w:val="left"/>
        <w:rPr>
          <w:i/>
          <w:noProof/>
        </w:rPr>
      </w:pPr>
      <w:r>
        <w:rPr>
          <w:noProof/>
        </w:rPr>
        <w:tab/>
      </w:r>
      <w:r>
        <w:rPr>
          <w:i/>
          <w:noProof/>
        </w:rPr>
        <w:t>Le président</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i/>
          <w:smallCaps/>
          <w:noProof/>
          <w:szCs w:val="20"/>
        </w:rPr>
      </w:pPr>
      <w:r>
        <w:rPr>
          <w:i/>
          <w:smallCaps/>
          <w:noProof/>
          <w:szCs w:val="20"/>
        </w:rPr>
        <w:t>Annexe</w:t>
      </w:r>
    </w:p>
    <w:p>
      <w:pPr>
        <w:spacing w:before="0" w:after="240"/>
        <w:jc w:val="center"/>
        <w:rPr>
          <w:b/>
          <w:noProof/>
        </w:rPr>
      </w:pPr>
      <w:r>
        <w:rPr>
          <w:b/>
          <w:noProof/>
        </w:rPr>
        <w:t>«Protocole nº 4</w:t>
      </w:r>
    </w:p>
    <w:p>
      <w:pPr>
        <w:spacing w:before="0" w:after="240"/>
        <w:jc w:val="center"/>
        <w:rPr>
          <w:b/>
          <w:noProof/>
        </w:rPr>
      </w:pPr>
      <w:r>
        <w:rPr>
          <w:b/>
          <w:noProof/>
        </w:rPr>
        <w:t>relatif à la définition de la notion de “produits originaires” et aux méthodes de coopération administrative</w:t>
      </w:r>
    </w:p>
    <w:p>
      <w:pPr>
        <w:keepNext/>
        <w:spacing w:before="360"/>
        <w:jc w:val="center"/>
        <w:rPr>
          <w:i/>
          <w:noProof/>
        </w:rPr>
      </w:pPr>
      <w:r>
        <w:rPr>
          <w:i/>
          <w:noProof/>
        </w:rPr>
        <w:t>Article premier</w:t>
      </w:r>
    </w:p>
    <w:p>
      <w:pPr>
        <w:spacing w:before="0" w:after="240"/>
        <w:jc w:val="center"/>
        <w:rPr>
          <w:b/>
          <w:noProof/>
        </w:rPr>
      </w:pPr>
      <w:r>
        <w:rPr>
          <w:b/>
          <w:noProof/>
        </w:rPr>
        <w:t>Règles d’origine applicables</w:t>
      </w:r>
    </w:p>
    <w:p>
      <w:pPr>
        <w:rPr>
          <w:noProof/>
        </w:rPr>
      </w:pPr>
      <w:r>
        <w:rPr>
          <w:noProof/>
        </w:rPr>
        <w:t>1.</w:t>
      </w:r>
      <w:r>
        <w:rPr>
          <w:noProof/>
        </w:rPr>
        <w:tab/>
        <w:t>Aux fins de la mise en œuvre du présent accord, l’appendice I et les dispositions pertinentes de l’appendice II de la convention régionale sur les règles d’origine préférentielles paneuro-méditerranéennes</w:t>
      </w:r>
      <w:r>
        <w:rPr>
          <w:rStyle w:val="FootnoteReference"/>
          <w:noProof/>
        </w:rPr>
        <w:footnoteReference w:id="4"/>
      </w:r>
      <w:r>
        <w:rPr>
          <w:noProof/>
        </w:rPr>
        <w:t xml:space="preserve"> (la “convention”), tels qu’ils pourraient être ultérieurement modifiés et publiés au </w:t>
      </w:r>
      <w:r>
        <w:rPr>
          <w:i/>
          <w:noProof/>
        </w:rPr>
        <w:t>Journal officiel de l’Union européenne</w:t>
      </w:r>
      <w:r>
        <w:rPr>
          <w:noProof/>
        </w:rPr>
        <w:t>, s’appliquent.</w:t>
      </w:r>
    </w:p>
    <w:p>
      <w:pPr>
        <w:rPr>
          <w:noProof/>
        </w:rPr>
      </w:pPr>
      <w:r>
        <w:rPr>
          <w:noProof/>
        </w:rPr>
        <w:t>2.</w:t>
      </w:r>
      <w:r>
        <w:rPr>
          <w:noProof/>
        </w:rPr>
        <w:tab/>
        <w:t>Toutes les références à l'“accord pertinent” figurant dans l’appendice I et dans les dispositions pertinentes de l’appendice II de la convention régionale sur les règles d’origine préférentielles paneuro-méditerrannéennes s’entendent comme faites au présent accord.</w:t>
      </w:r>
    </w:p>
    <w:p>
      <w:pPr>
        <w:rPr>
          <w:noProof/>
        </w:rPr>
      </w:pPr>
      <w:r>
        <w:rPr>
          <w:noProof/>
        </w:rPr>
        <w:t>3.</w:t>
      </w:r>
      <w:r>
        <w:rPr>
          <w:noProof/>
        </w:rPr>
        <w:tab/>
        <w:t>Nonobstant l’article 16, paragraphe 5, et l’article 21, paragraphe 3, de l’appendice I de la convention, lorsque le cumul ne concerne que les États de l’AELE, les Îles Féroé, l’Union européenne, la Turquie, les participants au processus de stabilisation et d’association, la République de Moldavie, la Géorgie et l’Ukraine, la preuve de l’origine peut être un certificat de circulation des marchandises EUR.1 ou une déclaration d’origine.</w:t>
      </w:r>
    </w:p>
    <w:p>
      <w:pPr>
        <w:rPr>
          <w:noProof/>
        </w:rPr>
      </w:pPr>
    </w:p>
    <w:p>
      <w:pPr>
        <w:keepNext/>
        <w:spacing w:before="360"/>
        <w:jc w:val="center"/>
        <w:rPr>
          <w:i/>
          <w:noProof/>
        </w:rPr>
      </w:pPr>
      <w:r>
        <w:rPr>
          <w:i/>
          <w:noProof/>
        </w:rPr>
        <w:t>Article 2</w:t>
      </w:r>
    </w:p>
    <w:p>
      <w:pPr>
        <w:spacing w:before="0" w:after="240"/>
        <w:jc w:val="center"/>
        <w:rPr>
          <w:b/>
          <w:noProof/>
        </w:rPr>
      </w:pPr>
      <w:r>
        <w:rPr>
          <w:b/>
          <w:noProof/>
        </w:rPr>
        <w:t>Règles d’origine applicables de substitution</w:t>
      </w:r>
    </w:p>
    <w:p>
      <w:pPr>
        <w:rPr>
          <w:noProof/>
        </w:rPr>
      </w:pPr>
      <w:r>
        <w:rPr>
          <w:noProof/>
        </w:rPr>
        <w:t>1.</w:t>
      </w:r>
      <w:r>
        <w:rPr>
          <w:noProof/>
        </w:rPr>
        <w:tab/>
        <w:t>Sans préjudice de l’article 1</w:t>
      </w:r>
      <w:r>
        <w:rPr>
          <w:noProof/>
          <w:vertAlign w:val="superscript"/>
        </w:rPr>
        <w:t>er</w:t>
      </w:r>
      <w:r>
        <w:rPr>
          <w:noProof/>
        </w:rPr>
        <w:t>, aux fins de la mise en œuvre du présent accord, les produits qui acquièrent l’origine préférentielle conformément aux dispositions de l’appendice A du présent protocole sont également considérés comme originaires de l’Union européenne ou de Macédoine du Nord.</w:t>
      </w:r>
    </w:p>
    <w:p>
      <w:pPr>
        <w:rPr>
          <w:noProof/>
        </w:rPr>
      </w:pPr>
      <w:r>
        <w:rPr>
          <w:noProof/>
        </w:rPr>
        <w:t>2.</w:t>
      </w:r>
      <w:r>
        <w:rPr>
          <w:noProof/>
        </w:rPr>
        <w:tab/>
        <w:t>Les règles de substitution s’appliquent jusqu’à l’entrée en vigueur de la modification de la convention, sur laquelle s’appuient les règles de substitution.</w:t>
      </w:r>
    </w:p>
    <w:p>
      <w:pPr>
        <w:keepNext/>
        <w:spacing w:before="360"/>
        <w:jc w:val="center"/>
        <w:rPr>
          <w:i/>
          <w:noProof/>
        </w:rPr>
      </w:pPr>
      <w:r>
        <w:rPr>
          <w:i/>
          <w:noProof/>
        </w:rPr>
        <w:t>Article 3</w:t>
      </w:r>
    </w:p>
    <w:p>
      <w:pPr>
        <w:spacing w:before="0" w:after="240"/>
        <w:jc w:val="center"/>
        <w:rPr>
          <w:b/>
          <w:noProof/>
        </w:rPr>
      </w:pPr>
      <w:r>
        <w:rPr>
          <w:b/>
          <w:noProof/>
        </w:rPr>
        <w:t>Règlement des différends</w:t>
      </w:r>
    </w:p>
    <w:p>
      <w:pPr>
        <w:rPr>
          <w:noProof/>
        </w:rPr>
      </w:pPr>
      <w:r>
        <w:rPr>
          <w:noProof/>
        </w:rPr>
        <w:t>1.</w:t>
      </w:r>
      <w:r>
        <w:rPr>
          <w:noProof/>
        </w:rPr>
        <w:tab/>
        <w:t>Lorsque des différends survenus à l’occasion des contrôles visés à l’article 32 de l’appendice I de la convention ou à l’article 34 de l’appendice A du présent protocole ne peuvent être réglés entre les autorités douanières ayant sollicité le contrôle et celles responsables de sa réalisation, ils sont soumis au conseil de stabilisation et d’association.</w:t>
      </w:r>
    </w:p>
    <w:p>
      <w:pPr>
        <w:rPr>
          <w:noProof/>
        </w:rPr>
      </w:pPr>
      <w:r>
        <w:rPr>
          <w:noProof/>
        </w:rPr>
        <w:t>2.</w:t>
      </w:r>
      <w:r>
        <w:rPr>
          <w:noProof/>
        </w:rPr>
        <w:tab/>
        <w:t>Dans tous les cas, le règlement des différends entre l’importateur et les autorités douanières du pays d’importation s’effectue conformément à la législation de ce pays.</w:t>
      </w:r>
    </w:p>
    <w:p>
      <w:pPr>
        <w:rPr>
          <w:noProof/>
        </w:rPr>
      </w:pPr>
    </w:p>
    <w:p>
      <w:pPr>
        <w:keepNext/>
        <w:spacing w:before="360"/>
        <w:jc w:val="center"/>
        <w:rPr>
          <w:i/>
          <w:noProof/>
        </w:rPr>
      </w:pPr>
      <w:r>
        <w:rPr>
          <w:i/>
          <w:noProof/>
        </w:rPr>
        <w:t>Article 4</w:t>
      </w:r>
    </w:p>
    <w:p>
      <w:pPr>
        <w:spacing w:before="0" w:after="240"/>
        <w:jc w:val="center"/>
        <w:rPr>
          <w:b/>
          <w:noProof/>
        </w:rPr>
      </w:pPr>
      <w:r>
        <w:rPr>
          <w:b/>
          <w:noProof/>
        </w:rPr>
        <w:t>Modifications du protocole</w:t>
      </w:r>
    </w:p>
    <w:p>
      <w:pPr>
        <w:rPr>
          <w:noProof/>
        </w:rPr>
      </w:pPr>
      <w:r>
        <w:rPr>
          <w:noProof/>
        </w:rPr>
        <w:t>Le conseil de stabilisation et d’association peut décider de modifier les dispositions du présent protocole.</w:t>
      </w:r>
    </w:p>
    <w:p>
      <w:pPr>
        <w:rPr>
          <w:noProof/>
        </w:rPr>
      </w:pPr>
    </w:p>
    <w:p>
      <w:pPr>
        <w:keepNext/>
        <w:spacing w:before="360"/>
        <w:jc w:val="center"/>
        <w:rPr>
          <w:i/>
          <w:noProof/>
        </w:rPr>
      </w:pPr>
      <w:r>
        <w:rPr>
          <w:i/>
          <w:noProof/>
        </w:rPr>
        <w:t>Article 5</w:t>
      </w:r>
    </w:p>
    <w:p>
      <w:pPr>
        <w:spacing w:before="0" w:after="240"/>
        <w:jc w:val="center"/>
        <w:rPr>
          <w:b/>
          <w:noProof/>
        </w:rPr>
      </w:pPr>
      <w:r>
        <w:rPr>
          <w:b/>
          <w:noProof/>
        </w:rPr>
        <w:t>Dénonciation de la convention</w:t>
      </w:r>
    </w:p>
    <w:p>
      <w:pPr>
        <w:rPr>
          <w:noProof/>
        </w:rPr>
      </w:pPr>
      <w:r>
        <w:rPr>
          <w:noProof/>
        </w:rPr>
        <w:t>1.</w:t>
      </w:r>
      <w:r>
        <w:rPr>
          <w:noProof/>
        </w:rPr>
        <w:tab/>
        <w:t>Si l’Union européenne ou la Macédoine du Nord notifie par écrit au dépositaire de la convention son intention de dénoncer la convention conformément à l’article 9 de cette dernière, l’Union européenne et la Macédoine du Nord engagent immédiatement des négociations sur les règles d’origine aux fins de la mise en œuvre du présent accord.</w:t>
      </w:r>
    </w:p>
    <w:p>
      <w:pPr>
        <w:rPr>
          <w:noProof/>
        </w:rPr>
      </w:pPr>
      <w:r>
        <w:rPr>
          <w:noProof/>
        </w:rPr>
        <w:t>2.</w:t>
      </w:r>
      <w:r>
        <w:rPr>
          <w:noProof/>
        </w:rPr>
        <w:tab/>
        <w:t>Jusqu’à l’entrée en vigueur de ces règles d’origine nouvellement négociées, les règles d’origine figurant à l’appendice I et, le cas échéant, les dispositions pertinentes de l’appendice II de la convention applicables au moment de la dénonciation continuent de s’appliquer au présent accord. Toutefois, à compter de la dénonciation, les règles d’origine figurant à l’appendice I et, le cas échéant, les dispositions pertinentes de l’appendice II de la convention sont interprétées de manière à permettre un cumul bilatéral entre l’Union européenne et la Macédoine du Nord uniquement.</w:t>
      </w:r>
    </w:p>
    <w:p>
      <w:pPr>
        <w:rPr>
          <w:noProof/>
        </w:rPr>
      </w:pPr>
    </w:p>
    <w:p>
      <w:pPr>
        <w:rPr>
          <w:noProof/>
        </w:rPr>
      </w:pPr>
      <w:r>
        <w:rPr>
          <w:noProof/>
        </w:rPr>
        <w:br w:type="page"/>
      </w:r>
    </w:p>
    <w:p>
      <w:pPr>
        <w:spacing w:before="0" w:after="200" w:line="276" w:lineRule="auto"/>
        <w:jc w:val="left"/>
        <w:rPr>
          <w:noProof/>
        </w:rPr>
      </w:pPr>
    </w:p>
    <w:p>
      <w:pPr>
        <w:jc w:val="center"/>
        <w:rPr>
          <w:i/>
          <w:noProof/>
        </w:rPr>
      </w:pPr>
      <w:r>
        <w:rPr>
          <w:i/>
          <w:noProof/>
        </w:rPr>
        <w:t>APPENDICE A</w:t>
      </w:r>
    </w:p>
    <w:p>
      <w:pPr>
        <w:jc w:val="center"/>
        <w:rPr>
          <w:noProof/>
        </w:rPr>
      </w:pPr>
      <w:r>
        <w:rPr>
          <w:b/>
          <w:noProof/>
        </w:rPr>
        <w:t>RÈGLES D’ORIGINE APPLICABLES DE SUBSTITUTION</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b/>
          <w:i/>
          <w:noProof/>
        </w:rPr>
        <w:t>Règles faisant l’objet d’une application facultative entre les parties contractantes de la convention régionale sur les règles d’origine préférentielles paneuro-méditerranéennes, dans l’attente de la conclusion et de l’entrée en vigueur de la modification de la convention</w:t>
      </w:r>
    </w:p>
    <w:p>
      <w:pPr>
        <w:keepNext/>
        <w:autoSpaceDE w:val="0"/>
        <w:autoSpaceDN w:val="0"/>
        <w:ind w:left="851" w:hanging="851"/>
        <w:jc w:val="center"/>
        <w:outlineLvl w:val="0"/>
        <w:rPr>
          <w:rFonts w:eastAsia="Times New Roman"/>
          <w:b/>
          <w:bCs/>
          <w:i/>
          <w:iCs/>
          <w:noProof/>
          <w:szCs w:val="24"/>
        </w:rPr>
      </w:pPr>
      <w:r>
        <w:rPr>
          <w:b/>
          <w:bCs/>
          <w:i/>
          <w:iCs/>
          <w:noProof/>
          <w:szCs w:val="24"/>
        </w:rPr>
        <w:t>(ci-après dénommées les “règles” ou les “règles transitoires”)</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définition de la notion de “produits originaires” et méthodes de coopération administrative</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TABLE DES MATIÈRES</w:t>
      </w:r>
    </w:p>
    <w:p>
      <w:pPr>
        <w:keepNext/>
        <w:jc w:val="center"/>
        <w:rPr>
          <w:rFonts w:eastAsia="Times New Roman"/>
          <w:b/>
          <w:noProof/>
          <w:szCs w:val="20"/>
        </w:rPr>
      </w:pPr>
    </w:p>
    <w:p>
      <w:pPr>
        <w:keepNext/>
        <w:rPr>
          <w:rFonts w:eastAsia="Times New Roman"/>
          <w:i/>
          <w:noProof/>
          <w:szCs w:val="20"/>
        </w:rPr>
      </w:pPr>
      <w:r>
        <w:rPr>
          <w:noProof/>
        </w:rPr>
        <w:t>OBJECTIFS</w:t>
      </w:r>
    </w:p>
    <w:p>
      <w:pPr>
        <w:pStyle w:val="Text1"/>
        <w:tabs>
          <w:tab w:val="left" w:pos="2268"/>
        </w:tabs>
        <w:rPr>
          <w:noProof/>
        </w:rPr>
      </w:pPr>
      <w:r>
        <w:rPr>
          <w:noProof/>
        </w:rPr>
        <w:t>TITRE I</w:t>
      </w:r>
      <w:r>
        <w:rPr>
          <w:noProof/>
        </w:rPr>
        <w:tab/>
      </w:r>
      <w:r>
        <w:rPr>
          <w:b/>
          <w:noProof/>
        </w:rPr>
        <w:t>DISPOSITIONS GÉNÉRALES</w:t>
      </w:r>
    </w:p>
    <w:p>
      <w:pPr>
        <w:pStyle w:val="Text1"/>
        <w:tabs>
          <w:tab w:val="left" w:pos="2268"/>
        </w:tabs>
        <w:rPr>
          <w:noProof/>
        </w:rPr>
      </w:pPr>
      <w:r>
        <w:rPr>
          <w:noProof/>
        </w:rPr>
        <w:t>Article 1</w:t>
      </w:r>
      <w:r>
        <w:rPr>
          <w:noProof/>
          <w:vertAlign w:val="superscript"/>
        </w:rPr>
        <w:t>er</w:t>
      </w:r>
      <w:r>
        <w:rPr>
          <w:noProof/>
        </w:rPr>
        <w:tab/>
      </w:r>
      <w:r>
        <w:rPr>
          <w:b/>
          <w:noProof/>
        </w:rPr>
        <w:t>Définitions</w:t>
      </w:r>
    </w:p>
    <w:p>
      <w:pPr>
        <w:pStyle w:val="Text1"/>
        <w:tabs>
          <w:tab w:val="left" w:pos="2268"/>
        </w:tabs>
        <w:rPr>
          <w:noProof/>
        </w:rPr>
      </w:pPr>
      <w:r>
        <w:rPr>
          <w:noProof/>
        </w:rPr>
        <w:t>TITRE II</w:t>
      </w:r>
      <w:r>
        <w:rPr>
          <w:noProof/>
        </w:rPr>
        <w:tab/>
      </w:r>
      <w:r>
        <w:rPr>
          <w:b/>
          <w:noProof/>
        </w:rPr>
        <w:t>DÉFINITION DE LA NOTION DE PRODUITS ORIGINAIRES</w:t>
      </w:r>
    </w:p>
    <w:p>
      <w:pPr>
        <w:pStyle w:val="Text1"/>
        <w:tabs>
          <w:tab w:val="left" w:pos="2268"/>
        </w:tabs>
        <w:rPr>
          <w:noProof/>
        </w:rPr>
      </w:pPr>
      <w:r>
        <w:rPr>
          <w:noProof/>
        </w:rPr>
        <w:t>Article 2</w:t>
      </w:r>
      <w:r>
        <w:rPr>
          <w:noProof/>
        </w:rPr>
        <w:tab/>
      </w:r>
      <w:r>
        <w:rPr>
          <w:b/>
          <w:noProof/>
        </w:rPr>
        <w:t>Conditions générales</w:t>
      </w:r>
    </w:p>
    <w:p>
      <w:pPr>
        <w:pStyle w:val="Text1"/>
        <w:tabs>
          <w:tab w:val="left" w:pos="2268"/>
        </w:tabs>
        <w:rPr>
          <w:b/>
          <w:noProof/>
        </w:rPr>
      </w:pPr>
      <w:r>
        <w:rPr>
          <w:noProof/>
        </w:rPr>
        <w:t>Article 3</w:t>
      </w:r>
      <w:r>
        <w:rPr>
          <w:noProof/>
        </w:rPr>
        <w:tab/>
      </w:r>
      <w:r>
        <w:rPr>
          <w:b/>
          <w:noProof/>
        </w:rPr>
        <w:t>Produits entièrement obtenus</w:t>
      </w:r>
    </w:p>
    <w:p>
      <w:pPr>
        <w:pStyle w:val="Text1"/>
        <w:tabs>
          <w:tab w:val="left" w:pos="2268"/>
        </w:tabs>
        <w:rPr>
          <w:noProof/>
        </w:rPr>
      </w:pPr>
      <w:r>
        <w:rPr>
          <w:noProof/>
        </w:rPr>
        <w:t>Article 4</w:t>
      </w:r>
      <w:r>
        <w:rPr>
          <w:noProof/>
        </w:rPr>
        <w:tab/>
      </w:r>
      <w:r>
        <w:rPr>
          <w:b/>
          <w:noProof/>
        </w:rPr>
        <w:t>Ouvraisons ou transformations suffisantes</w:t>
      </w:r>
    </w:p>
    <w:p>
      <w:pPr>
        <w:pStyle w:val="Text1"/>
        <w:tabs>
          <w:tab w:val="left" w:pos="2268"/>
        </w:tabs>
        <w:rPr>
          <w:noProof/>
        </w:rPr>
      </w:pPr>
      <w:r>
        <w:rPr>
          <w:noProof/>
        </w:rPr>
        <w:t>Article 5</w:t>
      </w:r>
      <w:r>
        <w:rPr>
          <w:noProof/>
        </w:rPr>
        <w:tab/>
      </w:r>
      <w:r>
        <w:rPr>
          <w:b/>
          <w:noProof/>
        </w:rPr>
        <w:t>Règle de tolérance</w:t>
      </w:r>
    </w:p>
    <w:p>
      <w:pPr>
        <w:pStyle w:val="Text1"/>
        <w:tabs>
          <w:tab w:val="left" w:pos="2268"/>
        </w:tabs>
        <w:rPr>
          <w:noProof/>
        </w:rPr>
      </w:pPr>
      <w:r>
        <w:rPr>
          <w:noProof/>
        </w:rPr>
        <w:t>Article 6</w:t>
      </w:r>
      <w:r>
        <w:rPr>
          <w:noProof/>
        </w:rPr>
        <w:tab/>
      </w:r>
      <w:r>
        <w:rPr>
          <w:b/>
          <w:noProof/>
        </w:rPr>
        <w:t>Ouvraisons ou transformations insuffisantes</w:t>
      </w:r>
    </w:p>
    <w:p>
      <w:pPr>
        <w:pStyle w:val="Text1"/>
        <w:tabs>
          <w:tab w:val="left" w:pos="2268"/>
        </w:tabs>
        <w:rPr>
          <w:noProof/>
        </w:rPr>
      </w:pPr>
      <w:r>
        <w:rPr>
          <w:noProof/>
        </w:rPr>
        <w:t>Article 7</w:t>
      </w:r>
      <w:r>
        <w:rPr>
          <w:noProof/>
        </w:rPr>
        <w:tab/>
      </w:r>
      <w:r>
        <w:rPr>
          <w:b/>
          <w:noProof/>
        </w:rPr>
        <w:t>Cumul de l’origine</w:t>
      </w:r>
    </w:p>
    <w:p>
      <w:pPr>
        <w:pStyle w:val="Text1"/>
        <w:tabs>
          <w:tab w:val="left" w:pos="2268"/>
        </w:tabs>
        <w:rPr>
          <w:noProof/>
        </w:rPr>
      </w:pPr>
      <w:r>
        <w:rPr>
          <w:noProof/>
        </w:rPr>
        <w:t>Article 8</w:t>
      </w:r>
      <w:r>
        <w:rPr>
          <w:noProof/>
        </w:rPr>
        <w:tab/>
      </w:r>
      <w:r>
        <w:rPr>
          <w:b/>
          <w:noProof/>
        </w:rPr>
        <w:t>Conditions d’application du cumul de l’origine</w:t>
      </w:r>
    </w:p>
    <w:p>
      <w:pPr>
        <w:pStyle w:val="Text1"/>
        <w:tabs>
          <w:tab w:val="left" w:pos="2268"/>
        </w:tabs>
        <w:rPr>
          <w:noProof/>
        </w:rPr>
      </w:pPr>
      <w:r>
        <w:rPr>
          <w:noProof/>
        </w:rPr>
        <w:t>Article 9</w:t>
      </w:r>
      <w:r>
        <w:rPr>
          <w:noProof/>
        </w:rPr>
        <w:tab/>
      </w:r>
      <w:r>
        <w:rPr>
          <w:b/>
          <w:noProof/>
        </w:rPr>
        <w:t>Unité à prendre en considération</w:t>
      </w:r>
    </w:p>
    <w:p>
      <w:pPr>
        <w:pStyle w:val="Text1"/>
        <w:tabs>
          <w:tab w:val="left" w:pos="2268"/>
        </w:tabs>
        <w:rPr>
          <w:noProof/>
        </w:rPr>
      </w:pPr>
      <w:r>
        <w:rPr>
          <w:noProof/>
        </w:rPr>
        <w:t>Article 10</w:t>
      </w:r>
      <w:r>
        <w:rPr>
          <w:noProof/>
        </w:rPr>
        <w:tab/>
      </w:r>
      <w:r>
        <w:rPr>
          <w:b/>
          <w:noProof/>
        </w:rPr>
        <w:t>Assortiments</w:t>
      </w:r>
    </w:p>
    <w:p>
      <w:pPr>
        <w:pStyle w:val="Text1"/>
        <w:tabs>
          <w:tab w:val="left" w:pos="2268"/>
        </w:tabs>
        <w:rPr>
          <w:noProof/>
        </w:rPr>
      </w:pPr>
      <w:r>
        <w:rPr>
          <w:noProof/>
        </w:rPr>
        <w:t>Article 11</w:t>
      </w:r>
      <w:r>
        <w:rPr>
          <w:noProof/>
        </w:rPr>
        <w:tab/>
      </w:r>
      <w:r>
        <w:rPr>
          <w:b/>
          <w:noProof/>
        </w:rPr>
        <w:t>Éléments neutres</w:t>
      </w:r>
    </w:p>
    <w:p>
      <w:pPr>
        <w:pStyle w:val="Text1"/>
        <w:tabs>
          <w:tab w:val="left" w:pos="2268"/>
        </w:tabs>
        <w:rPr>
          <w:noProof/>
        </w:rPr>
      </w:pPr>
      <w:r>
        <w:rPr>
          <w:noProof/>
        </w:rPr>
        <w:t>Article 12</w:t>
      </w:r>
      <w:r>
        <w:rPr>
          <w:noProof/>
        </w:rPr>
        <w:tab/>
      </w:r>
      <w:r>
        <w:rPr>
          <w:b/>
          <w:noProof/>
        </w:rPr>
        <w:t>Séparation comptable</w:t>
      </w:r>
    </w:p>
    <w:p>
      <w:pPr>
        <w:pStyle w:val="Text1"/>
        <w:tabs>
          <w:tab w:val="left" w:pos="2268"/>
        </w:tabs>
        <w:rPr>
          <w:noProof/>
        </w:rPr>
      </w:pPr>
      <w:r>
        <w:rPr>
          <w:noProof/>
        </w:rPr>
        <w:t>TITRE III</w:t>
      </w:r>
      <w:r>
        <w:rPr>
          <w:noProof/>
        </w:rPr>
        <w:tab/>
      </w:r>
      <w:r>
        <w:rPr>
          <w:b/>
          <w:noProof/>
        </w:rPr>
        <w:t>CONDITIONS TERRITORIALES</w:t>
      </w:r>
    </w:p>
    <w:p>
      <w:pPr>
        <w:pStyle w:val="Text1"/>
        <w:tabs>
          <w:tab w:val="left" w:pos="2268"/>
        </w:tabs>
        <w:rPr>
          <w:noProof/>
        </w:rPr>
      </w:pPr>
      <w:r>
        <w:rPr>
          <w:noProof/>
        </w:rPr>
        <w:t>Article 13</w:t>
      </w:r>
      <w:r>
        <w:rPr>
          <w:noProof/>
        </w:rPr>
        <w:tab/>
      </w:r>
      <w:r>
        <w:rPr>
          <w:b/>
          <w:noProof/>
        </w:rPr>
        <w:t>Principe de territorialité</w:t>
      </w:r>
    </w:p>
    <w:p>
      <w:pPr>
        <w:pStyle w:val="Text1"/>
        <w:tabs>
          <w:tab w:val="left" w:pos="2268"/>
        </w:tabs>
        <w:rPr>
          <w:noProof/>
        </w:rPr>
      </w:pPr>
      <w:r>
        <w:rPr>
          <w:noProof/>
        </w:rPr>
        <w:t>Article 14</w:t>
      </w:r>
      <w:r>
        <w:rPr>
          <w:noProof/>
        </w:rPr>
        <w:tab/>
      </w:r>
      <w:r>
        <w:rPr>
          <w:b/>
          <w:noProof/>
        </w:rPr>
        <w:t>Non-modification</w:t>
      </w:r>
    </w:p>
    <w:p>
      <w:pPr>
        <w:pStyle w:val="Text1"/>
        <w:tabs>
          <w:tab w:val="left" w:pos="2268"/>
        </w:tabs>
        <w:rPr>
          <w:noProof/>
        </w:rPr>
      </w:pPr>
      <w:r>
        <w:rPr>
          <w:noProof/>
        </w:rPr>
        <w:t>Article 15</w:t>
      </w:r>
      <w:r>
        <w:rPr>
          <w:noProof/>
        </w:rPr>
        <w:tab/>
      </w:r>
      <w:r>
        <w:rPr>
          <w:b/>
          <w:noProof/>
        </w:rPr>
        <w:t>Expositions</w:t>
      </w:r>
    </w:p>
    <w:p>
      <w:pPr>
        <w:pStyle w:val="Text1"/>
        <w:tabs>
          <w:tab w:val="left" w:pos="2268"/>
        </w:tabs>
        <w:rPr>
          <w:noProof/>
        </w:rPr>
      </w:pPr>
      <w:r>
        <w:rPr>
          <w:noProof/>
        </w:rPr>
        <w:t>TITRE IV</w:t>
      </w:r>
      <w:r>
        <w:rPr>
          <w:noProof/>
        </w:rPr>
        <w:tab/>
      </w:r>
      <w:r>
        <w:rPr>
          <w:b/>
          <w:noProof/>
        </w:rPr>
        <w:t>RISTOURNES OU EXONÉRATIONS</w:t>
      </w:r>
    </w:p>
    <w:p>
      <w:pPr>
        <w:pStyle w:val="Text1"/>
        <w:tabs>
          <w:tab w:val="left" w:pos="2268"/>
        </w:tabs>
        <w:rPr>
          <w:noProof/>
        </w:rPr>
      </w:pPr>
      <w:r>
        <w:rPr>
          <w:noProof/>
        </w:rPr>
        <w:t>Article 16</w:t>
      </w:r>
      <w:r>
        <w:rPr>
          <w:noProof/>
        </w:rPr>
        <w:tab/>
      </w:r>
      <w:r>
        <w:rPr>
          <w:b/>
          <w:noProof/>
        </w:rPr>
        <w:t>Ristournes ou exonérations des droits de douane</w:t>
      </w:r>
    </w:p>
    <w:p>
      <w:pPr>
        <w:pStyle w:val="Text1"/>
        <w:tabs>
          <w:tab w:val="left" w:pos="2268"/>
        </w:tabs>
        <w:rPr>
          <w:noProof/>
        </w:rPr>
      </w:pPr>
      <w:r>
        <w:rPr>
          <w:noProof/>
        </w:rPr>
        <w:t>TITRE V</w:t>
      </w:r>
      <w:r>
        <w:rPr>
          <w:noProof/>
        </w:rPr>
        <w:tab/>
      </w:r>
      <w:r>
        <w:rPr>
          <w:b/>
          <w:noProof/>
        </w:rPr>
        <w:t>PREUVE DE L’ORIGINE</w:t>
      </w:r>
    </w:p>
    <w:p>
      <w:pPr>
        <w:pStyle w:val="Text1"/>
        <w:tabs>
          <w:tab w:val="left" w:pos="2268"/>
        </w:tabs>
        <w:rPr>
          <w:noProof/>
        </w:rPr>
      </w:pPr>
      <w:r>
        <w:rPr>
          <w:noProof/>
        </w:rPr>
        <w:t>Article 17</w:t>
      </w:r>
      <w:r>
        <w:rPr>
          <w:noProof/>
        </w:rPr>
        <w:tab/>
      </w:r>
      <w:r>
        <w:rPr>
          <w:b/>
          <w:noProof/>
        </w:rPr>
        <w:t>Conditions générales</w:t>
      </w:r>
    </w:p>
    <w:p>
      <w:pPr>
        <w:pStyle w:val="Text1"/>
        <w:tabs>
          <w:tab w:val="left" w:pos="2268"/>
        </w:tabs>
        <w:rPr>
          <w:noProof/>
        </w:rPr>
      </w:pPr>
      <w:r>
        <w:rPr>
          <w:noProof/>
        </w:rPr>
        <w:t>Article 18</w:t>
      </w:r>
      <w:r>
        <w:rPr>
          <w:noProof/>
        </w:rPr>
        <w:tab/>
      </w:r>
      <w:r>
        <w:rPr>
          <w:b/>
          <w:noProof/>
        </w:rPr>
        <w:t>Conditions d’établissement d’une déclaration d’origine</w:t>
      </w:r>
    </w:p>
    <w:p>
      <w:pPr>
        <w:pStyle w:val="Text1"/>
        <w:tabs>
          <w:tab w:val="left" w:pos="2268"/>
        </w:tabs>
        <w:rPr>
          <w:noProof/>
        </w:rPr>
      </w:pPr>
      <w:r>
        <w:rPr>
          <w:noProof/>
        </w:rPr>
        <w:t>Article 19</w:t>
      </w:r>
      <w:r>
        <w:rPr>
          <w:noProof/>
        </w:rPr>
        <w:tab/>
      </w:r>
      <w:r>
        <w:rPr>
          <w:b/>
          <w:noProof/>
        </w:rPr>
        <w:t>Exportateur agréé</w:t>
      </w:r>
    </w:p>
    <w:p>
      <w:pPr>
        <w:pStyle w:val="Text1"/>
        <w:tabs>
          <w:tab w:val="left" w:pos="2268"/>
        </w:tabs>
        <w:rPr>
          <w:noProof/>
        </w:rPr>
      </w:pPr>
      <w:r>
        <w:rPr>
          <w:noProof/>
        </w:rPr>
        <w:t>Article 20</w:t>
      </w:r>
      <w:r>
        <w:rPr>
          <w:noProof/>
        </w:rPr>
        <w:tab/>
      </w:r>
      <w:r>
        <w:rPr>
          <w:b/>
          <w:noProof/>
        </w:rPr>
        <w:t>Procédure de délivrance d’un certificat de circulation des marchandises EUR.1</w:t>
      </w:r>
    </w:p>
    <w:p>
      <w:pPr>
        <w:pStyle w:val="Text1"/>
        <w:tabs>
          <w:tab w:val="left" w:pos="2268"/>
        </w:tabs>
        <w:rPr>
          <w:noProof/>
        </w:rPr>
      </w:pPr>
      <w:r>
        <w:rPr>
          <w:noProof/>
        </w:rPr>
        <w:t>Article 21</w:t>
      </w:r>
      <w:r>
        <w:rPr>
          <w:noProof/>
        </w:rPr>
        <w:tab/>
      </w:r>
      <w:r>
        <w:rPr>
          <w:b/>
          <w:noProof/>
        </w:rPr>
        <w:t>Certificats de circulation des marchandises EUR.1 délivrés a posteriori</w:t>
      </w:r>
    </w:p>
    <w:p>
      <w:pPr>
        <w:pStyle w:val="Text1"/>
        <w:tabs>
          <w:tab w:val="left" w:pos="2268"/>
        </w:tabs>
        <w:rPr>
          <w:noProof/>
        </w:rPr>
      </w:pPr>
      <w:r>
        <w:rPr>
          <w:noProof/>
        </w:rPr>
        <w:t>Article 22</w:t>
      </w:r>
      <w:r>
        <w:rPr>
          <w:noProof/>
        </w:rPr>
        <w:tab/>
      </w:r>
      <w:r>
        <w:rPr>
          <w:b/>
          <w:noProof/>
        </w:rPr>
        <w:t>Délivrance d’un duplicata du certificat de circulation des marchandises EUR.1</w:t>
      </w:r>
    </w:p>
    <w:p>
      <w:pPr>
        <w:pStyle w:val="Text1"/>
        <w:tabs>
          <w:tab w:val="left" w:pos="2268"/>
        </w:tabs>
        <w:rPr>
          <w:noProof/>
        </w:rPr>
      </w:pPr>
      <w:r>
        <w:rPr>
          <w:noProof/>
        </w:rPr>
        <w:t>Article 23</w:t>
      </w:r>
      <w:r>
        <w:rPr>
          <w:noProof/>
        </w:rPr>
        <w:tab/>
      </w:r>
      <w:r>
        <w:rPr>
          <w:b/>
          <w:noProof/>
        </w:rPr>
        <w:t>Validité de la preuve de l’origine</w:t>
      </w:r>
    </w:p>
    <w:p>
      <w:pPr>
        <w:pStyle w:val="Text1"/>
        <w:tabs>
          <w:tab w:val="left" w:pos="2268"/>
        </w:tabs>
        <w:rPr>
          <w:noProof/>
        </w:rPr>
      </w:pPr>
      <w:r>
        <w:rPr>
          <w:noProof/>
        </w:rPr>
        <w:t>Article 24</w:t>
      </w:r>
      <w:r>
        <w:rPr>
          <w:noProof/>
        </w:rPr>
        <w:tab/>
      </w:r>
      <w:r>
        <w:rPr>
          <w:b/>
          <w:noProof/>
        </w:rPr>
        <w:t>Zones franches</w:t>
      </w:r>
    </w:p>
    <w:p>
      <w:pPr>
        <w:pStyle w:val="Text1"/>
        <w:tabs>
          <w:tab w:val="left" w:pos="2268"/>
        </w:tabs>
        <w:rPr>
          <w:noProof/>
        </w:rPr>
      </w:pPr>
      <w:r>
        <w:rPr>
          <w:noProof/>
        </w:rPr>
        <w:t>Article 25</w:t>
      </w:r>
      <w:r>
        <w:rPr>
          <w:noProof/>
        </w:rPr>
        <w:tab/>
      </w:r>
      <w:r>
        <w:rPr>
          <w:b/>
          <w:noProof/>
        </w:rPr>
        <w:t>Exigences à l’importation</w:t>
      </w:r>
    </w:p>
    <w:p>
      <w:pPr>
        <w:pStyle w:val="Text1"/>
        <w:tabs>
          <w:tab w:val="left" w:pos="2268"/>
        </w:tabs>
        <w:rPr>
          <w:noProof/>
        </w:rPr>
      </w:pPr>
      <w:r>
        <w:rPr>
          <w:noProof/>
        </w:rPr>
        <w:t>Article 26</w:t>
      </w:r>
      <w:r>
        <w:rPr>
          <w:noProof/>
        </w:rPr>
        <w:tab/>
      </w:r>
      <w:r>
        <w:rPr>
          <w:b/>
          <w:noProof/>
        </w:rPr>
        <w:t>Importation par envois échelonnés</w:t>
      </w:r>
    </w:p>
    <w:p>
      <w:pPr>
        <w:pStyle w:val="Text1"/>
        <w:tabs>
          <w:tab w:val="left" w:pos="2268"/>
        </w:tabs>
        <w:rPr>
          <w:noProof/>
        </w:rPr>
      </w:pPr>
      <w:r>
        <w:rPr>
          <w:noProof/>
        </w:rPr>
        <w:t>Article 27</w:t>
      </w:r>
      <w:r>
        <w:rPr>
          <w:noProof/>
        </w:rPr>
        <w:tab/>
      </w:r>
      <w:r>
        <w:rPr>
          <w:b/>
          <w:noProof/>
        </w:rPr>
        <w:t>Exemption de la preuve de l’origine</w:t>
      </w:r>
    </w:p>
    <w:p>
      <w:pPr>
        <w:pStyle w:val="Text1"/>
        <w:tabs>
          <w:tab w:val="left" w:pos="2268"/>
        </w:tabs>
        <w:rPr>
          <w:noProof/>
        </w:rPr>
      </w:pPr>
      <w:r>
        <w:rPr>
          <w:noProof/>
        </w:rPr>
        <w:t>Article 28</w:t>
      </w:r>
      <w:r>
        <w:rPr>
          <w:noProof/>
        </w:rPr>
        <w:tab/>
      </w:r>
      <w:r>
        <w:rPr>
          <w:b/>
          <w:noProof/>
        </w:rPr>
        <w:t>Discordances et erreurs formelles</w:t>
      </w:r>
    </w:p>
    <w:p>
      <w:pPr>
        <w:pStyle w:val="Text1"/>
        <w:tabs>
          <w:tab w:val="left" w:pos="2268"/>
        </w:tabs>
        <w:rPr>
          <w:noProof/>
        </w:rPr>
      </w:pPr>
      <w:r>
        <w:rPr>
          <w:noProof/>
        </w:rPr>
        <w:t>Article 29</w:t>
      </w:r>
      <w:r>
        <w:rPr>
          <w:noProof/>
        </w:rPr>
        <w:tab/>
      </w:r>
      <w:r>
        <w:rPr>
          <w:b/>
          <w:noProof/>
        </w:rPr>
        <w:t>Déclarations du fournisseur</w:t>
      </w:r>
    </w:p>
    <w:p>
      <w:pPr>
        <w:pStyle w:val="Text1"/>
        <w:tabs>
          <w:tab w:val="left" w:pos="2268"/>
        </w:tabs>
        <w:rPr>
          <w:noProof/>
        </w:rPr>
      </w:pPr>
      <w:r>
        <w:rPr>
          <w:noProof/>
        </w:rPr>
        <w:t>Article 30</w:t>
      </w:r>
      <w:r>
        <w:rPr>
          <w:noProof/>
        </w:rPr>
        <w:tab/>
      </w:r>
      <w:r>
        <w:rPr>
          <w:b/>
          <w:noProof/>
        </w:rPr>
        <w:t>Montants exprimés en euros</w:t>
      </w:r>
    </w:p>
    <w:p>
      <w:pPr>
        <w:pStyle w:val="Text1"/>
        <w:tabs>
          <w:tab w:val="left" w:pos="2268"/>
        </w:tabs>
        <w:ind w:left="2268" w:hanging="1418"/>
        <w:rPr>
          <w:noProof/>
        </w:rPr>
      </w:pPr>
      <w:r>
        <w:rPr>
          <w:noProof/>
        </w:rPr>
        <w:t>TITRE VI</w:t>
      </w:r>
      <w:r>
        <w:rPr>
          <w:noProof/>
        </w:rPr>
        <w:tab/>
      </w:r>
      <w:r>
        <w:rPr>
          <w:b/>
          <w:noProof/>
        </w:rPr>
        <w:t>PRINCIPES DE COOPÉRATION ET PIÈCES JUSTIFICATIVES</w:t>
      </w:r>
    </w:p>
    <w:p>
      <w:pPr>
        <w:pStyle w:val="Text1"/>
        <w:ind w:left="2268" w:hanging="1418"/>
        <w:rPr>
          <w:noProof/>
        </w:rPr>
      </w:pPr>
      <w:r>
        <w:rPr>
          <w:noProof/>
        </w:rPr>
        <w:t>Article 31</w:t>
      </w:r>
      <w:r>
        <w:rPr>
          <w:noProof/>
        </w:rPr>
        <w:tab/>
      </w:r>
      <w:r>
        <w:rPr>
          <w:b/>
          <w:noProof/>
        </w:rPr>
        <w:t>Pièces justificatives, conservation des preuves de l’origine et des documents probants</w:t>
      </w:r>
    </w:p>
    <w:p>
      <w:pPr>
        <w:pStyle w:val="Text1"/>
        <w:tabs>
          <w:tab w:val="left" w:pos="2268"/>
        </w:tabs>
        <w:rPr>
          <w:noProof/>
        </w:rPr>
      </w:pPr>
      <w:r>
        <w:rPr>
          <w:noProof/>
        </w:rPr>
        <w:t>Article 32</w:t>
      </w:r>
      <w:r>
        <w:rPr>
          <w:noProof/>
        </w:rPr>
        <w:tab/>
      </w:r>
      <w:r>
        <w:rPr>
          <w:b/>
          <w:noProof/>
        </w:rPr>
        <w:t>Règlement des différends</w:t>
      </w:r>
    </w:p>
    <w:p>
      <w:pPr>
        <w:pStyle w:val="Text1"/>
        <w:tabs>
          <w:tab w:val="left" w:pos="2268"/>
        </w:tabs>
        <w:rPr>
          <w:noProof/>
        </w:rPr>
      </w:pPr>
      <w:r>
        <w:rPr>
          <w:noProof/>
        </w:rPr>
        <w:t>TITRE VII</w:t>
      </w:r>
      <w:r>
        <w:rPr>
          <w:noProof/>
        </w:rPr>
        <w:tab/>
      </w:r>
      <w:r>
        <w:rPr>
          <w:b/>
          <w:noProof/>
        </w:rPr>
        <w:t>COOPÉRATION ADMINISTRATIVE</w:t>
      </w:r>
    </w:p>
    <w:p>
      <w:pPr>
        <w:pStyle w:val="Text1"/>
        <w:tabs>
          <w:tab w:val="left" w:pos="2268"/>
        </w:tabs>
        <w:rPr>
          <w:noProof/>
        </w:rPr>
      </w:pPr>
      <w:r>
        <w:rPr>
          <w:noProof/>
        </w:rPr>
        <w:t>Article 33</w:t>
      </w:r>
      <w:r>
        <w:rPr>
          <w:noProof/>
        </w:rPr>
        <w:tab/>
      </w:r>
      <w:r>
        <w:rPr>
          <w:b/>
          <w:noProof/>
        </w:rPr>
        <w:t>Notification et coopération</w:t>
      </w:r>
    </w:p>
    <w:p>
      <w:pPr>
        <w:pStyle w:val="Text1"/>
        <w:tabs>
          <w:tab w:val="left" w:pos="2268"/>
        </w:tabs>
        <w:rPr>
          <w:noProof/>
        </w:rPr>
      </w:pPr>
      <w:r>
        <w:rPr>
          <w:noProof/>
        </w:rPr>
        <w:t>Article 34</w:t>
      </w:r>
      <w:r>
        <w:rPr>
          <w:noProof/>
        </w:rPr>
        <w:tab/>
      </w:r>
      <w:r>
        <w:rPr>
          <w:b/>
          <w:noProof/>
        </w:rPr>
        <w:t>Contrôle de la preuve de l’origine</w:t>
      </w:r>
    </w:p>
    <w:p>
      <w:pPr>
        <w:pStyle w:val="Text1"/>
        <w:tabs>
          <w:tab w:val="left" w:pos="2268"/>
        </w:tabs>
        <w:rPr>
          <w:noProof/>
        </w:rPr>
      </w:pPr>
      <w:r>
        <w:rPr>
          <w:noProof/>
        </w:rPr>
        <w:t>Article 35</w:t>
      </w:r>
      <w:r>
        <w:rPr>
          <w:noProof/>
        </w:rPr>
        <w:tab/>
      </w:r>
      <w:r>
        <w:rPr>
          <w:b/>
          <w:noProof/>
        </w:rPr>
        <w:t>Contrôle des déclarations du fournisseur</w:t>
      </w:r>
    </w:p>
    <w:p>
      <w:pPr>
        <w:pStyle w:val="Text1"/>
        <w:tabs>
          <w:tab w:val="left" w:pos="2268"/>
        </w:tabs>
        <w:rPr>
          <w:noProof/>
        </w:rPr>
      </w:pPr>
      <w:r>
        <w:rPr>
          <w:noProof/>
        </w:rPr>
        <w:t>Article 36</w:t>
      </w:r>
      <w:r>
        <w:rPr>
          <w:noProof/>
        </w:rPr>
        <w:tab/>
      </w:r>
      <w:r>
        <w:rPr>
          <w:b/>
          <w:noProof/>
        </w:rPr>
        <w:t>Sanctions</w:t>
      </w:r>
    </w:p>
    <w:p>
      <w:pPr>
        <w:pStyle w:val="Text1"/>
        <w:tabs>
          <w:tab w:val="left" w:pos="2268"/>
        </w:tabs>
        <w:rPr>
          <w:noProof/>
        </w:rPr>
      </w:pPr>
      <w:r>
        <w:rPr>
          <w:noProof/>
        </w:rPr>
        <w:t xml:space="preserve">TITRE VIII </w:t>
      </w:r>
      <w:r>
        <w:rPr>
          <w:noProof/>
        </w:rPr>
        <w:tab/>
      </w:r>
      <w:r>
        <w:rPr>
          <w:b/>
          <w:noProof/>
        </w:rPr>
        <w:t>APPLICATION DE L’APPENDICE I</w:t>
      </w:r>
    </w:p>
    <w:p>
      <w:pPr>
        <w:pStyle w:val="Text1"/>
        <w:tabs>
          <w:tab w:val="left" w:pos="2268"/>
        </w:tabs>
        <w:rPr>
          <w:noProof/>
        </w:rPr>
      </w:pPr>
      <w:r>
        <w:rPr>
          <w:noProof/>
        </w:rPr>
        <w:t>Article 37</w:t>
      </w:r>
      <w:r>
        <w:rPr>
          <w:noProof/>
        </w:rPr>
        <w:tab/>
      </w:r>
      <w:r>
        <w:rPr>
          <w:b/>
          <w:noProof/>
        </w:rPr>
        <w:t>Espace économique européen</w:t>
      </w:r>
    </w:p>
    <w:p>
      <w:pPr>
        <w:pStyle w:val="Text1"/>
        <w:tabs>
          <w:tab w:val="left" w:pos="2268"/>
        </w:tabs>
        <w:rPr>
          <w:noProof/>
        </w:rPr>
      </w:pPr>
      <w:r>
        <w:rPr>
          <w:noProof/>
        </w:rPr>
        <w:t>Article 38</w:t>
      </w:r>
      <w:r>
        <w:rPr>
          <w:noProof/>
        </w:rPr>
        <w:tab/>
      </w:r>
      <w:r>
        <w:rPr>
          <w:b/>
          <w:noProof/>
        </w:rPr>
        <w:t>Liechtenstein</w:t>
      </w:r>
    </w:p>
    <w:p>
      <w:pPr>
        <w:pStyle w:val="Text1"/>
        <w:tabs>
          <w:tab w:val="left" w:pos="2268"/>
        </w:tabs>
        <w:rPr>
          <w:noProof/>
        </w:rPr>
      </w:pPr>
      <w:r>
        <w:rPr>
          <w:noProof/>
        </w:rPr>
        <w:t>Article 39</w:t>
      </w:r>
      <w:r>
        <w:rPr>
          <w:noProof/>
        </w:rPr>
        <w:tab/>
      </w:r>
      <w:r>
        <w:rPr>
          <w:b/>
          <w:noProof/>
        </w:rPr>
        <w:t>République de Saint-Marin</w:t>
      </w:r>
    </w:p>
    <w:p>
      <w:pPr>
        <w:pStyle w:val="Text1"/>
        <w:tabs>
          <w:tab w:val="left" w:pos="2268"/>
        </w:tabs>
        <w:rPr>
          <w:noProof/>
        </w:rPr>
      </w:pPr>
      <w:r>
        <w:rPr>
          <w:noProof/>
        </w:rPr>
        <w:t>Article 40</w:t>
      </w:r>
      <w:r>
        <w:rPr>
          <w:noProof/>
        </w:rPr>
        <w:tab/>
      </w:r>
      <w:r>
        <w:rPr>
          <w:b/>
          <w:noProof/>
        </w:rPr>
        <w:t>Principauté d’Andorre</w:t>
      </w:r>
    </w:p>
    <w:p>
      <w:pPr>
        <w:pStyle w:val="Text1"/>
        <w:tabs>
          <w:tab w:val="left" w:pos="2268"/>
        </w:tabs>
        <w:rPr>
          <w:noProof/>
        </w:rPr>
      </w:pPr>
      <w:r>
        <w:rPr>
          <w:noProof/>
        </w:rPr>
        <w:t>Article 41</w:t>
      </w:r>
      <w:r>
        <w:rPr>
          <w:noProof/>
        </w:rPr>
        <w:tab/>
      </w:r>
      <w:r>
        <w:rPr>
          <w:b/>
          <w:noProof/>
        </w:rPr>
        <w:t>Ceuta et Melilla</w:t>
      </w:r>
    </w:p>
    <w:p>
      <w:pPr>
        <w:pStyle w:val="Text1"/>
        <w:tabs>
          <w:tab w:val="left" w:pos="2268"/>
        </w:tabs>
        <w:rPr>
          <w:noProof/>
        </w:rPr>
      </w:pPr>
      <w:r>
        <w:rPr>
          <w:noProof/>
        </w:rPr>
        <w:br w:type="page"/>
        <w:t>Liste des annexes</w:t>
      </w:r>
    </w:p>
    <w:p>
      <w:pPr>
        <w:pStyle w:val="Text1"/>
        <w:tabs>
          <w:tab w:val="left" w:pos="2268"/>
        </w:tabs>
        <w:rPr>
          <w:noProof/>
        </w:rPr>
      </w:pPr>
    </w:p>
    <w:p>
      <w:pPr>
        <w:pStyle w:val="Text1"/>
        <w:tabs>
          <w:tab w:val="left" w:pos="2268"/>
        </w:tabs>
        <w:rPr>
          <w:noProof/>
        </w:rPr>
      </w:pPr>
      <w:r>
        <w:rPr>
          <w:noProof/>
        </w:rPr>
        <w:t>ANNEXE I</w:t>
      </w:r>
      <w:r>
        <w:rPr>
          <w:noProof/>
        </w:rPr>
        <w:tab/>
      </w:r>
      <w:r>
        <w:rPr>
          <w:b/>
          <w:noProof/>
        </w:rPr>
        <w:t>Notes introductives à la liste de l’annexe II</w:t>
      </w:r>
    </w:p>
    <w:p>
      <w:pPr>
        <w:spacing w:line="360" w:lineRule="auto"/>
        <w:ind w:left="2268" w:hanging="1418"/>
        <w:jc w:val="left"/>
        <w:rPr>
          <w:b/>
          <w:noProof/>
        </w:rPr>
      </w:pPr>
      <w:r>
        <w:rPr>
          <w:noProof/>
        </w:rPr>
        <w:t>ANNEXE II</w:t>
      </w:r>
      <w:r>
        <w:rPr>
          <w:noProof/>
        </w:rPr>
        <w:tab/>
      </w:r>
      <w:r>
        <w:rPr>
          <w:noProof/>
        </w:rPr>
        <w:tab/>
      </w:r>
      <w:r>
        <w:rPr>
          <w:b/>
          <w:noProof/>
        </w:rPr>
        <w:t>Liste des ouvraisons ou transformations à appliquer aux matières non originaires pour que le produit transformé puisse obtenir le caractère originaire</w:t>
      </w:r>
    </w:p>
    <w:p>
      <w:pPr>
        <w:spacing w:line="360" w:lineRule="auto"/>
        <w:ind w:left="2268" w:hanging="1418"/>
        <w:jc w:val="left"/>
        <w:rPr>
          <w:noProof/>
        </w:rPr>
      </w:pPr>
      <w:r>
        <w:rPr>
          <w:noProof/>
        </w:rPr>
        <w:t>ANNEXE III</w:t>
      </w:r>
      <w:r>
        <w:rPr>
          <w:noProof/>
        </w:rPr>
        <w:tab/>
      </w:r>
      <w:r>
        <w:rPr>
          <w:b/>
          <w:noProof/>
        </w:rPr>
        <w:t>Texte de la déclaration d’origine</w:t>
      </w:r>
    </w:p>
    <w:p>
      <w:pPr>
        <w:spacing w:line="360" w:lineRule="auto"/>
        <w:ind w:left="2268" w:hanging="1418"/>
        <w:jc w:val="left"/>
        <w:rPr>
          <w:b/>
          <w:noProof/>
        </w:rPr>
      </w:pPr>
      <w:r>
        <w:rPr>
          <w:noProof/>
        </w:rPr>
        <w:t>ANNEXE IV</w:t>
      </w:r>
      <w:r>
        <w:rPr>
          <w:noProof/>
        </w:rPr>
        <w:tab/>
      </w:r>
      <w:r>
        <w:rPr>
          <w:noProof/>
        </w:rPr>
        <w:tab/>
      </w:r>
      <w:r>
        <w:rPr>
          <w:b/>
          <w:noProof/>
        </w:rPr>
        <w:t>Modèles de certificat de circulation des marchandises EUR.1 et de demande de certificat de circulation des marchandises EUR.1</w:t>
      </w:r>
    </w:p>
    <w:p>
      <w:pPr>
        <w:spacing w:line="360" w:lineRule="auto"/>
        <w:ind w:left="2268" w:hanging="1418"/>
        <w:jc w:val="left"/>
        <w:rPr>
          <w:b/>
          <w:noProof/>
        </w:rPr>
      </w:pPr>
      <w:r>
        <w:rPr>
          <w:noProof/>
        </w:rPr>
        <w:t>ANNEXE V</w:t>
      </w:r>
      <w:r>
        <w:rPr>
          <w:noProof/>
        </w:rPr>
        <w:tab/>
      </w:r>
      <w:r>
        <w:rPr>
          <w:b/>
          <w:noProof/>
        </w:rPr>
        <w:t>Conditions particulières relatives aux produits originaires de Ceuta et Melilla</w:t>
      </w:r>
    </w:p>
    <w:p>
      <w:pPr>
        <w:spacing w:line="360" w:lineRule="auto"/>
        <w:ind w:left="2268" w:hanging="1418"/>
        <w:jc w:val="left"/>
        <w:rPr>
          <w:b/>
          <w:noProof/>
        </w:rPr>
      </w:pPr>
      <w:r>
        <w:rPr>
          <w:noProof/>
        </w:rPr>
        <w:t>ANNEXE VI</w:t>
      </w:r>
      <w:r>
        <w:rPr>
          <w:noProof/>
        </w:rPr>
        <w:tab/>
      </w:r>
      <w:r>
        <w:rPr>
          <w:b/>
          <w:noProof/>
        </w:rPr>
        <w:t>Déclaration du fournisseur</w:t>
      </w:r>
    </w:p>
    <w:p>
      <w:pPr>
        <w:spacing w:line="360" w:lineRule="auto"/>
        <w:ind w:left="2268" w:hanging="1418"/>
        <w:jc w:val="left"/>
        <w:rPr>
          <w:noProof/>
        </w:rPr>
      </w:pPr>
      <w:r>
        <w:rPr>
          <w:noProof/>
        </w:rPr>
        <w:t>ANNEXE VII</w:t>
      </w:r>
      <w:r>
        <w:rPr>
          <w:noProof/>
        </w:rPr>
        <w:tab/>
      </w:r>
      <w:r>
        <w:rPr>
          <w:b/>
          <w:noProof/>
        </w:rPr>
        <w:t>Déclaration à long terme du fournisseur</w:t>
      </w:r>
    </w:p>
    <w:p>
      <w:pPr>
        <w:autoSpaceDE w:val="0"/>
        <w:autoSpaceDN w:val="0"/>
        <w:rPr>
          <w:rFonts w:eastAsia="Times New Roman"/>
          <w:noProof/>
          <w:szCs w:val="24"/>
          <w:lang w:eastAsia="en-GB"/>
        </w:rPr>
      </w:pPr>
    </w:p>
    <w:p>
      <w:pPr>
        <w:spacing w:before="0" w:after="200" w:line="276" w:lineRule="auto"/>
        <w:rPr>
          <w:rFonts w:eastAsia="Times New Roman"/>
          <w:noProof/>
          <w:szCs w:val="24"/>
        </w:rPr>
      </w:pPr>
      <w:r>
        <w:rPr>
          <w:noProof/>
        </w:rPr>
        <w:br w:type="page"/>
      </w:r>
    </w:p>
    <w:p>
      <w:pPr>
        <w:autoSpaceDE w:val="0"/>
        <w:autoSpaceDN w:val="0"/>
        <w:rPr>
          <w:rFonts w:eastAsia="Times New Roman"/>
          <w:noProof/>
          <w:szCs w:val="24"/>
        </w:rPr>
      </w:pPr>
      <w:r>
        <w:rPr>
          <w:noProof/>
        </w:rPr>
        <w:t>OBJECTIFS</w:t>
      </w:r>
    </w:p>
    <w:p>
      <w:pPr>
        <w:autoSpaceDE w:val="0"/>
        <w:autoSpaceDN w:val="0"/>
        <w:rPr>
          <w:rFonts w:eastAsia="Times New Roman"/>
          <w:noProof/>
          <w:szCs w:val="24"/>
        </w:rPr>
      </w:pPr>
      <w:r>
        <w:rPr>
          <w:noProof/>
        </w:rPr>
        <w:t>Ces règles sont destinées à être appliquées à titre provisoire, sur une base facultative et bilatérale, par les parties contractantes de la convention régionale sur les règles d’origine préférentielles paneuro-méditerranéennes (la “convention paneuro-méditerranéenne” ou la “convention”) dans l’attente de la conclusion et de l’entrée en vigueur de la modification de la convention. Elles deviendront applicables aux échanges entre les parties contractantes qui en décideront ainsi et y feront référence ou les intégreront dans leurs accords commerciaux préférentiels bilatéraux. Elles ont vocation à être appliquées en se substituant aux règles de la convention qui, conformément à la convention, sont sans préjudice des principes énoncés dans les accords pertinents et autres accords bilatéraux entre les parties contractantes. En conséquence, elles ne seront pas obligatoires, mais leur application sera facultative pour les opérateurs économiques qui souhaitent bénéficier d’un régime préférentiel sur la base de ces règles plutôt que sur la base des règles de la convention.</w:t>
      </w:r>
    </w:p>
    <w:p>
      <w:pPr>
        <w:autoSpaceDE w:val="0"/>
        <w:autoSpaceDN w:val="0"/>
        <w:rPr>
          <w:rFonts w:eastAsia="Times New Roman"/>
          <w:noProof/>
          <w:szCs w:val="24"/>
        </w:rPr>
      </w:pPr>
      <w:r>
        <w:rPr>
          <w:noProof/>
        </w:rPr>
        <w:t>Elles n’ont pas pour objectif de modifier la convention, qui restera intégralement applicable entre les parties contractantes à la convention, et n’altéreront en rien les droits et obligations des parties contractantes aux termes de la convention.</w:t>
      </w:r>
    </w:p>
    <w:p>
      <w:pPr>
        <w:keepNext/>
        <w:autoSpaceDE w:val="0"/>
        <w:autoSpaceDN w:val="0"/>
        <w:jc w:val="center"/>
        <w:rPr>
          <w:rFonts w:eastAsia="Times New Roman"/>
          <w:b/>
          <w:bCs/>
          <w:smallCaps/>
          <w:noProof/>
          <w:sz w:val="28"/>
          <w:szCs w:val="28"/>
          <w:lang w:eastAsia="en-GB"/>
        </w:rPr>
      </w:pPr>
    </w:p>
    <w:p>
      <w:pPr>
        <w:pStyle w:val="Text1"/>
        <w:jc w:val="center"/>
        <w:rPr>
          <w:b/>
          <w:noProof/>
        </w:rPr>
      </w:pPr>
      <w:r>
        <w:rPr>
          <w:noProof/>
        </w:rPr>
        <w:t xml:space="preserve">TITRE I </w:t>
      </w:r>
      <w:r>
        <w:rPr>
          <w:noProof/>
        </w:rPr>
        <w:br/>
      </w:r>
      <w:r>
        <w:rPr>
          <w:b/>
          <w:noProof/>
        </w:rPr>
        <w:t>DISPOSITIONS GÉNÉRALES</w:t>
      </w:r>
    </w:p>
    <w:p>
      <w:pPr>
        <w:pStyle w:val="Text1"/>
        <w:jc w:val="center"/>
        <w:rPr>
          <w:i/>
          <w:noProof/>
        </w:rPr>
      </w:pPr>
      <w:r>
        <w:rPr>
          <w:i/>
          <w:noProof/>
        </w:rPr>
        <w:t>Article 1</w:t>
      </w:r>
      <w:r>
        <w:rPr>
          <w:i/>
          <w:noProof/>
          <w:vertAlign w:val="superscript"/>
        </w:rPr>
        <w:t>er</w:t>
      </w:r>
      <w:r>
        <w:rPr>
          <w:noProof/>
        </w:rPr>
        <w:t xml:space="preserve"> </w:t>
      </w:r>
      <w:r>
        <w:rPr>
          <w:noProof/>
        </w:rPr>
        <w:br/>
      </w:r>
      <w:r>
        <w:rPr>
          <w:b/>
          <w:noProof/>
        </w:rPr>
        <w:t>Définitions</w:t>
      </w:r>
    </w:p>
    <w:p>
      <w:pPr>
        <w:autoSpaceDE w:val="0"/>
        <w:autoSpaceDN w:val="0"/>
        <w:ind w:left="283" w:firstLine="567"/>
        <w:rPr>
          <w:rFonts w:eastAsia="Times New Roman"/>
          <w:noProof/>
          <w:szCs w:val="24"/>
        </w:rPr>
      </w:pPr>
      <w:r>
        <w:rPr>
          <w:noProof/>
        </w:rPr>
        <w:t>Aux fins des présentes règles, on entend par:</w:t>
      </w:r>
    </w:p>
    <w:p>
      <w:pPr>
        <w:autoSpaceDE w:val="0"/>
        <w:autoSpaceDN w:val="0"/>
        <w:ind w:left="851" w:hanging="851"/>
        <w:rPr>
          <w:noProof/>
        </w:rPr>
      </w:pPr>
      <w:r>
        <w:rPr>
          <w:noProof/>
        </w:rPr>
        <w:tab/>
        <w:t>a) “partie contractante appliquant les règles”, une partie contractante à la convention paneuro-méditerranéenne qui intègre ces règles dans ses accords commerciaux préférentiels bilatéraux avec une autre partie contractante à la convention paneuro-méditerranéenne. “Partie contractante appliquant les règles” couvre également les parties au présent accord;</w:t>
      </w:r>
    </w:p>
    <w:p>
      <w:pPr>
        <w:autoSpaceDE w:val="0"/>
        <w:autoSpaceDN w:val="0"/>
        <w:ind w:left="851" w:hanging="851"/>
        <w:rPr>
          <w:noProof/>
        </w:rPr>
      </w:pPr>
      <w:r>
        <w:rPr>
          <w:noProof/>
        </w:rPr>
        <w:tab/>
        <w:t>b) “chapitres”, “positions” et “sous-positions”, les chapitres, les positions et les sous-positions (codes à quatre ou six chiffres) utilisés dans la nomenclature constituant le système harmonisé de désignation et de codification des marchandises (le “système harmonisé”), assorti des modifications visées par la recommandation du Conseil de coopération douanière du 26 juin 2004;</w:t>
      </w:r>
    </w:p>
    <w:p>
      <w:pPr>
        <w:autoSpaceDE w:val="0"/>
        <w:autoSpaceDN w:val="0"/>
        <w:ind w:left="851" w:hanging="851"/>
        <w:rPr>
          <w:rFonts w:cstheme="minorBidi"/>
          <w:noProof/>
        </w:rPr>
      </w:pPr>
      <w:r>
        <w:rPr>
          <w:noProof/>
        </w:rPr>
        <w:tab/>
        <w:t>c) “classé”, le terme faisant référence au classement de marchandises dans une position ou une sous-position spécifique du système harmonisé;</w:t>
      </w:r>
    </w:p>
    <w:p>
      <w:pPr>
        <w:autoSpaceDE w:val="0"/>
        <w:autoSpaceDN w:val="0"/>
        <w:ind w:left="851" w:hanging="851"/>
        <w:rPr>
          <w:rFonts w:cstheme="minorBidi"/>
          <w:noProof/>
        </w:rPr>
      </w:pPr>
      <w:r>
        <w:rPr>
          <w:noProof/>
        </w:rPr>
        <w:tab/>
        <w:t>d) “envoi”, les produits qui sont:</w:t>
      </w:r>
    </w:p>
    <w:p>
      <w:pPr>
        <w:autoSpaceDE w:val="0"/>
        <w:autoSpaceDN w:val="0"/>
        <w:ind w:left="851" w:hanging="851"/>
        <w:rPr>
          <w:rFonts w:cstheme="minorBidi"/>
          <w:noProof/>
        </w:rPr>
      </w:pPr>
      <w:r>
        <w:rPr>
          <w:noProof/>
        </w:rPr>
        <w:tab/>
        <w:t>- i)</w:t>
      </w:r>
      <w:r>
        <w:rPr>
          <w:noProof/>
        </w:rPr>
        <w:tab/>
        <w:t>envoyés simultanément par un même exportateur à un même destinataire; ou</w:t>
      </w:r>
    </w:p>
    <w:p>
      <w:pPr>
        <w:autoSpaceDE w:val="0"/>
        <w:autoSpaceDN w:val="0"/>
        <w:ind w:left="851" w:hanging="851"/>
        <w:rPr>
          <w:rFonts w:cstheme="minorBidi"/>
          <w:noProof/>
        </w:rPr>
      </w:pPr>
      <w:r>
        <w:rPr>
          <w:noProof/>
        </w:rPr>
        <w:tab/>
        <w:t>- ii)</w:t>
      </w:r>
      <w:r>
        <w:rPr>
          <w:noProof/>
        </w:rPr>
        <w:tab/>
        <w:t>acheminés de l’exportateur au destinataire sous le couvert d’un document de transport unique ou, à défaut de ce document, sous le couvert d’une facture unique;</w:t>
      </w:r>
    </w:p>
    <w:p>
      <w:pPr>
        <w:autoSpaceDE w:val="0"/>
        <w:autoSpaceDN w:val="0"/>
        <w:ind w:left="851" w:hanging="851"/>
        <w:rPr>
          <w:rFonts w:cstheme="minorBidi"/>
          <w:noProof/>
        </w:rPr>
      </w:pPr>
      <w:r>
        <w:rPr>
          <w:noProof/>
        </w:rPr>
        <w:tab/>
        <w:t>e) “autorités douanières de la partie ou de la partie contractante appliquant les règles”, en ce qui concerne l’Union européenne, toute autorité douanière des États membres de l’Union européenne;</w:t>
      </w:r>
    </w:p>
    <w:p>
      <w:pPr>
        <w:autoSpaceDE w:val="0"/>
        <w:autoSpaceDN w:val="0"/>
        <w:ind w:left="851" w:hanging="851"/>
        <w:rPr>
          <w:rFonts w:cstheme="minorBidi"/>
          <w:noProof/>
        </w:rPr>
      </w:pPr>
      <w:r>
        <w:rPr>
          <w:noProof/>
        </w:rPr>
        <w:tab/>
        <w:t>f) “valeur en douane”, la valeur déterminée conformément à l’accord relatif à la mise en œuvre de l’article VII de l’accord général sur les tarifs douaniers et le commerce de 1994 (accord de l’OMC sur la valeur en douane);</w:t>
      </w:r>
    </w:p>
    <w:p>
      <w:pPr>
        <w:autoSpaceDE w:val="0"/>
        <w:autoSpaceDN w:val="0"/>
        <w:ind w:left="851" w:hanging="851"/>
        <w:rPr>
          <w:rFonts w:cstheme="minorBidi"/>
          <w:noProof/>
        </w:rPr>
      </w:pPr>
      <w:r>
        <w:rPr>
          <w:noProof/>
        </w:rPr>
        <w:tab/>
        <w:t>g) “prix départ usine”, le prix payé pour le produit au fabricant de la partie dans l’entreprise duquel s’est effectuée la dernière ouvraison ou transformation, y compris la valeur de toutes les matières mises en œuvre et tous les autres coûts liés à sa production, et déduction faite de toutes les taxes intérieures qui sont ou peuvent être restituées lorsque le produit obtenu est exporté. Si la dernière ouvraison ou transformation a été sous-traitée à un fabricant, le terme “fabricant” désigne l’entreprise qui a fait appel au sous-traitant.</w:t>
      </w:r>
    </w:p>
    <w:p>
      <w:pPr>
        <w:autoSpaceDE w:val="0"/>
        <w:autoSpaceDN w:val="0"/>
        <w:ind w:left="851" w:hanging="851"/>
        <w:rPr>
          <w:noProof/>
        </w:rPr>
      </w:pPr>
      <w:r>
        <w:rPr>
          <w:noProof/>
        </w:rPr>
        <w:tab/>
        <w:t>Si le prix effectivement payé ne reflète pas tous les coûts liés à la fabrication du produit qui sont effectivement supportés dans la partie, on entend par “prix départ usine” la somme de tous ces coûts, déduction faite de toutes les taxes intérieures qui sont ou peuvent être restituées lorsque le produit obtenu est exporté;</w:t>
      </w:r>
    </w:p>
    <w:p>
      <w:pPr>
        <w:autoSpaceDE w:val="0"/>
        <w:autoSpaceDN w:val="0"/>
        <w:ind w:left="851" w:hanging="851"/>
        <w:rPr>
          <w:noProof/>
        </w:rPr>
      </w:pPr>
      <w:r>
        <w:rPr>
          <w:noProof/>
        </w:rPr>
        <w:tab/>
        <w:t>h) “matières fongibles” ou “produits fongibles”, des matières ou produits qui sont de nature et de qualité commerciale identiques, qui possèdent les mêmes caractéristiques techniques et physiques et qui ne peuvent être distingués les uns des autres;</w:t>
      </w:r>
    </w:p>
    <w:p>
      <w:pPr>
        <w:autoSpaceDE w:val="0"/>
        <w:autoSpaceDN w:val="0"/>
        <w:ind w:left="851" w:hanging="851"/>
        <w:rPr>
          <w:rFonts w:cstheme="minorBidi"/>
          <w:noProof/>
        </w:rPr>
      </w:pPr>
      <w:r>
        <w:rPr>
          <w:noProof/>
        </w:rPr>
        <w:tab/>
        <w:t>i) “marchandises”, les matières et les produits;</w:t>
      </w:r>
    </w:p>
    <w:p>
      <w:pPr>
        <w:autoSpaceDE w:val="0"/>
        <w:autoSpaceDN w:val="0"/>
        <w:ind w:left="851" w:hanging="851"/>
        <w:rPr>
          <w:rFonts w:cstheme="minorBidi"/>
          <w:noProof/>
        </w:rPr>
      </w:pPr>
      <w:r>
        <w:rPr>
          <w:noProof/>
        </w:rPr>
        <w:tab/>
        <w:t>j) “fabrication”, toute ouvraison ou transformation, y compris l’assemblage;</w:t>
      </w:r>
    </w:p>
    <w:p>
      <w:pPr>
        <w:autoSpaceDE w:val="0"/>
        <w:autoSpaceDN w:val="0"/>
        <w:ind w:left="851" w:hanging="851"/>
        <w:rPr>
          <w:rFonts w:cstheme="minorBidi"/>
          <w:noProof/>
        </w:rPr>
      </w:pPr>
      <w:r>
        <w:rPr>
          <w:noProof/>
        </w:rPr>
        <w:tab/>
        <w:t>k) “matière”, tout ingrédient, toute matière première, tout composant ou toute partie, etc., utilisé dans la fabrication du produit;</w:t>
      </w:r>
    </w:p>
    <w:p>
      <w:pPr>
        <w:autoSpaceDE w:val="0"/>
        <w:autoSpaceDN w:val="0"/>
        <w:ind w:left="851" w:hanging="851"/>
        <w:rPr>
          <w:rFonts w:cstheme="minorBidi"/>
          <w:noProof/>
        </w:rPr>
      </w:pPr>
      <w:r>
        <w:rPr>
          <w:noProof/>
        </w:rPr>
        <w:tab/>
        <w:t>l) “proportion maximale de matières non originaires”, la proportion maximale de matières non originaires autorisée pour qu’il soit possible de considérer une fabrication comme une ouvraison ou transformation suffisante pour conférer au produit le caractère originaire. Elle peut être exprimée sous la forme d’un pourcentage du prix départ usine du produit ou d’un pourcentage du poids net de ces matières mises en œuvre, classées dans un groupe de chapitres, un chapitre, une position ou une sous-position spécifiques;</w:t>
      </w:r>
    </w:p>
    <w:p>
      <w:pPr>
        <w:autoSpaceDE w:val="0"/>
        <w:autoSpaceDN w:val="0"/>
        <w:ind w:left="851" w:hanging="851"/>
        <w:rPr>
          <w:rFonts w:cstheme="minorBidi"/>
          <w:noProof/>
        </w:rPr>
      </w:pPr>
      <w:r>
        <w:rPr>
          <w:noProof/>
        </w:rPr>
        <w:tab/>
        <w:t>m) “produit”, le produit obtenu, même s’il est destiné à être utilisé ultérieurement au cours d’une autre opération de fabrication;</w:t>
      </w:r>
    </w:p>
    <w:p>
      <w:pPr>
        <w:autoSpaceDE w:val="0"/>
        <w:autoSpaceDN w:val="0"/>
        <w:ind w:left="851" w:hanging="851"/>
        <w:rPr>
          <w:rFonts w:cstheme="minorBidi"/>
          <w:noProof/>
        </w:rPr>
      </w:pPr>
      <w:r>
        <w:rPr>
          <w:noProof/>
        </w:rPr>
        <w:tab/>
        <w:t>n) “territoire”, le territoire terrestre, les eaux intérieures et la mer territoriale d’une partie;</w:t>
      </w:r>
    </w:p>
    <w:p>
      <w:pPr>
        <w:autoSpaceDE w:val="0"/>
        <w:autoSpaceDN w:val="0"/>
        <w:ind w:left="851" w:hanging="851"/>
        <w:rPr>
          <w:rFonts w:cstheme="minorBidi"/>
          <w:noProof/>
        </w:rPr>
      </w:pPr>
      <w:r>
        <w:rPr>
          <w:noProof/>
        </w:rPr>
        <w:tab/>
        <w:t>o) “valeur ajoutée”, le prix départ usine du produit, diminué de la valeur en douane de toutes les matières utilisées qui sont originaires des autres parties contractantes appliquant les règles avec lesquelles le cumul est applicable, ou, si la valeur en douane n’est pas connue ou ne peut être établie, le premier prix vérifiable payé pour les matières dans la partie exportatrice;</w:t>
      </w:r>
    </w:p>
    <w:p>
      <w:pPr>
        <w:autoSpaceDE w:val="0"/>
        <w:autoSpaceDN w:val="0"/>
        <w:ind w:left="851" w:hanging="851"/>
        <w:rPr>
          <w:noProof/>
        </w:rPr>
      </w:pPr>
      <w:r>
        <w:rPr>
          <w:noProof/>
        </w:rPr>
        <w:tab/>
        <w:t>p) “valeur des matières”, la valeur en douane au moment de l’importation des matières non originaires mises en œuvre ou, si elle n’est pas connue ou ne peut être établie, le premier prix vérifiable payé pour les matières dans la partie exportatrice. Lorsque la valeur des matières originaires mises en œuvre doit être établie, les dispositions du présent point sont appliquées mutatis mutandis.</w:t>
      </w:r>
    </w:p>
    <w:p>
      <w:pPr>
        <w:autoSpaceDE w:val="0"/>
        <w:autoSpaceDN w:val="0"/>
        <w:ind w:left="851" w:hanging="851"/>
        <w:rPr>
          <w:rFonts w:cstheme="minorBidi"/>
          <w:noProof/>
        </w:rPr>
      </w:pPr>
    </w:p>
    <w:p>
      <w:pPr>
        <w:pStyle w:val="Text1"/>
        <w:jc w:val="center"/>
        <w:rPr>
          <w:b/>
          <w:noProof/>
        </w:rPr>
      </w:pPr>
      <w:r>
        <w:rPr>
          <w:noProof/>
        </w:rPr>
        <w:t xml:space="preserve">TITRE II </w:t>
      </w:r>
      <w:r>
        <w:rPr>
          <w:noProof/>
        </w:rPr>
        <w:br/>
      </w:r>
      <w:r>
        <w:rPr>
          <w:b/>
          <w:noProof/>
        </w:rPr>
        <w:t>DÉFINITION DE LA NOTION DE PRODUITS ORIGINAIRES</w:t>
      </w:r>
    </w:p>
    <w:p>
      <w:pPr>
        <w:pStyle w:val="Text1"/>
        <w:jc w:val="center"/>
        <w:rPr>
          <w:i/>
          <w:noProof/>
        </w:rPr>
      </w:pPr>
      <w:r>
        <w:rPr>
          <w:i/>
          <w:noProof/>
        </w:rPr>
        <w:t>Article 2</w:t>
      </w:r>
      <w:r>
        <w:rPr>
          <w:noProof/>
        </w:rPr>
        <w:t xml:space="preserve"> </w:t>
      </w:r>
      <w:r>
        <w:rPr>
          <w:noProof/>
        </w:rPr>
        <w:br/>
      </w:r>
      <w:r>
        <w:rPr>
          <w:b/>
          <w:noProof/>
        </w:rPr>
        <w:t>Conditions générales</w:t>
      </w:r>
    </w:p>
    <w:p>
      <w:pPr>
        <w:autoSpaceDE w:val="0"/>
        <w:autoSpaceDN w:val="0"/>
        <w:ind w:left="851" w:hanging="1"/>
        <w:rPr>
          <w:noProof/>
        </w:rPr>
      </w:pPr>
      <w:r>
        <w:rPr>
          <w:noProof/>
        </w:rPr>
        <w:t>Aux fins de la mise en œuvre du présent accord, les produits suivants sont considérés comme originaires d’une partie lorsqu’ils sont exportés vers l’autre partie:</w:t>
      </w:r>
    </w:p>
    <w:p>
      <w:pPr>
        <w:pStyle w:val="Point2letter"/>
        <w:rPr>
          <w:noProof/>
        </w:rPr>
      </w:pPr>
      <w:r>
        <w:rPr>
          <w:noProof/>
        </w:rPr>
        <w:t>les produits entièrement obtenus dans une partie au sens de l’article 3;</w:t>
      </w:r>
    </w:p>
    <w:p>
      <w:pPr>
        <w:pStyle w:val="Point2letter"/>
        <w:rPr>
          <w:noProof/>
        </w:rPr>
      </w:pPr>
      <w:r>
        <w:rPr>
          <w:noProof/>
        </w:rPr>
        <w:t>les produits obtenus dans une partie et contenant des matières qui n’y ont pas été entièrement obtenues, à condition que ces matières aient fait l’objet, dans cette partie, d’ouvraisons ou de transformations suffisantes au sens de l’article 4.</w:t>
      </w:r>
    </w:p>
    <w:p>
      <w:pPr>
        <w:autoSpaceDE w:val="0"/>
        <w:autoSpaceDN w:val="0"/>
        <w:ind w:left="851" w:hanging="851"/>
        <w:jc w:val="center"/>
        <w:rPr>
          <w:i/>
          <w:noProof/>
        </w:rPr>
      </w:pPr>
      <w:r>
        <w:rPr>
          <w:i/>
          <w:noProof/>
        </w:rPr>
        <w:t>Article 3</w:t>
      </w:r>
    </w:p>
    <w:p>
      <w:pPr>
        <w:keepNext/>
        <w:autoSpaceDE w:val="0"/>
        <w:autoSpaceDN w:val="0"/>
        <w:ind w:firstLine="567"/>
        <w:jc w:val="center"/>
        <w:rPr>
          <w:b/>
          <w:noProof/>
        </w:rPr>
      </w:pPr>
      <w:r>
        <w:rPr>
          <w:b/>
          <w:noProof/>
        </w:rPr>
        <w:t>Produits entièrement obtenus</w:t>
      </w:r>
    </w:p>
    <w:p>
      <w:pPr>
        <w:pStyle w:val="Point1"/>
        <w:rPr>
          <w:noProof/>
        </w:rPr>
      </w:pPr>
      <w:r>
        <w:rPr>
          <w:noProof/>
        </w:rPr>
        <w:t>1.</w:t>
      </w:r>
      <w:r>
        <w:rPr>
          <w:noProof/>
        </w:rPr>
        <w:tab/>
        <w:t>Sont considérés comme entièrement obtenus dans une partie lorsqu’ils sont exportés vers l’autre partie:</w:t>
      </w:r>
    </w:p>
    <w:p>
      <w:pPr>
        <w:pStyle w:val="Point2"/>
        <w:rPr>
          <w:noProof/>
        </w:rPr>
      </w:pPr>
      <w:r>
        <w:rPr>
          <w:noProof/>
        </w:rPr>
        <w:t>a)</w:t>
      </w:r>
      <w:r>
        <w:rPr>
          <w:noProof/>
        </w:rPr>
        <w:tab/>
        <w:t>les produits minéraux et l’eau naturelle extraits de son sol ou de ses fonds marins ou océaniques;</w:t>
      </w:r>
    </w:p>
    <w:p>
      <w:pPr>
        <w:pStyle w:val="Point2"/>
        <w:rPr>
          <w:noProof/>
        </w:rPr>
      </w:pPr>
      <w:r>
        <w:rPr>
          <w:noProof/>
        </w:rPr>
        <w:t>b)</w:t>
      </w:r>
      <w:r>
        <w:rPr>
          <w:noProof/>
        </w:rPr>
        <w:tab/>
        <w:t>les végétaux, y compris les plantes aquatiques, et produits du règne végétal qui y sont cultivés ou récoltés;</w:t>
      </w:r>
    </w:p>
    <w:p>
      <w:pPr>
        <w:pStyle w:val="Point2"/>
        <w:rPr>
          <w:noProof/>
        </w:rPr>
      </w:pPr>
      <w:r>
        <w:rPr>
          <w:noProof/>
        </w:rPr>
        <w:t>c)</w:t>
      </w:r>
      <w:r>
        <w:rPr>
          <w:noProof/>
        </w:rPr>
        <w:tab/>
        <w:t>les animaux vivants qui y sont nés et élevés;</w:t>
      </w:r>
    </w:p>
    <w:p>
      <w:pPr>
        <w:pStyle w:val="Point2"/>
        <w:rPr>
          <w:noProof/>
        </w:rPr>
      </w:pPr>
      <w:r>
        <w:rPr>
          <w:noProof/>
        </w:rPr>
        <w:t>d)</w:t>
      </w:r>
      <w:r>
        <w:rPr>
          <w:noProof/>
        </w:rPr>
        <w:tab/>
        <w:t>les produits provenant d’animaux vivants qui y font l’objet d’un élevage;</w:t>
      </w:r>
    </w:p>
    <w:p>
      <w:pPr>
        <w:pStyle w:val="Point2"/>
        <w:rPr>
          <w:noProof/>
        </w:rPr>
      </w:pPr>
      <w:r>
        <w:rPr>
          <w:noProof/>
        </w:rPr>
        <w:t>e)</w:t>
      </w:r>
      <w:r>
        <w:rPr>
          <w:noProof/>
        </w:rPr>
        <w:tab/>
        <w:t>les produits issus d’animaux abattus qui y sont nés et y ont été élevés;</w:t>
      </w:r>
    </w:p>
    <w:p>
      <w:pPr>
        <w:pStyle w:val="Point2"/>
        <w:rPr>
          <w:noProof/>
        </w:rPr>
      </w:pPr>
      <w:r>
        <w:rPr>
          <w:noProof/>
        </w:rPr>
        <w:t>f)</w:t>
      </w:r>
      <w:r>
        <w:rPr>
          <w:noProof/>
        </w:rPr>
        <w:tab/>
        <w:t>les produits de la chasse ou de la pêche qui y sont pratiquées;</w:t>
      </w:r>
    </w:p>
    <w:p>
      <w:pPr>
        <w:pStyle w:val="Point2"/>
        <w:rPr>
          <w:noProof/>
        </w:rPr>
      </w:pPr>
      <w:r>
        <w:rPr>
          <w:noProof/>
        </w:rPr>
        <w:t>g)</w:t>
      </w:r>
      <w:r>
        <w:rPr>
          <w:noProof/>
        </w:rPr>
        <w:tab/>
        <w:t>les produits de l’aquaculture, si les poissons, crustacés, mollusques et autres invertébrés aquatiques y sont nés ou y ont été élevés à partir d’œufs, de larves, d’alevins ou de juvéniles;</w:t>
      </w:r>
    </w:p>
    <w:p>
      <w:pPr>
        <w:pStyle w:val="Point2"/>
        <w:rPr>
          <w:noProof/>
        </w:rPr>
      </w:pPr>
      <w:r>
        <w:rPr>
          <w:noProof/>
        </w:rPr>
        <w:t>h)</w:t>
      </w:r>
      <w:r>
        <w:rPr>
          <w:noProof/>
        </w:rPr>
        <w:tab/>
        <w:t>les produits de la pêche maritime et autres produits tirés de la mer par ses navires hors de toute mer territoriale;</w:t>
      </w:r>
    </w:p>
    <w:p>
      <w:pPr>
        <w:pStyle w:val="Point2"/>
        <w:rPr>
          <w:noProof/>
        </w:rPr>
      </w:pPr>
      <w:r>
        <w:rPr>
          <w:noProof/>
        </w:rPr>
        <w:t>i)</w:t>
      </w:r>
      <w:r>
        <w:rPr>
          <w:noProof/>
        </w:rPr>
        <w:tab/>
        <w:t>les produits fabriqués à bord de ses navires-usines, exclusivement à partir de produits visés au point h);</w:t>
      </w:r>
    </w:p>
    <w:p>
      <w:pPr>
        <w:pStyle w:val="Point2"/>
        <w:rPr>
          <w:noProof/>
        </w:rPr>
      </w:pPr>
      <w:r>
        <w:rPr>
          <w:noProof/>
        </w:rPr>
        <w:t>j)</w:t>
      </w:r>
      <w:r>
        <w:rPr>
          <w:noProof/>
        </w:rPr>
        <w:tab/>
        <w:t>les articles usagés y collectés ne pouvant servir qu’à la récupération des matières premières;</w:t>
      </w:r>
    </w:p>
    <w:p>
      <w:pPr>
        <w:pStyle w:val="Point2"/>
        <w:rPr>
          <w:noProof/>
        </w:rPr>
      </w:pPr>
      <w:r>
        <w:rPr>
          <w:noProof/>
        </w:rPr>
        <w:t>k)</w:t>
      </w:r>
      <w:r>
        <w:rPr>
          <w:noProof/>
        </w:rPr>
        <w:tab/>
        <w:t>les déchets provenant d’opérations manufacturières qui y sont effectuées;</w:t>
      </w:r>
    </w:p>
    <w:p>
      <w:pPr>
        <w:pStyle w:val="Point2"/>
        <w:rPr>
          <w:noProof/>
        </w:rPr>
      </w:pPr>
      <w:r>
        <w:rPr>
          <w:noProof/>
        </w:rPr>
        <w:t>l)</w:t>
      </w:r>
      <w:r>
        <w:rPr>
          <w:noProof/>
        </w:rPr>
        <w:tab/>
        <w:t>les produits extraits du sol ou du sous-sol marin situé hors de ses eaux territoriales, pour autant que la partie dispose de droits exclusifs d’exploitation;</w:t>
      </w:r>
    </w:p>
    <w:p>
      <w:pPr>
        <w:pStyle w:val="Point2"/>
        <w:rPr>
          <w:noProof/>
        </w:rPr>
      </w:pPr>
      <w:r>
        <w:rPr>
          <w:noProof/>
        </w:rPr>
        <w:t>m)</w:t>
      </w:r>
      <w:r>
        <w:rPr>
          <w:noProof/>
        </w:rPr>
        <w:tab/>
        <w:t>les marchandises qui y sont fabriquées exclusivement à partir de produits visés aux points a) à l).</w:t>
      </w:r>
    </w:p>
    <w:p>
      <w:pPr>
        <w:pStyle w:val="Point1"/>
        <w:rPr>
          <w:noProof/>
        </w:rPr>
      </w:pPr>
      <w:r>
        <w:rPr>
          <w:noProof/>
        </w:rPr>
        <w:t>2.</w:t>
      </w:r>
      <w:r>
        <w:rPr>
          <w:noProof/>
        </w:rPr>
        <w:tab/>
        <w:t>Au paragraphe 1, points h) et i), les termes “ses navires” et “ses navires-usines” ne s’appliquent qu’aux navires et navires-usines qui satisfont à chacune des conditions suivantes:</w:t>
      </w:r>
    </w:p>
    <w:p>
      <w:pPr>
        <w:pStyle w:val="Point2"/>
        <w:rPr>
          <w:noProof/>
        </w:rPr>
      </w:pPr>
      <w:r>
        <w:rPr>
          <w:noProof/>
        </w:rPr>
        <w:t>a)</w:t>
      </w:r>
      <w:r>
        <w:rPr>
          <w:noProof/>
        </w:rPr>
        <w:tab/>
        <w:t>ils sont immatriculés dans la partie exportatrice ou importatrice;</w:t>
      </w:r>
    </w:p>
    <w:p>
      <w:pPr>
        <w:pStyle w:val="Point2"/>
        <w:rPr>
          <w:noProof/>
        </w:rPr>
      </w:pPr>
      <w:r>
        <w:rPr>
          <w:noProof/>
        </w:rPr>
        <w:t>b)</w:t>
      </w:r>
      <w:r>
        <w:rPr>
          <w:noProof/>
        </w:rPr>
        <w:tab/>
        <w:t>ils battent pavillon de la partie exportatrice ou importatrice;</w:t>
      </w:r>
    </w:p>
    <w:p>
      <w:pPr>
        <w:pStyle w:val="Point2"/>
        <w:rPr>
          <w:noProof/>
        </w:rPr>
      </w:pPr>
      <w:r>
        <w:rPr>
          <w:noProof/>
        </w:rPr>
        <w:t>c)</w:t>
      </w:r>
      <w:r>
        <w:rPr>
          <w:noProof/>
        </w:rPr>
        <w:tab/>
        <w:t>ils remplissent l’une des conditions suivantes:</w:t>
      </w:r>
    </w:p>
    <w:p>
      <w:pPr>
        <w:pStyle w:val="Point3"/>
        <w:rPr>
          <w:noProof/>
        </w:rPr>
      </w:pPr>
      <w:r>
        <w:rPr>
          <w:noProof/>
        </w:rPr>
        <w:t>i)</w:t>
      </w:r>
      <w:r>
        <w:rPr>
          <w:noProof/>
        </w:rPr>
        <w:tab/>
        <w:t>ils appartiennent, à au moins 50 %, à des ressortissants de la partie exportatrice ou importatrice, ou</w:t>
      </w:r>
    </w:p>
    <w:p>
      <w:pPr>
        <w:pStyle w:val="Point3"/>
        <w:rPr>
          <w:noProof/>
        </w:rPr>
      </w:pPr>
      <w:r>
        <w:rPr>
          <w:noProof/>
        </w:rPr>
        <w:t>ii)</w:t>
      </w:r>
      <w:r>
        <w:rPr>
          <w:noProof/>
        </w:rPr>
        <w:tab/>
        <w:t>ils appartiennent à des sociétés:</w:t>
      </w:r>
    </w:p>
    <w:p>
      <w:pPr>
        <w:pStyle w:val="Tiret4"/>
        <w:numPr>
          <w:ilvl w:val="0"/>
          <w:numId w:val="24"/>
        </w:numPr>
        <w:spacing w:line="360" w:lineRule="auto"/>
        <w:rPr>
          <w:noProof/>
        </w:rPr>
      </w:pPr>
      <w:r>
        <w:rPr>
          <w:noProof/>
        </w:rPr>
        <w:t>dont le siège social et le lieu principal d’activité économique sont situés dans la partie exportatrice ou importatrice et</w:t>
      </w:r>
    </w:p>
    <w:p>
      <w:pPr>
        <w:pStyle w:val="Tiret4"/>
        <w:numPr>
          <w:ilvl w:val="0"/>
          <w:numId w:val="24"/>
        </w:numPr>
        <w:spacing w:line="360" w:lineRule="auto"/>
        <w:rPr>
          <w:noProof/>
        </w:rPr>
      </w:pPr>
      <w:r>
        <w:rPr>
          <w:noProof/>
        </w:rPr>
        <w:t>qui sont détenues au moins à 50 % par le pays d’exportation ou la partie importatrice ou par des collectivités publiques ou des ressortissants de ces parties.</w:t>
      </w:r>
    </w:p>
    <w:p>
      <w:pPr>
        <w:pStyle w:val="Point1"/>
        <w:rPr>
          <w:noProof/>
        </w:rPr>
      </w:pPr>
      <w:r>
        <w:rPr>
          <w:noProof/>
        </w:rPr>
        <w:t>3.</w:t>
      </w:r>
      <w:r>
        <w:rPr>
          <w:noProof/>
        </w:rPr>
        <w:tab/>
        <w:t>Aux fins du paragraphe 2, lorsque la partie importatrice ou exportatrice est l’Union européenne, les conditions se réfèrent aux États membres de l’Union européenne.</w:t>
      </w:r>
    </w:p>
    <w:p>
      <w:pPr>
        <w:pStyle w:val="Point1"/>
        <w:rPr>
          <w:noProof/>
        </w:rPr>
      </w:pPr>
      <w:r>
        <w:rPr>
          <w:noProof/>
        </w:rPr>
        <w:t>4.</w:t>
      </w:r>
      <w:r>
        <w:rPr>
          <w:noProof/>
        </w:rPr>
        <w:tab/>
        <w:t>Aux fins du paragraphe 2, les États de l’AELE doivent être considérés comme une seule partie contractante appliquant les règles.</w:t>
      </w:r>
    </w:p>
    <w:p>
      <w:pPr>
        <w:pStyle w:val="Text1"/>
        <w:jc w:val="center"/>
        <w:rPr>
          <w:i/>
          <w:noProof/>
        </w:rPr>
      </w:pPr>
      <w:r>
        <w:rPr>
          <w:i/>
          <w:noProof/>
        </w:rPr>
        <w:t>Article 4</w:t>
      </w:r>
      <w:r>
        <w:rPr>
          <w:noProof/>
        </w:rPr>
        <w:t xml:space="preserve"> </w:t>
      </w:r>
      <w:r>
        <w:rPr>
          <w:noProof/>
        </w:rPr>
        <w:br/>
      </w:r>
      <w:r>
        <w:rPr>
          <w:b/>
          <w:noProof/>
        </w:rPr>
        <w:t>Ouvraisons ou transformations suffisantes</w:t>
      </w:r>
    </w:p>
    <w:p>
      <w:pPr>
        <w:pStyle w:val="Point1"/>
        <w:rPr>
          <w:noProof/>
        </w:rPr>
      </w:pPr>
      <w:r>
        <w:rPr>
          <w:noProof/>
        </w:rPr>
        <w:t>1.</w:t>
      </w:r>
      <w:r>
        <w:rPr>
          <w:noProof/>
        </w:rPr>
        <w:tab/>
        <w:t>Sans préjudice du paragraphe 3 du présent article et de l’article 6, les produits non entièrement obtenus dans une partie sont considérés comme suffisamment ouvrés ou transformés lorsque les conditions fixées dans la liste de l’annexe II pour les marchandises concernées sont remplies.</w:t>
      </w:r>
    </w:p>
    <w:p>
      <w:pPr>
        <w:pStyle w:val="Point1"/>
        <w:rPr>
          <w:noProof/>
        </w:rPr>
      </w:pPr>
      <w:r>
        <w:rPr>
          <w:noProof/>
        </w:rPr>
        <w:t>2.</w:t>
      </w:r>
      <w:r>
        <w:rPr>
          <w:noProof/>
        </w:rPr>
        <w:tab/>
        <w:t>Si un produit ayant acquis le caractère originaire dans une partie conformément au paragraphe 1 du présent article est mis en œuvre dans la fabrication d’un autre produit, il n’est pas tenu compte des matières non originaires qui peuvent avoir été mises en œuvre dans sa fabrication.</w:t>
      </w:r>
    </w:p>
    <w:p>
      <w:pPr>
        <w:pStyle w:val="Point1"/>
        <w:rPr>
          <w:noProof/>
        </w:rPr>
      </w:pPr>
      <w:r>
        <w:rPr>
          <w:noProof/>
        </w:rPr>
        <w:t>3.</w:t>
      </w:r>
      <w:r>
        <w:rPr>
          <w:noProof/>
        </w:rPr>
        <w:tab/>
        <w:t>Le respect des exigences du paragraphe 1 du présent article est vérifié pour chaque produit.</w:t>
      </w:r>
    </w:p>
    <w:p>
      <w:pPr>
        <w:pStyle w:val="Point1"/>
        <w:ind w:firstLine="0"/>
        <w:rPr>
          <w:noProof/>
        </w:rPr>
      </w:pPr>
      <w:r>
        <w:rPr>
          <w:noProof/>
        </w:rPr>
        <w:t>Toutefois, lorsque la règle applicable se fonde sur le respect d’une proportion maximale de matières non originaires, les autorités douanières des parties peuvent autoriser les exportateurs à calculer le prix départ usine du produit et la valeur des matières non originaires sur une base moyenne, comme indiqué au paragraphe 4 du présent article, afin de prendre en compte les fluctuations des coûts et des taux de change.</w:t>
      </w:r>
    </w:p>
    <w:p>
      <w:pPr>
        <w:pStyle w:val="Point1"/>
        <w:rPr>
          <w:noProof/>
        </w:rPr>
      </w:pPr>
      <w:r>
        <w:rPr>
          <w:noProof/>
        </w:rPr>
        <w:t>4.</w:t>
      </w:r>
      <w:r>
        <w:rPr>
          <w:noProof/>
        </w:rPr>
        <w:tab/>
        <w:t>Si le paragraphe 3, deuxième alinéa, du présent article s’applique, le prix moyen départ usine du produit et la valeur moyenne des matières non originaires mises en œuvre sont calculés, respectivement, sur la base de la somme des prix départ usine facturés pour toutes les ventes de produits identiques effectuées au cours de l’année fiscale précédente et de la somme des valeurs de toutes les matières non originaires mises en œuvre dans la fabrication de produits identiques au cours de l’année fiscale précédente telle qu’elle est définie dans la partie exportatrice; si l’on ne dispose pas des chiffres correspondant à un exercice fiscal complet, il est possible de se limiter à une période plus brève, qui ne peut toutefois pas être inférieure à trois mois.</w:t>
      </w:r>
    </w:p>
    <w:p>
      <w:pPr>
        <w:pStyle w:val="Point1"/>
        <w:rPr>
          <w:noProof/>
        </w:rPr>
      </w:pPr>
      <w:r>
        <w:rPr>
          <w:noProof/>
        </w:rPr>
        <w:t>5.</w:t>
      </w:r>
      <w:r>
        <w:rPr>
          <w:noProof/>
        </w:rPr>
        <w:tab/>
        <w:t>Les exportateurs ayant opté pour le calcul sur la base de moyennes appliquent systématiquement cette méthode au long de l’année suivant l’année fiscale de référence ou, le cas échéant, au long de l’année suivant la période plus courte utilisée comme référence. Ils peuvent cesser d’appliquer cette méthode s’ils constatent, sur une année fiscale donnée ou sur une période représentative plus courte d’au moins trois mois, la disparition des fluctuations de coûts ou de taux de change qui justifiaient le recours à ladite méthode.</w:t>
      </w:r>
    </w:p>
    <w:p>
      <w:pPr>
        <w:pStyle w:val="Point1"/>
        <w:rPr>
          <w:noProof/>
        </w:rPr>
      </w:pPr>
      <w:r>
        <w:rPr>
          <w:noProof/>
        </w:rPr>
        <w:t>6.</w:t>
      </w:r>
      <w:r>
        <w:rPr>
          <w:noProof/>
        </w:rPr>
        <w:tab/>
        <w:t>Aux fins de la vérification du respect de la proportion maximale de matières non originaires, les moyennes visées au paragraphe 4 du présent article sont utilisées en lieu et place, respectivement, du prix départ usine et de la valeur des matières non originaires.</w:t>
      </w:r>
    </w:p>
    <w:p>
      <w:pPr>
        <w:pStyle w:val="Text1"/>
        <w:jc w:val="center"/>
        <w:rPr>
          <w:i/>
          <w:noProof/>
        </w:rPr>
      </w:pPr>
      <w:r>
        <w:rPr>
          <w:i/>
          <w:noProof/>
        </w:rPr>
        <w:t>Article 5</w:t>
      </w:r>
      <w:r>
        <w:rPr>
          <w:noProof/>
        </w:rPr>
        <w:t xml:space="preserve"> </w:t>
      </w:r>
      <w:r>
        <w:rPr>
          <w:noProof/>
        </w:rPr>
        <w:br/>
      </w:r>
      <w:r>
        <w:rPr>
          <w:b/>
          <w:noProof/>
        </w:rPr>
        <w:t>Règle de tolérance</w:t>
      </w:r>
    </w:p>
    <w:p>
      <w:pPr>
        <w:pStyle w:val="Point1"/>
        <w:rPr>
          <w:noProof/>
        </w:rPr>
      </w:pPr>
      <w:r>
        <w:rPr>
          <w:noProof/>
        </w:rPr>
        <w:t>1.</w:t>
      </w:r>
      <w:r>
        <w:rPr>
          <w:noProof/>
        </w:rPr>
        <w:tab/>
        <w:t>Par dérogation à l’article 4, et sous réserve des paragraphes 2 et 3 du présent article, les matières non originaires qui, conformément aux conditions fixées dans la liste de l’annexe II, ne doivent pas être mises en œuvre dans la fabrication d’un produit déterminé peuvent néanmoins l’être, à condition que leur poids net total ou la valeur évaluée pour le produit en question ne dépasse pas:</w:t>
      </w:r>
    </w:p>
    <w:p>
      <w:pPr>
        <w:pStyle w:val="Point2"/>
        <w:rPr>
          <w:noProof/>
        </w:rPr>
      </w:pPr>
      <w:r>
        <w:rPr>
          <w:noProof/>
        </w:rPr>
        <w:t>a)</w:t>
      </w:r>
      <w:r>
        <w:rPr>
          <w:noProof/>
        </w:rPr>
        <w:tab/>
        <w:t>15 % du poids net du produit relevant des chapitres 2 et 4 à 24 du système harmonisé, autres que les produits de la pêche transformés du chapitre 16;</w:t>
      </w:r>
    </w:p>
    <w:p>
      <w:pPr>
        <w:pStyle w:val="Point2"/>
        <w:rPr>
          <w:noProof/>
        </w:rPr>
      </w:pPr>
      <w:r>
        <w:rPr>
          <w:noProof/>
        </w:rPr>
        <w:t>b)</w:t>
      </w:r>
      <w:r>
        <w:rPr>
          <w:noProof/>
        </w:rPr>
        <w:tab/>
        <w:t>15 % du prix départ usine du produit pour les produits autres que ceux visés au point a).</w:t>
      </w:r>
    </w:p>
    <w:p>
      <w:pPr>
        <w:pStyle w:val="Text2"/>
        <w:rPr>
          <w:i/>
          <w:noProof/>
        </w:rPr>
      </w:pPr>
      <w:r>
        <w:rPr>
          <w:noProof/>
        </w:rPr>
        <w:t>Le présent paragraphe ne s’applique pas aux produits relevant des chapitres 50 à 63 du système harmonisé, pour lesquels s’appliquent les tolérances mentionnées dans les notes 6 et 7 de l’annexe I.</w:t>
      </w:r>
    </w:p>
    <w:p>
      <w:pPr>
        <w:pStyle w:val="Point1"/>
        <w:rPr>
          <w:noProof/>
        </w:rPr>
      </w:pPr>
      <w:r>
        <w:rPr>
          <w:noProof/>
        </w:rPr>
        <w:t>2.</w:t>
      </w:r>
      <w:r>
        <w:rPr>
          <w:noProof/>
        </w:rPr>
        <w:tab/>
        <w:t>Le paragraphe 1 du présent article n’autorise aucun dépassement du ou des pourcentages correspondant à la proportion maximale de matières non originaires indiquée dans les règles fixées dans la liste de l’annexe II.</w:t>
      </w:r>
    </w:p>
    <w:p>
      <w:pPr>
        <w:pStyle w:val="Point1"/>
        <w:rPr>
          <w:noProof/>
        </w:rPr>
      </w:pPr>
      <w:r>
        <w:rPr>
          <w:noProof/>
        </w:rPr>
        <w:t>3.</w:t>
      </w:r>
      <w:r>
        <w:rPr>
          <w:noProof/>
        </w:rPr>
        <w:tab/>
        <w:t>Les paragraphes 1 et 2 du présent article ne s’appliquent pas aux produits qui sont entièrement obtenus dans une partie au sens de l’article 3. Toutefois, sans préjudice de l’article 6 et de l’article 9, paragraphe 1, la tolérance prévue par ces dispositions s’applique néanmoins au produit pour lequel la règle fixée dans la liste de l’annexe II exige que les matières qui sont utilisées dans la fabrication de ce produit soient entièrement obtenues.</w:t>
      </w:r>
    </w:p>
    <w:p>
      <w:pPr>
        <w:pStyle w:val="Text1"/>
        <w:jc w:val="center"/>
        <w:rPr>
          <w:i/>
          <w:noProof/>
        </w:rPr>
      </w:pPr>
      <w:r>
        <w:rPr>
          <w:i/>
          <w:noProof/>
        </w:rPr>
        <w:t>Article 6</w:t>
      </w:r>
      <w:r>
        <w:rPr>
          <w:noProof/>
        </w:rPr>
        <w:t xml:space="preserve"> </w:t>
      </w:r>
      <w:r>
        <w:rPr>
          <w:noProof/>
        </w:rPr>
        <w:br/>
      </w:r>
      <w:r>
        <w:rPr>
          <w:b/>
          <w:noProof/>
        </w:rPr>
        <w:t>Ouvraisons ou transformations insuffisantes</w:t>
      </w:r>
    </w:p>
    <w:p>
      <w:pPr>
        <w:pStyle w:val="Point1"/>
        <w:rPr>
          <w:noProof/>
        </w:rPr>
      </w:pPr>
      <w:r>
        <w:rPr>
          <w:noProof/>
        </w:rPr>
        <w:t>1.</w:t>
      </w:r>
      <w:r>
        <w:rPr>
          <w:noProof/>
        </w:rPr>
        <w:tab/>
        <w:t>Sans préjudice du paragraphe 2 du présent article, les opérations suivantes sont considérées comme des ouvraisons ou transformations insuffisantes pour conférer le caractère de produits originaires, que les conditions de l’article 4 soient ou non remplies:</w:t>
      </w:r>
    </w:p>
    <w:p>
      <w:pPr>
        <w:pStyle w:val="Point2"/>
        <w:rPr>
          <w:noProof/>
        </w:rPr>
      </w:pPr>
      <w:r>
        <w:rPr>
          <w:noProof/>
        </w:rPr>
        <w:t>a)</w:t>
      </w:r>
      <w:r>
        <w:rPr>
          <w:noProof/>
        </w:rPr>
        <w:tab/>
        <w:t>les manipulations destinées à assurer la conservation en l’état des produits pendant leur transport et leur stockage;</w:t>
      </w:r>
    </w:p>
    <w:p>
      <w:pPr>
        <w:pStyle w:val="Point2"/>
        <w:rPr>
          <w:noProof/>
        </w:rPr>
      </w:pPr>
      <w:r>
        <w:rPr>
          <w:noProof/>
        </w:rPr>
        <w:t>b)</w:t>
      </w:r>
      <w:r>
        <w:rPr>
          <w:noProof/>
        </w:rPr>
        <w:tab/>
        <w:t>les divisions et réunions de colis;</w:t>
      </w:r>
    </w:p>
    <w:p>
      <w:pPr>
        <w:pStyle w:val="Point2"/>
        <w:rPr>
          <w:noProof/>
        </w:rPr>
      </w:pPr>
      <w:r>
        <w:rPr>
          <w:noProof/>
        </w:rPr>
        <w:t>c)</w:t>
      </w:r>
      <w:r>
        <w:rPr>
          <w:noProof/>
        </w:rPr>
        <w:tab/>
        <w:t>le lavage, le nettoyage; le dépoussiérage, l’enlèvement d’oxyde, d’huile, de peinture ou d’autres revêtements;</w:t>
      </w:r>
    </w:p>
    <w:p>
      <w:pPr>
        <w:pStyle w:val="Point2"/>
        <w:rPr>
          <w:noProof/>
        </w:rPr>
      </w:pPr>
      <w:r>
        <w:rPr>
          <w:noProof/>
        </w:rPr>
        <w:t>d)</w:t>
      </w:r>
      <w:r>
        <w:rPr>
          <w:noProof/>
        </w:rPr>
        <w:tab/>
        <w:t>le repassage ou le pressage des textiles;</w:t>
      </w:r>
    </w:p>
    <w:p>
      <w:pPr>
        <w:pStyle w:val="Point2"/>
        <w:rPr>
          <w:noProof/>
        </w:rPr>
      </w:pPr>
      <w:r>
        <w:rPr>
          <w:noProof/>
        </w:rPr>
        <w:t>e)</w:t>
      </w:r>
      <w:r>
        <w:rPr>
          <w:noProof/>
        </w:rPr>
        <w:tab/>
        <w:t>les opérations simples de peinture et de polissage;</w:t>
      </w:r>
    </w:p>
    <w:p>
      <w:pPr>
        <w:pStyle w:val="Point2"/>
        <w:rPr>
          <w:noProof/>
        </w:rPr>
      </w:pPr>
      <w:r>
        <w:rPr>
          <w:noProof/>
        </w:rPr>
        <w:t>f)</w:t>
      </w:r>
      <w:r>
        <w:rPr>
          <w:noProof/>
        </w:rPr>
        <w:tab/>
        <w:t>le décorticage et la mouture partielle ou totale du riz; le lissage et le glaçage des céréales ou du riz;</w:t>
      </w:r>
    </w:p>
    <w:p>
      <w:pPr>
        <w:pStyle w:val="Point2"/>
        <w:rPr>
          <w:noProof/>
        </w:rPr>
      </w:pPr>
      <w:r>
        <w:rPr>
          <w:noProof/>
        </w:rPr>
        <w:t>g)</w:t>
      </w:r>
      <w:r>
        <w:rPr>
          <w:noProof/>
        </w:rPr>
        <w:tab/>
        <w:t>les opérations consistant à colorer ou aromatiser le sucre, ou à le mouler en morceaux; la mouture totale ou partielle du sucre cristallisé;</w:t>
      </w:r>
    </w:p>
    <w:p>
      <w:pPr>
        <w:pStyle w:val="Point2"/>
        <w:rPr>
          <w:noProof/>
        </w:rPr>
      </w:pPr>
      <w:r>
        <w:rPr>
          <w:noProof/>
        </w:rPr>
        <w:t>h)</w:t>
      </w:r>
      <w:r>
        <w:rPr>
          <w:noProof/>
        </w:rPr>
        <w:tab/>
        <w:t>l’épluchage, le dénoyautage ou l’écorçage des fruits et des légumes;</w:t>
      </w:r>
    </w:p>
    <w:p>
      <w:pPr>
        <w:pStyle w:val="Point2"/>
        <w:rPr>
          <w:noProof/>
        </w:rPr>
      </w:pPr>
      <w:r>
        <w:rPr>
          <w:noProof/>
        </w:rPr>
        <w:t>i)</w:t>
      </w:r>
      <w:r>
        <w:rPr>
          <w:noProof/>
        </w:rPr>
        <w:tab/>
        <w:t>l’aiguisage, le simple broyage ou le simple coupage;</w:t>
      </w:r>
    </w:p>
    <w:p>
      <w:pPr>
        <w:pStyle w:val="Point2"/>
        <w:rPr>
          <w:noProof/>
        </w:rPr>
      </w:pPr>
      <w:r>
        <w:rPr>
          <w:noProof/>
        </w:rPr>
        <w:t>j)</w:t>
      </w:r>
      <w:r>
        <w:rPr>
          <w:noProof/>
        </w:rPr>
        <w:tab/>
        <w:t>le criblage, le tamisage, le triage, le classement, le calibrage, l’assortiment; (y compris la composition de jeux de marchandises);</w:t>
      </w:r>
    </w:p>
    <w:p>
      <w:pPr>
        <w:pStyle w:val="Point2"/>
        <w:rPr>
          <w:noProof/>
        </w:rPr>
      </w:pPr>
      <w:r>
        <w:rPr>
          <w:noProof/>
        </w:rPr>
        <w:t>k)</w:t>
      </w:r>
      <w:r>
        <w:rPr>
          <w:noProof/>
        </w:rPr>
        <w:tab/>
        <w:t>la simple mise en bouteilles, en canettes, en flacons, en sacs, en étuis, en boîtes, sur cartes, sur planchettes ou toute autre opération simple de conditionnement;</w:t>
      </w:r>
    </w:p>
    <w:p>
      <w:pPr>
        <w:pStyle w:val="Point2"/>
        <w:rPr>
          <w:noProof/>
        </w:rPr>
      </w:pPr>
      <w:r>
        <w:rPr>
          <w:noProof/>
        </w:rPr>
        <w:t>l)</w:t>
      </w:r>
      <w:r>
        <w:rPr>
          <w:noProof/>
        </w:rPr>
        <w:tab/>
        <w:t>l’apposition ou l’impression, sur les produits ou sur leurs emballages, de marques, d’étiquettes, de logos ou d’autres signes distinctifs similaires;</w:t>
      </w:r>
    </w:p>
    <w:p>
      <w:pPr>
        <w:pStyle w:val="Point2"/>
        <w:rPr>
          <w:noProof/>
        </w:rPr>
      </w:pPr>
      <w:r>
        <w:rPr>
          <w:noProof/>
        </w:rPr>
        <w:t>m)</w:t>
      </w:r>
      <w:r>
        <w:rPr>
          <w:noProof/>
        </w:rPr>
        <w:tab/>
        <w:t>le simple mélange de produits, même d’espèces différentes;</w:t>
      </w:r>
    </w:p>
    <w:p>
      <w:pPr>
        <w:pStyle w:val="Point2"/>
        <w:rPr>
          <w:noProof/>
        </w:rPr>
      </w:pPr>
      <w:r>
        <w:rPr>
          <w:noProof/>
        </w:rPr>
        <w:t>n)</w:t>
      </w:r>
      <w:r>
        <w:rPr>
          <w:noProof/>
        </w:rPr>
        <w:tab/>
        <w:t>le mélange de sucre et de toute autre matière;</w:t>
      </w:r>
    </w:p>
    <w:p>
      <w:pPr>
        <w:pStyle w:val="Point2"/>
        <w:rPr>
          <w:noProof/>
        </w:rPr>
      </w:pPr>
      <w:r>
        <w:rPr>
          <w:noProof/>
        </w:rPr>
        <w:t>o)</w:t>
      </w:r>
      <w:r>
        <w:rPr>
          <w:noProof/>
        </w:rPr>
        <w:tab/>
        <w:t>la simple addition d’eau, la dilution, la déshydratation ou la dénaturation des produits;</w:t>
      </w:r>
    </w:p>
    <w:p>
      <w:pPr>
        <w:pStyle w:val="Point2"/>
        <w:rPr>
          <w:noProof/>
        </w:rPr>
      </w:pPr>
      <w:r>
        <w:rPr>
          <w:noProof/>
        </w:rPr>
        <w:t>p)</w:t>
      </w:r>
      <w:r>
        <w:rPr>
          <w:noProof/>
        </w:rPr>
        <w:tab/>
        <w:t>le simple assemblage de parties en vue de constituer un produit complet ou le démontage de produits en parties;</w:t>
      </w:r>
    </w:p>
    <w:p>
      <w:pPr>
        <w:pStyle w:val="Point2"/>
        <w:rPr>
          <w:noProof/>
        </w:rPr>
      </w:pPr>
      <w:r>
        <w:rPr>
          <w:noProof/>
        </w:rPr>
        <w:t>q)</w:t>
      </w:r>
      <w:r>
        <w:rPr>
          <w:noProof/>
        </w:rPr>
        <w:tab/>
        <w:t>l’abattage des animaux;</w:t>
      </w:r>
    </w:p>
    <w:p>
      <w:pPr>
        <w:pStyle w:val="Point2"/>
        <w:rPr>
          <w:noProof/>
        </w:rPr>
      </w:pPr>
      <w:r>
        <w:rPr>
          <w:noProof/>
        </w:rPr>
        <w:t>r)</w:t>
      </w:r>
      <w:r>
        <w:rPr>
          <w:noProof/>
        </w:rPr>
        <w:tab/>
        <w:t>le cumul de deux ou plusieurs opérations visées aux points a) à q).</w:t>
      </w:r>
    </w:p>
    <w:p>
      <w:pPr>
        <w:pStyle w:val="Point1"/>
        <w:rPr>
          <w:noProof/>
        </w:rPr>
      </w:pPr>
      <w:r>
        <w:rPr>
          <w:noProof/>
        </w:rPr>
        <w:t>2.</w:t>
      </w:r>
      <w:r>
        <w:rPr>
          <w:noProof/>
        </w:rPr>
        <w:tab/>
        <w:t>Toutes les opérations effectuées dans la partie exportatrice sur un produit déterminé sont prises en considération pour déterminer si l’ouvraison ou la transformation subie par ce produit doit être considérée comme insuffisante au sens du paragraphe 1 du présent article.</w:t>
      </w:r>
    </w:p>
    <w:p>
      <w:pPr>
        <w:pStyle w:val="Text1"/>
        <w:jc w:val="center"/>
        <w:rPr>
          <w:i/>
          <w:noProof/>
        </w:rPr>
      </w:pPr>
      <w:r>
        <w:rPr>
          <w:i/>
          <w:noProof/>
        </w:rPr>
        <w:t>Article 7</w:t>
      </w:r>
      <w:r>
        <w:rPr>
          <w:noProof/>
        </w:rPr>
        <w:t xml:space="preserve"> </w:t>
      </w:r>
      <w:r>
        <w:rPr>
          <w:noProof/>
        </w:rPr>
        <w:br/>
      </w:r>
      <w:r>
        <w:rPr>
          <w:b/>
          <w:noProof/>
        </w:rPr>
        <w:t>Cumul de l’origine</w:t>
      </w:r>
    </w:p>
    <w:p>
      <w:pPr>
        <w:pStyle w:val="Point1"/>
        <w:rPr>
          <w:noProof/>
        </w:rPr>
      </w:pPr>
      <w:r>
        <w:rPr>
          <w:noProof/>
        </w:rPr>
        <w:t>1.</w:t>
      </w:r>
      <w:r>
        <w:rPr>
          <w:noProof/>
        </w:rPr>
        <w:tab/>
        <w:t>Sans préjudice de l’article 2, des produits sont considérés comme originaires de la partie exportatrice lorsqu’ils sont exportés vers l’autre partie s’ils y sont obtenus par incorporation de matières originaires d’une partie contractante appliquant les règles autre que la partie exportatrice, à condition que ces matières aient fait l’objet, dans la partie exportatrice, d’ouvraisons ou de transformations allant au-delà des opérations visées à l’article 6. Il n’est pas exigé que ces matières y aient fait l’objet d’ouvraisons ou de transformations suffisantes.</w:t>
      </w:r>
    </w:p>
    <w:p>
      <w:pPr>
        <w:pStyle w:val="Point1"/>
        <w:rPr>
          <w:noProof/>
        </w:rPr>
      </w:pPr>
      <w:r>
        <w:rPr>
          <w:noProof/>
        </w:rPr>
        <w:t>2.</w:t>
      </w:r>
      <w:r>
        <w:rPr>
          <w:noProof/>
        </w:rPr>
        <w:tab/>
        <w:t>Lorsque les ouvraisons ou transformations effectuées dans la partie exportatrice ne vont pas au-delà des opérations visées à l’article 6, le produit obtenu par incorporation de matières originaires d’une autre partie contractante appliquant les règles est considéré comme originaire de la partie exportatrice uniquement lorsque la valeur ajoutée y apportée est supérieure à la valeur des matières utilisées originaires de toute autre partie contractante appliquant les règles. Si tel n’est pas le cas, le produit obtenu est considéré comme originaire de la partie contractante appliquant les règles qui a fourni la plus forte valeur en matières originaires utilisées lors de la fabrication dans la partie exportatrice.</w:t>
      </w:r>
    </w:p>
    <w:p>
      <w:pPr>
        <w:pStyle w:val="Point1"/>
        <w:rPr>
          <w:noProof/>
        </w:rPr>
      </w:pPr>
      <w:r>
        <w:rPr>
          <w:noProof/>
        </w:rPr>
        <w:t>3.</w:t>
      </w:r>
      <w:r>
        <w:rPr>
          <w:noProof/>
        </w:rPr>
        <w:tab/>
        <w:t>Sans préjudice de l’article 2, et à l’exclusion des produits relevant des chapitres 50 à 63, les ouvraisons ou transformations effectuées dans l’une des parties contractantes appliquant les règles autres que la partie exportatrice sont considérées comme ayant été effectuées dans la partie exportatrice si les produits obtenus font ensuite l’objet d’ouvraisons ou de transformations dans ladite partie exportatrice.</w:t>
      </w:r>
    </w:p>
    <w:p>
      <w:pPr>
        <w:pStyle w:val="Point1"/>
        <w:rPr>
          <w:noProof/>
        </w:rPr>
      </w:pPr>
      <w:r>
        <w:rPr>
          <w:noProof/>
        </w:rPr>
        <w:t>4.</w:t>
      </w:r>
      <w:r>
        <w:rPr>
          <w:noProof/>
        </w:rPr>
        <w:tab/>
        <w:t>Sans préjudice de l’article 2, en ce qui concerne les produits visés aux chapitres 50 à 63 et uniquement dans le cadre du commerce bilatéral entre les parties, les ouvraisons ou transformations effectuées dans la partie importatrice sont considérées comme ayant été effectuées dans la partie exportatrice si les produits font ensuite l’objet d’ouvraisons ou de transformations dans ladite partie exportatrice.</w:t>
      </w:r>
    </w:p>
    <w:p>
      <w:pPr>
        <w:autoSpaceDE w:val="0"/>
        <w:autoSpaceDN w:val="0"/>
        <w:ind w:left="1418"/>
        <w:rPr>
          <w:noProof/>
        </w:rPr>
      </w:pPr>
      <w:r>
        <w:rPr>
          <w:noProof/>
        </w:rPr>
        <w:t>Aux fins du présent paragraphe, les participants au processus de stabilisation et d’association de l’Union européenne et la République de Moldavie doivent être considérés comme une seule partie contractante appliquant les règles.</w:t>
      </w:r>
    </w:p>
    <w:p>
      <w:pPr>
        <w:pStyle w:val="Point1"/>
        <w:rPr>
          <w:noProof/>
        </w:rPr>
      </w:pPr>
      <w:r>
        <w:rPr>
          <w:noProof/>
        </w:rPr>
        <w:t>5.</w:t>
      </w:r>
      <w:r>
        <w:rPr>
          <w:noProof/>
        </w:rPr>
        <w:tab/>
        <w:t>Les parties peuvent décider d’étendre l’application du paragraphe 3 du présent article à l’importation de produits relevant des chapitres 50 à 63 de manière unilatérale. Une partie qui opte pour cette extension le notifie à l’autre partie et en informe la Commission européenne conformément à l’article 8, paragraphe 2.</w:t>
      </w:r>
    </w:p>
    <w:p>
      <w:pPr>
        <w:pStyle w:val="Point1"/>
        <w:rPr>
          <w:noProof/>
        </w:rPr>
      </w:pPr>
      <w:r>
        <w:rPr>
          <w:noProof/>
        </w:rPr>
        <w:t>6.</w:t>
      </w:r>
      <w:r>
        <w:rPr>
          <w:noProof/>
        </w:rPr>
        <w:tab/>
        <w:t>Aux fins du cumul au sens des paragraphes 3 à 5 du présent article, les produits originaires ne sont considérés comme originaires de la partie exportatrice que s’ils y ont fait l’objet d’ouvraisons ou de transformations allant au-delà des opérations visées à l’article 6.</w:t>
      </w:r>
    </w:p>
    <w:p>
      <w:pPr>
        <w:pStyle w:val="Point1"/>
        <w:rPr>
          <w:noProof/>
        </w:rPr>
      </w:pPr>
      <w:r>
        <w:rPr>
          <w:noProof/>
        </w:rPr>
        <w:t>7.</w:t>
      </w:r>
      <w:r>
        <w:rPr>
          <w:noProof/>
        </w:rPr>
        <w:tab/>
        <w:t>Les produits originaires des parties contractantes appliquant les règles visés aux paragraphes 1 et 4 du présent article, qui ne subissent aucune ouvraison ou transformation dans la partie exportatrice, conservent leur origine lorsqu’ils sont exportés vers l’une des autres parties contractantes appliquant les règles.</w:t>
      </w:r>
    </w:p>
    <w:p>
      <w:pPr>
        <w:pStyle w:val="Point1"/>
        <w:jc w:val="center"/>
        <w:rPr>
          <w:i/>
          <w:noProof/>
        </w:rPr>
      </w:pPr>
      <w:r>
        <w:rPr>
          <w:i/>
          <w:noProof/>
        </w:rPr>
        <w:t>Article 8</w:t>
      </w:r>
      <w:r>
        <w:rPr>
          <w:noProof/>
        </w:rPr>
        <w:t xml:space="preserve"> </w:t>
      </w:r>
      <w:r>
        <w:rPr>
          <w:noProof/>
        </w:rPr>
        <w:br/>
      </w:r>
      <w:r>
        <w:rPr>
          <w:b/>
          <w:noProof/>
        </w:rPr>
        <w:t>Conditions d’application du cumul de l’origine</w:t>
      </w:r>
    </w:p>
    <w:p>
      <w:pPr>
        <w:pStyle w:val="Point1"/>
        <w:rPr>
          <w:noProof/>
        </w:rPr>
      </w:pPr>
      <w:r>
        <w:rPr>
          <w:noProof/>
        </w:rPr>
        <w:t>1.</w:t>
      </w:r>
      <w:r>
        <w:rPr>
          <w:noProof/>
        </w:rPr>
        <w:tab/>
        <w:t>Le cumul prévu à l’article 7 ne peut être appliqué qu’aux conditions suivantes:</w:t>
      </w:r>
    </w:p>
    <w:p>
      <w:pPr>
        <w:pStyle w:val="Point2"/>
        <w:rPr>
          <w:noProof/>
        </w:rPr>
      </w:pPr>
      <w:r>
        <w:rPr>
          <w:noProof/>
        </w:rPr>
        <w:t>a)</w:t>
      </w:r>
      <w:r>
        <w:rPr>
          <w:noProof/>
        </w:rPr>
        <w:tab/>
        <w:t>un accord commercial préférentiel conforme à l’article XXIV de l’accord général sur les tarifs douaniers et le commerce de 1994 (GATT) existe entre les parties contractantes appliquant les règles participant à l’acquisition du caractère originaire et la partie contractante appliquant les règles de destination; et</w:t>
      </w:r>
    </w:p>
    <w:p>
      <w:pPr>
        <w:pStyle w:val="Point2"/>
        <w:rPr>
          <w:noProof/>
        </w:rPr>
      </w:pPr>
      <w:r>
        <w:rPr>
          <w:noProof/>
        </w:rPr>
        <w:t>b)</w:t>
      </w:r>
      <w:r>
        <w:rPr>
          <w:noProof/>
        </w:rPr>
        <w:tab/>
        <w:t>les marchandises ont acquis leur caractère originaire par l’application de règles d’origine identiques à celles qui figurent dans les présentes règles.</w:t>
      </w:r>
    </w:p>
    <w:p>
      <w:pPr>
        <w:pStyle w:val="Point1"/>
        <w:rPr>
          <w:noProof/>
        </w:rPr>
      </w:pPr>
      <w:r>
        <w:rPr>
          <w:noProof/>
        </w:rPr>
        <w:t>2.</w:t>
      </w:r>
      <w:r>
        <w:rPr>
          <w:noProof/>
        </w:rPr>
        <w:tab/>
        <w:t xml:space="preserve">Des avis précisant que les conditions nécessaires à l’application du cumul sont remplies sont publiés au </w:t>
      </w:r>
      <w:r>
        <w:rPr>
          <w:i/>
          <w:noProof/>
        </w:rPr>
        <w:t>Journal officiel de l’Union européenne</w:t>
      </w:r>
      <w:r>
        <w:rPr>
          <w:noProof/>
        </w:rPr>
        <w:t xml:space="preserve"> (série C) et dans une publication officielle en Macédoine du Nord, selon ses propres procédures.</w:t>
      </w:r>
    </w:p>
    <w:p>
      <w:pPr>
        <w:pStyle w:val="Text2"/>
        <w:rPr>
          <w:noProof/>
        </w:rPr>
      </w:pPr>
      <w:r>
        <w:rPr>
          <w:noProof/>
        </w:rPr>
        <w:t>Le cumul prévu à l’article 7 s’applique à partir de la date indiquée dans ces avis.</w:t>
      </w:r>
    </w:p>
    <w:p>
      <w:pPr>
        <w:pStyle w:val="Text2"/>
        <w:rPr>
          <w:rFonts w:eastAsia="Times New Roman"/>
          <w:noProof/>
          <w:szCs w:val="24"/>
        </w:rPr>
      </w:pPr>
      <w:r>
        <w:rPr>
          <w:noProof/>
        </w:rPr>
        <w:t>Les parties fournissent à la Commission européenne des informations détaillées sur les accords conclus avec les autres parties contractantes appliquant les règles, y compris les dates d’entrée en vigueur de ces règles.</w:t>
      </w:r>
    </w:p>
    <w:p>
      <w:pPr>
        <w:pStyle w:val="Text2"/>
        <w:ind w:hanging="697"/>
        <w:rPr>
          <w:noProof/>
        </w:rPr>
      </w:pPr>
      <w:r>
        <w:rPr>
          <w:noProof/>
        </w:rPr>
        <w:t>3.</w:t>
      </w:r>
      <w:r>
        <w:rPr>
          <w:noProof/>
        </w:rPr>
        <w:tab/>
        <w:t>La preuve d’origine porte la mention en anglais “CUMULATION APPLIED WITH [nom de la ou des parties contractantes appliquant les règles concernée(s), en anglais]” lorsque les produits ont obtenu le caractère originaire par application du cumul de l’origine conformément à l’article 7.</w:t>
      </w:r>
    </w:p>
    <w:p>
      <w:pPr>
        <w:pStyle w:val="Text2"/>
        <w:rPr>
          <w:noProof/>
        </w:rPr>
      </w:pPr>
      <w:r>
        <w:rPr>
          <w:noProof/>
        </w:rPr>
        <w:t>Dans les cas où un certificat de circulation des marchandises EUR.1 est utilisé comme preuve de l’origine, cette mention est inscrite dans la case 7 du certificat de circulation des marchandises EUR.1.</w:t>
      </w:r>
    </w:p>
    <w:p>
      <w:pPr>
        <w:pStyle w:val="Point1"/>
        <w:rPr>
          <w:noProof/>
        </w:rPr>
      </w:pPr>
      <w:r>
        <w:rPr>
          <w:noProof/>
        </w:rPr>
        <w:t xml:space="preserve">4. </w:t>
      </w:r>
      <w:r>
        <w:rPr>
          <w:noProof/>
        </w:rPr>
        <w:tab/>
        <w:t>Les parties peuvent décider, pour les produits exportés vers elles ayant acquis le caractère originaire dans la partie exportatrice par l’application du cumul de l’origine conformément à l’article 7, de déroger à l’obligation d’inclure la mention visée au paragraphe 3 du présent article sur la preuve de l’origine</w:t>
      </w:r>
      <w:r>
        <w:rPr>
          <w:rStyle w:val="FootnoteReference"/>
          <w:rFonts w:eastAsia="Times New Roman"/>
          <w:noProof/>
          <w:szCs w:val="24"/>
          <w:lang w:eastAsia="en-GB"/>
        </w:rPr>
        <w:footnoteReference w:id="5"/>
      </w:r>
      <w:r>
        <w:rPr>
          <w:noProof/>
        </w:rPr>
        <w:t>.</w:t>
      </w:r>
    </w:p>
    <w:p>
      <w:pPr>
        <w:pStyle w:val="Point1"/>
        <w:ind w:firstLine="0"/>
        <w:rPr>
          <w:noProof/>
        </w:rPr>
      </w:pPr>
      <w:r>
        <w:rPr>
          <w:noProof/>
        </w:rPr>
        <w:t>Les parties notifient cette dérogation à la Commission européenne conformément à l’article 8, paragraphe 2.</w:t>
      </w:r>
    </w:p>
    <w:p>
      <w:pPr>
        <w:pStyle w:val="Text1"/>
        <w:jc w:val="center"/>
        <w:rPr>
          <w:i/>
          <w:noProof/>
        </w:rPr>
      </w:pPr>
      <w:r>
        <w:rPr>
          <w:i/>
          <w:noProof/>
        </w:rPr>
        <w:t>Article 9</w:t>
      </w:r>
      <w:r>
        <w:rPr>
          <w:noProof/>
        </w:rPr>
        <w:t xml:space="preserve"> </w:t>
      </w:r>
      <w:r>
        <w:rPr>
          <w:noProof/>
        </w:rPr>
        <w:br/>
      </w:r>
      <w:r>
        <w:rPr>
          <w:b/>
          <w:noProof/>
        </w:rPr>
        <w:t>Unité à prendre en considération</w:t>
      </w:r>
    </w:p>
    <w:p>
      <w:pPr>
        <w:pStyle w:val="Point1"/>
        <w:rPr>
          <w:noProof/>
        </w:rPr>
      </w:pPr>
      <w:r>
        <w:rPr>
          <w:noProof/>
        </w:rPr>
        <w:t>1.</w:t>
      </w:r>
      <w:r>
        <w:rPr>
          <w:noProof/>
        </w:rPr>
        <w:tab/>
        <w:t>L’unité à prendre en considération pour l’application des présentes règles est le produit retenu comme unité de base pour la détermination du classement fondée sur la nomenclature du système harmonisé.</w:t>
      </w:r>
    </w:p>
    <w:p>
      <w:pPr>
        <w:pStyle w:val="Point1"/>
        <w:ind w:firstLine="0"/>
        <w:rPr>
          <w:noProof/>
        </w:rPr>
      </w:pPr>
      <w:r>
        <w:rPr>
          <w:noProof/>
        </w:rPr>
        <w:t>Il s’ensuit que: a) lorsqu’un produit composé d’un groupe ou d’un assemblage d’articles est classé dans une seule position aux termes du système harmonisé, l’ensemble constitue l’unité à prendre en considération; b) lorsqu’un envoi est composé d’un certain nombre de produits identiques classés dans la même position du système harmonisé, chacun de ces produits doit être pris en considération lors de l’application des dispositions des présentes règles.</w:t>
      </w:r>
    </w:p>
    <w:p>
      <w:pPr>
        <w:pStyle w:val="Point1"/>
        <w:rPr>
          <w:noProof/>
        </w:rPr>
      </w:pPr>
      <w:r>
        <w:rPr>
          <w:noProof/>
        </w:rPr>
        <w:t>2.</w:t>
      </w:r>
      <w:r>
        <w:rPr>
          <w:noProof/>
        </w:rPr>
        <w:tab/>
        <w:t>Lorsque, en application de la règle générale nº 5 du système harmonisé, les emballages sont classés avec le produit qu’ils contiennent, ils doivent être considérés comme formant un tout avec le produit aux fins de la détermination de l’origine.</w:t>
      </w:r>
    </w:p>
    <w:p>
      <w:pPr>
        <w:pStyle w:val="Point1"/>
        <w:rPr>
          <w:noProof/>
        </w:rPr>
      </w:pPr>
      <w:r>
        <w:rPr>
          <w:noProof/>
        </w:rPr>
        <w:t>3.</w:t>
      </w:r>
      <w:r>
        <w:rPr>
          <w:noProof/>
        </w:rPr>
        <w:tab/>
        <w:t>Les accessoires, pièces de rechange et outillages livrés avec un matériel, une machine, un appareil ou un véhicule, qui font partie de l’équipement normal et sont compris dans le prix départ usine, sont considérés comme formant un tout avec le matériel, la machine, l’appareil ou le véhicule considéré.</w:t>
      </w:r>
    </w:p>
    <w:p>
      <w:pPr>
        <w:pStyle w:val="Text1"/>
        <w:jc w:val="center"/>
        <w:rPr>
          <w:i/>
          <w:noProof/>
        </w:rPr>
      </w:pPr>
      <w:r>
        <w:rPr>
          <w:i/>
          <w:iCs/>
          <w:noProof/>
        </w:rPr>
        <w:t>Article 10</w:t>
      </w:r>
      <w:r>
        <w:rPr>
          <w:noProof/>
        </w:rPr>
        <w:t xml:space="preserve"> </w:t>
      </w:r>
      <w:r>
        <w:rPr>
          <w:noProof/>
        </w:rPr>
        <w:br/>
      </w:r>
      <w:r>
        <w:rPr>
          <w:b/>
          <w:noProof/>
        </w:rPr>
        <w:t>Assortiments</w:t>
      </w:r>
    </w:p>
    <w:p>
      <w:pPr>
        <w:pStyle w:val="Text1"/>
        <w:rPr>
          <w:noProof/>
        </w:rPr>
      </w:pPr>
      <w:r>
        <w:rPr>
          <w:noProof/>
        </w:rPr>
        <w:t>Les assortiments au sens de la règle générale nº 3 du système harmonisé sont considérés comme originaires, à condition que tous les articles entrant dans leur composition soient originaires.</w:t>
      </w:r>
    </w:p>
    <w:p>
      <w:pPr>
        <w:pStyle w:val="Text1"/>
        <w:rPr>
          <w:noProof/>
        </w:rPr>
      </w:pPr>
      <w:r>
        <w:rPr>
          <w:noProof/>
        </w:rPr>
        <w:t>Toutefois, lorsqu’un assortiment composé de produits originaires et non originaires, l’ensemble de l’assortiment sera réputé originaire à condition que la valeur des articles non originaires n’excède pas 15 % du prix départ usine de l’assortiment.</w:t>
      </w:r>
    </w:p>
    <w:p>
      <w:pPr>
        <w:pStyle w:val="Text1"/>
        <w:jc w:val="center"/>
        <w:rPr>
          <w:i/>
          <w:noProof/>
        </w:rPr>
      </w:pPr>
      <w:r>
        <w:rPr>
          <w:i/>
          <w:noProof/>
        </w:rPr>
        <w:t>Article 11</w:t>
      </w:r>
      <w:r>
        <w:rPr>
          <w:noProof/>
        </w:rPr>
        <w:t xml:space="preserve"> </w:t>
      </w:r>
      <w:r>
        <w:rPr>
          <w:noProof/>
        </w:rPr>
        <w:br/>
      </w:r>
      <w:r>
        <w:rPr>
          <w:b/>
          <w:noProof/>
        </w:rPr>
        <w:t>Éléments neutres</w:t>
      </w:r>
    </w:p>
    <w:p>
      <w:pPr>
        <w:pStyle w:val="Text1"/>
        <w:rPr>
          <w:noProof/>
        </w:rPr>
      </w:pPr>
      <w:r>
        <w:rPr>
          <w:noProof/>
        </w:rPr>
        <w:t>Pour déterminer si un produit est originaire, il n’est pas tenu compte de l’origine des éléments suivants susceptibles d’être utilisés dans sa fabrication:</w:t>
      </w:r>
    </w:p>
    <w:p>
      <w:pPr>
        <w:pStyle w:val="Point1"/>
        <w:rPr>
          <w:noProof/>
        </w:rPr>
      </w:pPr>
      <w:r>
        <w:rPr>
          <w:noProof/>
        </w:rPr>
        <w:t>a)</w:t>
      </w:r>
      <w:r>
        <w:rPr>
          <w:noProof/>
        </w:rPr>
        <w:tab/>
        <w:t>énergie et combustibles;</w:t>
      </w:r>
    </w:p>
    <w:p>
      <w:pPr>
        <w:pStyle w:val="Point1"/>
        <w:rPr>
          <w:noProof/>
        </w:rPr>
      </w:pPr>
      <w:r>
        <w:rPr>
          <w:noProof/>
        </w:rPr>
        <w:t>b)</w:t>
      </w:r>
      <w:r>
        <w:rPr>
          <w:noProof/>
        </w:rPr>
        <w:tab/>
        <w:t>installations et équipements;</w:t>
      </w:r>
    </w:p>
    <w:p>
      <w:pPr>
        <w:pStyle w:val="Point1"/>
        <w:rPr>
          <w:noProof/>
        </w:rPr>
      </w:pPr>
      <w:r>
        <w:rPr>
          <w:noProof/>
        </w:rPr>
        <w:t>c)</w:t>
      </w:r>
      <w:r>
        <w:rPr>
          <w:noProof/>
        </w:rPr>
        <w:tab/>
        <w:t>machines et outils;</w:t>
      </w:r>
    </w:p>
    <w:p>
      <w:pPr>
        <w:pStyle w:val="Point1"/>
        <w:rPr>
          <w:noProof/>
        </w:rPr>
      </w:pPr>
      <w:r>
        <w:rPr>
          <w:noProof/>
        </w:rPr>
        <w:t>d)</w:t>
      </w:r>
      <w:r>
        <w:rPr>
          <w:noProof/>
        </w:rPr>
        <w:tab/>
        <w:t>toute autre marchandise qui n’entre pas et n’est pas destinée à entrer dans la composition finale du produit.</w:t>
      </w:r>
    </w:p>
    <w:p>
      <w:pPr>
        <w:pStyle w:val="Text1"/>
        <w:jc w:val="center"/>
        <w:rPr>
          <w:i/>
          <w:noProof/>
        </w:rPr>
      </w:pPr>
      <w:r>
        <w:rPr>
          <w:i/>
          <w:noProof/>
        </w:rPr>
        <w:t>Article 12</w:t>
      </w:r>
      <w:r>
        <w:rPr>
          <w:noProof/>
        </w:rPr>
        <w:t xml:space="preserve"> </w:t>
      </w:r>
      <w:r>
        <w:rPr>
          <w:noProof/>
        </w:rPr>
        <w:br/>
      </w:r>
      <w:r>
        <w:rPr>
          <w:b/>
          <w:iCs/>
          <w:noProof/>
        </w:rPr>
        <w:t>Séparation comptable</w:t>
      </w:r>
    </w:p>
    <w:p>
      <w:pPr>
        <w:pStyle w:val="Point1"/>
        <w:rPr>
          <w:noProof/>
        </w:rPr>
      </w:pPr>
      <w:r>
        <w:rPr>
          <w:noProof/>
        </w:rPr>
        <w:t>1.</w:t>
      </w:r>
      <w:r>
        <w:rPr>
          <w:noProof/>
        </w:rPr>
        <w:tab/>
        <w:t>Si des matières fongibles originaires et non originaires sont utilisées dans l’ouvraison ou la transformation d’un produit, les opérateurs économiques peuvent assurer la gestion de produits en utilisant la méthode de la séparation comptable, sans conserver les matières dans des stocks séparés.</w:t>
      </w:r>
    </w:p>
    <w:p>
      <w:pPr>
        <w:pStyle w:val="Point1"/>
        <w:rPr>
          <w:noProof/>
        </w:rPr>
      </w:pPr>
      <w:r>
        <w:rPr>
          <w:noProof/>
        </w:rPr>
        <w:t>2.</w:t>
      </w:r>
      <w:r>
        <w:rPr>
          <w:noProof/>
        </w:rPr>
        <w:tab/>
        <w:t>Les opérateurs économiques peuvent assurer la gestion des produits originaires et non originaires de la position 1701 en utilisant la méthode de la séparation comptable, sans conserver les produits dans des stocks séparés.</w:t>
      </w:r>
    </w:p>
    <w:p>
      <w:pPr>
        <w:pStyle w:val="Point1"/>
        <w:rPr>
          <w:noProof/>
        </w:rPr>
      </w:pPr>
      <w:r>
        <w:rPr>
          <w:noProof/>
        </w:rPr>
        <w:t xml:space="preserve">3. </w:t>
      </w:r>
      <w:r>
        <w:rPr>
          <w:noProof/>
        </w:rPr>
        <w:tab/>
        <w:t>Les parties peuvent exiger que l’application de la séparation comptable soit soumise à autorisation préalable des autorités douanières. Les autorités douanières peuvent accorder l’autorisation subordonnée à toutes conditions qu’elles estiment appropriées et doivent surveiller l’utilisation qui est faite de l’autorisation. Les autorités douanières peuvent retirer l’autorisation lorsque le bénéficiaire en fait un usage abusif de quelque façon que ce soit ou ne remplit pas l’une des autres conditions fixées dans les présentes règles.</w:t>
      </w:r>
    </w:p>
    <w:p>
      <w:pPr>
        <w:pStyle w:val="Text2"/>
        <w:rPr>
          <w:noProof/>
        </w:rPr>
      </w:pPr>
      <w:r>
        <w:rPr>
          <w:noProof/>
        </w:rPr>
        <w:t>L’usage de la séparation comptable n’est permis que s’il est garanti qu’à tout moment, le nombre de produits obtenus qui peuvent être considérés comme “originaires de la partie exportatrice” n’est pas supérieur au nombre qui aurait été obtenu sur la base d’une méthode de séparation physique des stocks.</w:t>
      </w:r>
    </w:p>
    <w:p>
      <w:pPr>
        <w:pStyle w:val="Text2"/>
        <w:rPr>
          <w:noProof/>
        </w:rPr>
      </w:pPr>
      <w:r>
        <w:rPr>
          <w:noProof/>
        </w:rPr>
        <w:t>La méthode est appliquée et son utilisation enregistrée conformément aux principes de comptabilité généralement admis qui sont applicables dans la partie exportatrice.</w:t>
      </w:r>
    </w:p>
    <w:p>
      <w:pPr>
        <w:pStyle w:val="Point1"/>
        <w:rPr>
          <w:noProof/>
        </w:rPr>
      </w:pPr>
      <w:r>
        <w:rPr>
          <w:noProof/>
        </w:rPr>
        <w:t>4.</w:t>
      </w:r>
      <w:r>
        <w:rPr>
          <w:noProof/>
        </w:rPr>
        <w:tab/>
        <w:t>Le bénéficiaire de la méthode visée aux paragraphes 1 et 2 du présent article doit établir ou demander des preuves de l’origine pour la quantité de produits qui peuvent être considérés comme originaires de la partie exportatrice. À la demande des autorités douanières, le bénéficiaire est tenu de fournir une déclaration sur la façon dont ces quantités ont été gérées.</w:t>
      </w:r>
    </w:p>
    <w:p>
      <w:pPr>
        <w:pStyle w:val="Point1"/>
        <w:rPr>
          <w:noProof/>
        </w:rPr>
      </w:pPr>
    </w:p>
    <w:p>
      <w:pPr>
        <w:pStyle w:val="Point1"/>
        <w:jc w:val="center"/>
        <w:rPr>
          <w:b/>
          <w:noProof/>
        </w:rPr>
      </w:pPr>
      <w:r>
        <w:rPr>
          <w:noProof/>
        </w:rPr>
        <w:t xml:space="preserve">TITRE III </w:t>
      </w:r>
      <w:r>
        <w:rPr>
          <w:noProof/>
        </w:rPr>
        <w:br/>
      </w:r>
      <w:r>
        <w:rPr>
          <w:b/>
          <w:noProof/>
        </w:rPr>
        <w:t>CONDITIONS TERRITORIALES</w:t>
      </w:r>
    </w:p>
    <w:p>
      <w:pPr>
        <w:pStyle w:val="Text1"/>
        <w:jc w:val="center"/>
        <w:rPr>
          <w:i/>
          <w:noProof/>
        </w:rPr>
      </w:pPr>
      <w:r>
        <w:rPr>
          <w:i/>
          <w:noProof/>
        </w:rPr>
        <w:t>Article 13</w:t>
      </w:r>
      <w:r>
        <w:rPr>
          <w:noProof/>
        </w:rPr>
        <w:t xml:space="preserve"> </w:t>
      </w:r>
      <w:r>
        <w:rPr>
          <w:noProof/>
        </w:rPr>
        <w:br/>
      </w:r>
      <w:r>
        <w:rPr>
          <w:b/>
          <w:noProof/>
        </w:rPr>
        <w:t>Principe de territorialité</w:t>
      </w:r>
    </w:p>
    <w:p>
      <w:pPr>
        <w:pStyle w:val="Point1"/>
        <w:rPr>
          <w:noProof/>
        </w:rPr>
      </w:pPr>
      <w:r>
        <w:rPr>
          <w:noProof/>
        </w:rPr>
        <w:t>1.</w:t>
      </w:r>
      <w:r>
        <w:rPr>
          <w:noProof/>
        </w:rPr>
        <w:tab/>
        <w:t>Les conditions énoncées dans le titre II doivent être remplies sans interruption dans la partie concernée.</w:t>
      </w:r>
    </w:p>
    <w:p>
      <w:pPr>
        <w:pStyle w:val="Point1"/>
        <w:rPr>
          <w:noProof/>
        </w:rPr>
      </w:pPr>
      <w:r>
        <w:rPr>
          <w:noProof/>
        </w:rPr>
        <w:t>2.</w:t>
      </w:r>
      <w:r>
        <w:rPr>
          <w:noProof/>
        </w:rPr>
        <w:tab/>
        <w:t>Si des produits originaires exportés d’une partie vers un autre pays y sont retournés, ils sont considérés comme étant non originaires, à moins qu’il puisse être démontré, à la satisfaction des autorités douanières:</w:t>
      </w:r>
    </w:p>
    <w:p>
      <w:pPr>
        <w:pStyle w:val="Point2"/>
        <w:rPr>
          <w:noProof/>
        </w:rPr>
      </w:pPr>
      <w:r>
        <w:rPr>
          <w:noProof/>
        </w:rPr>
        <w:t>a)</w:t>
      </w:r>
      <w:r>
        <w:rPr>
          <w:noProof/>
        </w:rPr>
        <w:tab/>
        <w:t>que les produits retournés sont les mêmes que ceux qui ont été exportés; et</w:t>
      </w:r>
    </w:p>
    <w:p>
      <w:pPr>
        <w:pStyle w:val="Point2"/>
        <w:rPr>
          <w:noProof/>
        </w:rPr>
      </w:pPr>
      <w:r>
        <w:rPr>
          <w:noProof/>
        </w:rPr>
        <w:t>b) qu’ils n’ont pas subi d’opérations allant au-delà de ce qui est nécessaire pour assurer leur conservation en l’état pendant qu’ils se trouvaient dans ce pays ou qu’ils étaient exportés.</w:t>
      </w:r>
    </w:p>
    <w:p>
      <w:pPr>
        <w:pStyle w:val="Point1"/>
        <w:rPr>
          <w:noProof/>
        </w:rPr>
      </w:pPr>
      <w:r>
        <w:rPr>
          <w:noProof/>
        </w:rPr>
        <w:t>3.</w:t>
      </w:r>
      <w:r>
        <w:rPr>
          <w:noProof/>
        </w:rPr>
        <w:tab/>
        <w:t>L’acquisition du caractère originaire dans les conditions énoncées au titre II n’est pas affectée par une ouvraison ou transformation effectuée en dehors de la partie exportatrice sur des matières exportées de cette partie et ultérieurement réimportées, à condition que:</w:t>
      </w:r>
    </w:p>
    <w:p>
      <w:pPr>
        <w:pStyle w:val="Point2"/>
        <w:rPr>
          <w:noProof/>
        </w:rPr>
      </w:pPr>
      <w:r>
        <w:rPr>
          <w:noProof/>
        </w:rPr>
        <w:t>a)</w:t>
      </w:r>
      <w:r>
        <w:rPr>
          <w:noProof/>
        </w:rPr>
        <w:tab/>
        <w:t>ces matières soient entièrement obtenues dans la partie contractante exportatrice ou qu’elles y aient subi une ouvraison ou transformation allant au-delà des opérations énumérées à l’article 6 avant leur exportation; et</w:t>
      </w:r>
    </w:p>
    <w:p>
      <w:pPr>
        <w:pStyle w:val="Point2"/>
        <w:rPr>
          <w:noProof/>
        </w:rPr>
      </w:pPr>
      <w:r>
        <w:rPr>
          <w:noProof/>
        </w:rPr>
        <w:t>b) qu’il puisse être démontré à la satisfaction des autorités douanières:</w:t>
      </w:r>
    </w:p>
    <w:p>
      <w:pPr>
        <w:pStyle w:val="Point3"/>
        <w:rPr>
          <w:noProof/>
        </w:rPr>
      </w:pPr>
      <w:r>
        <w:rPr>
          <w:noProof/>
        </w:rPr>
        <w:t>i)</w:t>
      </w:r>
      <w:r>
        <w:rPr>
          <w:noProof/>
        </w:rPr>
        <w:tab/>
        <w:t>que les produits réimportés résultent de l’ouvraison ou de la transformation des matières exportées; et</w:t>
      </w:r>
    </w:p>
    <w:p>
      <w:pPr>
        <w:pStyle w:val="Point3"/>
        <w:rPr>
          <w:noProof/>
        </w:rPr>
      </w:pPr>
      <w:r>
        <w:rPr>
          <w:noProof/>
        </w:rPr>
        <w:t>ii)</w:t>
      </w:r>
      <w:r>
        <w:rPr>
          <w:noProof/>
        </w:rPr>
        <w:tab/>
        <w:t>que la valeur ajoutée totale acquise en dehors de la partie exportatrice par l’application du présent article n’excède pas 10 % du prix départ usine du produit final pour lequel le caractère originaire est allégué.</w:t>
      </w:r>
    </w:p>
    <w:p>
      <w:pPr>
        <w:pStyle w:val="Point1"/>
        <w:rPr>
          <w:noProof/>
        </w:rPr>
      </w:pPr>
      <w:r>
        <w:rPr>
          <w:noProof/>
        </w:rPr>
        <w:t>4.</w:t>
      </w:r>
      <w:r>
        <w:rPr>
          <w:noProof/>
        </w:rPr>
        <w:tab/>
        <w:t>Aux fins de l’application du paragraphe 3 du présent article, les conditions énumérées au titre II concernant l’acquisition du caractère originaire ne s’appliquent pas aux ouvraisons ou aux transformations effectuées en dehors de la partie exportatrice. Néanmoins, lorsque, dans la liste de l’annexe II, une règle fixant la valeur maximale de toutes les matières non originaires incorporées est appliquée pour la détermination du caractère originaire du produit final, la valeur totale des matières non originaires incorporées sur le territoire de la partie exportatrice, conjuguées à la valeur ajoutée totale acquise en dehors de ladite partie par application du présent article ne doivent pas excéder le pourcentage indiqué.</w:t>
      </w:r>
    </w:p>
    <w:p>
      <w:pPr>
        <w:pStyle w:val="Point1"/>
        <w:rPr>
          <w:noProof/>
        </w:rPr>
      </w:pPr>
      <w:r>
        <w:rPr>
          <w:noProof/>
        </w:rPr>
        <w:t>5.</w:t>
      </w:r>
      <w:r>
        <w:rPr>
          <w:noProof/>
        </w:rPr>
        <w:tab/>
        <w:t>Aux fins de l’application des paragraphes 3 et 4 du présent article, on entend par “valeur ajoutée totale” l’ensemble des coûts accumulés en dehors de la partie exportatrice, y compris la valeur des matières qui y sont incorporées.</w:t>
      </w:r>
    </w:p>
    <w:p>
      <w:pPr>
        <w:pStyle w:val="Point1"/>
        <w:rPr>
          <w:noProof/>
        </w:rPr>
      </w:pPr>
      <w:r>
        <w:rPr>
          <w:noProof/>
        </w:rPr>
        <w:t>6.</w:t>
      </w:r>
      <w:r>
        <w:rPr>
          <w:noProof/>
        </w:rPr>
        <w:tab/>
        <w:t>Les paragraphes 3 et 4 du présent article ne s’appliquent pas aux produits qui ne remplissent pas les conditions énoncées dans la liste de l’annexe II ou qui ne peuvent être considérés comme suffisamment ouvrés ou transformés que si la tolérance générale de l’article 4 est appliquée.</w:t>
      </w:r>
    </w:p>
    <w:p>
      <w:pPr>
        <w:pStyle w:val="Point1"/>
        <w:rPr>
          <w:noProof/>
        </w:rPr>
      </w:pPr>
      <w:r>
        <w:rPr>
          <w:noProof/>
        </w:rPr>
        <w:t>7.</w:t>
      </w:r>
      <w:r>
        <w:rPr>
          <w:noProof/>
        </w:rPr>
        <w:tab/>
        <w:t>Les ouvraisons ou transformations relevant du présent article qui sont effectuées en dehors de la partie exportatrice sont réalisées sous couvert du régime de perfectionnement passif ou de régimes similaires.</w:t>
      </w:r>
    </w:p>
    <w:p>
      <w:pPr>
        <w:pStyle w:val="Text1"/>
        <w:jc w:val="center"/>
        <w:rPr>
          <w:i/>
          <w:noProof/>
        </w:rPr>
      </w:pPr>
      <w:r>
        <w:rPr>
          <w:i/>
          <w:noProof/>
        </w:rPr>
        <w:t>Article 14</w:t>
      </w:r>
      <w:r>
        <w:rPr>
          <w:noProof/>
        </w:rPr>
        <w:t xml:space="preserve"> </w:t>
      </w:r>
      <w:r>
        <w:rPr>
          <w:noProof/>
        </w:rPr>
        <w:br/>
      </w:r>
      <w:r>
        <w:rPr>
          <w:b/>
          <w:noProof/>
        </w:rPr>
        <w:t>Non-modification</w:t>
      </w:r>
    </w:p>
    <w:p>
      <w:pPr>
        <w:pStyle w:val="Point1"/>
        <w:rPr>
          <w:noProof/>
        </w:rPr>
      </w:pPr>
      <w:r>
        <w:rPr>
          <w:noProof/>
        </w:rPr>
        <w:t>1.</w:t>
      </w:r>
      <w:r>
        <w:rPr>
          <w:noProof/>
        </w:rPr>
        <w:tab/>
        <w:t>Le régime préférentiel prévu par le présent accord s’applique uniquement aux produits remplissant les conditions des présentes règles et déclaré à l’importation dans une des parties, pour autant que ces produits soient les mêmes que ceux exportés de depuis la partie exportatrice. Ils doivent n’avoir subi aucune modification ou transformation d’aucune sorte, ni fait l’objet d’opérations autres que pour assurer leur conservation en l’état ou l’ajout ou l’apposition de marques, d’étiquettes, de scellés ou toute autre documentation spécifique pour garantir le respect des exigences nationales de la partie importatrice effectuées sous la surveillance des autorités douanières du ou des pays tiers de transit ou de fractionnement, avant d’être déclarés en vue de leur mise en libre pratique.</w:t>
      </w:r>
    </w:p>
    <w:p>
      <w:pPr>
        <w:pStyle w:val="Point1"/>
        <w:rPr>
          <w:noProof/>
        </w:rPr>
      </w:pPr>
      <w:r>
        <w:rPr>
          <w:noProof/>
        </w:rPr>
        <w:t>2.</w:t>
      </w:r>
      <w:r>
        <w:rPr>
          <w:noProof/>
        </w:rPr>
        <w:tab/>
        <w:t>Il est possible de procéder à l’entreposage des produits ou des envois à condition qu’ils restent sous la surveillance des autorités douanières du ou des pays tiers de transit.</w:t>
      </w:r>
    </w:p>
    <w:p>
      <w:pPr>
        <w:pStyle w:val="Point1"/>
        <w:rPr>
          <w:noProof/>
        </w:rPr>
      </w:pPr>
      <w:r>
        <w:rPr>
          <w:noProof/>
        </w:rPr>
        <w:t>3.</w:t>
      </w:r>
      <w:r>
        <w:rPr>
          <w:noProof/>
        </w:rPr>
        <w:tab/>
        <w:t>Sans préjudice du titre V de l’appendice A, il est possible de procéder au fractionnement des envois, à condition que ceux-ci restent sous la surveillance des autorités douanières du ou des pays tiers de fractionnement.</w:t>
      </w:r>
    </w:p>
    <w:p>
      <w:pPr>
        <w:pStyle w:val="Point1"/>
        <w:rPr>
          <w:noProof/>
        </w:rPr>
      </w:pPr>
      <w:r>
        <w:rPr>
          <w:noProof/>
        </w:rPr>
        <w:t>4.</w:t>
      </w:r>
      <w:r>
        <w:rPr>
          <w:noProof/>
        </w:rPr>
        <w:tab/>
        <w:t>En cas de doute, la partie importatrice peut demander à l’importateur ou à son représentant de présenter à tout moment tous les documents appropriés pour apporter la preuve de la conformité au présent article, qui peut être fournie par tout document justificatif, et notamment:</w:t>
      </w:r>
    </w:p>
    <w:p>
      <w:pPr>
        <w:pStyle w:val="Point2"/>
        <w:rPr>
          <w:noProof/>
        </w:rPr>
      </w:pPr>
      <w:r>
        <w:rPr>
          <w:noProof/>
        </w:rPr>
        <w:t>a)</w:t>
      </w:r>
      <w:r>
        <w:rPr>
          <w:noProof/>
        </w:rPr>
        <w:tab/>
        <w:t>des documents de transport contractuels tels que des connaissements;</w:t>
      </w:r>
    </w:p>
    <w:p>
      <w:pPr>
        <w:pStyle w:val="Point2"/>
        <w:rPr>
          <w:noProof/>
        </w:rPr>
      </w:pPr>
      <w:r>
        <w:rPr>
          <w:noProof/>
        </w:rPr>
        <w:t>b)</w:t>
      </w:r>
      <w:r>
        <w:rPr>
          <w:noProof/>
        </w:rPr>
        <w:tab/>
        <w:t>des preuves factuelles ou concrètes basées sur le marquage ou la numérotation des emballages;</w:t>
      </w:r>
    </w:p>
    <w:p>
      <w:pPr>
        <w:pStyle w:val="Point2"/>
        <w:rPr>
          <w:noProof/>
        </w:rPr>
      </w:pPr>
      <w:r>
        <w:rPr>
          <w:noProof/>
        </w:rPr>
        <w:t>c)</w:t>
      </w:r>
      <w:r>
        <w:rPr>
          <w:noProof/>
        </w:rPr>
        <w:tab/>
        <w:t>un certificat de non-manipulation fourni par les autorités douanières du ou des pays de transit ou de fractionnement ou tout autre document prouvant que les marchandises sont restées sous la surveillance des autorités douanières du ou des pays de transit ou de fractionnement; ou</w:t>
      </w:r>
    </w:p>
    <w:p>
      <w:pPr>
        <w:pStyle w:val="Point2"/>
        <w:rPr>
          <w:noProof/>
        </w:rPr>
      </w:pPr>
      <w:r>
        <w:rPr>
          <w:noProof/>
        </w:rPr>
        <w:t>d)</w:t>
      </w:r>
      <w:r>
        <w:rPr>
          <w:noProof/>
        </w:rPr>
        <w:tab/>
        <w:t>toute preuve liée aux marchandises elles-mêmes.</w:t>
      </w:r>
    </w:p>
    <w:p>
      <w:pPr>
        <w:pStyle w:val="Text1"/>
        <w:jc w:val="center"/>
        <w:rPr>
          <w:i/>
          <w:noProof/>
        </w:rPr>
      </w:pPr>
      <w:r>
        <w:rPr>
          <w:i/>
          <w:noProof/>
        </w:rPr>
        <w:t>Article 15</w:t>
      </w:r>
      <w:r>
        <w:rPr>
          <w:noProof/>
        </w:rPr>
        <w:t xml:space="preserve"> </w:t>
      </w:r>
      <w:r>
        <w:rPr>
          <w:noProof/>
        </w:rPr>
        <w:br/>
      </w:r>
      <w:r>
        <w:rPr>
          <w:b/>
          <w:noProof/>
        </w:rPr>
        <w:t>Expositions</w:t>
      </w:r>
    </w:p>
    <w:p>
      <w:pPr>
        <w:pStyle w:val="Point1"/>
        <w:rPr>
          <w:noProof/>
        </w:rPr>
      </w:pPr>
      <w:r>
        <w:rPr>
          <w:noProof/>
        </w:rPr>
        <w:t>1.</w:t>
      </w:r>
      <w:r>
        <w:rPr>
          <w:noProof/>
        </w:rPr>
        <w:tab/>
        <w:t>Les produits originaires envoyés pour être exposés dans un pays autre que ceux visés aux articles 7 et 8 avec lesquels le cumul est applicable et qui sont vendus, à la fin de l’exposition, en vue d’être importés dans une partie, bénéficient à l’importation de l’accord pertinent, pour autant qu’il soit démontré, à la satisfaction des autorités douanières:</w:t>
      </w:r>
    </w:p>
    <w:p>
      <w:pPr>
        <w:pStyle w:val="Point2"/>
        <w:rPr>
          <w:noProof/>
        </w:rPr>
      </w:pPr>
      <w:r>
        <w:rPr>
          <w:noProof/>
        </w:rPr>
        <w:t>a)</w:t>
      </w:r>
      <w:r>
        <w:rPr>
          <w:noProof/>
        </w:rPr>
        <w:tab/>
        <w:t>qu’un exportateur a expédié ces produits d’une partie vers le pays de l’exposition et les y a exposés;</w:t>
      </w:r>
    </w:p>
    <w:p>
      <w:pPr>
        <w:pStyle w:val="Point2"/>
        <w:rPr>
          <w:noProof/>
        </w:rPr>
      </w:pPr>
      <w:r>
        <w:rPr>
          <w:noProof/>
        </w:rPr>
        <w:t>b)</w:t>
      </w:r>
      <w:r>
        <w:rPr>
          <w:noProof/>
        </w:rPr>
        <w:tab/>
        <w:t>que les produits ont été vendus ou cédés par cet exportateur à un destinataire dans une autre partie;</w:t>
      </w:r>
    </w:p>
    <w:p>
      <w:pPr>
        <w:pStyle w:val="Point2"/>
        <w:rPr>
          <w:noProof/>
        </w:rPr>
      </w:pPr>
      <w:r>
        <w:rPr>
          <w:noProof/>
        </w:rPr>
        <w:t>c)</w:t>
      </w:r>
      <w:r>
        <w:rPr>
          <w:noProof/>
        </w:rPr>
        <w:tab/>
        <w:t>que les produits ont été expédiés durant l’exposition ou immédiatement après dans l’état où ils ont été expédiés en vue de l’exposition; et</w:t>
      </w:r>
    </w:p>
    <w:p>
      <w:pPr>
        <w:pStyle w:val="Point2"/>
        <w:rPr>
          <w:noProof/>
        </w:rPr>
      </w:pPr>
      <w:r>
        <w:rPr>
          <w:noProof/>
        </w:rPr>
        <w:t>d)</w:t>
      </w:r>
      <w:r>
        <w:rPr>
          <w:noProof/>
        </w:rPr>
        <w:tab/>
        <w:t>que, depuis le moment où ils ont été expédiés en vue de l’exposition, les produits n’ont pas été utilisés à des fins autres que la présentation à cette exposition.</w:t>
      </w:r>
    </w:p>
    <w:p>
      <w:pPr>
        <w:pStyle w:val="Point1"/>
        <w:rPr>
          <w:noProof/>
        </w:rPr>
      </w:pPr>
      <w:r>
        <w:rPr>
          <w:noProof/>
        </w:rPr>
        <w:t>2.</w:t>
      </w:r>
      <w:r>
        <w:rPr>
          <w:noProof/>
        </w:rPr>
        <w:tab/>
        <w:t>Une preuve de l’origine est délivrée ou établie conformément au titre V de l’appendice A et produite selon les modalités habituelles aux autorités douanières de la partie importatrice. La désignation et l’adresse de l’exposition y sont indiquées. Au besoin, il peut être demandé une preuve documentaire supplémentaire des conditions dans lesquelles les produits ont été exposés.</w:t>
      </w:r>
    </w:p>
    <w:p>
      <w:pPr>
        <w:pStyle w:val="Point1"/>
        <w:rPr>
          <w:noProof/>
        </w:rPr>
      </w:pPr>
      <w:r>
        <w:rPr>
          <w:noProof/>
        </w:rPr>
        <w:t>3.</w:t>
      </w:r>
      <w:r>
        <w:rPr>
          <w:noProof/>
        </w:rPr>
        <w:tab/>
        <w:t>Le paragraphe 1 du présent article est applicable à toutes les expositions, foires ou manifestations publiques analogues, de caractère commercial, industriel, agricole ou artisanal, autres que celles qui sont organisées à des fins privées dans des locaux ou magasins commerciaux et qui ont pour objet la vente de produits étrangers, et pendant lesquelles les produits restent sous contrôle de la douane.</w:t>
      </w:r>
    </w:p>
    <w:p>
      <w:pPr>
        <w:pStyle w:val="Point1"/>
        <w:rPr>
          <w:noProof/>
        </w:rPr>
      </w:pPr>
    </w:p>
    <w:p>
      <w:pPr>
        <w:pStyle w:val="Point1"/>
        <w:jc w:val="center"/>
        <w:rPr>
          <w:b/>
          <w:noProof/>
        </w:rPr>
      </w:pPr>
      <w:r>
        <w:rPr>
          <w:noProof/>
        </w:rPr>
        <w:t xml:space="preserve">TITRE IV </w:t>
      </w:r>
      <w:r>
        <w:rPr>
          <w:noProof/>
        </w:rPr>
        <w:br/>
      </w:r>
      <w:r>
        <w:rPr>
          <w:b/>
          <w:noProof/>
        </w:rPr>
        <w:t>RISTOURNES OU EXONÉRATIONS</w:t>
      </w:r>
    </w:p>
    <w:p>
      <w:pPr>
        <w:pStyle w:val="Text1"/>
        <w:jc w:val="center"/>
        <w:rPr>
          <w:i/>
          <w:noProof/>
        </w:rPr>
      </w:pPr>
      <w:r>
        <w:rPr>
          <w:i/>
          <w:noProof/>
        </w:rPr>
        <w:t>Article 16</w:t>
      </w:r>
      <w:r>
        <w:rPr>
          <w:noProof/>
        </w:rPr>
        <w:t xml:space="preserve"> </w:t>
      </w:r>
      <w:r>
        <w:rPr>
          <w:noProof/>
        </w:rPr>
        <w:br/>
      </w:r>
      <w:r>
        <w:rPr>
          <w:b/>
          <w:noProof/>
        </w:rPr>
        <w:t>Ristournes ou exonérations des droits de douane</w:t>
      </w:r>
    </w:p>
    <w:p>
      <w:pPr>
        <w:pStyle w:val="Point1"/>
        <w:rPr>
          <w:noProof/>
        </w:rPr>
      </w:pPr>
      <w:r>
        <w:rPr>
          <w:noProof/>
        </w:rPr>
        <w:t>1.</w:t>
      </w:r>
      <w:r>
        <w:rPr>
          <w:noProof/>
        </w:rPr>
        <w:tab/>
        <w:t>Les matières non originaires mises en œuvre dans la fabrication de produits relevant des chapitres 50 à 63 du système harmonisé, originaires d’une partie et pour lesquels une preuve de l’origine est délivrée ou établie conformément au titre V de l’appendice A, ne bénéficient pas, dans la partie exportatrice, d’une ristourne ou d’une exonération des droits de douane sous quelque forme que ce soit.</w:t>
      </w:r>
    </w:p>
    <w:p>
      <w:pPr>
        <w:pStyle w:val="Point1"/>
        <w:rPr>
          <w:noProof/>
        </w:rPr>
      </w:pPr>
      <w:r>
        <w:rPr>
          <w:noProof/>
        </w:rPr>
        <w:t>2.</w:t>
      </w:r>
      <w:r>
        <w:rPr>
          <w:noProof/>
        </w:rPr>
        <w:tab/>
        <w:t>L’interdiction visée au paragraphe 1 du présent article s’applique à tout arrangement en vue du remboursement, de la remise ou du non-paiement partiel ou total des droits de douane ou des taxes d’effet équivalent applicables dans la partie exportatrice aux matières mises en œuvre dans la fabrication si ce remboursement, cette remise ou ce non-paiement s’applique, expressément ou en fait, lorsque les produits obtenus à partir de ces matières sont exportés et non lorsqu’ils sont destinés à la consommation nationale.</w:t>
      </w:r>
    </w:p>
    <w:p>
      <w:pPr>
        <w:pStyle w:val="Point1"/>
        <w:rPr>
          <w:noProof/>
        </w:rPr>
      </w:pPr>
      <w:r>
        <w:rPr>
          <w:noProof/>
        </w:rPr>
        <w:t>3.</w:t>
      </w:r>
      <w:r>
        <w:rPr>
          <w:noProof/>
        </w:rPr>
        <w:tab/>
        <w:t>L’exportateur de produits couverts par une preuve de l’origine doit pouvoir produire à tout moment, à la demande des autorités douanières, tous les documents appropriés établissant qu’aucune ristourne n’a été obtenue pour les matières non originaires utilisées dans la fabrication des produits concernés, et que tous les droits de douane ou taxes d’effet équivalent applicables à ces matières ont été effectivement acquittés.</w:t>
      </w:r>
    </w:p>
    <w:p>
      <w:pPr>
        <w:pStyle w:val="Point1"/>
        <w:rPr>
          <w:noProof/>
        </w:rPr>
      </w:pPr>
      <w:r>
        <w:rPr>
          <w:noProof/>
        </w:rPr>
        <w:t>4.</w:t>
      </w:r>
      <w:r>
        <w:rPr>
          <w:noProof/>
        </w:rPr>
        <w:tab/>
        <w:t>L’interdiction prévue au paragraphe 1 du présent article ne s’applique pas aux échanges entre les parties pour les produits qui ont obtenu le caractère originaire par application du cumul de l’origine couvert par l’article 7, paragraphe 4 ou 5.</w:t>
      </w:r>
    </w:p>
    <w:p>
      <w:pPr>
        <w:pStyle w:val="Point1"/>
        <w:rPr>
          <w:rFonts w:eastAsia="Times New Roman"/>
          <w:noProof/>
          <w:szCs w:val="24"/>
          <w:lang w:eastAsia="en-GB"/>
        </w:rPr>
      </w:pPr>
    </w:p>
    <w:p>
      <w:pPr>
        <w:pStyle w:val="Point1"/>
        <w:jc w:val="center"/>
        <w:rPr>
          <w:b/>
          <w:noProof/>
        </w:rPr>
      </w:pPr>
      <w:r>
        <w:rPr>
          <w:noProof/>
        </w:rPr>
        <w:t xml:space="preserve">TITRE V </w:t>
      </w:r>
      <w:r>
        <w:rPr>
          <w:noProof/>
        </w:rPr>
        <w:br/>
      </w:r>
      <w:r>
        <w:rPr>
          <w:b/>
          <w:noProof/>
        </w:rPr>
        <w:t>PREUVE DE L’ORIGINE</w:t>
      </w:r>
    </w:p>
    <w:p>
      <w:pPr>
        <w:pStyle w:val="Text1"/>
        <w:jc w:val="center"/>
        <w:rPr>
          <w:i/>
          <w:noProof/>
        </w:rPr>
      </w:pPr>
      <w:r>
        <w:rPr>
          <w:i/>
          <w:noProof/>
        </w:rPr>
        <w:t>Article 17</w:t>
      </w:r>
      <w:r>
        <w:rPr>
          <w:noProof/>
        </w:rPr>
        <w:t xml:space="preserve"> </w:t>
      </w:r>
      <w:r>
        <w:rPr>
          <w:noProof/>
        </w:rPr>
        <w:br/>
      </w:r>
      <w:r>
        <w:rPr>
          <w:b/>
          <w:noProof/>
        </w:rPr>
        <w:t>Conditions générales</w:t>
      </w:r>
    </w:p>
    <w:p>
      <w:pPr>
        <w:pStyle w:val="Point1"/>
        <w:rPr>
          <w:noProof/>
        </w:rPr>
      </w:pPr>
      <w:r>
        <w:rPr>
          <w:noProof/>
        </w:rPr>
        <w:t>1.</w:t>
      </w:r>
      <w:r>
        <w:rPr>
          <w:noProof/>
        </w:rPr>
        <w:tab/>
        <w:t>Les produits originaires d’une des parties, lorsqu’ils sont importés dans l’autre partie, bénéficient des dispositions du présent accord, sur présentation d’une des preuves de l’origine suivantes:</w:t>
      </w:r>
    </w:p>
    <w:p>
      <w:pPr>
        <w:pStyle w:val="Point2"/>
        <w:rPr>
          <w:noProof/>
        </w:rPr>
      </w:pPr>
      <w:r>
        <w:rPr>
          <w:noProof/>
        </w:rPr>
        <w:t>a)</w:t>
      </w:r>
      <w:r>
        <w:rPr>
          <w:noProof/>
        </w:rPr>
        <w:tab/>
        <w:t>un certificat de circulation des marchandises EUR.1, dont le modèle figure à l’annexe IV de l’appendice A;</w:t>
      </w:r>
    </w:p>
    <w:p>
      <w:pPr>
        <w:pStyle w:val="Point2"/>
        <w:rPr>
          <w:noProof/>
        </w:rPr>
      </w:pPr>
      <w:r>
        <w:rPr>
          <w:noProof/>
        </w:rPr>
        <w:t>b)</w:t>
      </w:r>
      <w:r>
        <w:rPr>
          <w:noProof/>
        </w:rPr>
        <w:tab/>
        <w:t>dans les cas précisés à l’article 18, paragraphe 1, une déclaration, ci-après dénommée “déclaration d’origine”, établie par l’exportateur sur une facture, un bon de livraison ou tout autre document commercial décrivant les produits concernés de manière suffisamment détaillée pour pouvoir les identifier; le texte de la déclaration d’origine figure à l’annexe III du présent appendice.</w:t>
      </w:r>
    </w:p>
    <w:p>
      <w:pPr>
        <w:pStyle w:val="Point1"/>
        <w:rPr>
          <w:noProof/>
        </w:rPr>
      </w:pPr>
      <w:r>
        <w:rPr>
          <w:noProof/>
        </w:rPr>
        <w:t>2.</w:t>
      </w:r>
      <w:r>
        <w:rPr>
          <w:noProof/>
        </w:rPr>
        <w:tab/>
        <w:t>Nonobstant le paragraphe 1 du présent article, dans les cas visés à l’article 27, les produits originaires au sens des présentes règles sont admis au bénéfice des dispositions du présent accord sans qu’il soit nécessaire de produire aucune des preuves de l’origine visées au paragraphe 1 du présent article.</w:t>
      </w:r>
    </w:p>
    <w:p>
      <w:pPr>
        <w:pStyle w:val="Point1"/>
        <w:rPr>
          <w:noProof/>
        </w:rPr>
      </w:pPr>
      <w:r>
        <w:rPr>
          <w:noProof/>
        </w:rPr>
        <w:t>3.</w:t>
      </w:r>
      <w:r>
        <w:rPr>
          <w:noProof/>
        </w:rPr>
        <w:tab/>
        <w:t>Sans préjudice du paragraphe 1 du présent article, les parties peuvent convenir, dans le cadre du commerce préférentiel entre elles, de remplacer les preuves de l’origine visées au paragraphe 1, points a) et b), du présent article par des déclarations d’origine établies par des exportateurs enregistrés dans une base de données électronique conformément à la législation interne des parties.</w:t>
      </w:r>
    </w:p>
    <w:p>
      <w:pPr>
        <w:pStyle w:val="Point1"/>
        <w:ind w:firstLine="0"/>
        <w:rPr>
          <w:rFonts w:eastAsia="Times New Roman"/>
          <w:noProof/>
          <w:szCs w:val="24"/>
        </w:rPr>
      </w:pPr>
      <w:r>
        <w:rPr>
          <w:noProof/>
        </w:rPr>
        <w:t>Le recours à une déclaration d’origine établie par les exportateurs enregistrés dans une base de données électronique ayant fait l’objet d’un accord entre deux ou plusieurs parties contractantes n’empêche pas l’utilisation du cumul diagonal avec les autres parties contractantes appliquant les règles.</w:t>
      </w:r>
    </w:p>
    <w:p>
      <w:pPr>
        <w:pStyle w:val="Point1"/>
        <w:rPr>
          <w:noProof/>
        </w:rPr>
      </w:pPr>
      <w:r>
        <w:rPr>
          <w:noProof/>
        </w:rPr>
        <w:t>4.</w:t>
      </w:r>
      <w:r>
        <w:rPr>
          <w:noProof/>
        </w:rPr>
        <w:tab/>
        <w:t>Aux fins du paragraphe 1, les parties peuvent convenir d’établir un système permettant de délivrer et/ou de présenter par voie électronique les preuves de l’origine énumérées au paragraphe 1, points a) et b) du présent article.</w:t>
      </w:r>
    </w:p>
    <w:p>
      <w:pPr>
        <w:pStyle w:val="Point1"/>
        <w:rPr>
          <w:noProof/>
        </w:rPr>
      </w:pPr>
      <w:r>
        <w:rPr>
          <w:noProof/>
        </w:rPr>
        <w:t xml:space="preserve">5. </w:t>
      </w:r>
      <w:r>
        <w:rPr>
          <w:noProof/>
        </w:rPr>
        <w:tab/>
        <w:t>Aux fins de l’application de l’article 7, en cas d’application de l’article 8, paragraphe 4, l’exportateur dans une partie contractante appliquant les règles qui délivre ou demande une preuve de l’origine sur la base d’une autre preuve de l’origine qui a été exemptée de l’obligation d’inclure la mention visée à l’article 8, paragraphe 3, doit prendre toutes les mesures nécessaires pour garantir que les conditions d’application du cumul sont remplies et être disposé à présenter aux autorités douanières tous les documents pertinents.</w:t>
      </w:r>
    </w:p>
    <w:p>
      <w:pPr>
        <w:pStyle w:val="Text1"/>
        <w:jc w:val="center"/>
        <w:rPr>
          <w:i/>
          <w:noProof/>
        </w:rPr>
      </w:pPr>
      <w:r>
        <w:rPr>
          <w:i/>
          <w:noProof/>
        </w:rPr>
        <w:t>Article 18</w:t>
      </w:r>
      <w:r>
        <w:rPr>
          <w:noProof/>
        </w:rPr>
        <w:t xml:space="preserve"> </w:t>
      </w:r>
      <w:r>
        <w:rPr>
          <w:noProof/>
        </w:rPr>
        <w:br/>
      </w:r>
      <w:r>
        <w:rPr>
          <w:b/>
          <w:noProof/>
        </w:rPr>
        <w:t>Conditions d’établissement d’une déclaration d’origine</w:t>
      </w:r>
    </w:p>
    <w:p>
      <w:pPr>
        <w:pStyle w:val="Point1"/>
        <w:rPr>
          <w:noProof/>
        </w:rPr>
      </w:pPr>
      <w:r>
        <w:rPr>
          <w:noProof/>
        </w:rPr>
        <w:t>1.</w:t>
      </w:r>
      <w:r>
        <w:rPr>
          <w:noProof/>
        </w:rPr>
        <w:tab/>
        <w:t>Une déclaration d’origine visée à l’article 17, paragraphe 1, point b), peut être établie:</w:t>
      </w:r>
    </w:p>
    <w:p>
      <w:pPr>
        <w:pStyle w:val="Point2"/>
        <w:rPr>
          <w:noProof/>
        </w:rPr>
      </w:pPr>
      <w:r>
        <w:rPr>
          <w:noProof/>
        </w:rPr>
        <w:t>a)</w:t>
      </w:r>
      <w:r>
        <w:rPr>
          <w:noProof/>
        </w:rPr>
        <w:tab/>
        <w:t>par un exportateur agréé au sens de l’article 19; ou</w:t>
      </w:r>
    </w:p>
    <w:p>
      <w:pPr>
        <w:pStyle w:val="Point2"/>
        <w:rPr>
          <w:noProof/>
        </w:rPr>
      </w:pPr>
      <w:r>
        <w:rPr>
          <w:noProof/>
        </w:rPr>
        <w:t>b)</w:t>
      </w:r>
      <w:r>
        <w:rPr>
          <w:noProof/>
        </w:rPr>
        <w:tab/>
        <w:t>par tout exportateur pour tout envoi constitué d’un ou plusieurs colis contenant des produits originaires dont la valeur totale n’excède pas 6 000 EUR.</w:t>
      </w:r>
    </w:p>
    <w:p>
      <w:pPr>
        <w:pStyle w:val="Point1"/>
        <w:rPr>
          <w:noProof/>
        </w:rPr>
      </w:pPr>
      <w:r>
        <w:rPr>
          <w:noProof/>
        </w:rPr>
        <w:t>2.</w:t>
      </w:r>
      <w:r>
        <w:rPr>
          <w:noProof/>
        </w:rPr>
        <w:tab/>
        <w:t>Une déclaration d’origine peut être établie si les produits en question peuvent être considérés comme des produits originaires d’une partie contractante appliquant les règles, et qu’ils remplissent les autres conditions des présentes règles.</w:t>
      </w:r>
    </w:p>
    <w:p>
      <w:pPr>
        <w:pStyle w:val="Point1"/>
        <w:rPr>
          <w:noProof/>
        </w:rPr>
      </w:pPr>
      <w:r>
        <w:rPr>
          <w:noProof/>
        </w:rPr>
        <w:t>3.</w:t>
      </w:r>
      <w:r>
        <w:rPr>
          <w:noProof/>
        </w:rPr>
        <w:tab/>
        <w:t>L’exportateur établissant une déclaration d’origine doit pouvoir présenter à tout moment, à la demande des autorités douanières de la partie exportatrice, tous les documents appropriés prouvant le caractère originaire des produits concernés ainsi que le respect des autres conditions prévues par les présentes règles.</w:t>
      </w:r>
    </w:p>
    <w:p>
      <w:pPr>
        <w:pStyle w:val="Point1"/>
        <w:rPr>
          <w:noProof/>
        </w:rPr>
      </w:pPr>
      <w:r>
        <w:rPr>
          <w:noProof/>
        </w:rPr>
        <w:t>4.</w:t>
      </w:r>
      <w:r>
        <w:rPr>
          <w:noProof/>
        </w:rPr>
        <w:tab/>
        <w:t>L’exportateur établit la déclaration d’origine en dactylographiant, en tamponnant ou en imprimant sur la facture, le bon de livraison ou tout autre document commercial la déclaration dont le texte figure à l’annexe III du présent appendice, en utilisant l’une des versions linguistiques de ladite annexe, et conformément aux dispositions de droit interne du pays d’exportation. Si la déclaration est établie à la main, elle doit l’être à l’encre et en caractères d’imprimerie.</w:t>
      </w:r>
    </w:p>
    <w:p>
      <w:pPr>
        <w:pStyle w:val="Point1"/>
        <w:rPr>
          <w:noProof/>
        </w:rPr>
      </w:pPr>
      <w:r>
        <w:rPr>
          <w:noProof/>
        </w:rPr>
        <w:t>5.</w:t>
      </w:r>
      <w:r>
        <w:rPr>
          <w:noProof/>
        </w:rPr>
        <w:tab/>
        <w:t>Les déclarations d’origine portent la signature manuscrite originale de l’exportateur. Toutefois, un exportateur agréé au sens de l’article 19 n’est pas tenu de signer ces déclarations, à condition de présenter aux autorités douanières de la partie exportatrice un engagement écrit par lequel il accepte la responsabilité entière de toute déclaration d’origine l’identifiant, comme si elle avait été signée de sa propre main.</w:t>
      </w:r>
    </w:p>
    <w:p>
      <w:pPr>
        <w:pStyle w:val="Point1"/>
        <w:rPr>
          <w:noProof/>
        </w:rPr>
      </w:pPr>
      <w:r>
        <w:rPr>
          <w:noProof/>
        </w:rPr>
        <w:t>6.</w:t>
      </w:r>
      <w:r>
        <w:rPr>
          <w:noProof/>
        </w:rPr>
        <w:tab/>
        <w:t>Une déclaration d’origine peut être établie par l’exportateur au moment où les produits auxquels elle se rapporte sont exportés ou après exportation (la “déclaration d’origine a posteriori”), pour autant que sa présentation dans le pays d’importation intervienne dans les deux ans qui suivent l’importation des produits auxquels elle se rapporte.</w:t>
      </w:r>
    </w:p>
    <w:p>
      <w:pPr>
        <w:pStyle w:val="Point1"/>
        <w:ind w:firstLine="0"/>
        <w:rPr>
          <w:noProof/>
        </w:rPr>
      </w:pPr>
      <w:r>
        <w:rPr>
          <w:noProof/>
        </w:rPr>
        <w:t>En cas de fractionnement d’un envoi conformément à l’article 14, paragraphe 3 et à condition que le même délai de deux ans soit respecté, la déclaration d’origine a posteriori est établie par l’exportateur de la partie exportatrice des produits.</w:t>
      </w:r>
    </w:p>
    <w:p>
      <w:pPr>
        <w:pStyle w:val="Text1"/>
        <w:jc w:val="center"/>
        <w:rPr>
          <w:i/>
          <w:noProof/>
        </w:rPr>
      </w:pPr>
      <w:r>
        <w:rPr>
          <w:i/>
          <w:noProof/>
        </w:rPr>
        <w:t>Article 19</w:t>
      </w:r>
      <w:r>
        <w:rPr>
          <w:noProof/>
        </w:rPr>
        <w:t xml:space="preserve"> </w:t>
      </w:r>
      <w:r>
        <w:rPr>
          <w:noProof/>
        </w:rPr>
        <w:br/>
      </w:r>
      <w:r>
        <w:rPr>
          <w:b/>
          <w:noProof/>
        </w:rPr>
        <w:t>Exportateur agréé</w:t>
      </w:r>
    </w:p>
    <w:p>
      <w:pPr>
        <w:pStyle w:val="Point1"/>
        <w:rPr>
          <w:noProof/>
        </w:rPr>
      </w:pPr>
      <w:r>
        <w:rPr>
          <w:noProof/>
        </w:rPr>
        <w:t>1.</w:t>
      </w:r>
      <w:r>
        <w:rPr>
          <w:noProof/>
        </w:rPr>
        <w:tab/>
        <w:t>Les autorités douanières de la partie exportatrice peuvent, sous réserve des exigences nationales, autoriser tout exportateur établi dans cette partie (l’“exportateur agréé”) à établir des déclarations d’origine quelle que soit la valeur des produits concernés.</w:t>
      </w:r>
    </w:p>
    <w:p>
      <w:pPr>
        <w:pStyle w:val="Point1"/>
        <w:rPr>
          <w:noProof/>
        </w:rPr>
      </w:pPr>
      <w:r>
        <w:rPr>
          <w:noProof/>
        </w:rPr>
        <w:t>2.</w:t>
      </w:r>
      <w:r>
        <w:rPr>
          <w:noProof/>
        </w:rPr>
        <w:tab/>
        <w:t>L’exportateur qui sollicite cette autorisation doit offrir, à la satisfaction des autorités douanières, toutes les garanties nécessaires pour contrôler le caractère originaire des produits ainsi que le respect de toutes les autres conditions des présentes règles.</w:t>
      </w:r>
    </w:p>
    <w:p>
      <w:pPr>
        <w:pStyle w:val="Point1"/>
        <w:rPr>
          <w:noProof/>
        </w:rPr>
      </w:pPr>
      <w:r>
        <w:rPr>
          <w:noProof/>
        </w:rPr>
        <w:t>3.</w:t>
      </w:r>
      <w:r>
        <w:rPr>
          <w:noProof/>
        </w:rPr>
        <w:tab/>
        <w:t>Les autorités douanières attribuent à l’exportateur agréé un numéro d’autorisation douanière, qui doit figurer sur la déclaration d’origine.</w:t>
      </w:r>
    </w:p>
    <w:p>
      <w:pPr>
        <w:pStyle w:val="Point1"/>
        <w:rPr>
          <w:noProof/>
        </w:rPr>
      </w:pPr>
      <w:r>
        <w:rPr>
          <w:noProof/>
        </w:rPr>
        <w:t>4.</w:t>
      </w:r>
      <w:r>
        <w:rPr>
          <w:noProof/>
        </w:rPr>
        <w:tab/>
        <w:t>Les autorités douanières contrôlent le bon usage qui est fait de l’autorisation. Elles peuvent révoquer l’autorisation si l’exportateur agréé fait un usage abusif de celle-ci et doivent le faire lorsque l’exportateur agréé n’offre plus les garanties visées au paragraphe 2 du présent article.</w:t>
      </w:r>
    </w:p>
    <w:p>
      <w:pPr>
        <w:pStyle w:val="Point1"/>
        <w:jc w:val="center"/>
        <w:rPr>
          <w:i/>
          <w:noProof/>
        </w:rPr>
      </w:pPr>
      <w:r>
        <w:rPr>
          <w:i/>
          <w:noProof/>
        </w:rPr>
        <w:t>Article 20</w:t>
      </w:r>
      <w:r>
        <w:rPr>
          <w:noProof/>
        </w:rPr>
        <w:t xml:space="preserve"> </w:t>
      </w:r>
      <w:r>
        <w:rPr>
          <w:noProof/>
        </w:rPr>
        <w:br/>
      </w:r>
      <w:r>
        <w:rPr>
          <w:b/>
          <w:noProof/>
        </w:rPr>
        <w:t>Procédure de délivrance d’un certificat de circulation des marchandises EUR.1</w:t>
      </w:r>
    </w:p>
    <w:p>
      <w:pPr>
        <w:pStyle w:val="Point1"/>
        <w:rPr>
          <w:noProof/>
        </w:rPr>
      </w:pPr>
      <w:r>
        <w:rPr>
          <w:noProof/>
        </w:rPr>
        <w:t>1.</w:t>
      </w:r>
      <w:r>
        <w:rPr>
          <w:noProof/>
        </w:rPr>
        <w:tab/>
        <w:t>Le certificat de circulation des marchandises EUR.1 est délivré par les autorités douanières de la partie exportatrice sur demande écrite établie par l’exportateur ou, sous la responsabilité de celui-ci, par son représentant habilité.</w:t>
      </w:r>
    </w:p>
    <w:p>
      <w:pPr>
        <w:pStyle w:val="Point1"/>
        <w:rPr>
          <w:noProof/>
        </w:rPr>
      </w:pPr>
      <w:r>
        <w:rPr>
          <w:noProof/>
        </w:rPr>
        <w:t>2.</w:t>
      </w:r>
      <w:r>
        <w:rPr>
          <w:noProof/>
        </w:rPr>
        <w:tab/>
        <w:t>À cet effet, l’exportateur ou son représentant habilité remplit le certificat de circulation des marchandises EUR.1 et le formulaire de demande, dont les modèles figurent à l’annexe IV de l’appendice A. Ces formulaires sont complétés dans l’une des langues dans lesquelles l’accord est rédigé, conformément aux dispositions du droit interne du pays d’exportation. Les formulaires remplis à la main sont complétés à l’encre et en caractères d’imprimerie. Les produits sont désignés dans la case réservée à cet effet, sans interligne. Lorsque la case n’est pas complètement remplie, un trait horizontal est tiré en dessous de la dernière ligne de la désignation, l’espace non utilisé étant bâtonné.</w:t>
      </w:r>
    </w:p>
    <w:p>
      <w:pPr>
        <w:pStyle w:val="Point1"/>
        <w:rPr>
          <w:noProof/>
        </w:rPr>
      </w:pPr>
      <w:r>
        <w:rPr>
          <w:noProof/>
        </w:rPr>
        <w:t xml:space="preserve">3. </w:t>
      </w:r>
      <w:r>
        <w:rPr>
          <w:noProof/>
        </w:rPr>
        <w:tab/>
        <w:t>Le certificat de circulation des marchandises EUR.1 doit inclure la mention en anglais “TRANSITIONAL RULES” dans la case 7.</w:t>
      </w:r>
    </w:p>
    <w:p>
      <w:pPr>
        <w:pStyle w:val="Point1"/>
        <w:rPr>
          <w:noProof/>
        </w:rPr>
      </w:pPr>
      <w:r>
        <w:rPr>
          <w:noProof/>
        </w:rPr>
        <w:t xml:space="preserve">4. </w:t>
      </w:r>
      <w:r>
        <w:rPr>
          <w:noProof/>
        </w:rPr>
        <w:tab/>
        <w:t>L’exportateur sollicitant la délivrance d’un certificat de circulation des marchandises EUR.1 doit pouvoir présenter à tout moment, à la demande des autorités douanières de la partie exportatrice où le certificat de circulation des marchandises EUR.1 est délivré, tous les documents appropriés prouvant le caractère originaire des produits concernés ainsi que le respect des autres conditions prévues par les présentes règles.</w:t>
      </w:r>
    </w:p>
    <w:p>
      <w:pPr>
        <w:pStyle w:val="Point1"/>
        <w:rPr>
          <w:noProof/>
        </w:rPr>
      </w:pPr>
      <w:r>
        <w:rPr>
          <w:noProof/>
        </w:rPr>
        <w:t xml:space="preserve">5. </w:t>
      </w:r>
      <w:r>
        <w:rPr>
          <w:noProof/>
        </w:rPr>
        <w:tab/>
        <w:t>Un certificat d’origine est délivré par les autorités compétentes de la partie exportatrice si les produits concernés peuvent être considérés comme des produits originaires et qu’ils remplissent les autres conditions des présentes règles.</w:t>
      </w:r>
    </w:p>
    <w:p>
      <w:pPr>
        <w:pStyle w:val="Point1"/>
        <w:rPr>
          <w:noProof/>
        </w:rPr>
      </w:pPr>
      <w:r>
        <w:rPr>
          <w:noProof/>
        </w:rPr>
        <w:t xml:space="preserve">6. </w:t>
      </w:r>
      <w:r>
        <w:rPr>
          <w:noProof/>
        </w:rPr>
        <w:tab/>
        <w:t>Les autorités douanières délivrant des certificats de circulation des marchandises EUR.1 prennent toutes les mesures nécessaires afin de contrôler le caractère originaire des produits et le respect des autres conditions prévues par les présentes règles. À cet effet, celles-ci sont habilitées à exiger toutes les pièces justificatives et à procéder à toute inspection de la comptabilité de l’exportateur ou à tout autre contrôle qu’elles jugent utile. Elles doivent aussi veiller à ce que les formulaires visés au paragraphe 2 du présent article soient dûment remplis. Elles vérifient notamment si le cadre réservé à la désignation des produits a été rempli de façon à exclure toute possibilité d’adjonctions frauduleuses.</w:t>
      </w:r>
    </w:p>
    <w:p>
      <w:pPr>
        <w:pStyle w:val="Point1"/>
        <w:rPr>
          <w:noProof/>
        </w:rPr>
      </w:pPr>
      <w:r>
        <w:rPr>
          <w:noProof/>
        </w:rPr>
        <w:t xml:space="preserve">7. </w:t>
      </w:r>
      <w:r>
        <w:rPr>
          <w:noProof/>
        </w:rPr>
        <w:tab/>
        <w:t>La date de délivrance du certificat de circulation des marchandises EUR.1 doit être indiquée dans la case 11 du certificat de circulation des marchandises EUR.1.</w:t>
      </w:r>
    </w:p>
    <w:p>
      <w:pPr>
        <w:pStyle w:val="Point1"/>
        <w:rPr>
          <w:noProof/>
        </w:rPr>
      </w:pPr>
      <w:r>
        <w:rPr>
          <w:noProof/>
        </w:rPr>
        <w:t>8.</w:t>
      </w:r>
      <w:r>
        <w:rPr>
          <w:noProof/>
        </w:rPr>
        <w:tab/>
        <w:t xml:space="preserve"> Un certificat de circulation des marchandises EUR.1 est délivré par les autorités douanières et tenu à la disposition de l’exportateur dès que l’exportation réelle est effectuée ou assurée.</w:t>
      </w:r>
    </w:p>
    <w:p>
      <w:pPr>
        <w:pStyle w:val="Point1"/>
        <w:jc w:val="center"/>
        <w:rPr>
          <w:i/>
          <w:noProof/>
        </w:rPr>
      </w:pPr>
      <w:r>
        <w:rPr>
          <w:i/>
          <w:noProof/>
        </w:rPr>
        <w:t>Article 21</w:t>
      </w:r>
      <w:r>
        <w:rPr>
          <w:noProof/>
        </w:rPr>
        <w:t xml:space="preserve"> </w:t>
      </w:r>
      <w:r>
        <w:rPr>
          <w:noProof/>
        </w:rPr>
        <w:br/>
      </w:r>
      <w:r>
        <w:rPr>
          <w:b/>
          <w:noProof/>
        </w:rPr>
        <w:t>Certificats de circulation des marchandises EUR.1 délivrés a posteriori</w:t>
      </w:r>
    </w:p>
    <w:p>
      <w:pPr>
        <w:pStyle w:val="Point1"/>
        <w:rPr>
          <w:noProof/>
        </w:rPr>
      </w:pPr>
      <w:r>
        <w:rPr>
          <w:noProof/>
        </w:rPr>
        <w:t>1.</w:t>
      </w:r>
      <w:r>
        <w:rPr>
          <w:noProof/>
        </w:rPr>
        <w:tab/>
        <w:t>Nonobstant l’article 20, paragraphe 8, un certificat de circulation des marchandises EUR.1 peut être délivré après l’exportation des produits auxquels il se rapporte:</w:t>
      </w:r>
    </w:p>
    <w:p>
      <w:pPr>
        <w:pStyle w:val="Point2"/>
        <w:rPr>
          <w:noProof/>
        </w:rPr>
      </w:pPr>
      <w:r>
        <w:rPr>
          <w:noProof/>
        </w:rPr>
        <w:t>a)</w:t>
      </w:r>
      <w:r>
        <w:rPr>
          <w:noProof/>
        </w:rPr>
        <w:tab/>
        <w:t>s’il n’a pas été délivré au moment de l’exportation par suite d’erreurs, d’omissions involontaires ou de circonstances particulières;</w:t>
      </w:r>
    </w:p>
    <w:p>
      <w:pPr>
        <w:pStyle w:val="Point2"/>
        <w:rPr>
          <w:noProof/>
        </w:rPr>
      </w:pPr>
      <w:r>
        <w:rPr>
          <w:noProof/>
        </w:rPr>
        <w:t>b)</w:t>
      </w:r>
      <w:r>
        <w:rPr>
          <w:noProof/>
        </w:rPr>
        <w:tab/>
        <w:t>s’il est démontré, à la satisfaction des autorités douanières, qu’un certificat de circulation des marchandises EUR.1 a été délivré, mais n’a pas été accepté à l’importation pour des raisons techniques;</w:t>
      </w:r>
    </w:p>
    <w:p>
      <w:pPr>
        <w:pStyle w:val="Point2"/>
        <w:rPr>
          <w:noProof/>
        </w:rPr>
      </w:pPr>
      <w:r>
        <w:rPr>
          <w:noProof/>
        </w:rPr>
        <w:t>c)</w:t>
      </w:r>
      <w:r>
        <w:rPr>
          <w:noProof/>
        </w:rPr>
        <w:tab/>
        <w:t>si la destination finale des produits concernés n’était pas connue au moment de l’exportation et a été déterminée au cours de leur transport ou entreposage et après un éventuel fractionnement de l’envoi, conformément à l’article 14, paragraphe 3; ou</w:t>
      </w:r>
    </w:p>
    <w:p>
      <w:pPr>
        <w:pStyle w:val="Point2"/>
        <w:rPr>
          <w:noProof/>
        </w:rPr>
      </w:pPr>
      <w:r>
        <w:rPr>
          <w:noProof/>
        </w:rPr>
        <w:t>d)</w:t>
      </w:r>
      <w:r>
        <w:rPr>
          <w:noProof/>
        </w:rPr>
        <w:tab/>
        <w:t>si un certificat de circulation des marchandises EUR.1 ou EUR.MED a été délivré conformément aux dispositions de la convention paneuro-méditerranéenne pour les produits qui sont également originaires conformément aux présentes règles. L’exportateur prend toutes les mesures nécessaires pour garantir que les conditions d’application du cumul sont remplies et être disposé à présenter aux autorités douanières tous les documents pertinents prouvant que le produit est originaire conformément aux présentes règles; ou</w:t>
      </w:r>
    </w:p>
    <w:p>
      <w:pPr>
        <w:pStyle w:val="Point2"/>
        <w:rPr>
          <w:noProof/>
        </w:rPr>
      </w:pPr>
      <w:r>
        <w:rPr>
          <w:noProof/>
        </w:rPr>
        <w:t>e)</w:t>
      </w:r>
      <w:r>
        <w:rPr>
          <w:noProof/>
        </w:rPr>
        <w:tab/>
        <w:t>un certificat de circulation des marchandises EUR.1 a été délivré sur la base de l’application de l’article 8, paragraphe 4, et l’application de l’article 8, paragraphe 3, est requise lors de l’importation dans une autre partie contractante.</w:t>
      </w:r>
    </w:p>
    <w:p>
      <w:pPr>
        <w:autoSpaceDE w:val="0"/>
        <w:autoSpaceDN w:val="0"/>
        <w:ind w:left="1134" w:firstLine="283"/>
        <w:rPr>
          <w:rFonts w:eastAsia="Times New Roman"/>
          <w:noProof/>
          <w:szCs w:val="24"/>
          <w:lang w:eastAsia="en-GB"/>
        </w:rPr>
      </w:pPr>
    </w:p>
    <w:p>
      <w:pPr>
        <w:pStyle w:val="Point1"/>
        <w:rPr>
          <w:noProof/>
        </w:rPr>
      </w:pPr>
      <w:r>
        <w:rPr>
          <w:noProof/>
        </w:rPr>
        <w:t>2.</w:t>
      </w:r>
      <w:r>
        <w:rPr>
          <w:noProof/>
        </w:rPr>
        <w:tab/>
        <w:t>Aux fins de l’application du paragraphe 1 du présent article, l’exportateur indique dans sa demande le lieu et la date de l’exportation des produits auxquels le certificat de circulation des marchandises EUR.1 se rapporte ainsi que les raisons de sa demande.</w:t>
      </w:r>
    </w:p>
    <w:p>
      <w:pPr>
        <w:pStyle w:val="Point1"/>
        <w:rPr>
          <w:noProof/>
        </w:rPr>
      </w:pPr>
      <w:r>
        <w:rPr>
          <w:noProof/>
        </w:rPr>
        <w:t>3.</w:t>
      </w:r>
      <w:r>
        <w:rPr>
          <w:noProof/>
        </w:rPr>
        <w:tab/>
        <w:t>Les autorités douanières peuvent délivrer un certificat de circulation des marchandises EUR.1 a posteriori dans un délai de deux ans à compter de la date de l’exportation, et ce uniquement après avoir vérifié si les indications contenues dans la demande de l’exportateur sont conformes à celles du dossier correspondant.</w:t>
      </w:r>
    </w:p>
    <w:p>
      <w:pPr>
        <w:pStyle w:val="Point1"/>
        <w:rPr>
          <w:noProof/>
        </w:rPr>
      </w:pPr>
      <w:r>
        <w:rPr>
          <w:noProof/>
        </w:rPr>
        <w:t xml:space="preserve">4. </w:t>
      </w:r>
      <w:r>
        <w:rPr>
          <w:noProof/>
        </w:rPr>
        <w:tab/>
        <w:t>Nonobstant l’article 20, paragraphe 3, les certificats de circulation des marchandises EUR.1 délivrés a posteriori sont revêtus de la mention suivante en anglais: “ISSUED RETROSPECTIVELY”.</w:t>
      </w:r>
    </w:p>
    <w:p>
      <w:pPr>
        <w:pStyle w:val="Point1"/>
        <w:rPr>
          <w:noProof/>
        </w:rPr>
      </w:pPr>
      <w:r>
        <w:rPr>
          <w:noProof/>
        </w:rPr>
        <w:t>5.</w:t>
      </w:r>
      <w:r>
        <w:rPr>
          <w:noProof/>
        </w:rPr>
        <w:tab/>
        <w:t>La mention visée au paragraphe 4 est apposée dans la case 7 du certificat de circulation des marchandises EUR.1.</w:t>
      </w:r>
    </w:p>
    <w:p>
      <w:pPr>
        <w:pStyle w:val="Text1"/>
        <w:jc w:val="center"/>
        <w:rPr>
          <w:i/>
          <w:noProof/>
        </w:rPr>
      </w:pPr>
      <w:r>
        <w:rPr>
          <w:i/>
          <w:noProof/>
        </w:rPr>
        <w:t xml:space="preserve">Article 22 </w:t>
      </w:r>
      <w:r>
        <w:rPr>
          <w:noProof/>
        </w:rPr>
        <w:br/>
      </w:r>
      <w:r>
        <w:rPr>
          <w:b/>
          <w:noProof/>
        </w:rPr>
        <w:t>Délivrance d’un duplicata du certificat de circulation des marchandises EUR.1</w:t>
      </w:r>
    </w:p>
    <w:p>
      <w:pPr>
        <w:pStyle w:val="Point1"/>
        <w:rPr>
          <w:noProof/>
        </w:rPr>
      </w:pPr>
      <w:r>
        <w:rPr>
          <w:noProof/>
        </w:rPr>
        <w:t>1.</w:t>
      </w:r>
      <w:r>
        <w:rPr>
          <w:noProof/>
        </w:rPr>
        <w:tab/>
        <w:t>En cas de vol, de perte ou de destruction d’un certificat de circulation des marchandises EUR.1, l’exportateur peut réclamer un duplicata aux autorités douanières qui l’ont délivré sur la base des documents d’exportation qui sont en leur possession.</w:t>
      </w:r>
    </w:p>
    <w:p>
      <w:pPr>
        <w:pStyle w:val="Point1"/>
        <w:rPr>
          <w:noProof/>
        </w:rPr>
      </w:pPr>
      <w:r>
        <w:rPr>
          <w:noProof/>
        </w:rPr>
        <w:t xml:space="preserve">2. </w:t>
      </w:r>
      <w:r>
        <w:rPr>
          <w:noProof/>
        </w:rPr>
        <w:tab/>
        <w:t>Nonobstant l’article 20, paragraphe 3, le duplicata délivré conformément au paragraphe 1 du présent article est revêtu de la mention suivante en anglais: “DUPLICATE”.</w:t>
      </w:r>
    </w:p>
    <w:p>
      <w:pPr>
        <w:pStyle w:val="Point1"/>
        <w:rPr>
          <w:noProof/>
        </w:rPr>
      </w:pPr>
      <w:r>
        <w:rPr>
          <w:noProof/>
        </w:rPr>
        <w:t>3.</w:t>
      </w:r>
      <w:r>
        <w:rPr>
          <w:noProof/>
        </w:rPr>
        <w:tab/>
        <w:t>La mention visée au paragraphe 2 est apposée dans la case 7 du duplicata du certificat de circulation des marchandises EUR.1.</w:t>
      </w:r>
    </w:p>
    <w:p>
      <w:pPr>
        <w:pStyle w:val="Point1"/>
        <w:rPr>
          <w:noProof/>
        </w:rPr>
      </w:pPr>
      <w:r>
        <w:rPr>
          <w:noProof/>
        </w:rPr>
        <w:t>4.</w:t>
      </w:r>
      <w:r>
        <w:rPr>
          <w:noProof/>
        </w:rPr>
        <w:tab/>
        <w:t>Le duplicata, sur lequel doit être reproduite la date de délivrance du certificat de circulation des marchandises EUR.1 original, prend effet à cette date.</w:t>
      </w:r>
    </w:p>
    <w:p>
      <w:pPr>
        <w:pStyle w:val="Point1"/>
        <w:jc w:val="center"/>
        <w:rPr>
          <w:i/>
          <w:noProof/>
        </w:rPr>
      </w:pPr>
      <w:r>
        <w:rPr>
          <w:i/>
          <w:noProof/>
        </w:rPr>
        <w:t>Article 23</w:t>
      </w:r>
      <w:r>
        <w:rPr>
          <w:noProof/>
        </w:rPr>
        <w:t xml:space="preserve"> </w:t>
      </w:r>
      <w:r>
        <w:rPr>
          <w:noProof/>
        </w:rPr>
        <w:br/>
      </w:r>
      <w:r>
        <w:rPr>
          <w:b/>
          <w:noProof/>
        </w:rPr>
        <w:t>Validité de la preuve de l’origine</w:t>
      </w:r>
    </w:p>
    <w:p>
      <w:pPr>
        <w:pStyle w:val="Point1"/>
        <w:rPr>
          <w:noProof/>
        </w:rPr>
      </w:pPr>
      <w:r>
        <w:rPr>
          <w:noProof/>
        </w:rPr>
        <w:t>1.</w:t>
      </w:r>
      <w:r>
        <w:rPr>
          <w:noProof/>
        </w:rPr>
        <w:tab/>
        <w:t>Une preuve de l’origine est valable pendant dix mois à compter de la date de délivrance ou d’établissement dans la partie exportatrice et doit être présentée dans ce même délai aux autorités douanières de la partie importatrice.</w:t>
      </w:r>
    </w:p>
    <w:p>
      <w:pPr>
        <w:pStyle w:val="Point1"/>
        <w:rPr>
          <w:noProof/>
        </w:rPr>
      </w:pPr>
      <w:r>
        <w:rPr>
          <w:noProof/>
        </w:rPr>
        <w:t>2.</w:t>
      </w:r>
      <w:r>
        <w:rPr>
          <w:noProof/>
        </w:rPr>
        <w:tab/>
        <w:t>Les preuves de l’origine qui sont présentées aux autorités douanières de la partie importatrice après la période de validité visée au paragraphe 1 peuvent être acceptées aux fins de l’application de préférences tarifaires lorsque le non-respect de la date limite de présentation de ces documents est dû à des circonstances exceptionnelles.</w:t>
      </w:r>
    </w:p>
    <w:p>
      <w:pPr>
        <w:pStyle w:val="Point1"/>
        <w:rPr>
          <w:noProof/>
        </w:rPr>
      </w:pPr>
      <w:r>
        <w:rPr>
          <w:noProof/>
        </w:rPr>
        <w:t>3.</w:t>
      </w:r>
      <w:r>
        <w:rPr>
          <w:noProof/>
        </w:rPr>
        <w:tab/>
        <w:t>Dans les autres cas de présentation tardive, les autorités douanières de la partie importatrice peuvent accepter les preuves de l’origine lorsque les produits leur ont été présentés avant l’expiration de cette date limite.</w:t>
      </w:r>
    </w:p>
    <w:p>
      <w:pPr>
        <w:pStyle w:val="Text1"/>
        <w:jc w:val="center"/>
        <w:rPr>
          <w:i/>
          <w:noProof/>
        </w:rPr>
      </w:pPr>
      <w:r>
        <w:rPr>
          <w:i/>
          <w:noProof/>
        </w:rPr>
        <w:t>Article 24</w:t>
      </w:r>
      <w:r>
        <w:rPr>
          <w:noProof/>
        </w:rPr>
        <w:t xml:space="preserve"> </w:t>
      </w:r>
      <w:r>
        <w:rPr>
          <w:noProof/>
        </w:rPr>
        <w:br/>
      </w:r>
      <w:r>
        <w:rPr>
          <w:b/>
          <w:iCs/>
          <w:noProof/>
        </w:rPr>
        <w:t>Zones franches</w:t>
      </w:r>
    </w:p>
    <w:p>
      <w:pPr>
        <w:pStyle w:val="Point1"/>
        <w:rPr>
          <w:noProof/>
        </w:rPr>
      </w:pPr>
      <w:r>
        <w:rPr>
          <w:noProof/>
        </w:rPr>
        <w:t>1.</w:t>
      </w:r>
      <w:r>
        <w:rPr>
          <w:noProof/>
        </w:rPr>
        <w:tab/>
        <w:t>Les parties prennent toutes les mesures nécessaires pour garantir que les produits qui sont échangés sous le couvert d’une preuve de l’origine et qui séjournent, au cours de leur transport, dans une zone franche située sur leur territoire n’y fassent pas l’objet de substitutions ou de manipulations autres que les manipulations usuelles destinées à prévenir leur détérioration.</w:t>
      </w:r>
    </w:p>
    <w:p>
      <w:pPr>
        <w:pStyle w:val="Point1"/>
        <w:rPr>
          <w:noProof/>
        </w:rPr>
      </w:pPr>
      <w:r>
        <w:rPr>
          <w:noProof/>
        </w:rPr>
        <w:t>2.</w:t>
      </w:r>
      <w:r>
        <w:rPr>
          <w:noProof/>
        </w:rPr>
        <w:tab/>
        <w:t>Par dérogation au paragraphe 1, lorsque des produits originaires d’une partie contractante appliquant les règles sont importés dans une zone franche sous le couvert d’une preuve de l’origine et subissent un traitement ou une transformation, une nouvelle preuve de l’origine peut être délivrée ou établie, si le traitement ou la transformation subie est conforme aux dispositions des présentes règles.</w:t>
      </w:r>
    </w:p>
    <w:p>
      <w:pPr>
        <w:pStyle w:val="Point1"/>
        <w:rPr>
          <w:noProof/>
        </w:rPr>
      </w:pPr>
    </w:p>
    <w:p>
      <w:pPr>
        <w:pStyle w:val="Point1"/>
        <w:rPr>
          <w:noProof/>
        </w:rPr>
      </w:pPr>
    </w:p>
    <w:p>
      <w:pPr>
        <w:pStyle w:val="Point1"/>
        <w:rPr>
          <w:noProof/>
        </w:rPr>
      </w:pPr>
    </w:p>
    <w:p>
      <w:pPr>
        <w:pStyle w:val="Text1"/>
        <w:jc w:val="center"/>
        <w:rPr>
          <w:i/>
          <w:noProof/>
        </w:rPr>
      </w:pPr>
      <w:r>
        <w:rPr>
          <w:i/>
          <w:noProof/>
        </w:rPr>
        <w:t>Article 25</w:t>
      </w:r>
      <w:r>
        <w:rPr>
          <w:noProof/>
        </w:rPr>
        <w:t xml:space="preserve"> </w:t>
      </w:r>
      <w:r>
        <w:rPr>
          <w:noProof/>
        </w:rPr>
        <w:br/>
      </w:r>
      <w:r>
        <w:rPr>
          <w:b/>
          <w:noProof/>
        </w:rPr>
        <w:t>Exigences à l’importation</w:t>
      </w:r>
    </w:p>
    <w:p>
      <w:pPr>
        <w:pStyle w:val="Text1"/>
        <w:rPr>
          <w:noProof/>
        </w:rPr>
      </w:pPr>
      <w:r>
        <w:rPr>
          <w:noProof/>
        </w:rPr>
        <w:t>Les preuves de l’origine sont présentées aux autorités douanières de la partie importatrice conformément aux procédures applicables dans cette partie.</w:t>
      </w:r>
    </w:p>
    <w:p>
      <w:pPr>
        <w:pStyle w:val="Text1"/>
        <w:jc w:val="center"/>
        <w:rPr>
          <w:i/>
          <w:noProof/>
        </w:rPr>
      </w:pPr>
      <w:r>
        <w:rPr>
          <w:i/>
          <w:noProof/>
        </w:rPr>
        <w:t>Article 26</w:t>
      </w:r>
      <w:r>
        <w:rPr>
          <w:noProof/>
        </w:rPr>
        <w:t xml:space="preserve"> </w:t>
      </w:r>
      <w:r>
        <w:rPr>
          <w:noProof/>
        </w:rPr>
        <w:br/>
      </w:r>
      <w:r>
        <w:rPr>
          <w:b/>
          <w:noProof/>
        </w:rPr>
        <w:t>Importation par envois échelonnés</w:t>
      </w:r>
    </w:p>
    <w:p>
      <w:pPr>
        <w:pStyle w:val="Text1"/>
        <w:rPr>
          <w:noProof/>
        </w:rPr>
      </w:pPr>
      <w:r>
        <w:rPr>
          <w:noProof/>
        </w:rPr>
        <w:t>Lorsque, à la demande de l’importateur et en fonction des conditions fixées par les autorités douanières de la partie importatrice, des produits démontés ou non montés, au sens de la règle générale nº 2 a) pour l’interprétation du système harmonisé, relevant des sections XVI et XVII ou des nº</w:t>
      </w:r>
      <w:r>
        <w:rPr>
          <w:noProof/>
          <w:vertAlign w:val="superscript"/>
        </w:rPr>
        <w:t>s</w:t>
      </w:r>
      <w:r>
        <w:rPr>
          <w:noProof/>
        </w:rPr>
        <w:t> 7308 et 9406 sont importés par envois échelonnés, une seule preuve de l’origine pour ces produits est produite aux autorités douanières lors de l’importation du premier envoi.</w:t>
      </w:r>
    </w:p>
    <w:p>
      <w:pPr>
        <w:pStyle w:val="Text1"/>
        <w:ind w:left="1440"/>
        <w:jc w:val="center"/>
        <w:rPr>
          <w:i/>
          <w:noProof/>
        </w:rPr>
      </w:pPr>
      <w:r>
        <w:rPr>
          <w:i/>
          <w:noProof/>
        </w:rPr>
        <w:t>Article 27</w:t>
      </w:r>
      <w:r>
        <w:rPr>
          <w:noProof/>
        </w:rPr>
        <w:t xml:space="preserve"> </w:t>
      </w:r>
      <w:r>
        <w:rPr>
          <w:noProof/>
        </w:rPr>
        <w:br/>
      </w:r>
      <w:r>
        <w:rPr>
          <w:b/>
          <w:noProof/>
        </w:rPr>
        <w:t>Exemption de la preuve de l’origine</w:t>
      </w:r>
    </w:p>
    <w:p>
      <w:pPr>
        <w:pStyle w:val="Point1"/>
        <w:rPr>
          <w:noProof/>
        </w:rPr>
      </w:pPr>
      <w:r>
        <w:rPr>
          <w:noProof/>
        </w:rPr>
        <w:t>1.</w:t>
      </w:r>
      <w:r>
        <w:rPr>
          <w:noProof/>
        </w:rPr>
        <w:tab/>
        <w:t>Sont admis comme produits originaires, sans qu’il y ait lieu de produire une preuve de l’origine, les produits qui font l’objet de petits envois adressés à des particuliers par des particuliers ou qui sont contenus dans les bagages personnels des voyageurs, pour autant qu’il s’agisse d’importations dépourvues de tout caractère commercial, dès lors qu’elles sont déclarées comme répondant aux conditions des présentes règles et qu’il n’existe aucun doute quant à la sincérité d’une telle déclaration.</w:t>
      </w:r>
    </w:p>
    <w:p>
      <w:pPr>
        <w:pStyle w:val="Point1"/>
        <w:rPr>
          <w:noProof/>
        </w:rPr>
      </w:pPr>
      <w:r>
        <w:rPr>
          <w:noProof/>
        </w:rPr>
        <w:t>2.</w:t>
      </w:r>
      <w:r>
        <w:rPr>
          <w:noProof/>
        </w:rPr>
        <w:tab/>
        <w:t>Sont considérées comme dépourvues de tout caractère commercial les importations qui satisfont à toutes les conditions suivantes:</w:t>
      </w:r>
    </w:p>
    <w:p>
      <w:pPr>
        <w:pStyle w:val="Point2"/>
        <w:rPr>
          <w:noProof/>
        </w:rPr>
      </w:pPr>
      <w:r>
        <w:rPr>
          <w:noProof/>
        </w:rPr>
        <w:t>a)</w:t>
      </w:r>
      <w:r>
        <w:rPr>
          <w:noProof/>
        </w:rPr>
        <w:tab/>
        <w:t>elles présentent un caractère occasionnel;</w:t>
      </w:r>
    </w:p>
    <w:p>
      <w:pPr>
        <w:pStyle w:val="Point2"/>
        <w:rPr>
          <w:noProof/>
        </w:rPr>
      </w:pPr>
      <w:r>
        <w:rPr>
          <w:noProof/>
        </w:rPr>
        <w:t>b)</w:t>
      </w:r>
      <w:r>
        <w:rPr>
          <w:noProof/>
        </w:rPr>
        <w:tab/>
        <w:t>elles portent uniquement sur des produits réservés à l’usage personnel des destinataires, des voyageurs ou de leurs familles;</w:t>
      </w:r>
    </w:p>
    <w:p>
      <w:pPr>
        <w:pStyle w:val="Point2"/>
        <w:rPr>
          <w:noProof/>
        </w:rPr>
      </w:pPr>
      <w:r>
        <w:rPr>
          <w:noProof/>
        </w:rPr>
        <w:t>c)</w:t>
      </w:r>
      <w:r>
        <w:rPr>
          <w:noProof/>
        </w:rPr>
        <w:tab/>
        <w:t>par la nature et la quantité des produits concernés, elles ne font de toute évidence l’objet d’aucune opération de type commercial.</w:t>
      </w:r>
    </w:p>
    <w:p>
      <w:pPr>
        <w:pStyle w:val="Point1"/>
        <w:rPr>
          <w:noProof/>
        </w:rPr>
      </w:pPr>
      <w:r>
        <w:rPr>
          <w:noProof/>
        </w:rPr>
        <w:t>3.</w:t>
      </w:r>
      <w:r>
        <w:rPr>
          <w:noProof/>
        </w:rPr>
        <w:tab/>
        <w:t>La valeur globale de ces produits ne peut pas excéder 500 EUR en ce qui concerne les petits envois ou 1 200 EUR dans le cas de produits faisant partie des bagages personnels des voyageurs.</w:t>
      </w:r>
    </w:p>
    <w:p>
      <w:pPr>
        <w:pStyle w:val="Point1"/>
        <w:jc w:val="center"/>
        <w:rPr>
          <w:i/>
          <w:noProof/>
        </w:rPr>
      </w:pPr>
      <w:r>
        <w:rPr>
          <w:i/>
          <w:noProof/>
        </w:rPr>
        <w:t>Article 28</w:t>
      </w:r>
      <w:r>
        <w:rPr>
          <w:noProof/>
        </w:rPr>
        <w:t xml:space="preserve"> </w:t>
      </w:r>
      <w:r>
        <w:rPr>
          <w:noProof/>
        </w:rPr>
        <w:br/>
      </w:r>
      <w:r>
        <w:rPr>
          <w:b/>
          <w:noProof/>
        </w:rPr>
        <w:t>Discordances et erreurs formelles</w:t>
      </w:r>
    </w:p>
    <w:p>
      <w:pPr>
        <w:pStyle w:val="Point1"/>
        <w:rPr>
          <w:noProof/>
        </w:rPr>
      </w:pPr>
      <w:r>
        <w:rPr>
          <w:noProof/>
        </w:rPr>
        <w:t>1.</w:t>
      </w:r>
      <w:r>
        <w:rPr>
          <w:noProof/>
        </w:rPr>
        <w:tab/>
        <w:t>La constatation de légères discordances entre les mentions portées sur une preuve de l’origine et celles portées sur les documents produits au bureau de douane en vue de l’accomplissement des formalités d’importation des produits n’entraîne pas ipso facto la non-validité de la preuve de l’origine, s’il est dûment établi que ce document correspond aux produits présentés.</w:t>
      </w:r>
    </w:p>
    <w:p>
      <w:pPr>
        <w:pStyle w:val="Point1"/>
        <w:rPr>
          <w:noProof/>
        </w:rPr>
      </w:pPr>
      <w:r>
        <w:rPr>
          <w:noProof/>
        </w:rPr>
        <w:t>2.</w:t>
      </w:r>
      <w:r>
        <w:rPr>
          <w:noProof/>
        </w:rPr>
        <w:tab/>
        <w:t>Les erreurs formelles manifestes telles que les fautes de frappe dans une preuve de l’origine n’entraînent pas le refus des documents visés au paragraphe 1 du présent article si ces erreurs ne sont pas de nature à mettre en doute l’exactitude des déclarations contenues dans ces documents.</w:t>
      </w:r>
    </w:p>
    <w:p>
      <w:pPr>
        <w:pStyle w:val="Text1"/>
        <w:jc w:val="center"/>
        <w:rPr>
          <w:i/>
          <w:noProof/>
        </w:rPr>
      </w:pPr>
      <w:r>
        <w:rPr>
          <w:i/>
          <w:noProof/>
        </w:rPr>
        <w:t>Article 29</w:t>
      </w:r>
      <w:r>
        <w:rPr>
          <w:noProof/>
        </w:rPr>
        <w:t xml:space="preserve"> </w:t>
      </w:r>
      <w:r>
        <w:rPr>
          <w:noProof/>
        </w:rPr>
        <w:br/>
      </w:r>
      <w:r>
        <w:rPr>
          <w:b/>
          <w:noProof/>
        </w:rPr>
        <w:t>Déclarations du fournisseur</w:t>
      </w:r>
    </w:p>
    <w:p>
      <w:pPr>
        <w:pStyle w:val="Point1"/>
        <w:rPr>
          <w:noProof/>
        </w:rPr>
      </w:pPr>
      <w:r>
        <w:rPr>
          <w:noProof/>
        </w:rPr>
        <w:t>1.</w:t>
      </w:r>
      <w:r>
        <w:rPr>
          <w:noProof/>
        </w:rPr>
        <w:tab/>
        <w:t>Lorsqu’un certificat de circulation des marchandises EUR.1 est délivré ou qu’une déclaration d’origine est établie, dans l’une des parties, pour des produits originaires dont la fabrication met en œuvre, conformément à l’article 7, paragraphes 3 ou 4, des marchandises provenant d’une autre partie contractante appliquant les règles et y ayant subi une ouvraison ou transformation sans avoir acquis le caractère originaire à titre préférentiel, il est tenu compte de la déclaration du fournisseur concernant ces marchandises conformément aux dispositions du présent article.</w:t>
      </w:r>
    </w:p>
    <w:p>
      <w:pPr>
        <w:pStyle w:val="Point1"/>
        <w:rPr>
          <w:noProof/>
        </w:rPr>
      </w:pPr>
      <w:r>
        <w:rPr>
          <w:noProof/>
        </w:rPr>
        <w:t>2.</w:t>
      </w:r>
      <w:r>
        <w:rPr>
          <w:noProof/>
        </w:rPr>
        <w:tab/>
        <w:t>La déclaration du fournisseur visée au paragraphe 1 sert de preuve de l’ouvraison ou de la transformation subie dans une partie contractante appliquant les règles par les marchandises concernées pour déterminer si les produits dont la fabrication met en œuvre ces marchandises peuvent être considérés comme des produits originaires de la partie exportatrice et remplissent les autres conditions prévues par les présentes règles.</w:t>
      </w:r>
    </w:p>
    <w:p>
      <w:pPr>
        <w:pStyle w:val="Point1"/>
        <w:rPr>
          <w:noProof/>
        </w:rPr>
      </w:pPr>
      <w:r>
        <w:rPr>
          <w:noProof/>
        </w:rPr>
        <w:t>3.</w:t>
      </w:r>
      <w:r>
        <w:rPr>
          <w:noProof/>
        </w:rPr>
        <w:tab/>
        <w:t>Sauf dans les cas prévus au paragraphe 4, une déclaration distincte du fournisseur doit être établie par le fournisseur pour chaque envoi de marchandises, sous la forme prévue à l’annexe VI, sur une feuille annexée à la facture, au bon de livraison ou à tout autre document commercial désignant les marchandises en cause avec suffisamment de détails pour permettre leur identification.</w:t>
      </w:r>
    </w:p>
    <w:p>
      <w:pPr>
        <w:pStyle w:val="Point1"/>
        <w:rPr>
          <w:noProof/>
        </w:rPr>
      </w:pPr>
      <w:r>
        <w:rPr>
          <w:noProof/>
        </w:rPr>
        <w:t>4.</w:t>
      </w:r>
      <w:r>
        <w:rPr>
          <w:noProof/>
        </w:rPr>
        <w:tab/>
        <w:t>Lorsqu’un fournisseur livre régulièrement à un client donné des marchandises pour lesquelles l’ouvraison ou la transformation subie dans une partie contractante appliquant les règles est censée rester constante pour une période donnée, il peut remettre une déclaration du fournisseur unique pour couvrir les envois ultérieurs desdites marchandises (la “déclaration à long terme du fournisseur”). Une déclaration à long terme du fournisseur peut normalement être valable pour une période d’une durée maximale de deux ans à compter de la date d’établissement de la déclaration. Les autorités douanières de la partie contractante appliquant les règles où la déclaration est établie fixent les conditions dans lesquelles des périodes de validité plus longues sont admises. La déclaration à long terme du fournisseur est établie par ce dernier selon la forme prévue à l’annexe VII et désigne les marchandises en cause avec suffisamment de détails pour permettre leur identification. Elle est fournie au client concerné avant le premier envoi des marchandises qu’elle couvre ou au moment de ce premier envoi. Le fournisseur informe immédiatement son client lorsque la déclaration à long terme n’est plus valable pour les marchandises livrées.</w:t>
      </w:r>
    </w:p>
    <w:p>
      <w:pPr>
        <w:pStyle w:val="Point1"/>
        <w:rPr>
          <w:noProof/>
        </w:rPr>
      </w:pPr>
      <w:r>
        <w:rPr>
          <w:noProof/>
        </w:rPr>
        <w:t>5.</w:t>
      </w:r>
      <w:r>
        <w:rPr>
          <w:noProof/>
        </w:rPr>
        <w:tab/>
        <w:t>La déclaration du fournisseur visée aux paragraphes 3 et 4 du présent article est dactylographiée ou imprimée dans l’une des langues de l’accord, conformément au droit interne de la partie contractante appliquant les règles où la déclaration est établie, et porte la signature manuscrite originale du fournisseur. Elle peut aussi être établie à la main; dans ce cas, elle est écrite à l’encre en caractères d’imprimerie.</w:t>
      </w:r>
    </w:p>
    <w:p>
      <w:pPr>
        <w:pStyle w:val="Point1"/>
        <w:rPr>
          <w:noProof/>
        </w:rPr>
      </w:pPr>
      <w:r>
        <w:rPr>
          <w:noProof/>
        </w:rPr>
        <w:t>6.</w:t>
      </w:r>
      <w:r>
        <w:rPr>
          <w:noProof/>
        </w:rPr>
        <w:tab/>
        <w:t>Le fournisseur qui établit une déclaration doit pouvoir produire à tout moment, à la demande des autorités douanières de la partie contractante appliquant les règles dans lequel la déclaration est établie, tous les documents appropriés établissant que les informations contenues dans cette déclaration sont correctes.</w:t>
      </w:r>
    </w:p>
    <w:p>
      <w:pPr>
        <w:pStyle w:val="Text1"/>
        <w:jc w:val="center"/>
        <w:rPr>
          <w:i/>
          <w:noProof/>
        </w:rPr>
      </w:pPr>
      <w:r>
        <w:rPr>
          <w:i/>
          <w:noProof/>
        </w:rPr>
        <w:t>Article 30</w:t>
      </w:r>
      <w:r>
        <w:rPr>
          <w:noProof/>
        </w:rPr>
        <w:t xml:space="preserve"> </w:t>
      </w:r>
      <w:r>
        <w:rPr>
          <w:noProof/>
        </w:rPr>
        <w:br/>
      </w:r>
      <w:r>
        <w:rPr>
          <w:b/>
          <w:noProof/>
        </w:rPr>
        <w:t>Montants exprimés en euros</w:t>
      </w:r>
    </w:p>
    <w:p>
      <w:pPr>
        <w:pStyle w:val="Point1"/>
        <w:rPr>
          <w:noProof/>
        </w:rPr>
      </w:pPr>
      <w:r>
        <w:rPr>
          <w:noProof/>
        </w:rPr>
        <w:t>1.</w:t>
      </w:r>
      <w:r>
        <w:rPr>
          <w:noProof/>
        </w:rPr>
        <w:tab/>
        <w:t>Aux fins de l’application de l’article 18, paragraphe 1, point b), et de l’article 27, paragraphe 3, lorsque les produits sont facturés dans une monnaie autre que l’euro, les montants exprimés dans la monnaie nationale des parties équivalents aux montants en euros sont fixés annuellement par chacun des pays concernés.</w:t>
      </w:r>
    </w:p>
    <w:p>
      <w:pPr>
        <w:pStyle w:val="Point1"/>
        <w:rPr>
          <w:noProof/>
        </w:rPr>
      </w:pPr>
      <w:r>
        <w:rPr>
          <w:noProof/>
        </w:rPr>
        <w:t>2.</w:t>
      </w:r>
      <w:r>
        <w:rPr>
          <w:noProof/>
        </w:rPr>
        <w:tab/>
        <w:t>Un envoi bénéficie de l’article 18, paragraphe 1, point b), ou de l’article 27, paragraphe 3, sur la base de la monnaie dans laquelle la facture est libellée, selon le montant fixé par le pays concerné.</w:t>
      </w:r>
    </w:p>
    <w:p>
      <w:pPr>
        <w:pStyle w:val="Point1"/>
        <w:rPr>
          <w:noProof/>
        </w:rPr>
      </w:pPr>
      <w:r>
        <w:rPr>
          <w:noProof/>
        </w:rPr>
        <w:t>3.</w:t>
      </w:r>
      <w:r>
        <w:rPr>
          <w:noProof/>
        </w:rPr>
        <w:tab/>
        <w:t>Les montants à utiliser dans une monnaie nationale donnée sont la contre-valeur dans cette monnaie des montants exprimés en euros au premier jour ouvrable du mois d’octobre. Ces montants sont communiqués à la Commission européenne au plus tard le 15 octobre et sont appliqués à dater du 1</w:t>
      </w:r>
      <w:r>
        <w:rPr>
          <w:noProof/>
          <w:vertAlign w:val="superscript"/>
        </w:rPr>
        <w:t>er</w:t>
      </w:r>
      <w:r>
        <w:rPr>
          <w:noProof/>
        </w:rPr>
        <w:t> janvier de l’année suivante. La Commission européenne notifie les montants considérés à tous les pays concernés.</w:t>
      </w:r>
    </w:p>
    <w:p>
      <w:pPr>
        <w:pStyle w:val="Point1"/>
        <w:rPr>
          <w:noProof/>
        </w:rPr>
      </w:pPr>
      <w:r>
        <w:rPr>
          <w:noProof/>
        </w:rPr>
        <w:t>4.</w:t>
      </w:r>
      <w:r>
        <w:rPr>
          <w:noProof/>
        </w:rPr>
        <w:tab/>
        <w:t>Une partie peut arrondir au niveau supérieur ou inférieur le montant résultant de la conversion dans sa monnaie nationale d’un montant exprimé en euros. Le montant arrondi ne peut différer de plus de 5 % du montant résultant de la conversion. Une partie peut maintenir inchangée la contre-valeur dans sa monnaie nationale d’un montant exprimé en euros si, au moment de l’adaptation annuelle prévue au paragraphe 3, la conversion de ce montant se traduit, avant toute opération d’arrondissement, par une augmentation de moins de 15 % de sa contre-valeur en monnaie nationale. La contre-valeur en monnaie nationale peut être maintenue inchangée si la conversion se traduit par une diminution de cette contre-valeur.</w:t>
      </w:r>
    </w:p>
    <w:p>
      <w:pPr>
        <w:pStyle w:val="Point1"/>
        <w:rPr>
          <w:noProof/>
        </w:rPr>
      </w:pPr>
      <w:r>
        <w:rPr>
          <w:noProof/>
        </w:rPr>
        <w:t>5.</w:t>
      </w:r>
      <w:r>
        <w:rPr>
          <w:noProof/>
        </w:rPr>
        <w:tab/>
        <w:t>Les montants exprimés en euros font l’objet d’un réexamen par le conseil de stabilisation et d’association à la demande d’une partie. Lors de ce réexamen, le conseil de stabilisation et d’association examine l’opportunité de préserver les effets des limites concernées en termes réels. À cette fin, il est habilité à décider de modifier les montants exprimés en euros.</w:t>
      </w:r>
    </w:p>
    <w:p>
      <w:pPr>
        <w:pStyle w:val="Point1"/>
        <w:rPr>
          <w:noProof/>
        </w:rPr>
      </w:pPr>
    </w:p>
    <w:p>
      <w:pPr>
        <w:pStyle w:val="Point1"/>
        <w:jc w:val="center"/>
        <w:rPr>
          <w:b/>
          <w:noProof/>
        </w:rPr>
      </w:pPr>
      <w:r>
        <w:rPr>
          <w:noProof/>
        </w:rPr>
        <w:t xml:space="preserve">TITRE VI </w:t>
      </w:r>
      <w:r>
        <w:rPr>
          <w:noProof/>
        </w:rPr>
        <w:br/>
      </w:r>
      <w:r>
        <w:rPr>
          <w:b/>
          <w:noProof/>
        </w:rPr>
        <w:t>PRINCIPES DE COOPÉRATION ET PIÈCES JUSTIFICATIVES</w:t>
      </w:r>
    </w:p>
    <w:p>
      <w:pPr>
        <w:pStyle w:val="Text1"/>
        <w:jc w:val="center"/>
        <w:rPr>
          <w:i/>
          <w:noProof/>
        </w:rPr>
      </w:pPr>
      <w:r>
        <w:rPr>
          <w:i/>
          <w:noProof/>
        </w:rPr>
        <w:t>Article 31</w:t>
      </w:r>
      <w:r>
        <w:rPr>
          <w:noProof/>
        </w:rPr>
        <w:t xml:space="preserve"> </w:t>
      </w:r>
      <w:r>
        <w:rPr>
          <w:noProof/>
        </w:rPr>
        <w:br/>
      </w:r>
      <w:r>
        <w:rPr>
          <w:b/>
          <w:noProof/>
        </w:rPr>
        <w:t>Pièces justificatives, conservation des preuves de l’origine et des documents probants</w:t>
      </w:r>
    </w:p>
    <w:p>
      <w:pPr>
        <w:pStyle w:val="Point1"/>
        <w:rPr>
          <w:noProof/>
        </w:rPr>
      </w:pPr>
      <w:r>
        <w:rPr>
          <w:noProof/>
        </w:rPr>
        <w:t>1.</w:t>
      </w:r>
      <w:r>
        <w:rPr>
          <w:noProof/>
        </w:rPr>
        <w:tab/>
        <w:t>L’exportateur qui a établi une déclaration d’origine ou a demandé un certificat de circulation des marchandises EUR.1 doit conserver une copie papier ou une version électronique de ces preuves de l’origine ainsi que tous les documents étayant le caractère originaire du produit, pendant un délai d’au moins trois ans à compter de la date de la délivrance ou de l’établissement de la déclaration d’origine.</w:t>
      </w:r>
    </w:p>
    <w:p>
      <w:pPr>
        <w:pStyle w:val="Point1"/>
        <w:rPr>
          <w:noProof/>
        </w:rPr>
      </w:pPr>
      <w:r>
        <w:rPr>
          <w:noProof/>
        </w:rPr>
        <w:t>2.</w:t>
      </w:r>
      <w:r>
        <w:rPr>
          <w:noProof/>
        </w:rPr>
        <w:tab/>
        <w:t>Le fournisseur établissant une déclaration du fournisseur doit conserver une copie de la déclaration et de l’ensemble des factures, bons de livraison ou autres documents commerciaux auxquels cette déclaration est annexée, de même que les documents visés à l’article 29, paragraphe 6, pendant un délai d’au moins trois ans.</w:t>
      </w:r>
    </w:p>
    <w:p>
      <w:pPr>
        <w:pStyle w:val="Text2"/>
        <w:rPr>
          <w:noProof/>
        </w:rPr>
      </w:pPr>
      <w:r>
        <w:rPr>
          <w:noProof/>
        </w:rPr>
        <w:t>Le fournisseur établissant une déclaration à long terme du fournisseur doit conserver une copie de la déclaration et de l’ensemble des factures, bons de livraison ou autres documents commerciaux afférents aux marchandises couvertes par cette déclaration adressés au client concerné, de même que les documents visés à l’article 29, paragraphe 6, pendant un délai d’au moins trois ans. Ce délai commence à courir à compter de la date d’expiration de la validité de la déclaration à long terme du fournisseur.</w:t>
      </w:r>
    </w:p>
    <w:p>
      <w:pPr>
        <w:pStyle w:val="Point1"/>
        <w:rPr>
          <w:noProof/>
        </w:rPr>
      </w:pPr>
      <w:r>
        <w:rPr>
          <w:noProof/>
        </w:rPr>
        <w:t>3.</w:t>
      </w:r>
      <w:r>
        <w:rPr>
          <w:noProof/>
        </w:rPr>
        <w:tab/>
        <w:t>Aux fins du paragraphe 1 du présent article, les documents étayant le caractère originaire sont, entre autres, les éléments suivants:</w:t>
      </w:r>
    </w:p>
    <w:p>
      <w:pPr>
        <w:pStyle w:val="Point2"/>
        <w:rPr>
          <w:noProof/>
        </w:rPr>
      </w:pPr>
      <w:r>
        <w:rPr>
          <w:noProof/>
        </w:rPr>
        <w:t>a)</w:t>
      </w:r>
      <w:r>
        <w:rPr>
          <w:noProof/>
        </w:rPr>
        <w:tab/>
        <w:t>preuve directe des opérations effectuées par l’exportateur ou le fournisseur afin d’obtenir le produit, contenue, par exemple, dans ses comptes ou sa comptabilité interne;</w:t>
      </w:r>
    </w:p>
    <w:p>
      <w:pPr>
        <w:pStyle w:val="Point2"/>
        <w:rPr>
          <w:noProof/>
        </w:rPr>
      </w:pPr>
      <w:r>
        <w:rPr>
          <w:noProof/>
        </w:rPr>
        <w:t>b)</w:t>
      </w:r>
      <w:r>
        <w:rPr>
          <w:noProof/>
        </w:rPr>
        <w:tab/>
        <w:t>documents établissant le caractère originaire des matières mises en œuvre, délivrés ou établis dans la partie contractante appliquant les règles concernée conformément à sa législation nationale;</w:t>
      </w:r>
    </w:p>
    <w:p>
      <w:pPr>
        <w:pStyle w:val="Point2"/>
        <w:rPr>
          <w:noProof/>
        </w:rPr>
      </w:pPr>
      <w:r>
        <w:rPr>
          <w:noProof/>
        </w:rPr>
        <w:t>c)</w:t>
      </w:r>
      <w:r>
        <w:rPr>
          <w:noProof/>
        </w:rPr>
        <w:tab/>
        <w:t>documents établissant l’ouvraison ou la transformation des matières subie dans la partie concernée, établis ou délivrés dans la partie concernée conformément à sa législation nationale;</w:t>
      </w:r>
    </w:p>
    <w:p>
      <w:pPr>
        <w:pStyle w:val="Point2"/>
        <w:rPr>
          <w:noProof/>
        </w:rPr>
      </w:pPr>
      <w:r>
        <w:rPr>
          <w:noProof/>
        </w:rPr>
        <w:t>d)</w:t>
      </w:r>
      <w:r>
        <w:rPr>
          <w:noProof/>
        </w:rPr>
        <w:tab/>
        <w:t>les déclarations d’origine, des certificats de circulation des marchandises EUR.1 établissant le caractère originaire des matières mises en œuvre, délivrés ou établis dans les parties conformément aux présentes règles;</w:t>
      </w:r>
    </w:p>
    <w:p>
      <w:pPr>
        <w:pStyle w:val="Point2"/>
        <w:rPr>
          <w:noProof/>
        </w:rPr>
      </w:pPr>
      <w:r>
        <w:rPr>
          <w:noProof/>
        </w:rPr>
        <w:t>e)</w:t>
      </w:r>
      <w:r>
        <w:rPr>
          <w:noProof/>
        </w:rPr>
        <w:tab/>
        <w:t>preuves appropriées concernant l’ouvraison ou la transformation subie en dehors des parties par application des articles 13 et 14, attestant le respect des prescriptions de ces articles.</w:t>
      </w:r>
    </w:p>
    <w:p>
      <w:pPr>
        <w:pStyle w:val="Point1"/>
        <w:rPr>
          <w:rFonts w:eastAsia="Times New Roman"/>
          <w:noProof/>
          <w:szCs w:val="24"/>
        </w:rPr>
      </w:pPr>
      <w:r>
        <w:rPr>
          <w:noProof/>
        </w:rPr>
        <w:t>4.</w:t>
      </w:r>
      <w:r>
        <w:rPr>
          <w:noProof/>
        </w:rPr>
        <w:tab/>
        <w:t>Les autorités douanières de la partie exportatrice qui délivrent des certificats de circulation des marchandises EUR.1 conservent le formulaire de demande visé à l’article 20, paragraphe 2, pendant au moins trois ans.</w:t>
      </w:r>
    </w:p>
    <w:p>
      <w:pPr>
        <w:pStyle w:val="Point1"/>
        <w:rPr>
          <w:noProof/>
        </w:rPr>
      </w:pPr>
      <w:r>
        <w:rPr>
          <w:noProof/>
        </w:rPr>
        <w:t>5.</w:t>
      </w:r>
      <w:r>
        <w:rPr>
          <w:noProof/>
        </w:rPr>
        <w:tab/>
        <w:t>Les autorités douanières de la partie importatrice conservent les déclarations d’origine ainsi que les certificats de circulation des marchandises EUR.1 qui leur sont présentés pendant au moins trois ans.</w:t>
      </w:r>
    </w:p>
    <w:p>
      <w:pPr>
        <w:pStyle w:val="Point1"/>
        <w:rPr>
          <w:noProof/>
        </w:rPr>
      </w:pPr>
      <w:r>
        <w:rPr>
          <w:noProof/>
        </w:rPr>
        <w:t>6.</w:t>
      </w:r>
      <w:r>
        <w:rPr>
          <w:noProof/>
        </w:rPr>
        <w:tab/>
        <w:t>Les déclarations du fournisseur, établies dans une partie contractante appliquant les règles prouvant l’ouvraison ou la transformation subie dans ladite partie contractante par les matières mises en œuvre, sont considérées comme un document, tel que visé à l’article 18, paragraphe 3, à l’article 20, paragraphe 3, et à l’article 29, paragraphe 6, destiné à établir que les produits couverts par un certificat de circulation des marchandises EUR.1 ou une déclaration d’origine peuvent être considérés comme des produits originaires de ladite partie contractante appliquant les règles et satisfont aux autres conditions prévues dans les présentes règles.</w:t>
      </w:r>
    </w:p>
    <w:p>
      <w:pPr>
        <w:pStyle w:val="Text1"/>
        <w:jc w:val="center"/>
        <w:rPr>
          <w:i/>
          <w:noProof/>
        </w:rPr>
      </w:pPr>
      <w:r>
        <w:rPr>
          <w:i/>
          <w:noProof/>
        </w:rPr>
        <w:t>Article 32</w:t>
      </w:r>
      <w:r>
        <w:rPr>
          <w:noProof/>
        </w:rPr>
        <w:t xml:space="preserve"> </w:t>
      </w:r>
      <w:r>
        <w:rPr>
          <w:noProof/>
        </w:rPr>
        <w:br/>
      </w:r>
      <w:r>
        <w:rPr>
          <w:b/>
          <w:noProof/>
        </w:rPr>
        <w:t>Règlement des différends</w:t>
      </w:r>
    </w:p>
    <w:p>
      <w:pPr>
        <w:pStyle w:val="Text1"/>
        <w:rPr>
          <w:noProof/>
        </w:rPr>
      </w:pPr>
      <w:r>
        <w:rPr>
          <w:noProof/>
        </w:rPr>
        <w:t>Lorsque des différends survenus à l’occasion des contrôles visés aux articles 34 et 35 ou en relation avec l’interprétation du présent appendice ne peuvent être réglés entre les autorités douanières ayant sollicité le contrôle et celles responsables de sa réalisation, ils sont soumis au conseil de stabilisation et d’association.</w:t>
      </w:r>
    </w:p>
    <w:p>
      <w:pPr>
        <w:pStyle w:val="Text1"/>
        <w:rPr>
          <w:noProof/>
        </w:rPr>
      </w:pPr>
      <w:r>
        <w:rPr>
          <w:noProof/>
        </w:rPr>
        <w:t>Dans tous les cas, le règlement des différends entre l’importateur et les autorités douanières de la partie importatrice s’effectue conformément à la législation de ce pays.</w:t>
      </w:r>
    </w:p>
    <w:p>
      <w:pPr>
        <w:pStyle w:val="Text1"/>
        <w:jc w:val="center"/>
        <w:rPr>
          <w:noProof/>
        </w:rPr>
      </w:pPr>
    </w:p>
    <w:p>
      <w:pPr>
        <w:pStyle w:val="Text1"/>
        <w:jc w:val="center"/>
        <w:rPr>
          <w:b/>
          <w:noProof/>
        </w:rPr>
      </w:pPr>
      <w:r>
        <w:rPr>
          <w:noProof/>
        </w:rPr>
        <w:t xml:space="preserve">TITRE VII </w:t>
      </w:r>
      <w:r>
        <w:rPr>
          <w:noProof/>
        </w:rPr>
        <w:br/>
      </w:r>
      <w:r>
        <w:rPr>
          <w:b/>
          <w:noProof/>
        </w:rPr>
        <w:t>COOPÉRATION ADMINISTRATIVE</w:t>
      </w:r>
    </w:p>
    <w:p>
      <w:pPr>
        <w:pStyle w:val="Text1"/>
        <w:jc w:val="center"/>
        <w:rPr>
          <w:i/>
          <w:noProof/>
        </w:rPr>
      </w:pPr>
      <w:r>
        <w:rPr>
          <w:i/>
          <w:noProof/>
        </w:rPr>
        <w:t>Article 33</w:t>
      </w:r>
      <w:r>
        <w:rPr>
          <w:noProof/>
        </w:rPr>
        <w:t xml:space="preserve"> </w:t>
      </w:r>
      <w:r>
        <w:rPr>
          <w:noProof/>
        </w:rPr>
        <w:br/>
      </w:r>
      <w:r>
        <w:rPr>
          <w:b/>
          <w:noProof/>
        </w:rPr>
        <w:t>Notification et coopération</w:t>
      </w:r>
    </w:p>
    <w:p>
      <w:pPr>
        <w:pStyle w:val="Point1"/>
        <w:rPr>
          <w:noProof/>
        </w:rPr>
      </w:pPr>
      <w:r>
        <w:rPr>
          <w:noProof/>
        </w:rPr>
        <w:t>1.</w:t>
      </w:r>
      <w:r>
        <w:rPr>
          <w:noProof/>
        </w:rPr>
        <w:tab/>
        <w:t>Les autorités douanières des parties se communiquent mutuellement les spécimens des empreintes des cachets utilisés dans leurs bureaux pour la délivrance des certificats de circulation des marchandises EUR.1, les modèles des numéros d’autorisation des exportateurs agréés ainsi que les adresses des autorités douanières compétentes pour la vérification de ces certificats et des déclarations d’origine.</w:t>
      </w:r>
    </w:p>
    <w:p>
      <w:pPr>
        <w:pStyle w:val="Point1"/>
        <w:rPr>
          <w:noProof/>
        </w:rPr>
      </w:pPr>
      <w:r>
        <w:rPr>
          <w:noProof/>
        </w:rPr>
        <w:t>2.</w:t>
      </w:r>
      <w:r>
        <w:rPr>
          <w:noProof/>
        </w:rPr>
        <w:tab/>
        <w:t>Afin de garantir une application correcte des présentes règles, les parties contractantes se prêtent mutuellement assistance, par l’entremise des autorités douanières compétentes, pour le contrôle de l’authenticité des certificats de circulation des marchandises EUR.1 et des déclarations d’origine, des déclarations du fournisseur et de l’exactitude des renseignements fournis dans ces documents.</w:t>
      </w:r>
    </w:p>
    <w:p>
      <w:pPr>
        <w:pStyle w:val="Text1"/>
        <w:jc w:val="center"/>
        <w:rPr>
          <w:i/>
          <w:noProof/>
        </w:rPr>
      </w:pPr>
      <w:r>
        <w:rPr>
          <w:i/>
          <w:noProof/>
        </w:rPr>
        <w:t>Article 34</w:t>
      </w:r>
      <w:r>
        <w:rPr>
          <w:noProof/>
        </w:rPr>
        <w:t xml:space="preserve"> </w:t>
      </w:r>
      <w:r>
        <w:rPr>
          <w:noProof/>
        </w:rPr>
        <w:br/>
      </w:r>
      <w:r>
        <w:rPr>
          <w:b/>
          <w:noProof/>
        </w:rPr>
        <w:t>Contrôle de la preuve de l’origine</w:t>
      </w:r>
    </w:p>
    <w:p>
      <w:pPr>
        <w:pStyle w:val="Point1"/>
        <w:rPr>
          <w:noProof/>
        </w:rPr>
      </w:pPr>
      <w:r>
        <w:rPr>
          <w:noProof/>
        </w:rPr>
        <w:t>1.</w:t>
      </w:r>
      <w:r>
        <w:rPr>
          <w:noProof/>
        </w:rPr>
        <w:tab/>
        <w:t>Le contrôle a posteriori des preuves de l’origine est effectué par sondage ou chaque fois que les autorités douanières de la partie importatrice ont des doutes fondés en ce qui concerne l’authenticité de ces documents, le caractère originaire des produits concernés ou le respect des autres conditions prévues par les présentes règles.</w:t>
      </w:r>
    </w:p>
    <w:p>
      <w:pPr>
        <w:pStyle w:val="Point1"/>
        <w:rPr>
          <w:noProof/>
        </w:rPr>
      </w:pPr>
      <w:r>
        <w:rPr>
          <w:noProof/>
        </w:rPr>
        <w:t>2.</w:t>
      </w:r>
      <w:r>
        <w:rPr>
          <w:noProof/>
        </w:rPr>
        <w:tab/>
        <w:t>Lorsqu’elles présentent une demande de contrôle a posteriori, les autorités douanières de la partie importatrice renvoient le certificat de circulation des marchandises EUR. 1 et la facture, si elle a été présentée, la déclaration d’origine ou une copie de ces documents, aux autorités douanières de la partie exportatrice en indiquant, le cas échéant, les motifs justifiant la demande de contrôle. À l’appui de leur demande de contrôle a posteriori, elles fournissent tous les documents et tous les renseignements obtenus qui font penser que les mentions portées sur la preuve de l’origine sont inexactes.</w:t>
      </w:r>
    </w:p>
    <w:p>
      <w:pPr>
        <w:pStyle w:val="Point1"/>
        <w:rPr>
          <w:noProof/>
        </w:rPr>
      </w:pPr>
      <w:r>
        <w:rPr>
          <w:noProof/>
        </w:rPr>
        <w:t>3.</w:t>
      </w:r>
      <w:r>
        <w:rPr>
          <w:noProof/>
        </w:rPr>
        <w:tab/>
        <w:t>Le contrôle est effectué par les autorités douanières de la partie exportatrice. À cet effet, celles-ci sont habilitées à exiger toutes les pièces justificatives et à procéder à toute inspection de la comptabilité de l’exportateur ou à tout autre contrôle qu’elles jugent utile.</w:t>
      </w:r>
    </w:p>
    <w:p>
      <w:pPr>
        <w:pStyle w:val="Point1"/>
        <w:rPr>
          <w:noProof/>
        </w:rPr>
      </w:pPr>
      <w:r>
        <w:rPr>
          <w:noProof/>
        </w:rPr>
        <w:t>4.</w:t>
      </w:r>
      <w:r>
        <w:rPr>
          <w:noProof/>
        </w:rPr>
        <w:tab/>
        <w:t>Si les autorités douanières de la partie importatrice décident de surseoir à l’octroi du traitement préférentiel pour les produits concernés dans l’attente des résultats du contrôle, elles offrent à l’importateur la mainlevée des produits, sous réserve des mesures conservatoires jugées nécessaires.</w:t>
      </w:r>
    </w:p>
    <w:p>
      <w:pPr>
        <w:pStyle w:val="Point1"/>
        <w:rPr>
          <w:noProof/>
        </w:rPr>
      </w:pPr>
      <w:r>
        <w:rPr>
          <w:noProof/>
        </w:rPr>
        <w:t>5.</w:t>
      </w:r>
      <w:r>
        <w:rPr>
          <w:noProof/>
        </w:rPr>
        <w:tab/>
        <w:t>Les autorités douanières sollicitant le contrôle sont informées dans les meilleurs délais de ses résultats. Ces résultats indiquent clairement si les documents sont authentiques et si les produits concernés peuvent être considérés comme des produits originaires d’une des parties et remplissent les autres conditions prévues par les présentes règles.</w:t>
      </w:r>
    </w:p>
    <w:p>
      <w:pPr>
        <w:pStyle w:val="Point1"/>
        <w:rPr>
          <w:noProof/>
        </w:rPr>
      </w:pPr>
      <w:r>
        <w:rPr>
          <w:noProof/>
        </w:rPr>
        <w:t>6.</w:t>
      </w:r>
      <w:r>
        <w:rPr>
          <w:noProof/>
        </w:rPr>
        <w:tab/>
        <w:t>En cas de doutes fondés et en l’absence de réponse à l’expiration d’un délai de dix mois après la date de la demande de contrôle ou si la réponse ne comporte pas de renseignements suffisants pour déterminer l’authenticité du document en cause ou l’origine réelle des produits, les autorités douanières qui sollicitent le contrôle refusent le bénéfice des préférences, sauf en cas de circonstances exceptionnelles.</w:t>
      </w:r>
    </w:p>
    <w:p>
      <w:pPr>
        <w:pStyle w:val="Text1"/>
        <w:jc w:val="center"/>
        <w:rPr>
          <w:i/>
          <w:noProof/>
        </w:rPr>
      </w:pPr>
      <w:r>
        <w:rPr>
          <w:i/>
          <w:noProof/>
        </w:rPr>
        <w:t>Article 35</w:t>
      </w:r>
      <w:r>
        <w:rPr>
          <w:noProof/>
        </w:rPr>
        <w:t xml:space="preserve"> </w:t>
      </w:r>
      <w:r>
        <w:rPr>
          <w:noProof/>
        </w:rPr>
        <w:br/>
      </w:r>
      <w:r>
        <w:rPr>
          <w:b/>
          <w:noProof/>
        </w:rPr>
        <w:t>Contrôle des déclarations du fournisseur</w:t>
      </w:r>
    </w:p>
    <w:p>
      <w:pPr>
        <w:pStyle w:val="Point1"/>
        <w:rPr>
          <w:noProof/>
        </w:rPr>
      </w:pPr>
      <w:r>
        <w:rPr>
          <w:noProof/>
        </w:rPr>
        <w:t>1.</w:t>
      </w:r>
      <w:r>
        <w:rPr>
          <w:noProof/>
        </w:rPr>
        <w:tab/>
        <w:t>Le contrôle a posteriori des déclarations du fournisseur ou des déclarations à long terme du fournisseur peut être effectué par sondage ou chaque fois que les autorités douanières d’une partie où ces déclarations ont été prises en considération pour délivrer un certificat de circulation des marchandises EUR.1 ou pour établir une déclaration d’origine ont des doutes fondés quant à l’authenticité du document ou à l’exactitude des renseignements fournis dans ce document.</w:t>
      </w:r>
    </w:p>
    <w:p>
      <w:pPr>
        <w:pStyle w:val="Point1"/>
        <w:rPr>
          <w:noProof/>
        </w:rPr>
      </w:pPr>
      <w:r>
        <w:rPr>
          <w:noProof/>
        </w:rPr>
        <w:t>2.</w:t>
      </w:r>
      <w:r>
        <w:rPr>
          <w:noProof/>
        </w:rPr>
        <w:tab/>
        <w:t>Aux fins de l’application des dispositions du paragraphe 1 du présent article, les autorités douanières de la partie visée au paragraphe 1 du présent article renvoient la déclaration du fournisseur ou la déclaration à long terme du fournisseur et la ou les factures, le(s) bon(s) de livraison ou tout autre document commercial concernant les marchandises couvertes par cette déclaration aux autorités douanières de la partie contractante appliquant les règles où la déclaration a été établie, en indiquant, le cas échéant, les motifs de fond ou de forme de la demande de contrôle.</w:t>
      </w:r>
    </w:p>
    <w:p>
      <w:pPr>
        <w:pStyle w:val="Point1"/>
        <w:ind w:firstLine="0"/>
        <w:rPr>
          <w:noProof/>
        </w:rPr>
      </w:pPr>
      <w:r>
        <w:rPr>
          <w:noProof/>
        </w:rPr>
        <w:t>À l’appui de leur demande de contrôle a posteriori, elles joignent tous les documents et renseignements obtenus qui donnent à penser que les mentions portées sur la déclaration du fournisseur ou la déclaration à long terme du fournisseur sont inexactes.</w:t>
      </w:r>
    </w:p>
    <w:p>
      <w:pPr>
        <w:pStyle w:val="Point1"/>
        <w:rPr>
          <w:noProof/>
        </w:rPr>
      </w:pPr>
      <w:r>
        <w:rPr>
          <w:noProof/>
        </w:rPr>
        <w:t>3.</w:t>
      </w:r>
      <w:r>
        <w:rPr>
          <w:noProof/>
        </w:rPr>
        <w:tab/>
        <w:t>Le contrôle est effectué par les autorités douanières de la partie contractante appliquant les règles où la déclaration du fournisseur ou la déclaration à long terme du fournisseur est établie. À cet effet, elles sont habilitées à exiger toutes les preuves et à effectuer tous les contrôles des comptes du fournisseur ou tout autre contrôle qu’elles estiment utile.</w:t>
      </w:r>
    </w:p>
    <w:p>
      <w:pPr>
        <w:pStyle w:val="Point1"/>
        <w:rPr>
          <w:noProof/>
        </w:rPr>
      </w:pPr>
      <w:r>
        <w:rPr>
          <w:noProof/>
        </w:rPr>
        <w:t>4.</w:t>
      </w:r>
      <w:r>
        <w:rPr>
          <w:noProof/>
        </w:rPr>
        <w:tab/>
        <w:t>Les autorités douanières sollicitant le contrôle sont informées dans les meilleurs délais de ses résultats. Ceux-ci indiquent clairement si les informations figurant dans la déclaration du fournisseur ou la déclaration à long terme du fournisseur sont correctes et permettent de déterminer si et dans quelle mesure cette déclaration peut être prise en considération pour la délivrance d’un certificat de circulation des marchandises EUR.1 ou l’établissement d’une déclaration d’origine.</w:t>
      </w:r>
    </w:p>
    <w:p>
      <w:pPr>
        <w:pStyle w:val="Text1"/>
        <w:jc w:val="center"/>
        <w:rPr>
          <w:i/>
          <w:noProof/>
        </w:rPr>
      </w:pPr>
      <w:r>
        <w:rPr>
          <w:i/>
          <w:noProof/>
        </w:rPr>
        <w:t>Article 36</w:t>
      </w:r>
      <w:r>
        <w:rPr>
          <w:noProof/>
        </w:rPr>
        <w:t xml:space="preserve"> </w:t>
      </w:r>
      <w:r>
        <w:rPr>
          <w:noProof/>
        </w:rPr>
        <w:br/>
      </w:r>
      <w:r>
        <w:rPr>
          <w:b/>
          <w:iCs/>
          <w:noProof/>
        </w:rPr>
        <w:t>Sanctions</w:t>
      </w:r>
    </w:p>
    <w:p>
      <w:pPr>
        <w:pStyle w:val="Text1"/>
        <w:rPr>
          <w:noProof/>
        </w:rPr>
      </w:pPr>
      <w:r>
        <w:rPr>
          <w:noProof/>
        </w:rPr>
        <w:t>Chaque partie prévoit des sanctions pénales, civiles ou administratives dans les cas de violations de sa législation nationale liées aux présentes règles.</w:t>
      </w:r>
    </w:p>
    <w:p>
      <w:pPr>
        <w:pStyle w:val="Text1"/>
        <w:rPr>
          <w:noProof/>
        </w:rPr>
      </w:pPr>
    </w:p>
    <w:p>
      <w:pPr>
        <w:pStyle w:val="Text1"/>
        <w:jc w:val="center"/>
        <w:rPr>
          <w:b/>
          <w:noProof/>
        </w:rPr>
      </w:pPr>
      <w:r>
        <w:rPr>
          <w:noProof/>
        </w:rPr>
        <w:t xml:space="preserve">TITRE VIII </w:t>
      </w:r>
      <w:r>
        <w:rPr>
          <w:noProof/>
        </w:rPr>
        <w:br/>
      </w:r>
      <w:r>
        <w:rPr>
          <w:b/>
          <w:bCs/>
          <w:noProof/>
        </w:rPr>
        <w:t>APPLICATION DE L’APPENDICE A</w:t>
      </w:r>
    </w:p>
    <w:p>
      <w:pPr>
        <w:pStyle w:val="Text1"/>
        <w:jc w:val="center"/>
        <w:rPr>
          <w:i/>
          <w:noProof/>
        </w:rPr>
      </w:pPr>
      <w:r>
        <w:rPr>
          <w:i/>
          <w:noProof/>
        </w:rPr>
        <w:t>Article 37</w:t>
      </w:r>
      <w:r>
        <w:rPr>
          <w:noProof/>
        </w:rPr>
        <w:t xml:space="preserve"> </w:t>
      </w:r>
      <w:r>
        <w:rPr>
          <w:noProof/>
        </w:rPr>
        <w:br/>
      </w:r>
      <w:r>
        <w:rPr>
          <w:b/>
          <w:noProof/>
        </w:rPr>
        <w:t>Espace économique européen</w:t>
      </w:r>
    </w:p>
    <w:p>
      <w:pPr>
        <w:autoSpaceDE w:val="0"/>
        <w:autoSpaceDN w:val="0"/>
        <w:ind w:left="720"/>
        <w:rPr>
          <w:noProof/>
        </w:rPr>
      </w:pPr>
      <w:r>
        <w:rPr>
          <w:noProof/>
        </w:rPr>
        <w:t>Les marchandises originaires de l’Espace économique européen (EEE) au sens du protocole 4 de l’accord sur l’Espace économique européen doivent être considérées comme originaires de l’Union européenne, d’Islande, du Liechtenstein ou de Norvège (les “parties contractantes de l’accord EEE”) lorsqu’elles sont exportées de l’Union européenne, d’Islande, du Liechtenstein ou de Norvège vers la Macédoine du Nord, à condition que les accords de libre-échange reprenant les présentes règles soient applicables entre la Macédoine du Nord et les parties contractantes de l’accord EEE.</w:t>
      </w:r>
    </w:p>
    <w:p>
      <w:pPr>
        <w:autoSpaceDE w:val="0"/>
        <w:autoSpaceDN w:val="0"/>
        <w:rPr>
          <w:noProof/>
        </w:rPr>
      </w:pPr>
    </w:p>
    <w:p>
      <w:pPr>
        <w:pStyle w:val="Text1"/>
        <w:jc w:val="center"/>
        <w:rPr>
          <w:i/>
          <w:noProof/>
        </w:rPr>
      </w:pPr>
      <w:r>
        <w:rPr>
          <w:i/>
          <w:noProof/>
        </w:rPr>
        <w:t xml:space="preserve">Article 38 </w:t>
      </w:r>
      <w:r>
        <w:rPr>
          <w:noProof/>
        </w:rPr>
        <w:br/>
      </w:r>
      <w:r>
        <w:rPr>
          <w:b/>
          <w:noProof/>
        </w:rPr>
        <w:t>Liechtenstein</w:t>
      </w:r>
    </w:p>
    <w:p>
      <w:pPr>
        <w:autoSpaceDE w:val="0"/>
        <w:autoSpaceDN w:val="0"/>
        <w:ind w:left="850"/>
        <w:rPr>
          <w:noProof/>
        </w:rPr>
      </w:pPr>
      <w:r>
        <w:rPr>
          <w:noProof/>
        </w:rPr>
        <w:t>Sans préjudice de l’article 2, un produit originaire du Liechtenstein, en raison de l’existence de l’union douanière entre la Suisse et le Liechtenstein, est considéré comme originaire de Suisse.</w:t>
      </w:r>
    </w:p>
    <w:p>
      <w:pPr>
        <w:pStyle w:val="Text1"/>
        <w:jc w:val="center"/>
        <w:rPr>
          <w:i/>
          <w:noProof/>
        </w:rPr>
      </w:pPr>
      <w:r>
        <w:rPr>
          <w:i/>
          <w:noProof/>
        </w:rPr>
        <w:t>Article 39</w:t>
      </w:r>
      <w:r>
        <w:rPr>
          <w:noProof/>
        </w:rPr>
        <w:t xml:space="preserve"> </w:t>
      </w:r>
      <w:r>
        <w:rPr>
          <w:noProof/>
        </w:rPr>
        <w:br/>
      </w:r>
      <w:r>
        <w:rPr>
          <w:b/>
          <w:noProof/>
        </w:rPr>
        <w:t>République de Saint-Marin</w:t>
      </w:r>
    </w:p>
    <w:p>
      <w:pPr>
        <w:pStyle w:val="Text1"/>
        <w:rPr>
          <w:noProof/>
        </w:rPr>
      </w:pPr>
      <w:r>
        <w:rPr>
          <w:noProof/>
        </w:rPr>
        <w:t>Sans préjudice de l’article 2, un produit originaire de la République de Saint-Marin est considéré, en raison de l’existence de l’union douanière entre l’Union européenne et la République de Saint-Marin, comme originaire de l’Union européenne.</w:t>
      </w:r>
    </w:p>
    <w:p>
      <w:pPr>
        <w:pStyle w:val="Text1"/>
        <w:jc w:val="center"/>
        <w:rPr>
          <w:i/>
          <w:noProof/>
        </w:rPr>
      </w:pPr>
      <w:r>
        <w:rPr>
          <w:i/>
          <w:noProof/>
        </w:rPr>
        <w:t>Article 40</w:t>
      </w:r>
      <w:r>
        <w:rPr>
          <w:noProof/>
        </w:rPr>
        <w:t xml:space="preserve"> </w:t>
      </w:r>
      <w:r>
        <w:rPr>
          <w:noProof/>
        </w:rPr>
        <w:br/>
      </w:r>
      <w:r>
        <w:rPr>
          <w:b/>
          <w:noProof/>
        </w:rPr>
        <w:t>Principauté d’Andorre</w:t>
      </w:r>
    </w:p>
    <w:p>
      <w:pPr>
        <w:pStyle w:val="Text1"/>
        <w:rPr>
          <w:noProof/>
        </w:rPr>
      </w:pPr>
      <w:r>
        <w:rPr>
          <w:noProof/>
        </w:rPr>
        <w:t>Sans préjudice de l’article 2, un produit originaire de la Principauté d’Andorre relevant des chapitres 25 à 97 du système harmonisé est considéré, en raison de l’existence de l’union douanière entre l’Union européenne et la Principauté d’Andorre, comme originaire de l’Union européenne.</w:t>
      </w:r>
    </w:p>
    <w:p>
      <w:pPr>
        <w:pStyle w:val="Text1"/>
        <w:jc w:val="center"/>
        <w:rPr>
          <w:i/>
          <w:noProof/>
        </w:rPr>
      </w:pPr>
      <w:r>
        <w:rPr>
          <w:i/>
          <w:noProof/>
        </w:rPr>
        <w:t>Article 41</w:t>
      </w:r>
      <w:r>
        <w:rPr>
          <w:noProof/>
        </w:rPr>
        <w:t xml:space="preserve"> </w:t>
      </w:r>
      <w:r>
        <w:rPr>
          <w:noProof/>
        </w:rPr>
        <w:br/>
      </w:r>
      <w:r>
        <w:rPr>
          <w:b/>
          <w:noProof/>
        </w:rPr>
        <w:t>Ceuta et Melilla</w:t>
      </w:r>
    </w:p>
    <w:p>
      <w:pPr>
        <w:pStyle w:val="Point1"/>
        <w:rPr>
          <w:noProof/>
        </w:rPr>
      </w:pPr>
      <w:r>
        <w:rPr>
          <w:noProof/>
        </w:rPr>
        <w:t>1.</w:t>
      </w:r>
      <w:r>
        <w:rPr>
          <w:noProof/>
        </w:rPr>
        <w:tab/>
        <w:t>Aux fins de l’application des présentes règles, le terme “Union européenne” ne comprend pas Ceuta et Melilla.</w:t>
      </w:r>
    </w:p>
    <w:p>
      <w:pPr>
        <w:pStyle w:val="Point1"/>
        <w:rPr>
          <w:noProof/>
        </w:rPr>
      </w:pPr>
      <w:r>
        <w:rPr>
          <w:noProof/>
        </w:rPr>
        <w:t>2.</w:t>
      </w:r>
      <w:r>
        <w:rPr>
          <w:noProof/>
        </w:rPr>
        <w:tab/>
        <w:t>Les produits originaires de Macédoine du Nord bénéficient à tous égards, lors de leur importation à Ceuta et Melilla, du même régime douanier que celui qui est appliqué aux produits originaires du territoire douanier de l’Union européenne en vertu du protocole nº 2 de l’acte d’adhésion du Royaume d’Espagne et de la République portugaise et aux adaptations des traités</w:t>
      </w:r>
      <w:r>
        <w:rPr>
          <w:rStyle w:val="FootnoteReference"/>
          <w:noProof/>
        </w:rPr>
        <w:footnoteReference w:id="6"/>
      </w:r>
      <w:r>
        <w:rPr>
          <w:noProof/>
        </w:rPr>
        <w:t>. La Macédoine du Nord accorde aux importations de produits couverts par l’accord correspondant et originaires de Ceuta et Melilla le même régime douanier que celui qu’elle accorde aux produits importés de l’Union européenne et originaires de celle-ci.</w:t>
      </w:r>
    </w:p>
    <w:p>
      <w:pPr>
        <w:ind w:left="1418" w:hanging="567"/>
        <w:rPr>
          <w:noProof/>
        </w:rPr>
      </w:pPr>
      <w:r>
        <w:rPr>
          <w:noProof/>
        </w:rPr>
        <w:t>3.</w:t>
      </w:r>
      <w:r>
        <w:rPr>
          <w:noProof/>
        </w:rPr>
        <w:tab/>
        <w:t>Aux fins du paragraphe 2 du présent article concernant les produits originaires de Ceuta et Melilla, les présentes règles s’appliquent mutatis mutandis, sous réserve des conditions particulières définies à l’annexe V.</w:t>
      </w:r>
    </w:p>
    <w:p>
      <w:pPr>
        <w:pStyle w:val="Text1"/>
        <w:jc w:val="center"/>
        <w:rPr>
          <w:i/>
          <w:noProof/>
        </w:rPr>
      </w:pPr>
      <w:r>
        <w:rPr>
          <w:noProof/>
        </w:rPr>
        <w:br w:type="page"/>
      </w:r>
      <w:r>
        <w:rPr>
          <w:i/>
          <w:noProof/>
        </w:rPr>
        <w:t>ANNEXE I</w:t>
      </w:r>
    </w:p>
    <w:p>
      <w:pPr>
        <w:pStyle w:val="Text1"/>
        <w:jc w:val="center"/>
        <w:rPr>
          <w:b/>
          <w:noProof/>
        </w:rPr>
      </w:pPr>
      <w:r>
        <w:rPr>
          <w:b/>
          <w:noProof/>
        </w:rPr>
        <w:t>NOTES INTRODUCTIVES À LA LISTE DE L’ANNEXE II</w:t>
      </w:r>
    </w:p>
    <w:p>
      <w:pPr>
        <w:pStyle w:val="Text1"/>
        <w:rPr>
          <w:b/>
          <w:noProof/>
        </w:rPr>
      </w:pPr>
      <w:r>
        <w:rPr>
          <w:b/>
          <w:noProof/>
        </w:rPr>
        <w:t>Note 1 — Introduction générale</w:t>
      </w:r>
    </w:p>
    <w:p>
      <w:pPr>
        <w:pStyle w:val="Text1"/>
        <w:rPr>
          <w:noProof/>
        </w:rPr>
      </w:pPr>
      <w:r>
        <w:rPr>
          <w:noProof/>
        </w:rPr>
        <w:t>Dans la liste figurent, pour tous les produits, les conditions requises pour que ces produits puissent être considérés comme suffisamment ouvrés ou transformés au sens de l’appendice A, titre II, article 4. Il existe à cet égard quatre catégories de règles, qui varient selon les produits:</w:t>
      </w:r>
    </w:p>
    <w:p>
      <w:pPr>
        <w:pStyle w:val="Point1"/>
        <w:rPr>
          <w:noProof/>
        </w:rPr>
      </w:pPr>
      <w:r>
        <w:rPr>
          <w:noProof/>
        </w:rPr>
        <w:t>a)</w:t>
      </w:r>
      <w:r>
        <w:rPr>
          <w:noProof/>
        </w:rPr>
        <w:tab/>
        <w:t>respect d’une proportion maximale de matières non originaires utilisées lors de l’ouvraison ou de la transformation;</w:t>
      </w:r>
    </w:p>
    <w:p>
      <w:pPr>
        <w:pStyle w:val="Point1"/>
        <w:rPr>
          <w:noProof/>
        </w:rPr>
      </w:pPr>
      <w:r>
        <w:rPr>
          <w:noProof/>
        </w:rPr>
        <w:t>b)</w:t>
      </w:r>
      <w:r>
        <w:rPr>
          <w:noProof/>
        </w:rPr>
        <w:tab/>
        <w:t>réalisation d’une ouvraison ou d’une transformation aboutissant à des produits manufacturés classés dans une position (code à quatre chiffres) ou dans une sous-position (code à six chiffres) du système harmonisé différentes de la position (code à quatre chiffres) ou de la sous-position (code à six chiffres) dans lesquelles sont classées les matières mises en œuvre;</w:t>
      </w:r>
    </w:p>
    <w:p>
      <w:pPr>
        <w:pStyle w:val="Point1"/>
        <w:rPr>
          <w:noProof/>
        </w:rPr>
      </w:pPr>
      <w:r>
        <w:rPr>
          <w:noProof/>
        </w:rPr>
        <w:t>c)</w:t>
      </w:r>
      <w:r>
        <w:rPr>
          <w:noProof/>
        </w:rPr>
        <w:tab/>
        <w:t>réalisation d’une opération spécifique d’ouvraison ou de transformation;</w:t>
      </w:r>
    </w:p>
    <w:p>
      <w:pPr>
        <w:pStyle w:val="Point1"/>
        <w:rPr>
          <w:noProof/>
        </w:rPr>
      </w:pPr>
      <w:r>
        <w:rPr>
          <w:noProof/>
        </w:rPr>
        <w:t>d)</w:t>
      </w:r>
      <w:r>
        <w:rPr>
          <w:noProof/>
        </w:rPr>
        <w:tab/>
        <w:t>ouvraison ou transformation mettant en œuvre des matières entièrement obtenues spécifiques.</w:t>
      </w:r>
    </w:p>
    <w:p>
      <w:pPr>
        <w:pStyle w:val="Point1"/>
        <w:rPr>
          <w:b/>
          <w:noProof/>
        </w:rPr>
      </w:pPr>
      <w:r>
        <w:rPr>
          <w:b/>
          <w:noProof/>
        </w:rPr>
        <w:t>Note 2 – Structure de la liste</w:t>
      </w:r>
    </w:p>
    <w:p>
      <w:pPr>
        <w:pStyle w:val="Point1"/>
        <w:rPr>
          <w:noProof/>
        </w:rPr>
      </w:pPr>
      <w:r>
        <w:rPr>
          <w:noProof/>
        </w:rPr>
        <w:t>2.1.</w:t>
      </w:r>
      <w:r>
        <w:rPr>
          <w:noProof/>
        </w:rPr>
        <w:tab/>
        <w:t>Les deux premières colonnes de la liste décrivent le produit obtenu. La colonne (1) précise le numéro de la position ou du chapitre du système harmonisé et la colonne (2) précise la désignation des marchandises figurant dans le système pour cette position ou ce chapitre. En face des mentions reprises dans les deux premières colonnes, une règle est exposée dans la colonne (3). Lorsque, dans certains cas, le code de la colonne (1) est précédé d’un “ex”, cela indique que la règle figurant dans la colonne (3) ne s’applique qu’à la partie de la position décrite dans la colonne (2).</w:t>
      </w:r>
    </w:p>
    <w:p>
      <w:pPr>
        <w:pStyle w:val="Point1"/>
        <w:rPr>
          <w:noProof/>
        </w:rPr>
      </w:pPr>
      <w:r>
        <w:rPr>
          <w:noProof/>
        </w:rPr>
        <w:t>2.2.</w:t>
      </w:r>
      <w:r>
        <w:rPr>
          <w:noProof/>
        </w:rPr>
        <w:tab/>
        <w:t>Lorsque plusieurs numéros de position sont regroupés dans la colonne (1) ou qu’un numéro de chapitre y est mentionné et que les produits figurant dans la colonne (2) sont, en conséquence, désignés en termes généraux, la règle correspondante énoncée dans la colonne (3) s’applique à tous les produits qui, dans le cadre du système harmonisé, sont classés dans les différentes positions du chapitre concerné ou dans les positions regroupées dans la colonne (1).</w:t>
      </w:r>
    </w:p>
    <w:p>
      <w:pPr>
        <w:pStyle w:val="Point1"/>
        <w:rPr>
          <w:noProof/>
        </w:rPr>
      </w:pPr>
      <w:r>
        <w:rPr>
          <w:noProof/>
        </w:rPr>
        <w:t>2.3.</w:t>
      </w:r>
      <w:r>
        <w:rPr>
          <w:noProof/>
        </w:rPr>
        <w:tab/>
        <w:t>Lorsque la liste indique différentes règles applicables à différents produits relevant d’une même position, chaque tiret comporte la désignation relative à la partie de la position faisant l’objet de la règle correspondante énoncée dans la colonne (3).</w:t>
      </w:r>
    </w:p>
    <w:p>
      <w:pPr>
        <w:pStyle w:val="Point1"/>
        <w:rPr>
          <w:noProof/>
        </w:rPr>
      </w:pPr>
      <w:r>
        <w:rPr>
          <w:noProof/>
        </w:rPr>
        <w:t>2.4.</w:t>
      </w:r>
      <w:r>
        <w:rPr>
          <w:noProof/>
        </w:rPr>
        <w:tab/>
        <w:t>Lorsque la colonne (3) indique deux règles distinctes séparées par la conjonction “ou”, il appartient à l’exportateur de choisir celle qu’il veut utiliser.</w:t>
      </w:r>
    </w:p>
    <w:p>
      <w:pPr>
        <w:pStyle w:val="Point1"/>
        <w:rPr>
          <w:b/>
          <w:noProof/>
        </w:rPr>
      </w:pPr>
      <w:r>
        <w:rPr>
          <w:b/>
          <w:noProof/>
        </w:rPr>
        <w:t>Note 3 – Exemples de la manière d’appliquer les règles</w:t>
      </w:r>
    </w:p>
    <w:p>
      <w:pPr>
        <w:pStyle w:val="Point1"/>
        <w:rPr>
          <w:noProof/>
        </w:rPr>
      </w:pPr>
      <w:r>
        <w:rPr>
          <w:noProof/>
        </w:rPr>
        <w:t>3.1.</w:t>
      </w:r>
      <w:r>
        <w:rPr>
          <w:noProof/>
        </w:rPr>
        <w:tab/>
        <w:t>Les dispositions de l’appendice A, titre II, article 4, concernant les produits qui ont acquis le caractère originaire et qui sont mis en œuvre dans la fabrication d’autres produits s’appliquent, que ce caractère ait été acquis dans l’usine où ces produits sont mis en œuvre ou dans une autre usine d’une partie.</w:t>
      </w:r>
    </w:p>
    <w:p>
      <w:pPr>
        <w:pStyle w:val="Point1"/>
        <w:rPr>
          <w:noProof/>
        </w:rPr>
      </w:pPr>
      <w:r>
        <w:rPr>
          <w:noProof/>
        </w:rPr>
        <w:t>3.2.</w:t>
      </w:r>
      <w:r>
        <w:rPr>
          <w:noProof/>
        </w:rPr>
        <w:tab/>
        <w:t>En application du présent appendice, titre II, article 6, les opérations d’ouvraison ou de transformation effectuées doivent aller au-delà des opérations dont la liste figure dans cet article. Si ce n’est pas le cas, les marchandises ne sont pas admissibles au bénéfice du traitement tarifaire préférentiel, même si les conditions énoncées sur la liste ci-dessous sont remplies.</w:t>
      </w:r>
    </w:p>
    <w:p>
      <w:pPr>
        <w:pStyle w:val="Text2"/>
        <w:rPr>
          <w:noProof/>
        </w:rPr>
      </w:pPr>
      <w:r>
        <w:rPr>
          <w:noProof/>
        </w:rPr>
        <w:t>Sous réserve de l’appendice A, titre II, article 6, les règles figurant dans la liste fixent le degré minimal d’ouvraison ou de transformation à effectuer; il en résulte que les ouvraisons ou transformations allant au-delà confèrent, elles aussi, le caractère originaire et qu’à l’inverse, les ouvraisons ou transformations restant en deçà de ce seuil ne confèrent pas le caractère originaire.</w:t>
      </w:r>
    </w:p>
    <w:p>
      <w:pPr>
        <w:pStyle w:val="Text2"/>
        <w:rPr>
          <w:noProof/>
        </w:rPr>
      </w:pPr>
      <w:r>
        <w:rPr>
          <w:noProof/>
        </w:rPr>
        <w:t>En d’autres termes, si une règle prévoit que des matières non originaires se trouvant à un stade d’élaboration déterminé peuvent être utilisées, l’utilisation de telles matières se trouvant à un stade moins avancé est, elle aussi, autorisée, alors que l’utilisation de telles matières se trouvant à un stade plus avancé ne l’est pas.</w:t>
      </w:r>
    </w:p>
    <w:p>
      <w:pPr>
        <w:pStyle w:val="Text2"/>
        <w:rPr>
          <w:noProof/>
        </w:rPr>
      </w:pPr>
      <w:r>
        <w:rPr>
          <w:noProof/>
        </w:rPr>
        <w:t>Si une règle prévoit que des matières non originaires se trouvant à un stade d’élaboration déterminé ne peuvent pas être utilisées, l’utilisation de telles matières se trouvant à un stade moins avancé est autorisée, alors que l’utilisation de telles matières se trouvant à un stade plus avancé ne l’est pas.</w:t>
      </w:r>
    </w:p>
    <w:p>
      <w:pPr>
        <w:pStyle w:val="Text2"/>
        <w:rPr>
          <w:noProof/>
        </w:rPr>
      </w:pPr>
      <w:r>
        <w:rPr>
          <w:noProof/>
        </w:rPr>
        <w:t>Exemple: lorsque la règle de la liste pour le chapitre 19 impose que “les matières non originaires des nº</w:t>
      </w:r>
      <w:r>
        <w:rPr>
          <w:noProof/>
          <w:vertAlign w:val="superscript"/>
        </w:rPr>
        <w:t>s</w:t>
      </w:r>
      <w:r>
        <w:rPr>
          <w:noProof/>
        </w:rPr>
        <w:t xml:space="preserve"> 1101 à 1108 ne puissent pas dépasser 20 % en poids”, l’utilisation (c’est-à-dire l’importation) de céréales du chapitre 10 (matières à un stade antérieur de fabrication) n’est pas limitée.</w:t>
      </w:r>
    </w:p>
    <w:p>
      <w:pPr>
        <w:pStyle w:val="Point1"/>
        <w:rPr>
          <w:noProof/>
        </w:rPr>
      </w:pPr>
      <w:r>
        <w:rPr>
          <w:noProof/>
        </w:rPr>
        <w:t>3.3.</w:t>
      </w:r>
      <w:r>
        <w:rPr>
          <w:noProof/>
        </w:rPr>
        <w:tab/>
        <w:t>Sans préjudice de la note 3.2, lorsqu’une règle utilise l’expression “fabrication à partir de matières de toute position”, les matières de toute position (même les matières de la même désignation et de la même position que le produit) peuvent être utilisées, sous réserve, toutefois, des restrictions particulières susceptibles d’être aussi énoncées dans la règle.</w:t>
      </w:r>
    </w:p>
    <w:p>
      <w:pPr>
        <w:pStyle w:val="Text2"/>
        <w:rPr>
          <w:noProof/>
        </w:rPr>
      </w:pPr>
      <w:r>
        <w:rPr>
          <w:noProof/>
        </w:rPr>
        <w:t>Toutefois, lorsqu’une règle utilise l’expression “fabrication à partir de matières de toute position, y compris à partir des autres matières du nº …” ou “fabrication à partir de matières de toute position, y compris à partir des autres matières de la même position que le produit”, les matières de toute position peuvent être utilisées, à l’exclusion des matières de la même désignation que le produit telle qu’elle apparaît dans la colonne (2) de la liste.</w:t>
      </w:r>
    </w:p>
    <w:p>
      <w:pPr>
        <w:pStyle w:val="Point1"/>
        <w:rPr>
          <w:noProof/>
        </w:rPr>
      </w:pPr>
      <w:r>
        <w:rPr>
          <w:noProof/>
        </w:rPr>
        <w:t>3.4.</w:t>
      </w:r>
      <w:r>
        <w:rPr>
          <w:noProof/>
        </w:rPr>
        <w:tab/>
        <w:t>Lorsqu’une règle de la liste précise qu’un produit peut être fabriqué à partir de plusieurs matières, cela signifie qu’une ou plusieurs de ces matières peuvent être utilisées. Elle n’implique évidemment pas que toutes ces matières doivent être utilisées simultanément.</w:t>
      </w:r>
    </w:p>
    <w:p>
      <w:pPr>
        <w:pStyle w:val="Point1"/>
        <w:rPr>
          <w:noProof/>
        </w:rPr>
      </w:pPr>
      <w:r>
        <w:rPr>
          <w:noProof/>
        </w:rPr>
        <w:t>3.5.</w:t>
      </w:r>
      <w:r>
        <w:rPr>
          <w:noProof/>
        </w:rPr>
        <w:tab/>
        <w:t>Lorsqu’une règle prévoit, dans la liste, qu’un produit doit être fabriqué à partir d’une matière déterminée, cette condition n’empêche évidemment pas l’utilisation d’autres matières qui, en raison de leur nature même, ne peuvent pas satisfaire à cette règle.</w:t>
      </w:r>
    </w:p>
    <w:p>
      <w:pPr>
        <w:pStyle w:val="Point1"/>
        <w:rPr>
          <w:noProof/>
        </w:rPr>
      </w:pPr>
      <w:r>
        <w:rPr>
          <w:noProof/>
        </w:rPr>
        <w:t>3.6.</w:t>
      </w:r>
      <w:r>
        <w:rPr>
          <w:noProof/>
        </w:rPr>
        <w:tab/>
        <w:t>S’il est prévu, dans une règle de la liste, deux pourcentages concernant la valeur maximale de matières non originaires pouvant être utilisées, ces pourcentages ne peuvent pas être additionnés. Il s’ensuit que la valeur maximale de toutes les matières non originaires utilisées ne peut jamais excéder le plus élevé des pourcentages considérés. En outre, les pourcentages spécifiques qui s’appliquent à des produits particuliers ne doivent pas être dépassés.</w:t>
      </w:r>
    </w:p>
    <w:p>
      <w:pPr>
        <w:pStyle w:val="Text1"/>
        <w:rPr>
          <w:b/>
          <w:noProof/>
        </w:rPr>
      </w:pPr>
      <w:r>
        <w:rPr>
          <w:b/>
          <w:noProof/>
        </w:rPr>
        <w:t>Note 4 – Dispositions générales relatives à certaines marchandises agricoles</w:t>
      </w:r>
    </w:p>
    <w:p>
      <w:pPr>
        <w:pStyle w:val="Point1"/>
        <w:rPr>
          <w:noProof/>
        </w:rPr>
      </w:pPr>
      <w:r>
        <w:rPr>
          <w:noProof/>
        </w:rPr>
        <w:t>4.1.</w:t>
      </w:r>
      <w:r>
        <w:rPr>
          <w:noProof/>
        </w:rPr>
        <w:tab/>
        <w:t>Les marchandises agricoles relevant des chapitres 6, 7, 8, 9, 10 et 12 et de la position 2401 qui sont cultivées ou récoltées sur le territoire d’une partie sont considérées comme originaires du territoire de cette partie, même si elles ont été cultivées à partir de semences, de bulbes, de rhizomes, de boutures, de greffons, de pousses, de bourgeons ou d’autres parties vivantes de végétaux importées.</w:t>
      </w:r>
    </w:p>
    <w:p>
      <w:pPr>
        <w:pStyle w:val="Point1"/>
        <w:rPr>
          <w:noProof/>
        </w:rPr>
      </w:pPr>
      <w:r>
        <w:rPr>
          <w:noProof/>
        </w:rPr>
        <w:t>4.2.</w:t>
      </w:r>
      <w:r>
        <w:rPr>
          <w:noProof/>
        </w:rPr>
        <w:tab/>
        <w:t>Dans les cas où la quantité de sucre non originaire incorporé à un produit donné fait l’objet de limitations, le calcul de ces limitations prend en compte le poids des sucres relevant des nº</w:t>
      </w:r>
      <w:r>
        <w:rPr>
          <w:noProof/>
          <w:vertAlign w:val="superscript"/>
        </w:rPr>
        <w:t>s</w:t>
      </w:r>
      <w:r>
        <w:rPr>
          <w:noProof/>
        </w:rPr>
        <w:t xml:space="preserve"> 1701 (saccharose) et 1702 (comme le fructose, le glucose, le lactose, le maltose, l’isoglucose ou le sucre inverti) mis en œuvre dans la fabrication du produit final, ainsi que dans la fabrication des produits non originaires incorporés dans le produit final.</w:t>
      </w:r>
    </w:p>
    <w:p>
      <w:pPr>
        <w:pStyle w:val="Text1"/>
        <w:rPr>
          <w:b/>
          <w:noProof/>
        </w:rPr>
      </w:pPr>
      <w:r>
        <w:rPr>
          <w:noProof/>
        </w:rPr>
        <w:br w:type="page"/>
      </w:r>
      <w:r>
        <w:rPr>
          <w:b/>
          <w:noProof/>
        </w:rPr>
        <w:t>Note 5 – Terminologie utilisée en ce qui concerne certains produits textiles</w:t>
      </w:r>
    </w:p>
    <w:p>
      <w:pPr>
        <w:pStyle w:val="Point1"/>
        <w:rPr>
          <w:noProof/>
        </w:rPr>
      </w:pPr>
      <w:r>
        <w:rPr>
          <w:noProof/>
        </w:rPr>
        <w:t>5.1.</w:t>
      </w:r>
      <w:r>
        <w:rPr>
          <w:noProof/>
        </w:rPr>
        <w:tab/>
        <w:t>L’expression “fibres naturelles”, lorsqu’elle est utilisée dans la liste, se rapporte aux fibres autres que les fibres artificielles ou synthétiques Elle doit être limitée aux fibres dans tous les états où elles peuvent se trouver avant la filature, y compris les déchets, et, sauf dispositions contraires, elle couvre les fibres qui ont été cardées, peignées ou autrement travaillées pour la filature, mais non filées.</w:t>
      </w:r>
    </w:p>
    <w:p>
      <w:pPr>
        <w:pStyle w:val="Point1"/>
        <w:rPr>
          <w:noProof/>
        </w:rPr>
      </w:pPr>
      <w:r>
        <w:rPr>
          <w:noProof/>
        </w:rPr>
        <w:t>5.2.</w:t>
      </w:r>
      <w:r>
        <w:rPr>
          <w:noProof/>
        </w:rPr>
        <w:tab/>
        <w:t>L’expression “fibres naturelles” couvre le crin du nº 0511, la soie des nº</w:t>
      </w:r>
      <w:r>
        <w:rPr>
          <w:noProof/>
          <w:vertAlign w:val="superscript"/>
        </w:rPr>
        <w:t>s</w:t>
      </w:r>
      <w:r>
        <w:rPr>
          <w:noProof/>
        </w:rPr>
        <w:t> 5002 et 5003, ainsi que la laine, les poils fins et les poils grossiers des nº</w:t>
      </w:r>
      <w:r>
        <w:rPr>
          <w:noProof/>
          <w:vertAlign w:val="superscript"/>
        </w:rPr>
        <w:t>s</w:t>
      </w:r>
      <w:r>
        <w:rPr>
          <w:noProof/>
        </w:rPr>
        <w:t> 5101 à 5105, les fibres de coton des nº</w:t>
      </w:r>
      <w:r>
        <w:rPr>
          <w:noProof/>
          <w:vertAlign w:val="superscript"/>
        </w:rPr>
        <w:t>s</w:t>
      </w:r>
      <w:r>
        <w:rPr>
          <w:noProof/>
        </w:rPr>
        <w:t> 5201 à 5203 et les autres fibres d’origine végétale des nº</w:t>
      </w:r>
      <w:r>
        <w:rPr>
          <w:noProof/>
          <w:vertAlign w:val="superscript"/>
        </w:rPr>
        <w:t>s</w:t>
      </w:r>
      <w:r>
        <w:rPr>
          <w:noProof/>
        </w:rPr>
        <w:t> 5301 à 5305.</w:t>
      </w:r>
    </w:p>
    <w:p>
      <w:pPr>
        <w:pStyle w:val="Point1"/>
        <w:rPr>
          <w:noProof/>
        </w:rPr>
      </w:pPr>
      <w:r>
        <w:rPr>
          <w:noProof/>
        </w:rPr>
        <w:t>5.3.</w:t>
      </w:r>
      <w:r>
        <w:rPr>
          <w:noProof/>
        </w:rPr>
        <w:tab/>
        <w:t>Les expressions “pâtes textiles”, “matières chimiques” et “matières destinées à la fabrication du papier” utilisées dans la liste désignent les matières non classées dans les chapitres 50 à 63, qui peuvent être utilisées en vue de fabriquer des fibres ou des fils synthétiques ou artificiels ou des fibres ou fils de papier.</w:t>
      </w:r>
    </w:p>
    <w:p>
      <w:pPr>
        <w:pStyle w:val="Point1"/>
        <w:rPr>
          <w:noProof/>
        </w:rPr>
      </w:pPr>
      <w:r>
        <w:rPr>
          <w:noProof/>
        </w:rPr>
        <w:t>5.4.</w:t>
      </w:r>
      <w:r>
        <w:rPr>
          <w:noProof/>
        </w:rPr>
        <w:tab/>
        <w:t>L’expression “fibres synthétiques ou artificielles discontinues” utilisée dans la liste couvre les câbles de filaments, les fibres discontinues et les déchets de fibres synthétiques ou artificielles discontinues des nº</w:t>
      </w:r>
      <w:r>
        <w:rPr>
          <w:noProof/>
          <w:vertAlign w:val="superscript"/>
        </w:rPr>
        <w:t>s</w:t>
      </w:r>
      <w:r>
        <w:rPr>
          <w:noProof/>
        </w:rPr>
        <w:t> 5501 à 5507.</w:t>
      </w:r>
    </w:p>
    <w:p>
      <w:pPr>
        <w:pStyle w:val="Point1"/>
        <w:rPr>
          <w:noProof/>
        </w:rPr>
      </w:pPr>
      <w:r>
        <w:rPr>
          <w:noProof/>
        </w:rPr>
        <w:t>5.5.</w:t>
      </w:r>
      <w:r>
        <w:rPr>
          <w:noProof/>
        </w:rPr>
        <w:tab/>
        <w:t>L’impression (lorsqu’elle est accompagnée du tissage, du tricotage/crochet, du touffetage ou du flocage) est définie comme une technique par laquelle un substrat textile reçoit une fonction objectivement déterminée, telle que la couleur, la conception ou une qualité technique, de caractère permanent, en utilisant des techniques de sérigraphie, de rouleau, de transfert ou numériques.</w:t>
      </w:r>
    </w:p>
    <w:p>
      <w:pPr>
        <w:pStyle w:val="Point1"/>
        <w:rPr>
          <w:noProof/>
        </w:rPr>
      </w:pPr>
      <w:r>
        <w:rPr>
          <w:noProof/>
        </w:rPr>
        <w:t>5.6.</w:t>
      </w:r>
      <w:r>
        <w:rPr>
          <w:noProof/>
        </w:rPr>
        <w:tab/>
        <w:t>L’impression (en qualité d’opération unique) est définie comme une technique par laquelle un substrat textile reçoit une fonction objectivement déterminée, telle que la couleur, la conception ou une qualité technique, de caractère permanent, en utilisant des techniques de sérigraphie, de rouleau, de transfert ou numériques, accompagnée au moins de deux opérations de préparation ou de finissage (telles que lavage, blanchiment, mercerisage, thermofixage, lainage, calandrage, opération de rétrécissement, fini permanent, décatissage, imprégnation, stoppage et épincetage), à condition que la valeur des matières utilisées n’excède pas 50 % du prix départ usine du produit.</w:t>
      </w:r>
    </w:p>
    <w:p>
      <w:pPr>
        <w:pStyle w:val="Text1"/>
        <w:rPr>
          <w:b/>
          <w:noProof/>
        </w:rPr>
      </w:pPr>
      <w:r>
        <w:rPr>
          <w:b/>
          <w:noProof/>
        </w:rPr>
        <w:t>Note 6 – Tolérances applicables aux produits constitués d’un mélange de matières textiles</w:t>
      </w:r>
    </w:p>
    <w:p>
      <w:pPr>
        <w:pStyle w:val="Point1"/>
        <w:rPr>
          <w:noProof/>
        </w:rPr>
      </w:pPr>
      <w:r>
        <w:rPr>
          <w:noProof/>
        </w:rPr>
        <w:t>6.1.</w:t>
      </w:r>
      <w:r>
        <w:rPr>
          <w:noProof/>
        </w:rPr>
        <w:tab/>
        <w:t>Lorsqu’il est fait référence à la présente note pour un produit déterminé de la liste, les conditions exposées dans la colonne (3) ne doivent pas être appliquées aux différentes matières textiles de base qui sont utilisées dans la fabrication de ce produit lorsque, considérées ensemble, elles représentent 15 % ou moins du poids total de toutes les matières textiles de base utilisées (Voir également les notes 6.3 et 6.4).</w:t>
      </w:r>
    </w:p>
    <w:p>
      <w:pPr>
        <w:pStyle w:val="Point1"/>
        <w:rPr>
          <w:noProof/>
        </w:rPr>
      </w:pPr>
      <w:r>
        <w:rPr>
          <w:noProof/>
        </w:rPr>
        <w:t>6.2.</w:t>
      </w:r>
      <w:r>
        <w:rPr>
          <w:noProof/>
        </w:rPr>
        <w:tab/>
        <w:t>Toutefois, la tolérance mentionnée dans la note 6.1 s’applique uniquement aux produits mélangés qui ont été obtenus à partir de deux ou plusieurs matières textiles de base.</w:t>
      </w:r>
    </w:p>
    <w:p>
      <w:pPr>
        <w:pStyle w:val="Text2"/>
        <w:rPr>
          <w:noProof/>
        </w:rPr>
      </w:pPr>
      <w:r>
        <w:rPr>
          <w:noProof/>
        </w:rPr>
        <w:t>Les matières textiles de base sont les suivantes:</w:t>
      </w:r>
    </w:p>
    <w:p>
      <w:pPr>
        <w:pStyle w:val="Tiret2"/>
        <w:numPr>
          <w:ilvl w:val="0"/>
          <w:numId w:val="23"/>
        </w:numPr>
        <w:spacing w:line="360" w:lineRule="auto"/>
        <w:rPr>
          <w:noProof/>
        </w:rPr>
      </w:pPr>
      <w:r>
        <w:rPr>
          <w:noProof/>
        </w:rPr>
        <w:t>la soie,</w:t>
      </w:r>
    </w:p>
    <w:p>
      <w:pPr>
        <w:pStyle w:val="Tiret2"/>
        <w:numPr>
          <w:ilvl w:val="0"/>
          <w:numId w:val="23"/>
        </w:numPr>
        <w:spacing w:line="360" w:lineRule="auto"/>
        <w:rPr>
          <w:noProof/>
        </w:rPr>
      </w:pPr>
      <w:r>
        <w:rPr>
          <w:noProof/>
        </w:rPr>
        <w:t>la laine,</w:t>
      </w:r>
    </w:p>
    <w:p>
      <w:pPr>
        <w:pStyle w:val="Tiret2"/>
        <w:numPr>
          <w:ilvl w:val="0"/>
          <w:numId w:val="23"/>
        </w:numPr>
        <w:spacing w:line="360" w:lineRule="auto"/>
        <w:rPr>
          <w:noProof/>
        </w:rPr>
      </w:pPr>
      <w:r>
        <w:rPr>
          <w:noProof/>
        </w:rPr>
        <w:t>les poils grossiers d’animaux,</w:t>
      </w:r>
    </w:p>
    <w:p>
      <w:pPr>
        <w:pStyle w:val="Tiret2"/>
        <w:numPr>
          <w:ilvl w:val="0"/>
          <w:numId w:val="23"/>
        </w:numPr>
        <w:spacing w:line="360" w:lineRule="auto"/>
        <w:rPr>
          <w:noProof/>
        </w:rPr>
      </w:pPr>
      <w:r>
        <w:rPr>
          <w:noProof/>
        </w:rPr>
        <w:t>les poils fins d’animaux,</w:t>
      </w:r>
    </w:p>
    <w:p>
      <w:pPr>
        <w:pStyle w:val="Tiret2"/>
        <w:numPr>
          <w:ilvl w:val="0"/>
          <w:numId w:val="23"/>
        </w:numPr>
        <w:spacing w:line="360" w:lineRule="auto"/>
        <w:rPr>
          <w:noProof/>
        </w:rPr>
      </w:pPr>
      <w:r>
        <w:rPr>
          <w:noProof/>
        </w:rPr>
        <w:t>le crin,</w:t>
      </w:r>
    </w:p>
    <w:p>
      <w:pPr>
        <w:pStyle w:val="Tiret2"/>
        <w:numPr>
          <w:ilvl w:val="0"/>
          <w:numId w:val="23"/>
        </w:numPr>
        <w:spacing w:line="360" w:lineRule="auto"/>
        <w:rPr>
          <w:noProof/>
        </w:rPr>
      </w:pPr>
      <w:r>
        <w:rPr>
          <w:noProof/>
        </w:rPr>
        <w:t>le coton,</w:t>
      </w:r>
    </w:p>
    <w:p>
      <w:pPr>
        <w:pStyle w:val="Tiret2"/>
        <w:numPr>
          <w:ilvl w:val="0"/>
          <w:numId w:val="23"/>
        </w:numPr>
        <w:spacing w:line="360" w:lineRule="auto"/>
        <w:rPr>
          <w:noProof/>
        </w:rPr>
      </w:pPr>
      <w:r>
        <w:rPr>
          <w:noProof/>
        </w:rPr>
        <w:t>les matières servant à la fabrication du papier et le papier,</w:t>
      </w:r>
    </w:p>
    <w:p>
      <w:pPr>
        <w:pStyle w:val="Tiret2"/>
        <w:numPr>
          <w:ilvl w:val="0"/>
          <w:numId w:val="23"/>
        </w:numPr>
        <w:spacing w:line="360" w:lineRule="auto"/>
        <w:rPr>
          <w:noProof/>
        </w:rPr>
      </w:pPr>
      <w:r>
        <w:rPr>
          <w:noProof/>
        </w:rPr>
        <w:t>le lin,</w:t>
      </w:r>
    </w:p>
    <w:p>
      <w:pPr>
        <w:pStyle w:val="Tiret2"/>
        <w:numPr>
          <w:ilvl w:val="0"/>
          <w:numId w:val="23"/>
        </w:numPr>
        <w:spacing w:line="360" w:lineRule="auto"/>
        <w:rPr>
          <w:noProof/>
        </w:rPr>
      </w:pPr>
      <w:r>
        <w:rPr>
          <w:noProof/>
        </w:rPr>
        <w:t>le chanvre,</w:t>
      </w:r>
    </w:p>
    <w:p>
      <w:pPr>
        <w:pStyle w:val="Tiret2"/>
        <w:numPr>
          <w:ilvl w:val="0"/>
          <w:numId w:val="23"/>
        </w:numPr>
        <w:spacing w:line="360" w:lineRule="auto"/>
        <w:rPr>
          <w:noProof/>
        </w:rPr>
      </w:pPr>
      <w:r>
        <w:rPr>
          <w:noProof/>
        </w:rPr>
        <w:t>le jute et les autres fibres libériennes,</w:t>
      </w:r>
    </w:p>
    <w:p>
      <w:pPr>
        <w:pStyle w:val="Tiret2"/>
        <w:numPr>
          <w:ilvl w:val="0"/>
          <w:numId w:val="23"/>
        </w:numPr>
        <w:spacing w:line="360" w:lineRule="auto"/>
        <w:rPr>
          <w:noProof/>
        </w:rPr>
      </w:pPr>
      <w:r>
        <w:rPr>
          <w:noProof/>
        </w:rPr>
        <w:t>le sisal et les autres fibres textiles du genre “agave”,</w:t>
      </w:r>
    </w:p>
    <w:p>
      <w:pPr>
        <w:pStyle w:val="Tiret2"/>
        <w:numPr>
          <w:ilvl w:val="0"/>
          <w:numId w:val="23"/>
        </w:numPr>
        <w:spacing w:line="360" w:lineRule="auto"/>
        <w:rPr>
          <w:noProof/>
        </w:rPr>
      </w:pPr>
      <w:r>
        <w:rPr>
          <w:noProof/>
        </w:rPr>
        <w:t>le coco, l’abaca, la ramie et les autres fibres textiles végétales,</w:t>
      </w:r>
    </w:p>
    <w:p>
      <w:pPr>
        <w:pStyle w:val="Tiret2"/>
        <w:numPr>
          <w:ilvl w:val="0"/>
          <w:numId w:val="23"/>
        </w:numPr>
        <w:spacing w:line="360" w:lineRule="auto"/>
        <w:rPr>
          <w:noProof/>
        </w:rPr>
      </w:pPr>
      <w:r>
        <w:rPr>
          <w:noProof/>
        </w:rPr>
        <w:t>les fibres synthétiques ou artificielles de filaments de polypropylène,</w:t>
      </w:r>
    </w:p>
    <w:p>
      <w:pPr>
        <w:pStyle w:val="Tiret2"/>
        <w:numPr>
          <w:ilvl w:val="0"/>
          <w:numId w:val="23"/>
        </w:numPr>
        <w:spacing w:line="360" w:lineRule="auto"/>
        <w:rPr>
          <w:noProof/>
        </w:rPr>
      </w:pPr>
      <w:r>
        <w:rPr>
          <w:noProof/>
        </w:rPr>
        <w:t>les fibres synthétiques ou artificielles de filaments de polyester,</w:t>
      </w:r>
    </w:p>
    <w:p>
      <w:pPr>
        <w:pStyle w:val="Tiret2"/>
        <w:numPr>
          <w:ilvl w:val="0"/>
          <w:numId w:val="23"/>
        </w:numPr>
        <w:spacing w:line="360" w:lineRule="auto"/>
        <w:rPr>
          <w:noProof/>
        </w:rPr>
      </w:pPr>
      <w:r>
        <w:rPr>
          <w:noProof/>
        </w:rPr>
        <w:t>les fibres synthétiques ou artificielles de filaments de polyamide,</w:t>
      </w:r>
    </w:p>
    <w:p>
      <w:pPr>
        <w:pStyle w:val="Tiret2"/>
        <w:numPr>
          <w:ilvl w:val="0"/>
          <w:numId w:val="23"/>
        </w:numPr>
        <w:spacing w:line="360" w:lineRule="auto"/>
        <w:rPr>
          <w:noProof/>
        </w:rPr>
      </w:pPr>
      <w:r>
        <w:rPr>
          <w:noProof/>
        </w:rPr>
        <w:t>les fibres synthétiques ou artificielles de filaments de polyacrylonitrile,</w:t>
      </w:r>
    </w:p>
    <w:p>
      <w:pPr>
        <w:pStyle w:val="Tiret2"/>
        <w:numPr>
          <w:ilvl w:val="0"/>
          <w:numId w:val="23"/>
        </w:numPr>
        <w:spacing w:line="360" w:lineRule="auto"/>
        <w:rPr>
          <w:noProof/>
        </w:rPr>
      </w:pPr>
      <w:r>
        <w:rPr>
          <w:noProof/>
        </w:rPr>
        <w:t>les fibres synthétiques ou artificielles de filaments de polyimide,</w:t>
      </w:r>
    </w:p>
    <w:p>
      <w:pPr>
        <w:pStyle w:val="Tiret2"/>
        <w:numPr>
          <w:ilvl w:val="0"/>
          <w:numId w:val="23"/>
        </w:numPr>
        <w:spacing w:line="360" w:lineRule="auto"/>
        <w:rPr>
          <w:noProof/>
        </w:rPr>
      </w:pPr>
      <w:r>
        <w:rPr>
          <w:noProof/>
        </w:rPr>
        <w:t>les fibres synthétiques ou artificielles de filaments de polytétrafluoroéthylène,</w:t>
      </w:r>
    </w:p>
    <w:p>
      <w:pPr>
        <w:pStyle w:val="Tiret2"/>
        <w:numPr>
          <w:ilvl w:val="0"/>
          <w:numId w:val="23"/>
        </w:numPr>
        <w:spacing w:line="360" w:lineRule="auto"/>
        <w:rPr>
          <w:noProof/>
        </w:rPr>
      </w:pPr>
      <w:r>
        <w:rPr>
          <w:noProof/>
        </w:rPr>
        <w:t>les fibres synthétiques ou artificielles de filaments de poly(sulfure de phénylène),</w:t>
      </w:r>
    </w:p>
    <w:p>
      <w:pPr>
        <w:pStyle w:val="Tiret2"/>
        <w:numPr>
          <w:ilvl w:val="0"/>
          <w:numId w:val="23"/>
        </w:numPr>
        <w:spacing w:line="360" w:lineRule="auto"/>
        <w:rPr>
          <w:noProof/>
        </w:rPr>
      </w:pPr>
      <w:r>
        <w:rPr>
          <w:noProof/>
        </w:rPr>
        <w:t>les fibres synthétiques ou artificielles de filaments de poly(chlorure de vinyle),</w:t>
      </w:r>
    </w:p>
    <w:p>
      <w:pPr>
        <w:pStyle w:val="Tiret2"/>
        <w:numPr>
          <w:ilvl w:val="0"/>
          <w:numId w:val="23"/>
        </w:numPr>
        <w:spacing w:line="360" w:lineRule="auto"/>
        <w:rPr>
          <w:noProof/>
        </w:rPr>
      </w:pPr>
      <w:r>
        <w:rPr>
          <w:noProof/>
        </w:rPr>
        <w:t>les autres fibres synthétiques ou artificielles de filaments,</w:t>
      </w:r>
    </w:p>
    <w:p>
      <w:pPr>
        <w:pStyle w:val="Tiret2"/>
        <w:numPr>
          <w:ilvl w:val="0"/>
          <w:numId w:val="23"/>
        </w:numPr>
        <w:spacing w:line="360" w:lineRule="auto"/>
        <w:rPr>
          <w:noProof/>
        </w:rPr>
      </w:pPr>
      <w:r>
        <w:rPr>
          <w:noProof/>
        </w:rPr>
        <w:t>les fibres synthétiques ou artificielles de filaments de viscose,</w:t>
      </w:r>
    </w:p>
    <w:p>
      <w:pPr>
        <w:pStyle w:val="Tiret2"/>
        <w:numPr>
          <w:ilvl w:val="0"/>
          <w:numId w:val="23"/>
        </w:numPr>
        <w:spacing w:line="360" w:lineRule="auto"/>
        <w:rPr>
          <w:noProof/>
        </w:rPr>
      </w:pPr>
      <w:r>
        <w:rPr>
          <w:noProof/>
        </w:rPr>
        <w:t>les autres fibres synthétiques ou artificielles de filaments,</w:t>
      </w:r>
    </w:p>
    <w:p>
      <w:pPr>
        <w:pStyle w:val="Tiret2"/>
        <w:numPr>
          <w:ilvl w:val="0"/>
          <w:numId w:val="23"/>
        </w:numPr>
        <w:spacing w:line="360" w:lineRule="auto"/>
        <w:rPr>
          <w:noProof/>
        </w:rPr>
      </w:pPr>
      <w:r>
        <w:rPr>
          <w:noProof/>
        </w:rPr>
        <w:t>les filaments conducteurs électriques,</w:t>
      </w:r>
    </w:p>
    <w:p>
      <w:pPr>
        <w:pStyle w:val="Tiret2"/>
        <w:numPr>
          <w:ilvl w:val="0"/>
          <w:numId w:val="23"/>
        </w:numPr>
        <w:spacing w:line="360" w:lineRule="auto"/>
        <w:rPr>
          <w:noProof/>
        </w:rPr>
      </w:pPr>
      <w:r>
        <w:rPr>
          <w:noProof/>
        </w:rPr>
        <w:t>les fibres synthétiques ou artificielles discontinues de polypropylène,</w:t>
      </w:r>
    </w:p>
    <w:p>
      <w:pPr>
        <w:pStyle w:val="Tiret2"/>
        <w:numPr>
          <w:ilvl w:val="0"/>
          <w:numId w:val="23"/>
        </w:numPr>
        <w:spacing w:line="360" w:lineRule="auto"/>
        <w:rPr>
          <w:noProof/>
        </w:rPr>
      </w:pPr>
      <w:r>
        <w:rPr>
          <w:noProof/>
        </w:rPr>
        <w:t>les fibres synthétiques ou artificielles discontinues de polyester,</w:t>
      </w:r>
    </w:p>
    <w:p>
      <w:pPr>
        <w:pStyle w:val="Tiret2"/>
        <w:numPr>
          <w:ilvl w:val="0"/>
          <w:numId w:val="23"/>
        </w:numPr>
        <w:spacing w:line="360" w:lineRule="auto"/>
        <w:rPr>
          <w:noProof/>
        </w:rPr>
      </w:pPr>
      <w:r>
        <w:rPr>
          <w:noProof/>
        </w:rPr>
        <w:t>les fibres synthétiques ou artificielles discontinues de polyamide,</w:t>
      </w:r>
    </w:p>
    <w:p>
      <w:pPr>
        <w:pStyle w:val="Tiret2"/>
        <w:numPr>
          <w:ilvl w:val="0"/>
          <w:numId w:val="23"/>
        </w:numPr>
        <w:spacing w:line="360" w:lineRule="auto"/>
        <w:rPr>
          <w:noProof/>
        </w:rPr>
      </w:pPr>
      <w:r>
        <w:rPr>
          <w:noProof/>
        </w:rPr>
        <w:t>les fibres synthétiques ou artificielles discontinues de polyacrylonitrile,</w:t>
      </w:r>
    </w:p>
    <w:p>
      <w:pPr>
        <w:pStyle w:val="Tiret2"/>
        <w:numPr>
          <w:ilvl w:val="0"/>
          <w:numId w:val="23"/>
        </w:numPr>
        <w:spacing w:line="360" w:lineRule="auto"/>
        <w:rPr>
          <w:noProof/>
        </w:rPr>
      </w:pPr>
      <w:r>
        <w:rPr>
          <w:noProof/>
        </w:rPr>
        <w:t>les fibres synthétiques ou artificielles discontinues de polyimide,</w:t>
      </w:r>
    </w:p>
    <w:p>
      <w:pPr>
        <w:pStyle w:val="Tiret2"/>
        <w:numPr>
          <w:ilvl w:val="0"/>
          <w:numId w:val="23"/>
        </w:numPr>
        <w:spacing w:line="360" w:lineRule="auto"/>
        <w:rPr>
          <w:noProof/>
        </w:rPr>
      </w:pPr>
      <w:r>
        <w:rPr>
          <w:noProof/>
        </w:rPr>
        <w:t>les fibres synthétiques ou artificielles discontinues de polytétrafluoroéthylène,</w:t>
      </w:r>
    </w:p>
    <w:p>
      <w:pPr>
        <w:pStyle w:val="Tiret2"/>
        <w:numPr>
          <w:ilvl w:val="0"/>
          <w:numId w:val="23"/>
        </w:numPr>
        <w:spacing w:line="360" w:lineRule="auto"/>
        <w:rPr>
          <w:noProof/>
        </w:rPr>
      </w:pPr>
      <w:r>
        <w:rPr>
          <w:noProof/>
        </w:rPr>
        <w:t>les fibres synthétiques ou artificielles discontinues de poly(sulfure de phénylène),</w:t>
      </w:r>
    </w:p>
    <w:p>
      <w:pPr>
        <w:pStyle w:val="Tiret2"/>
        <w:numPr>
          <w:ilvl w:val="0"/>
          <w:numId w:val="23"/>
        </w:numPr>
        <w:spacing w:line="360" w:lineRule="auto"/>
        <w:rPr>
          <w:noProof/>
        </w:rPr>
      </w:pPr>
      <w:r>
        <w:rPr>
          <w:noProof/>
        </w:rPr>
        <w:t>les fibres synthétiques ou artificielles discontinues de poly(chlorure de vinyle),</w:t>
      </w:r>
    </w:p>
    <w:p>
      <w:pPr>
        <w:pStyle w:val="Tiret2"/>
        <w:numPr>
          <w:ilvl w:val="0"/>
          <w:numId w:val="23"/>
        </w:numPr>
        <w:spacing w:line="360" w:lineRule="auto"/>
        <w:rPr>
          <w:noProof/>
        </w:rPr>
      </w:pPr>
      <w:r>
        <w:rPr>
          <w:noProof/>
        </w:rPr>
        <w:t>les autres fibres synthétiques ou artificielles discontinues,</w:t>
      </w:r>
    </w:p>
    <w:p>
      <w:pPr>
        <w:pStyle w:val="Tiret2"/>
        <w:numPr>
          <w:ilvl w:val="0"/>
          <w:numId w:val="23"/>
        </w:numPr>
        <w:spacing w:line="360" w:lineRule="auto"/>
        <w:rPr>
          <w:noProof/>
        </w:rPr>
      </w:pPr>
      <w:r>
        <w:rPr>
          <w:noProof/>
        </w:rPr>
        <w:t>les fibres synthétiques ou artificielles discontinues de viscose,</w:t>
      </w:r>
    </w:p>
    <w:p>
      <w:pPr>
        <w:pStyle w:val="Tiret2"/>
        <w:numPr>
          <w:ilvl w:val="0"/>
          <w:numId w:val="23"/>
        </w:numPr>
        <w:spacing w:line="360" w:lineRule="auto"/>
        <w:rPr>
          <w:noProof/>
        </w:rPr>
      </w:pPr>
      <w:r>
        <w:rPr>
          <w:noProof/>
        </w:rPr>
        <w:t>les autres fibres synthétiques ou artificielles discontinues,</w:t>
      </w:r>
    </w:p>
    <w:p>
      <w:pPr>
        <w:pStyle w:val="Tiret2"/>
        <w:numPr>
          <w:ilvl w:val="0"/>
          <w:numId w:val="23"/>
        </w:numPr>
        <w:spacing w:line="360" w:lineRule="auto"/>
        <w:rPr>
          <w:noProof/>
        </w:rPr>
      </w:pPr>
      <w:r>
        <w:rPr>
          <w:noProof/>
        </w:rPr>
        <w:t>les fils de polyuréthanes segmentés avec des segments souples de polyéthers même guipés,</w:t>
      </w:r>
    </w:p>
    <w:p>
      <w:pPr>
        <w:pStyle w:val="Tiret2"/>
        <w:numPr>
          <w:ilvl w:val="0"/>
          <w:numId w:val="23"/>
        </w:numPr>
        <w:spacing w:line="360" w:lineRule="auto"/>
        <w:rPr>
          <w:noProof/>
        </w:rPr>
      </w:pPr>
      <w:r>
        <w:rPr>
          <w:noProof/>
        </w:rPr>
        <w:t>les produits du nº 5605 (filés métalliques et fils métallisés) formés d’une âme consistant soit en une bande mince d’aluminium, soit en une pellicule de matière plastique recouverte ou non de poudre d’aluminium, d’une largeur n’excédant pas 5 mm, cette âme étant insérée par collage entre deux pellicules de matière plastique à l’aide d’une colle transparente ou colorée,</w:t>
      </w:r>
    </w:p>
    <w:p>
      <w:pPr>
        <w:pStyle w:val="Tiret2"/>
        <w:numPr>
          <w:ilvl w:val="0"/>
          <w:numId w:val="23"/>
        </w:numPr>
        <w:spacing w:line="360" w:lineRule="auto"/>
        <w:rPr>
          <w:noProof/>
        </w:rPr>
      </w:pPr>
      <w:r>
        <w:rPr>
          <w:noProof/>
        </w:rPr>
        <w:t>les autres produits de la position 5605,</w:t>
      </w:r>
    </w:p>
    <w:p>
      <w:pPr>
        <w:pStyle w:val="Tiret2"/>
        <w:numPr>
          <w:ilvl w:val="0"/>
          <w:numId w:val="23"/>
        </w:numPr>
        <w:spacing w:line="360" w:lineRule="auto"/>
        <w:rPr>
          <w:noProof/>
        </w:rPr>
      </w:pPr>
      <w:r>
        <w:rPr>
          <w:noProof/>
        </w:rPr>
        <w:t>les fibres de verre,</w:t>
      </w:r>
    </w:p>
    <w:p>
      <w:pPr>
        <w:pStyle w:val="Tiret2"/>
        <w:numPr>
          <w:ilvl w:val="0"/>
          <w:numId w:val="23"/>
        </w:numPr>
        <w:spacing w:line="360" w:lineRule="auto"/>
        <w:rPr>
          <w:noProof/>
        </w:rPr>
      </w:pPr>
      <w:r>
        <w:rPr>
          <w:noProof/>
        </w:rPr>
        <w:t>les fibres métalliques,</w:t>
      </w:r>
    </w:p>
    <w:p>
      <w:pPr>
        <w:pStyle w:val="Tiret2"/>
        <w:numPr>
          <w:ilvl w:val="0"/>
          <w:numId w:val="23"/>
        </w:numPr>
        <w:spacing w:line="360" w:lineRule="auto"/>
        <w:rPr>
          <w:noProof/>
        </w:rPr>
      </w:pPr>
      <w:r>
        <w:rPr>
          <w:noProof/>
        </w:rPr>
        <w:t>les fibres minérales.</w:t>
      </w:r>
    </w:p>
    <w:p>
      <w:pPr>
        <w:pStyle w:val="Point1"/>
        <w:rPr>
          <w:noProof/>
        </w:rPr>
      </w:pPr>
      <w:r>
        <w:rPr>
          <w:noProof/>
        </w:rPr>
        <w:t>6.3.</w:t>
      </w:r>
      <w:r>
        <w:rPr>
          <w:noProof/>
        </w:rPr>
        <w:tab/>
        <w:t>Dans le cas des produits incorporant des “fils de polyuréthanes segmentés avec des segments souples de polyéthers, même guipés”, cette tolérance est de 20 % en ce qui concerne les fils.</w:t>
      </w:r>
    </w:p>
    <w:p>
      <w:pPr>
        <w:pStyle w:val="Point1"/>
        <w:rPr>
          <w:noProof/>
        </w:rPr>
      </w:pPr>
      <w:r>
        <w:rPr>
          <w:noProof/>
        </w:rPr>
        <w:t>6.4.</w:t>
      </w:r>
      <w:r>
        <w:rPr>
          <w:noProof/>
        </w:rPr>
        <w:tab/>
        <w:t>Dans le cas des produits formés d'“une âme consistant soit en une bande mince d’aluminium, soit en une pellicule de matière plastique recouverte ou non de poudre d’aluminium, d’une largeur n’excédant pas 5 mm, cette âme étant insérée par collage entre deux pellicules de matière plastique à l’aide d’une colle transparente ou colorée”, cette tolérance est de 30 % en ce qui concerne cette âme.</w:t>
      </w:r>
    </w:p>
    <w:p>
      <w:pPr>
        <w:pStyle w:val="Text1"/>
        <w:rPr>
          <w:b/>
          <w:noProof/>
        </w:rPr>
      </w:pPr>
      <w:r>
        <w:rPr>
          <w:b/>
          <w:noProof/>
        </w:rPr>
        <w:t>Note 7 – Autres tolérances applicables à certains produits textiles</w:t>
      </w:r>
    </w:p>
    <w:p>
      <w:pPr>
        <w:pStyle w:val="Point1"/>
        <w:rPr>
          <w:noProof/>
        </w:rPr>
      </w:pPr>
      <w:r>
        <w:rPr>
          <w:noProof/>
        </w:rPr>
        <w:t>7.1.</w:t>
      </w:r>
      <w:r>
        <w:rPr>
          <w:noProof/>
        </w:rPr>
        <w:tab/>
        <w:t>Pour les produits textiles confectionnés qui font l’objet, sur la liste, d’une note de bas de page renvoyant à la présente note introductive, les matières textiles (à l’exception des doublures et des toiles tailleurs) qui ne répondent pas à la règle fixée dans la colonne (3) de la liste pour le produit confectionné concerné peuvent être utilisées à condition qu’elles soient classées dans une position différente de celle du produit et que leur valeur n’excède pas 15 % du prix départ usine du produit.</w:t>
      </w:r>
    </w:p>
    <w:p>
      <w:pPr>
        <w:pStyle w:val="Point1"/>
        <w:rPr>
          <w:noProof/>
        </w:rPr>
      </w:pPr>
      <w:r>
        <w:rPr>
          <w:noProof/>
        </w:rPr>
        <w:t>7.2.</w:t>
      </w:r>
      <w:r>
        <w:rPr>
          <w:noProof/>
        </w:rPr>
        <w:tab/>
        <w:t>Sans préjudice de la note 6.3, les matières qui ne sont pas classées dans les chapitres 50 à 63 peuvent être utilisées librement dans la fabrication des produits textiles, qu’elles contiennent ou non des matières textiles.</w:t>
      </w:r>
    </w:p>
    <w:p>
      <w:pPr>
        <w:pStyle w:val="Point1"/>
        <w:rPr>
          <w:noProof/>
        </w:rPr>
      </w:pPr>
      <w:r>
        <w:rPr>
          <w:noProof/>
        </w:rPr>
        <w:t>7.3.</w:t>
      </w:r>
      <w:r>
        <w:rPr>
          <w:noProof/>
        </w:rPr>
        <w:tab/>
        <w:t>Lorsqu’une règle de pourcentage s’applique, la valeur des matières non originaires qui ne sont pas classées dans les chapitres 50 à 63 doit être prise en considération dans le calcul de la valeur des matières non originaires incorporées.</w:t>
      </w:r>
    </w:p>
    <w:p>
      <w:pPr>
        <w:pStyle w:val="Point1"/>
        <w:rPr>
          <w:b/>
          <w:noProof/>
        </w:rPr>
      </w:pPr>
      <w:r>
        <w:rPr>
          <w:b/>
          <w:noProof/>
        </w:rPr>
        <w:t>Note 8 — Définition des traitements spécifiques et des opérations simples effectués dans le cas de certains produits du chapitre 27</w:t>
      </w:r>
    </w:p>
    <w:p>
      <w:pPr>
        <w:pStyle w:val="Point1"/>
        <w:rPr>
          <w:noProof/>
        </w:rPr>
      </w:pPr>
      <w:r>
        <w:rPr>
          <w:noProof/>
        </w:rPr>
        <w:t>8.1.</w:t>
      </w:r>
      <w:r>
        <w:rPr>
          <w:noProof/>
        </w:rPr>
        <w:tab/>
        <w:t>Les “traitements spécifiques” au sens des nº</w:t>
      </w:r>
      <w:r>
        <w:rPr>
          <w:noProof/>
          <w:vertAlign w:val="superscript"/>
        </w:rPr>
        <w:t>s</w:t>
      </w:r>
      <w:r>
        <w:rPr>
          <w:noProof/>
        </w:rPr>
        <w:t xml:space="preserve"> ex 2707 et 2713 sont les suivants:</w:t>
      </w:r>
    </w:p>
    <w:p>
      <w:pPr>
        <w:pStyle w:val="Point2"/>
        <w:rPr>
          <w:noProof/>
        </w:rPr>
      </w:pPr>
      <w:r>
        <w:rPr>
          <w:noProof/>
        </w:rPr>
        <w:t>a)</w:t>
      </w:r>
      <w:r>
        <w:rPr>
          <w:noProof/>
        </w:rPr>
        <w:tab/>
        <w:t>la distillation sous vide;</w:t>
      </w:r>
    </w:p>
    <w:p>
      <w:pPr>
        <w:pStyle w:val="Point2"/>
        <w:rPr>
          <w:noProof/>
        </w:rPr>
      </w:pPr>
      <w:r>
        <w:rPr>
          <w:noProof/>
        </w:rPr>
        <w:t>b)</w:t>
      </w:r>
      <w:r>
        <w:rPr>
          <w:noProof/>
        </w:rPr>
        <w:tab/>
        <w:t>la redistillation par un procédé de fractionnement très poussé;</w:t>
      </w:r>
    </w:p>
    <w:p>
      <w:pPr>
        <w:pStyle w:val="Point2"/>
        <w:rPr>
          <w:noProof/>
        </w:rPr>
      </w:pPr>
      <w:r>
        <w:rPr>
          <w:noProof/>
        </w:rPr>
        <w:t>c)</w:t>
      </w:r>
      <w:r>
        <w:rPr>
          <w:noProof/>
        </w:rPr>
        <w:tab/>
        <w:t>le craquage;</w:t>
      </w:r>
    </w:p>
    <w:p>
      <w:pPr>
        <w:pStyle w:val="Point2"/>
        <w:rPr>
          <w:noProof/>
        </w:rPr>
      </w:pPr>
      <w:r>
        <w:rPr>
          <w:noProof/>
        </w:rPr>
        <w:t>d)</w:t>
      </w:r>
      <w:r>
        <w:rPr>
          <w:noProof/>
        </w:rPr>
        <w:tab/>
        <w:t>le reformage;</w:t>
      </w:r>
    </w:p>
    <w:p>
      <w:pPr>
        <w:pStyle w:val="Point2"/>
        <w:rPr>
          <w:noProof/>
        </w:rPr>
      </w:pPr>
      <w:r>
        <w:rPr>
          <w:noProof/>
        </w:rPr>
        <w:t>e)</w:t>
      </w:r>
      <w:r>
        <w:rPr>
          <w:noProof/>
        </w:rPr>
        <w:tab/>
        <w:t>l’extraction par solvants sélectifs;</w:t>
      </w:r>
    </w:p>
    <w:p>
      <w:pPr>
        <w:pStyle w:val="Point2"/>
        <w:rPr>
          <w:noProof/>
        </w:rPr>
      </w:pPr>
      <w:r>
        <w:rPr>
          <w:noProof/>
        </w:rPr>
        <w:t>f)</w:t>
      </w:r>
      <w:r>
        <w:rPr>
          <w:noProof/>
        </w:rPr>
        <w:tab/>
        <w:t>le traitement comportant l’ensemble des opérations suivantes: traitement à l’acide sulfurique concentré ou à l’oléum ou à l’anhydride sulfurique; neutralisation par des agents alcalins; décoloration et épuration par la terre active par sa nature, la terre activée, le charbon actif ou la bauxite;</w:t>
      </w:r>
    </w:p>
    <w:p>
      <w:pPr>
        <w:pStyle w:val="Point2"/>
        <w:rPr>
          <w:noProof/>
        </w:rPr>
      </w:pPr>
      <w:r>
        <w:rPr>
          <w:noProof/>
        </w:rPr>
        <w:t>g)</w:t>
      </w:r>
      <w:r>
        <w:rPr>
          <w:noProof/>
        </w:rPr>
        <w:tab/>
        <w:t>la polymérisation;</w:t>
      </w:r>
    </w:p>
    <w:p>
      <w:pPr>
        <w:pStyle w:val="Point2"/>
        <w:rPr>
          <w:noProof/>
        </w:rPr>
      </w:pPr>
      <w:r>
        <w:rPr>
          <w:noProof/>
        </w:rPr>
        <w:t>h)</w:t>
      </w:r>
      <w:r>
        <w:rPr>
          <w:noProof/>
        </w:rPr>
        <w:tab/>
        <w:t>l’alkylation;</w:t>
      </w:r>
    </w:p>
    <w:p>
      <w:pPr>
        <w:pStyle w:val="Point2"/>
        <w:rPr>
          <w:noProof/>
        </w:rPr>
      </w:pPr>
      <w:r>
        <w:rPr>
          <w:noProof/>
        </w:rPr>
        <w:t>i)</w:t>
      </w:r>
      <w:r>
        <w:rPr>
          <w:noProof/>
        </w:rPr>
        <w:tab/>
        <w:t>l’isomérisation.</w:t>
      </w:r>
    </w:p>
    <w:p>
      <w:pPr>
        <w:pStyle w:val="Point2"/>
        <w:rPr>
          <w:noProof/>
        </w:rPr>
      </w:pPr>
      <w:r>
        <w:rPr>
          <w:noProof/>
        </w:rPr>
        <w:t>8.2.</w:t>
      </w:r>
      <w:r>
        <w:rPr>
          <w:noProof/>
        </w:rPr>
        <w:tab/>
        <w:t>Les “traitements spécifiques” au sens des nºs 2710, 2711 et 2712 sont les suivants:</w:t>
      </w:r>
    </w:p>
    <w:p>
      <w:pPr>
        <w:pStyle w:val="Point2"/>
        <w:rPr>
          <w:noProof/>
        </w:rPr>
      </w:pPr>
      <w:r>
        <w:rPr>
          <w:noProof/>
        </w:rPr>
        <w:t>a)</w:t>
      </w:r>
      <w:r>
        <w:rPr>
          <w:noProof/>
        </w:rPr>
        <w:tab/>
        <w:t>la distillation sous vide;</w:t>
      </w:r>
    </w:p>
    <w:p>
      <w:pPr>
        <w:pStyle w:val="Point2"/>
        <w:rPr>
          <w:noProof/>
        </w:rPr>
      </w:pPr>
      <w:r>
        <w:rPr>
          <w:noProof/>
        </w:rPr>
        <w:t>b)</w:t>
      </w:r>
      <w:r>
        <w:rPr>
          <w:noProof/>
        </w:rPr>
        <w:tab/>
        <w:t>la redistillation par un procédé de fractionnement très poussé;</w:t>
      </w:r>
    </w:p>
    <w:p>
      <w:pPr>
        <w:pStyle w:val="Point2"/>
        <w:rPr>
          <w:noProof/>
        </w:rPr>
      </w:pPr>
      <w:r>
        <w:rPr>
          <w:noProof/>
        </w:rPr>
        <w:t>c)</w:t>
      </w:r>
      <w:r>
        <w:rPr>
          <w:noProof/>
        </w:rPr>
        <w:tab/>
        <w:t>le craquage;</w:t>
      </w:r>
    </w:p>
    <w:p>
      <w:pPr>
        <w:pStyle w:val="Point2"/>
        <w:rPr>
          <w:noProof/>
        </w:rPr>
      </w:pPr>
      <w:r>
        <w:rPr>
          <w:noProof/>
        </w:rPr>
        <w:t>d)</w:t>
      </w:r>
      <w:r>
        <w:rPr>
          <w:noProof/>
        </w:rPr>
        <w:tab/>
        <w:t>le reformage;</w:t>
      </w:r>
    </w:p>
    <w:p>
      <w:pPr>
        <w:pStyle w:val="Point2"/>
        <w:rPr>
          <w:noProof/>
        </w:rPr>
      </w:pPr>
      <w:r>
        <w:rPr>
          <w:noProof/>
        </w:rPr>
        <w:t>e)</w:t>
      </w:r>
      <w:r>
        <w:rPr>
          <w:noProof/>
        </w:rPr>
        <w:tab/>
        <w:t>l’extraction par solvants sélectifs;</w:t>
      </w:r>
    </w:p>
    <w:p>
      <w:pPr>
        <w:pStyle w:val="Point2"/>
        <w:rPr>
          <w:noProof/>
        </w:rPr>
      </w:pPr>
      <w:r>
        <w:rPr>
          <w:noProof/>
        </w:rPr>
        <w:t>f)</w:t>
      </w:r>
      <w:r>
        <w:rPr>
          <w:noProof/>
        </w:rPr>
        <w:tab/>
        <w:t>le traitement comportant l’ensemble des opérations suivantes: traitement à l’acide sulfurique concentré ou à l’oléum ou à l’anhydride sulfurique; neutralisation par des agents alcalins; décoloration et épuration par la terre active par sa nature, la terre activée, le charbon actif ou la bauxite;</w:t>
      </w:r>
    </w:p>
    <w:p>
      <w:pPr>
        <w:pStyle w:val="Point2"/>
        <w:rPr>
          <w:noProof/>
        </w:rPr>
      </w:pPr>
      <w:r>
        <w:rPr>
          <w:noProof/>
        </w:rPr>
        <w:t>g)</w:t>
      </w:r>
      <w:r>
        <w:rPr>
          <w:noProof/>
        </w:rPr>
        <w:tab/>
        <w:t>la polymérisation;</w:t>
      </w:r>
    </w:p>
    <w:p>
      <w:pPr>
        <w:pStyle w:val="Point2"/>
        <w:rPr>
          <w:noProof/>
        </w:rPr>
      </w:pPr>
      <w:r>
        <w:rPr>
          <w:noProof/>
        </w:rPr>
        <w:t>h)</w:t>
      </w:r>
      <w:r>
        <w:rPr>
          <w:noProof/>
        </w:rPr>
        <w:tab/>
        <w:t>l’alkylation;</w:t>
      </w:r>
    </w:p>
    <w:p>
      <w:pPr>
        <w:pStyle w:val="Point2"/>
        <w:rPr>
          <w:noProof/>
        </w:rPr>
      </w:pPr>
      <w:r>
        <w:rPr>
          <w:noProof/>
        </w:rPr>
        <w:t>i)</w:t>
      </w:r>
      <w:r>
        <w:rPr>
          <w:noProof/>
        </w:rPr>
        <w:tab/>
        <w:t>l’isomérisation;</w:t>
      </w:r>
    </w:p>
    <w:p>
      <w:pPr>
        <w:pStyle w:val="Point2"/>
        <w:rPr>
          <w:noProof/>
        </w:rPr>
      </w:pPr>
      <w:r>
        <w:rPr>
          <w:noProof/>
        </w:rPr>
        <w:t>j)</w:t>
      </w:r>
      <w:r>
        <w:rPr>
          <w:noProof/>
        </w:rPr>
        <w:tab/>
        <w:t>la désulfuration, avec emploi d’hydrogène, uniquement en ce qui concerne les huiles lourdes relevant du nº ex 2710, conduisant à une réduction d’au moins 85 % de la teneur en soufre des produits traités (méthode ASTM D 1266-59 T);</w:t>
      </w:r>
    </w:p>
    <w:p>
      <w:pPr>
        <w:pStyle w:val="Point2"/>
        <w:rPr>
          <w:noProof/>
        </w:rPr>
      </w:pPr>
      <w:r>
        <w:rPr>
          <w:noProof/>
        </w:rPr>
        <w:t>k)</w:t>
      </w:r>
      <w:r>
        <w:rPr>
          <w:noProof/>
        </w:rPr>
        <w:tab/>
        <w:t>le déparaffinage par un procédé autre que la simple filtration, uniquement en ce qui concerne les produits relevant du nº 2710;</w:t>
      </w:r>
    </w:p>
    <w:p>
      <w:pPr>
        <w:pStyle w:val="Point2"/>
        <w:rPr>
          <w:noProof/>
        </w:rPr>
      </w:pPr>
      <w:r>
        <w:rPr>
          <w:noProof/>
        </w:rPr>
        <w:t>l)</w:t>
      </w:r>
      <w:r>
        <w:rPr>
          <w:noProof/>
        </w:rPr>
        <w:tab/>
        <w:t>le traitement à l’hydrogène, autre que la désulfuration, uniquement en ce qui concerne les huiles lourdes relevant du nº ex 2710, dans lequel l’hydrogène participe activement à une réaction chimique réalisée à une pression supérieure à 20 bars et à une température supérieure à 250 °C à l’aide d’un catalyseur. Les traitements de finition à l’hydrogène d’huiles lubrifiantes relevant du nº ex 2710 ayant notamment pour but d’améliorer la couleur ou la stabilité (par exemple, hydrofinishing ou décoloration) ne sont, en revanche, pas considérés comme des traitements spécifiques;</w:t>
      </w:r>
    </w:p>
    <w:p>
      <w:pPr>
        <w:pStyle w:val="Point2"/>
        <w:rPr>
          <w:noProof/>
        </w:rPr>
      </w:pPr>
      <w:r>
        <w:rPr>
          <w:noProof/>
        </w:rPr>
        <w:t>m)</w:t>
      </w:r>
      <w:r>
        <w:rPr>
          <w:noProof/>
        </w:rPr>
        <w:tab/>
        <w:t>la distillation atmosphérique, uniquement en ce qui concerne les fuel oils relevant du nº ex 2710, à condition que ces produits distillent en volume, y compris les pertes, moins de 30 % à 300 °C, d’après la méthode ASTM D 86;</w:t>
      </w:r>
    </w:p>
    <w:p>
      <w:pPr>
        <w:pStyle w:val="Point2"/>
        <w:rPr>
          <w:noProof/>
        </w:rPr>
      </w:pPr>
      <w:r>
        <w:rPr>
          <w:noProof/>
        </w:rPr>
        <w:t>n)</w:t>
      </w:r>
      <w:r>
        <w:rPr>
          <w:noProof/>
        </w:rPr>
        <w:tab/>
        <w:t>le traitement par l’effluve électrique à haute fréquence, uniquement en ce qui concerne les huiles lourdes autres que le gazole et les “fuel oils” du nº ex 2710;</w:t>
      </w:r>
    </w:p>
    <w:p>
      <w:pPr>
        <w:pStyle w:val="Point2"/>
        <w:rPr>
          <w:noProof/>
        </w:rPr>
      </w:pPr>
      <w:r>
        <w:rPr>
          <w:noProof/>
        </w:rPr>
        <w:t>o)</w:t>
      </w:r>
      <w:r>
        <w:rPr>
          <w:noProof/>
        </w:rPr>
        <w:tab/>
        <w:t>le déshuilage par cristallisation fractionnée, uniquement en ce qui concerne les produits du nº ex 2712, autres que la vaseline, l’ozokérite, la cire de lignite, la cire de tourbe ou la paraffine contenant en poids moins de 0,75 % d’huile.</w:t>
      </w:r>
    </w:p>
    <w:p>
      <w:pPr>
        <w:pStyle w:val="Point2"/>
        <w:rPr>
          <w:i/>
          <w:noProof/>
        </w:rPr>
      </w:pPr>
      <w:r>
        <w:rPr>
          <w:noProof/>
        </w:rPr>
        <w:t>8.3.</w:t>
      </w:r>
      <w:r>
        <w:rPr>
          <w:noProof/>
        </w:rPr>
        <w:tab/>
        <w:t>Au sens des nº</w:t>
      </w:r>
      <w:r>
        <w:rPr>
          <w:noProof/>
          <w:vertAlign w:val="superscript"/>
        </w:rPr>
        <w:t>s</w:t>
      </w:r>
      <w:r>
        <w:rPr>
          <w:noProof/>
        </w:rPr>
        <w:t xml:space="preserve"> ex 2707 et 2713, les opérations simples telles que le nettoyage, la décantation, le dessalage, la séparation de l’eau, le filtrage, la coloration, le marquage, l’obtention d’une teneur en soufre donnée par mélange de produits ayant des teneurs en soufre différentes, toute combinaison de ces opérations ou toute opération similaire ne confèrent pas l’origine.</w:t>
      </w:r>
    </w:p>
    <w:p>
      <w:pPr>
        <w:pStyle w:val="Text1"/>
        <w:rPr>
          <w:b/>
          <w:noProof/>
        </w:rPr>
      </w:pPr>
      <w:r>
        <w:rPr>
          <w:b/>
          <w:noProof/>
        </w:rPr>
        <w:t>Note 9 – Définition des traitements et opérations spécifiques effectués dans le cas de certains produits</w:t>
      </w:r>
    </w:p>
    <w:p>
      <w:pPr>
        <w:pStyle w:val="Point1"/>
        <w:rPr>
          <w:noProof/>
        </w:rPr>
      </w:pPr>
      <w:r>
        <w:rPr>
          <w:noProof/>
        </w:rPr>
        <w:t>Note 9.1:</w:t>
      </w:r>
      <w:r>
        <w:rPr>
          <w:noProof/>
        </w:rPr>
        <w:tab/>
        <w:t>les produits relevant du chapitre 30 qui sont obtenus dans une partie au moyen de cultures cellulaires sont considérés comme des produits originaires de cette partie. On entend par “culture cellulaire” la culture de cellules humaines, animales et végétales dans des conditions contrôlées (telles que températures définies, milieu de croissance, mélange de gaz, pH) en dehors d’un organisme vivant.</w:t>
      </w:r>
    </w:p>
    <w:p>
      <w:pPr>
        <w:pStyle w:val="Point1"/>
        <w:rPr>
          <w:noProof/>
        </w:rPr>
      </w:pPr>
      <w:r>
        <w:rPr>
          <w:noProof/>
        </w:rPr>
        <w:t>Note 9.2:</w:t>
      </w:r>
      <w:r>
        <w:rPr>
          <w:noProof/>
        </w:rPr>
        <w:tab/>
        <w:t>les produits relevant des chapitres 29 (à l’exclusion de: 2905 43 et 2905 44), 30, 32, 33 (à l’exclusion de: 3302 10, 3301) 34, 35 (à l’exclusion de: 3501, 3502 11-3502 19, 3502 20, 3505), 36, 37, 38 (à l’exclusion de: 3809 10, 3823, 3824 60, 3826) et 39 (à l’exclusion de: 3916-3926) obtenus dans une partie par fermentation sont considérés comme originaires de cette partie. La “fermentation” est un procédé biotechnologique dans lequel des cellules humaines, animales ou végétales, des bactéries, des levures, des champignons ou des enzymes sont utilisés pour fabriquer des produits relevant des chapitres 29 à 39.</w:t>
      </w:r>
    </w:p>
    <w:p>
      <w:pPr>
        <w:pStyle w:val="Point1"/>
        <w:rPr>
          <w:noProof/>
        </w:rPr>
      </w:pPr>
      <w:r>
        <w:rPr>
          <w:noProof/>
        </w:rPr>
        <w:t>Note 9.3:</w:t>
      </w:r>
      <w:r>
        <w:rPr>
          <w:noProof/>
        </w:rPr>
        <w:tab/>
        <w:t>les transformations suivantes sont jugées suffisantes, conformément à l’article 4, paragraphe 1, pour les produits relevant des chapitres 28, 29 (à l’exclusion de: 2905 43 et 2905 44), 30, 32, 33 (à l’exclusion de: 3302 10, 3301) 34, 35 (à l’exclusion de: 3501, 3502 11-3502 19, 3502 20, 3505), 36, 37, 38 (à l’exclusion de: 3809 10, 3823, 3824 60, 3826) et 39 (à l’exclusion de: 3916-3926):</w:t>
      </w:r>
    </w:p>
    <w:p>
      <w:pPr>
        <w:pStyle w:val="Tiret2"/>
        <w:numPr>
          <w:ilvl w:val="0"/>
          <w:numId w:val="23"/>
        </w:numPr>
        <w:spacing w:line="360" w:lineRule="auto"/>
        <w:rPr>
          <w:noProof/>
        </w:rPr>
      </w:pPr>
      <w:r>
        <w:rPr>
          <w:noProof/>
        </w:rPr>
        <w:t>Réaction chimique: une “réaction chimique” désigne un processus (y compris un processus biochimique) qui a pour résultat une molécule présentant une nouvelle structure, par rupture des liens intramoléculaires et formation de nouveaux liens intramoléculaires, ou par modification de la disposition spatiale des atomes dans une molécule. Une réaction chimique peut être exprimée par une modification du “numéro CAS”.</w:t>
      </w:r>
    </w:p>
    <w:p>
      <w:pPr>
        <w:pStyle w:val="Text3"/>
        <w:rPr>
          <w:noProof/>
        </w:rPr>
      </w:pPr>
      <w:r>
        <w:rPr>
          <w:noProof/>
        </w:rPr>
        <w:t>Ne sont pas pris en considération aux fins de l’obtention du caractère originaire les processus suivants: a) la dissolution dans l’eau ou dans d’autres solvants; b) l’élimination de solvants (y compris l’eau); ou c) l’addition ou l’élimination de l’eau de cristallisation. La réaction chimique telle que définie ci-dessus doit être considérée comme conférant le caractère originaire.</w:t>
      </w:r>
    </w:p>
    <w:p>
      <w:pPr>
        <w:pStyle w:val="Tiret2"/>
        <w:numPr>
          <w:ilvl w:val="0"/>
          <w:numId w:val="23"/>
        </w:numPr>
        <w:spacing w:line="360" w:lineRule="auto"/>
        <w:rPr>
          <w:noProof/>
        </w:rPr>
      </w:pPr>
      <w:r>
        <w:rPr>
          <w:noProof/>
        </w:rPr>
        <w:t>Mélanges: tout mélange délibéré et proportionnellement contrôlé de matières (y compris la dispersion) autre que l’addition de diluants réalisé en vue de respecter des spécifications prédéterminées et débouchant sur la production d’une marchandise dotée de caractéristiques physiques ou chimiques propres aux fins et utilisations de la marchandise et différentes de celles des matières initiales, doit être considéré comme conférant l’origine.</w:t>
      </w:r>
    </w:p>
    <w:p>
      <w:pPr>
        <w:pStyle w:val="Tiret2"/>
        <w:numPr>
          <w:ilvl w:val="0"/>
          <w:numId w:val="23"/>
        </w:numPr>
        <w:spacing w:line="360" w:lineRule="auto"/>
        <w:rPr>
          <w:noProof/>
        </w:rPr>
      </w:pPr>
      <w:r>
        <w:rPr>
          <w:noProof/>
        </w:rPr>
        <w:t>Purification: la purification doit être considérée comme conférant le caractère originaire dès lors qu’elle a lieu sur le territoire de l’une des parties ou des deux, sous réserve que l’un des critères suivants soit rempli:</w:t>
      </w:r>
    </w:p>
    <w:p>
      <w:pPr>
        <w:pStyle w:val="Point3"/>
        <w:rPr>
          <w:noProof/>
        </w:rPr>
      </w:pPr>
      <w:r>
        <w:rPr>
          <w:noProof/>
        </w:rPr>
        <w:t>a)</w:t>
      </w:r>
      <w:r>
        <w:rPr>
          <w:noProof/>
        </w:rPr>
        <w:tab/>
        <w:t>purification d’une marchandise entraînant l’élimination d’au moins 80 % de la teneur en impuretés existantes; ou</w:t>
      </w:r>
    </w:p>
    <w:p>
      <w:pPr>
        <w:pStyle w:val="Point3"/>
        <w:rPr>
          <w:noProof/>
        </w:rPr>
      </w:pPr>
      <w:r>
        <w:rPr>
          <w:noProof/>
        </w:rPr>
        <w:t>b)</w:t>
      </w:r>
      <w:r>
        <w:rPr>
          <w:noProof/>
        </w:rPr>
        <w:tab/>
        <w:t>réduction ou élimination des impuretés permettant d’obtenir une marchandise adéquate pour une ou plusieurs des applications ci-après:</w:t>
      </w:r>
    </w:p>
    <w:p>
      <w:pPr>
        <w:pStyle w:val="Point4"/>
        <w:rPr>
          <w:noProof/>
        </w:rPr>
      </w:pPr>
      <w:r>
        <w:rPr>
          <w:noProof/>
        </w:rPr>
        <w:t>i)</w:t>
      </w:r>
      <w:r>
        <w:rPr>
          <w:noProof/>
        </w:rPr>
        <w:tab/>
        <w:t>substances pharmaceutiques, médicinales, cosmétiques, vétérinaires ou alimentaires;</w:t>
      </w:r>
    </w:p>
    <w:p>
      <w:pPr>
        <w:pStyle w:val="Point4"/>
        <w:rPr>
          <w:noProof/>
        </w:rPr>
      </w:pPr>
      <w:r>
        <w:rPr>
          <w:noProof/>
        </w:rPr>
        <w:t>ii)</w:t>
      </w:r>
      <w:r>
        <w:rPr>
          <w:noProof/>
        </w:rPr>
        <w:tab/>
        <w:t>produits et réactifs chimiques utilisés à des fins d’analyse, de diagnostic ou en laboratoire;</w:t>
      </w:r>
    </w:p>
    <w:p>
      <w:pPr>
        <w:pStyle w:val="Point4"/>
        <w:rPr>
          <w:noProof/>
        </w:rPr>
      </w:pPr>
      <w:r>
        <w:rPr>
          <w:noProof/>
        </w:rPr>
        <w:t>iii)</w:t>
      </w:r>
      <w:r>
        <w:rPr>
          <w:noProof/>
        </w:rPr>
        <w:tab/>
        <w:t>éléments et composants à usage microélectronique;</w:t>
      </w:r>
    </w:p>
    <w:p>
      <w:pPr>
        <w:pStyle w:val="Point4"/>
        <w:rPr>
          <w:noProof/>
        </w:rPr>
      </w:pPr>
      <w:r>
        <w:rPr>
          <w:noProof/>
        </w:rPr>
        <w:t>iv)</w:t>
      </w:r>
      <w:r>
        <w:rPr>
          <w:noProof/>
        </w:rPr>
        <w:tab/>
        <w:t>produits à usages optiques spécifiques;</w:t>
      </w:r>
    </w:p>
    <w:p>
      <w:pPr>
        <w:pStyle w:val="Point4"/>
        <w:rPr>
          <w:noProof/>
        </w:rPr>
      </w:pPr>
      <w:r>
        <w:rPr>
          <w:noProof/>
        </w:rPr>
        <w:t>v)</w:t>
      </w:r>
      <w:r>
        <w:rPr>
          <w:noProof/>
        </w:rPr>
        <w:tab/>
        <w:t>utilisation à des fins biotechniques (par exemple dans la culture de cellules, la technologie génétique ou comme catalyseur);</w:t>
      </w:r>
    </w:p>
    <w:p>
      <w:pPr>
        <w:pStyle w:val="Point4"/>
        <w:rPr>
          <w:noProof/>
        </w:rPr>
      </w:pPr>
      <w:r>
        <w:rPr>
          <w:noProof/>
        </w:rPr>
        <w:t>vi)</w:t>
      </w:r>
      <w:r>
        <w:rPr>
          <w:noProof/>
        </w:rPr>
        <w:tab/>
        <w:t>supports utilisés dans les processus de séparation; ou</w:t>
      </w:r>
    </w:p>
    <w:p>
      <w:pPr>
        <w:pStyle w:val="Point4"/>
        <w:rPr>
          <w:noProof/>
        </w:rPr>
      </w:pPr>
      <w:r>
        <w:rPr>
          <w:noProof/>
        </w:rPr>
        <w:t>vii)</w:t>
      </w:r>
      <w:r>
        <w:rPr>
          <w:noProof/>
        </w:rPr>
        <w:tab/>
        <w:t>usages de qualité nucléaire.</w:t>
      </w:r>
    </w:p>
    <w:p>
      <w:pPr>
        <w:pStyle w:val="Tiret2"/>
        <w:numPr>
          <w:ilvl w:val="0"/>
          <w:numId w:val="23"/>
        </w:numPr>
        <w:spacing w:line="360" w:lineRule="auto"/>
        <w:rPr>
          <w:noProof/>
        </w:rPr>
      </w:pPr>
      <w:r>
        <w:rPr>
          <w:noProof/>
        </w:rPr>
        <w:t>Modification de la taille des particules: la modification délibérée et contrôlée de la taille des particules d’une marchandise, autre que le simple concassage ou pressage, aboutissant à une marchandise ayant une taille de particule définie, une répartition définie de la taille des particules ou une zone de surface définie, pertinente pour l’usage auquel elle est destinée et présentant des caractéristiques physiques ou chimiques différentes de celles des matières premières, doit être considérée comme conférant le caractère originaire.</w:t>
      </w:r>
    </w:p>
    <w:p>
      <w:pPr>
        <w:pStyle w:val="Tiret2"/>
        <w:numPr>
          <w:ilvl w:val="0"/>
          <w:numId w:val="23"/>
        </w:numPr>
        <w:spacing w:line="360" w:lineRule="auto"/>
        <w:rPr>
          <w:noProof/>
        </w:rPr>
      </w:pPr>
      <w:r>
        <w:rPr>
          <w:noProof/>
        </w:rPr>
        <w:t>Matériaux de référence: les matériaux de référence (y compris les solutions de référence) sont des préparations indiquées à des fins d’analyse, d’étalonnage ou de référencement, présentant des degrés de pureté ou des proportions précis, certifiés par le fabricant. La fabrication de matériaux de référence doit être considérée comme conférant le caractère originaire.</w:t>
      </w:r>
    </w:p>
    <w:p>
      <w:pPr>
        <w:rPr>
          <w:noProof/>
        </w:rPr>
      </w:pPr>
    </w:p>
    <w:p>
      <w:pPr>
        <w:pStyle w:val="Tiret2"/>
        <w:numPr>
          <w:ilvl w:val="0"/>
          <w:numId w:val="23"/>
        </w:numPr>
        <w:spacing w:line="360" w:lineRule="auto"/>
        <w:rPr>
          <w:noProof/>
        </w:rPr>
      </w:pPr>
      <w:r>
        <w:rPr>
          <w:noProof/>
        </w:rPr>
        <w:t>Séparation des isomères: l’isolement ou la séparation des isomères d’un mélange d’isomères doit être considéré comme conférant le caractère originaire.</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rPr>
        <w:t>ANNEXE II</w:t>
      </w:r>
    </w:p>
    <w:p>
      <w:pPr>
        <w:pStyle w:val="Text1"/>
        <w:jc w:val="center"/>
        <w:rPr>
          <w:b/>
          <w:noProof/>
        </w:rPr>
      </w:pPr>
      <w:r>
        <w:rPr>
          <w:b/>
          <w:noProof/>
        </w:rPr>
        <w:t>LISTE DES OUVRAISONS OU TRANSFORMATIONS À APPLIQUER AUX MATIÈRES NON ORIGINAIRES POUR QUE LE PRODUIT TRANSFORMÉ PUISSE OBTENIR LE CARACTÈRE ORIGINAIRE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hAnsiTheme="majorBidi"/>
                <w:bCs/>
                <w:noProof/>
                <w:szCs w:val="20"/>
              </w:rPr>
              <w:t>Position SH</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Désignation du produit</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noProof/>
              </w:rPr>
              <w:t>Ouvraison ou transformation appliquée à des matières non originaires conférant le caractère de produit originaire</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Animaux vivants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Tous les animaux du chapitre 1 doivent être entièrement obtenus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Viandes et abats comestibles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viandes et tous les abats comestibles contenus dans les produits de ce chapitre doivent être entièrement obtenus.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Poissons et crustacés, mollusques et autres invertébrés aquatiques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3 utilisées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Chapitre 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Lait et produits de la laiterie; œufs d’oiseaux, miel naturel, produits comestibles d’origine animale, non dénommés ni compris ailleurs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4 utilisées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Autres produits d’origine animale, non dénommés ni compris ailleurs;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Œufs et laitances de poissons impropres à l’alimentation humaine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 totalité des œufs et de la laitance doivent être intégralement obtenus.</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Plantes vivantes et produits de la floriculture; bulbes, racines et produits similaires; fleurs coupées et feuillages d’ornement</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6 utilisées doivent être entièrement obtenues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Légumes, plantes, racines et tubercules alimentaires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7 utilisées doivent être entièrement obtenues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Fruits comestibles; Écorces d’agrumes ou de melons</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Fabrication dans laquelle tous les fruits, fruits à coques et écorces d’agrumes ou de melons du chapitre 8 sont entièrement obtenus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Café, thé, maté et épices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Céréales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10 utilisées doivent être entièrement obtenues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Produits de la minoterie; malt; fécules et amidons; inuline; gluten de froment</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mises en œuvre qui relèvent des chapitres 8, 10 et 11, positions 0701, 0714, 2302 et 2303, et sous-position 0710 10,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Graines et fruits oléagineux; graines, semences et fruits divers; plantes industrielles ou médicinales; pailles et fourrages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13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Gomme laque; gommes, résines et autres sucs et extraits végétaux;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Matières pectiques, pectinates et pectates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dans laquelle le poids du sucre mis en œuvre n’excède pas 40 %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Matières à tresser et autres produits d’origine végétale, non dénommés ni compris ailleurs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15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Graisses et huiles animales ou végétales; produits de leur dissociation; graisses alimentaires élaborées; cires d’origine animale ou végétale;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 à 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Graisses et huiles de poissons et de mammifères marins et leurs fractions; graisse de suint et substances grasses dérivées, y compris la lanoline; autres graisses et huiles animales et leurs fractions, même raffinées, mais non chimiquement modifiées: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 d’arachide et ses fractions, même raffinées, mais non chimiquement modifiées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et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 d’olive et ses fractions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toutes les matières végétales mises en œuvre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 de palme et ses fractions, même raffinées, mais non chimiquement modifiées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Huiles de graines de tournesol et leurs fractions:</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destinées à des usages techniques ou industriels autres que la fabrication de produits pour l’alimentation humaine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Fabrication à partir de matières de toute position à l’exclusion de celle dont relève le produit</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autres</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Fabrication dans laquelle toutes les matières végétales mises en œuvre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Autres graisses et huiles végétales (y compris l’huile de jojoba) et leurs fractions, fixes, même raffinées, mais non chimiquement modifiées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Graisses et huiles et leurs fractions, de poissons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Glycérol brut; eaux et lessives glycérineuses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de viandes, de poissons ou de crustacés, de mollusques ou d’autres invertébrés aquatiques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des chapitres 2, 3 et 16 utilisées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17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Sucres et sucreries;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Autres sucres, y compris le lactose, le maltose, le glucose et le fructose (lévulose) chimiquement purs, à l’état solide; sirops de sucres sans addition d’aromatisants ou de colorants; succédanés du miel, même mélangés de miel naturel; sucres et mélasses caramélisés: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maltose ou fructose chimiquement purs</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Fabrication à partir de matières de toute position, y compris à partir des autres matières du nº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 le poids des matières des nº</w:t>
            </w:r>
            <w:r>
              <w:rPr>
                <w:rFonts w:asciiTheme="majorBidi" w:hAnsiTheme="majorBidi"/>
                <w:noProof/>
                <w:vertAlign w:val="superscript"/>
              </w:rPr>
              <w:t>s</w:t>
            </w:r>
            <w:r>
              <w:rPr>
                <w:rFonts w:asciiTheme="majorBidi" w:hAnsiTheme="majorBidi"/>
                <w:noProof/>
              </w:rPr>
              <w:t> 1101 à 1108, 1701 et 1703 utilisées ne doit pas excéder 30 %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Sucreries sans cacao (y compris le chocolat blanc)</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noProof/>
              </w:rPr>
              <w:t>–</w:t>
            </w:r>
            <w:r>
              <w:rPr>
                <w:noProof/>
              </w:rPr>
              <w:tab/>
              <w:t>le poids du sucre mis en œuvre n’excède pas 40 % du poids du produit final</w:t>
            </w:r>
          </w:p>
          <w:p>
            <w:pPr>
              <w:spacing w:before="60" w:after="60"/>
              <w:ind w:firstLine="3"/>
              <w:rPr>
                <w:rFonts w:asciiTheme="majorBidi" w:hAnsiTheme="majorBidi" w:cstheme="minorBidi"/>
                <w:noProof/>
                <w:sz w:val="22"/>
              </w:rPr>
            </w:pPr>
            <w:r>
              <w:rPr>
                <w:rFonts w:asciiTheme="majorBidi" w:hAnsiTheme="majorBidi"/>
                <w:noProof/>
              </w:rPr>
              <w:t>ou</w:t>
            </w:r>
          </w:p>
          <w:p>
            <w:pPr>
              <w:spacing w:before="60" w:after="60"/>
              <w:ind w:left="567" w:hanging="567"/>
              <w:rPr>
                <w:rFonts w:asciiTheme="majorBidi" w:hAnsiTheme="majorBidi"/>
                <w:noProof/>
              </w:rPr>
            </w:pPr>
            <w:r>
              <w:rPr>
                <w:noProof/>
              </w:rPr>
              <w:t>–</w:t>
            </w:r>
            <w:r>
              <w:rPr>
                <w:noProof/>
              </w:rPr>
              <w:tab/>
              <w:t>la valeur du sucre mis en œuvre n’excède pas 30 %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18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Cacao et ses préparations; à l’exclusion des:</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Chocolat et autres préparations alimentaires contenant du cacao; à l’exclusion des:</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noProof/>
              </w:rPr>
              <w:t>–</w:t>
            </w:r>
            <w:r>
              <w:rPr>
                <w:noProof/>
              </w:rPr>
              <w:tab/>
              <w:t>le poids du sucre mis en œuvre n’excède pas 40 % du poids du produit final</w:t>
            </w:r>
          </w:p>
          <w:p>
            <w:pPr>
              <w:spacing w:before="60" w:after="60"/>
              <w:ind w:firstLine="3"/>
              <w:rPr>
                <w:rFonts w:asciiTheme="majorBidi" w:hAnsiTheme="majorBidi"/>
                <w:noProof/>
              </w:rPr>
            </w:pPr>
            <w:r>
              <w:rPr>
                <w:rFonts w:asciiTheme="majorBidi" w:hAnsiTheme="majorBidi"/>
                <w:noProof/>
              </w:rPr>
              <w:t>ou</w:t>
            </w:r>
          </w:p>
          <w:p>
            <w:pPr>
              <w:spacing w:before="60" w:after="60"/>
              <w:ind w:left="567" w:hanging="564"/>
              <w:rPr>
                <w:rFonts w:asciiTheme="majorBidi" w:hAnsiTheme="majorBidi"/>
                <w:noProof/>
              </w:rPr>
            </w:pPr>
            <w:r>
              <w:rPr>
                <w:noProof/>
              </w:rPr>
              <w:t>–</w:t>
            </w:r>
            <w:r>
              <w:rPr>
                <w:noProof/>
              </w:rPr>
              <w:tab/>
              <w:t>la valeur du sucre mis en œuvre n’excède pas 30 %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Poudre de cacao avec addition de sucre ou d’autres édulcorants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Extraits de malt; préparations alimentaires de farines, gruaux, semoules, amidons, fécules ou extraits de malt, ne contenant pas de cacao ou contenant moins de 40 % en poids de cacao calculés sur une base entièrement dégraissée, non dénommées ni comprises ailleurs; préparations alimentaires de produits des nº</w:t>
            </w:r>
            <w:r>
              <w:rPr>
                <w:rFonts w:asciiTheme="majorBidi" w:hAnsiTheme="majorBidi"/>
                <w:noProof/>
                <w:vertAlign w:val="superscript"/>
              </w:rPr>
              <w:t xml:space="preserve">s </w:t>
            </w:r>
            <w:r>
              <w:rPr>
                <w:rFonts w:asciiTheme="majorBidi" w:hAnsiTheme="majorBidi"/>
                <w:noProof/>
              </w:rPr>
              <w:t>0401 à 0404, ne contenant pas de cacao ou contenant moins de 5 % en poids de cacao calculés sur une base entièrement dégraissée, non dénommées ni comprises ailleurs: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extraits de malt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szCs w:val="24"/>
              </w:rPr>
              <w:t>Fabrication à partir des céréales du chapitre 10</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Autres</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rPr>
            </w:pPr>
            <w:r>
              <w:rPr>
                <w:rFonts w:asciiTheme="majorBidi" w:hAnsiTheme="majorBidi"/>
                <w:noProof/>
                <w:szCs w:val="24"/>
              </w:rPr>
              <w:t>Fabrication à partir de matières de toute position à l’exclusion de celle dont relève le produit, dans laquelle le poids individuel du sucre et des matières du chapitre 4 mises en œuvre ne doit pas excéder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Pâtes alimentaires, même cuites ou farcies (de viande ou d’autres substances) ou bien autrement préparées, telles que spaghetti, macaroni, nouilles, lasagnes, gnocchi, ravioli, cannelloni; couscous, même préparé:</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dans laquelle:</w:t>
            </w:r>
          </w:p>
          <w:p>
            <w:pPr>
              <w:spacing w:before="60" w:after="60"/>
              <w:ind w:left="567" w:hanging="567"/>
              <w:rPr>
                <w:rFonts w:asciiTheme="majorBidi" w:hAnsiTheme="majorBidi"/>
                <w:noProof/>
              </w:rPr>
            </w:pPr>
            <w:r>
              <w:rPr>
                <w:noProof/>
              </w:rPr>
              <w:t>–</w:t>
            </w:r>
            <w:r>
              <w:rPr>
                <w:noProof/>
              </w:rPr>
              <w:tab/>
              <w:t>le poids des matières des nº</w:t>
            </w:r>
            <w:r>
              <w:rPr>
                <w:noProof/>
                <w:vertAlign w:val="superscript"/>
              </w:rPr>
              <w:t>s</w:t>
            </w:r>
            <w:r>
              <w:rPr>
                <w:noProof/>
              </w:rPr>
              <w:t xml:space="preserve"> 1006 et 1101 à 1108 utilisées ne doit pas excéder 20 % du poids du produit final, et</w:t>
            </w:r>
          </w:p>
          <w:p>
            <w:pPr>
              <w:spacing w:before="60" w:after="60"/>
              <w:ind w:left="567" w:hanging="567"/>
              <w:rPr>
                <w:rFonts w:asciiTheme="majorBidi" w:hAnsiTheme="majorBidi"/>
                <w:noProof/>
              </w:rPr>
            </w:pPr>
            <w:r>
              <w:rPr>
                <w:noProof/>
              </w:rPr>
              <w:t>–</w:t>
            </w:r>
            <w:r>
              <w:rPr>
                <w:noProof/>
              </w:rPr>
              <w:tab/>
              <w:t>le poids des matières mises en œuvre relevant des chapitres 2, 3 et 16 ne doit pas excéder 20 %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Tapioca et ses succédanés préparés à partir de fécules, sous forme de flocons, grumeaux, grains perlés, criblures ou formes similaires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la fécule de pommes de terre du nº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à base de céréales obtenus par soufflage ou grillage (corn flakes, par exemple); céréales (autres que le maïs) en grains ou sous forme de flocons ou d’autres grains travaillés (à l’exception de la farine, du gruau et de la semoule), précuites ou autrement préparées, non dénommées ni comprises ailleurs</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noProof/>
              </w:rPr>
              <w:t>–</w:t>
            </w:r>
            <w:r>
              <w:rPr>
                <w:noProof/>
              </w:rPr>
              <w:tab/>
              <w:t>le poids des matières des nº</w:t>
            </w:r>
            <w:r>
              <w:rPr>
                <w:noProof/>
                <w:vertAlign w:val="superscript"/>
              </w:rPr>
              <w:t>s</w:t>
            </w:r>
            <w:r>
              <w:rPr>
                <w:noProof/>
              </w:rPr>
              <w:t xml:space="preserve"> 1006 et 1101 à 1108 utilisées ne doit pas excéder 20 % du poids du produit final, et</w:t>
            </w:r>
          </w:p>
          <w:p>
            <w:pPr>
              <w:spacing w:before="60" w:after="60"/>
              <w:ind w:left="567" w:hanging="564"/>
              <w:rPr>
                <w:rFonts w:asciiTheme="majorBidi" w:hAnsiTheme="majorBidi"/>
                <w:noProof/>
              </w:rPr>
            </w:pPr>
            <w:r>
              <w:rPr>
                <w:noProof/>
              </w:rPr>
              <w:t>–</w:t>
            </w:r>
            <w:r>
              <w:rPr>
                <w:noProof/>
              </w:rPr>
              <w:tab/>
              <w:t>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de la boulangerie, de la pâtisserie ou de la biscuiterie, même additionnés de cacao; hosties, cachets vides des types utilisés pour médicaments, pains à cacheter, pâtes séchées de farine, d’amidon ou de fécule en feuilles et produits similaires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 le poids des matières des nº</w:t>
            </w:r>
            <w:r>
              <w:rPr>
                <w:rFonts w:asciiTheme="majorBidi" w:hAnsiTheme="majorBidi"/>
                <w:noProof/>
                <w:vertAlign w:val="superscript"/>
              </w:rPr>
              <w:t>s</w:t>
            </w:r>
            <w:r>
              <w:rPr>
                <w:rFonts w:asciiTheme="majorBidi" w:hAnsiTheme="majorBidi"/>
                <w:noProof/>
              </w:rPr>
              <w:t xml:space="preserve"> 1006 et 1101 à 1108 mises en œuvre ne doit pas excéder 20 %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de légumes, de fruits ou d’autres parties de plantes;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et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Tomates, champignons et truffes, préparés ou conservés autrement qu’au vinaigre ou à l’acide acétique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 toutes les matières du chapitre 7 utilisées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Légumes, fruits, écorces de fruits et autres parties de plantes, confits au sucre (égouttés, glacés ou cristallisés)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Confitures, gelées, marmelades, purées et pâtes de fruits, obtenues par cuisson, avec ou sans addition de sucre ou d’autres édulcorants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Les produits, autres que:</w:t>
            </w:r>
          </w:p>
          <w:p>
            <w:pPr>
              <w:spacing w:before="60" w:after="60"/>
              <w:rPr>
                <w:rFonts w:asciiTheme="majorBidi" w:hAnsiTheme="majorBidi" w:cstheme="minorBidi"/>
                <w:noProof/>
                <w:sz w:val="22"/>
              </w:rPr>
            </w:pPr>
            <w:r>
              <w:rPr>
                <w:rFonts w:asciiTheme="majorBidi" w:hAnsiTheme="majorBidi"/>
                <w:noProof/>
              </w:rPr>
              <w:t>- Fruits à coques, sans addition de sucre ou d’alcool</w:t>
            </w:r>
          </w:p>
          <w:p>
            <w:pPr>
              <w:spacing w:before="60" w:after="60"/>
              <w:rPr>
                <w:rFonts w:asciiTheme="majorBidi" w:hAnsiTheme="majorBidi" w:cstheme="minorBidi"/>
                <w:noProof/>
                <w:sz w:val="22"/>
              </w:rPr>
            </w:pPr>
            <w:r>
              <w:rPr>
                <w:rFonts w:asciiTheme="majorBidi" w:hAnsiTheme="majorBidi"/>
                <w:noProof/>
              </w:rPr>
              <w:t>- Beurre d’arachide; mélanges à base de céréales; cœurs de palmier; maïs</w:t>
            </w:r>
          </w:p>
          <w:p>
            <w:pPr>
              <w:spacing w:before="60" w:after="60"/>
              <w:rPr>
                <w:rFonts w:asciiTheme="majorBidi" w:hAnsiTheme="majorBidi" w:cstheme="minorBidi"/>
                <w:noProof/>
                <w:sz w:val="22"/>
              </w:rPr>
            </w:pPr>
            <w:r>
              <w:rPr>
                <w:rFonts w:asciiTheme="majorBidi" w:hAnsiTheme="majorBidi"/>
                <w:noProof/>
              </w:rPr>
              <w:t>- Fruits (y compris les fruits à coques), cuits autrement qu’à l’eau ou à la vapeur, sans addition de sucre, congelés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Jus de fruits (y compris les moûts de raisins) ou de légumes, non fermentés, sans addition d’alcool, avec ou sans addition de sucre ou d’autres édulcorants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alimentaires diverses;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Préparations pour sauces et sauces préparées; condiments et assaisonnements composés</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 à l’exception de celle dont relève le produit. La farine de moutarde ou la moutarde préparée peuvent toutefois être utilisées</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Farine de moutarde et moutarde préparée</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Glaces de consommation, même contenant du cacao</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dans laquelle:</w:t>
            </w:r>
          </w:p>
          <w:p>
            <w:pPr>
              <w:spacing w:before="60" w:after="60"/>
              <w:ind w:left="567" w:hanging="567"/>
              <w:rPr>
                <w:rFonts w:asciiTheme="majorBidi" w:hAnsiTheme="majorBidi"/>
                <w:noProof/>
              </w:rPr>
            </w:pPr>
            <w:r>
              <w:rPr>
                <w:noProof/>
              </w:rPr>
              <w:t>–</w:t>
            </w:r>
            <w:r>
              <w:rPr>
                <w:noProof/>
              </w:rPr>
              <w:tab/>
              <w:t>le poids individuel du sucre et des matières du chapitre 4 mis en œuvre n’excède pas 40 % du poids du produit final</w:t>
            </w:r>
          </w:p>
          <w:p>
            <w:pPr>
              <w:spacing w:before="60" w:after="60"/>
              <w:rPr>
                <w:rFonts w:asciiTheme="majorBidi" w:hAnsiTheme="majorBidi" w:cstheme="minorBidi"/>
                <w:noProof/>
                <w:sz w:val="22"/>
              </w:rPr>
            </w:pPr>
            <w:r>
              <w:rPr>
                <w:rFonts w:asciiTheme="majorBidi" w:hAnsiTheme="majorBidi"/>
                <w:noProof/>
              </w:rPr>
              <w:t>et</w:t>
            </w:r>
          </w:p>
          <w:p>
            <w:pPr>
              <w:spacing w:before="60" w:after="60"/>
              <w:ind w:left="567" w:hanging="567"/>
              <w:rPr>
                <w:rFonts w:asciiTheme="majorBidi" w:hAnsiTheme="majorBidi"/>
                <w:noProof/>
              </w:rPr>
            </w:pPr>
            <w:r>
              <w:rPr>
                <w:noProof/>
              </w:rPr>
              <w:t>–</w:t>
            </w:r>
            <w:r>
              <w:rPr>
                <w:noProof/>
              </w:rPr>
              <w:tab/>
              <w:t>le poids total combiné du sucre et des matières du chapitre 4 mis en œuvre n’excède pas 60 %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alimentaires non dénommées ni comprises ailleurs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Boissons, liquides alcooliques et vinaigres; à l’exclusion des:</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 à l’exception de celle dont relève le produit, dans laquelle toutes les matières mises en œuvre qui relèvent des nº</w:t>
            </w:r>
            <w:r>
              <w:rPr>
                <w:rFonts w:asciiTheme="majorBidi" w:hAnsiTheme="majorBidi"/>
                <w:noProof/>
                <w:vertAlign w:val="superscript"/>
              </w:rPr>
              <w:t>s</w:t>
            </w:r>
            <w:r>
              <w:rPr>
                <w:rFonts w:asciiTheme="majorBidi" w:hAnsiTheme="majorBidi"/>
                <w:noProof/>
              </w:rPr>
              <w:t xml:space="preserve"> 0806 10, 2009 61 et 2009 69 sont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Eaux, y compris les eaux minérales et les eaux gazéifiées, additionnées de sucre ou d’autres édulcorants ou aromatisées, et autres boissons non alcooliques, à l’exclusion des jus de fruits ou de légumes du nº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et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Alcool éthylique non dénaturé d’un titre alcoométrique volumique supérieur ou inférieur à 80 % vol; eaux-de-vie, liqueurs et autres boissons spiritueuses</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Fabrication à partir de matières de toute position excepté les nº</w:t>
            </w:r>
            <w:r>
              <w:rPr>
                <w:rFonts w:asciiTheme="majorBidi" w:hAnsiTheme="majorBidi"/>
                <w:noProof/>
                <w:vertAlign w:val="superscript"/>
              </w:rPr>
              <w:t>s</w:t>
            </w:r>
            <w:r>
              <w:rPr>
                <w:rFonts w:asciiTheme="majorBidi" w:hAnsiTheme="majorBidi"/>
                <w:noProof/>
              </w:rPr>
              <w:t xml:space="preserve"> 2207 et 2208, dans laquelle toutes les matières mises en œuvre qui relèvent des sous-positions 0806 10, 2009 61 et 2009 69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Résidus et déchets des industries alimentaires; aliments préparés pour animaux;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des types utilisés pour l’alimentation des animaux</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Fabrication dans laquelle:</w:t>
            </w:r>
          </w:p>
          <w:p>
            <w:pPr>
              <w:spacing w:before="60" w:after="60"/>
              <w:ind w:left="567" w:hanging="567"/>
              <w:rPr>
                <w:rFonts w:asciiTheme="majorBidi" w:hAnsiTheme="majorBidi"/>
                <w:noProof/>
              </w:rPr>
            </w:pPr>
            <w:r>
              <w:rPr>
                <w:noProof/>
              </w:rPr>
              <w:t>–</w:t>
            </w:r>
            <w:r>
              <w:rPr>
                <w:noProof/>
              </w:rPr>
              <w:tab/>
              <w:t>toutes les matières des chapitres 2 et 3 mises en œuvre sont entièrement obtenues,</w:t>
            </w:r>
          </w:p>
          <w:p>
            <w:pPr>
              <w:spacing w:before="60" w:after="60"/>
              <w:ind w:left="567" w:hanging="567"/>
              <w:rPr>
                <w:rFonts w:asciiTheme="majorBidi" w:hAnsiTheme="majorBidi"/>
                <w:noProof/>
              </w:rPr>
            </w:pPr>
            <w:r>
              <w:rPr>
                <w:noProof/>
              </w:rPr>
              <w:t>–</w:t>
            </w:r>
            <w:r>
              <w:rPr>
                <w:noProof/>
              </w:rPr>
              <w:tab/>
              <w:t>le poids des matières mises en œuvre qui relèvent des chapitres 10 et 11 et des positions 2302 et 2303 n’excède pas 20 % du poids du produit final,</w:t>
            </w:r>
          </w:p>
          <w:p>
            <w:pPr>
              <w:spacing w:before="60" w:after="60"/>
              <w:ind w:left="567" w:hanging="567"/>
              <w:rPr>
                <w:rFonts w:asciiTheme="majorBidi" w:hAnsiTheme="majorBidi"/>
                <w:noProof/>
              </w:rPr>
            </w:pPr>
            <w:r>
              <w:rPr>
                <w:noProof/>
              </w:rPr>
              <w:t>–</w:t>
            </w:r>
            <w:r>
              <w:rPr>
                <w:noProof/>
              </w:rPr>
              <w:tab/>
              <w:t>le poids individuel du sucre et des matières du chapitre 4 mis en œuvre n’excède pas 40 % du poids du produit final, et</w:t>
            </w:r>
          </w:p>
          <w:p>
            <w:pPr>
              <w:spacing w:before="60" w:after="60"/>
              <w:ind w:left="567" w:hanging="567"/>
              <w:rPr>
                <w:rFonts w:asciiTheme="majorBidi" w:hAnsiTheme="majorBidi"/>
                <w:noProof/>
              </w:rPr>
            </w:pPr>
            <w:r>
              <w:rPr>
                <w:noProof/>
              </w:rPr>
              <w:t>–</w:t>
            </w:r>
            <w:r>
              <w:rPr>
                <w:noProof/>
              </w:rPr>
              <w:tab/>
              <w:t>le poids total combiné du sucre et des matières du chapitre 4 mis en œuvre n’excède pas 50 %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Tabacs et succédanés de tabac fabriqués; à l’exclusion de: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dans laquelle le poids des matières de la position 2401 mises en œuvre n’excède pas 30 % du poids total des matières du chapitre 24 mises en œuvre</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Tabacs bruts ou non fabriqués; déchets de tabac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toutes les matières de la position 2401 utilisées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Cigarettes, en tabac ou en succédanés de tabac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et du tabac à fumer de la sous-position 2403 19, dans laquelle au moins 10 % en poids de toutes les matières du nº 2401 utilisées sont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Produits destinés à l’inhalation par diffusion chauffée ou d’autres moyens, sans combustion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Fabrication à partir de matières de toute position à l’exception de celle dont relève le produit, dans laquelle 10 % au moins en poids de toutes les matières du nº 2401 utilisées sont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Sel; soufre; terres et pierres; plâtres, chaux et ciments;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70 %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Carbonate de magnésium naturel (magnésite) broyé et mis en récipients hermétiques et oxyde de magnésium, même pur, à l’exclusion de la magnésie électrofondue et de la magnésie calcinée à mort (frittée)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le carbonate de magnésium naturel (magnésite) peut être utilisé</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26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Minerais, scories et cendres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27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Combustibles minéraux, huiles minérales et produits de leur distillation; matières bitumineuses; cires minérales; à l’exclusion de: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Huiles dans lesquelles les constituants aromatiques prédominent en poids par rapport aux constituants non aromatiques, similaires aux huiles minérales obtenues par distillation de goudrons de houille de haute température, distillant plus de 65 % de leur volume jusqu’à 250 °C (y compris les mélanges d’essence de pétrole et de benzol), destinées à être utilisées comme carburants ou comme combustibles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Huiles de pétrole ou de minéraux bitumineux, autres que les huiles brutes; préparations non dénommées ni comprises ailleurs, contenant en poids 70 % ou plus d’huiles de pétrole ou de minéraux bitumineux et dont ces huiles constituent l’élément de base; déchets d’huiles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noProof/>
                <w:sz w:val="20"/>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Gaz de pétrole et autres hydrocarbures gazeux</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Vaseline; paraffine, cire de pétrole microcristalline, slack wax, ozokérite, cire de lignite, cire de tourbe, autres cires minérales et produits similaires obtenus par synthèse ou par d’autres procédés, même colorés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Coke de pétrole, bitume de pétrole et autres résidus des huiles de pétrole ou de minéraux bitumineux</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28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chimiques inorganiques; composés inorganiques ou organiques de métaux précieux, d’éléments radioactifs, de métaux des terres rares ou d’isotopes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chimiques organiques; à l’exclusion de: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Hydrocarbures acycliques utilisés comme carburants ou comme combustibles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Cyclanes et cyclènes (à l’exclusion des azulènes), benzène, toluène et xylènes, utilisés comme carburants ou comme combustibles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Alcoolates métalliques des alcools de la présente position et de l’éthanol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y compris à partir des autres matières du nº 2905. Toutefois, les alcoolates métalliques de la présente position peuvent être utilisés,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Produits pharmaceutiques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Engrais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Extraits tannants ou tinctoriaux; tanins et leurs dérivés; pigments et autres matières colorantes; peintures et vernis; mastics; encres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Huiles essentielles et résinoïdes; produits de parfumerie ou de toilette préparés et préparations cosmétiques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Savons, agents de surface organiques, préparations pour lessives, préparations lubrifiantes, cires artificielles, cires préparées, produits d’entretien, bougies et articles similaires, pâtes à modeler, “cires pour l’art dentaire” et compositions pour l’art dentaire à base de plâtre</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Matières albuminoïdes; amidons modifiés; colles; enzymes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Explosifs; produits pyrotechniques; allumettes; alliages pyrophoriques; matières inflammables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photographiques ou cinématographiques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38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divers des industries chimiques;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szCs w:val="24"/>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antidétonantes, inhibiteurs d’oxydation, additifs peptisants, améliorants de viscosité, additifs anticorrosifs et autres additifs préparés, pour huiles minérales (y compris l’essence) ou pour autres liquides utilisés aux mêmes fins que les huiles minérales: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Additifs préparés pour lubrifiants contenant des huiles de pétrole ou de minéraux bitumineux</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du nº 3811 utilisées ne doit pas excéder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3824 99 et ex 3826 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Biodiesel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du biodiesel est obtenu par transesthérification, et/ou esthérification ou par hydrotraitement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Matières plastiques et ouvrages en ces matières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40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Caoutchouc et ouvrages en caoutchouc;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Pneumatiques et bandages (pleins ou creux), rechapés en caoutchouc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Rechapage de pneumatiques ou de bandages (pleins ou creux) usagés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41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Peaux (autres que les pelleteries) et cuirs;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 à 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Cuirs et peaux épilés et peaux d’animaux dépourvus de poils, tannés ou en croûte, même refendus, mais non autrement préparés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Retannage de peaux ou de cuirs prétannés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en cuir; articles de bourrellerie ou de sellerie; articles de voyage, sacs à main et contenants similaires; ouvrages en boyau</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43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Pelleteries et fourrures; pelleteries factices;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Pelleteries tannées ou apprêtées, assemblées: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Nappes, sacs, croix, carrés et présentations similaires</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Blanchiment ou teinture, avec coupe et assemblage de peaux tannées ou apprêtées, non assemblées</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peaux tannées ou apprêtées, non assemblées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Vêtements, accessoires du vêtement et autres articles en pelleteries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peaux tannées ou apprêtées, non assemblées du nº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44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 et ouvrages en bois; charbon de bois;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 sciés ou dédossés longitudinalement, tranchés ou déroulés, d’une épaisseur excédant 6 mm, rabotés, poncés ou collés par assemblage en bout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Rabotage, ponçage ou collage par assemblage en bout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Feuilles pour placage (y compris celles obtenues par tranchage de bois stratifié) et feuilles pour contreplaqués, d’une épaisseur n’excédant pas 6 mm, tranchées, et autres bois sciés longitudinalement, tranchés ou déroulés, d’une épaisseur n’excédant pas 6 mm, rabotés, poncés ou collés par assemblage en bout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Jointage, rabotage, ponçage ou collage par assemblage en bout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 à 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Baguettes et moulures en bois pour meubles, cadres, décors intérieurs, conduites électriques et similaires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Transformation sous forme de baguettes ou de moulures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Caisses, caissettes, cageots, cylindres et emballages similaires, en bois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planches non coupées à dimension</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 Ouvrages de menuiserie et pièces de charpente pour construction, en bois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Toutefois, des panneaux cellulaires en bois ou des bardeaux (shingles et shakes) peuvent être utilisés.</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Baguettes et moulures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Transformation sous forme de baguettes ou de moulures</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 préparés pour allumettes; chevilles en bois pour chaussures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bois de toute position, à l’exclusion des bois filés du nº 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Liège et ouvrages en liège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Ouvrages de sparterie ou de vannerie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47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Pâtes de bois ou d’autres matières fibreuses cellulosiques; papier ou carton à recycler (déchets et rebuts)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Papiers et cartons; ouvrages en pâte de cellulose, en papier ou en carton</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de l’édition, de la presse ou des autres industries graphiques; textes manuscrits ou dactylographiés et plans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Chapitre 50</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Soie;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Déchets de soie (y compris les cocons non dévidables, les déchets de fils et les effilochés), cardés ou peignés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Cardage ou peignage de déchets de soie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 à ex 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Fils de soie et fils de déchets de soie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continus combinée à un filage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continus combinée à un retordage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Tissus de soie ou de déchets de soie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Retordage, ou toute opération mécanique, combiné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teinture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Teinture de fils combiné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b/>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51</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Laine, poils fins ou grossiers; fils et tissus de crin;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 à 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de laine, de poils fins ou grossiers ou de crin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 à 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Tissus de laine, de poils fins ou grossiers ou de crin: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teinture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Coton;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 à 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Fils de coton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 à 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de coton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ou toute opération mécanique,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b/>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53</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fibres textiles végétales; fils de papier et tissus de fils de papier;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 à 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d’autres fibres textiles végétales;</w:t>
            </w:r>
          </w:p>
          <w:p>
            <w:pPr>
              <w:spacing w:before="20" w:after="20"/>
              <w:rPr>
                <w:rFonts w:asciiTheme="majorBidi" w:hAnsiTheme="majorBidi" w:cstheme="minorBidi"/>
                <w:noProof/>
                <w:sz w:val="22"/>
              </w:rPr>
            </w:pPr>
            <w:r>
              <w:rPr>
                <w:rFonts w:asciiTheme="majorBidi" w:hAnsiTheme="majorBidi"/>
                <w:noProof/>
              </w:rPr>
              <w:t>fils de papier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 à 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d’autres fibres textiles végétales; tissus de fils de papier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b/>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 à 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monofilaments et fils de filaments synthétiques ou artificiels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et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de fils de filaments synthétiques ou artificiels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ou toute opération mécanique,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 à 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Fibres synthétiques ou artificielles discontinues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de fibres artificielles ou synthétiques.</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 à 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à coudre et autres fils de fibres synthétiques ou artificielles discontinues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 à 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de fibres synthétiques ou artificielles discontinues: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ou toute opération mécanique,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56</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Ouates, feutres et non tissés; fils spéciaux; ficelles, cordes et cordages; articles de corderie; à l’exclusion des:</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filage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Ouates de matières textiles et articles en ces ouates; fibres textiles d’une longueur n’excédant pas 5 mm (tontisses), nœuds et noppes (boutons) de matières textiles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Flocage accompagné de teinture ou d’impression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b/>
                <w:i/>
                <w:noProof/>
                <w:sz w:val="22"/>
              </w:rPr>
            </w:pPr>
            <w:r>
              <w:rPr>
                <w:rFonts w:asciiTheme="majorBidi" w:hAnsiTheme="majorBidi"/>
                <w:noProof/>
              </w:rPr>
              <w:t>Enduction, flocage, stratification ou métallisation, combinés à au moins deux opérations principales de préparation ou de finissage (telles que calandrage, test de résistance au rétrécissement, thermofixage, fini permanent) à condition que la valeur des matières mises en œuvre ne dépasse pas 50 % du prix départ usine du produit</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Feutres, même imprégnés, enduits, recouverts ou stratifiés: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Feutres aiguilletés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la fabrication de tissu.</w:t>
            </w:r>
          </w:p>
          <w:p>
            <w:pPr>
              <w:spacing w:before="60" w:after="60"/>
              <w:rPr>
                <w:rFonts w:asciiTheme="majorBidi" w:hAnsiTheme="majorBidi" w:cstheme="minorBidi"/>
                <w:noProof/>
                <w:sz w:val="22"/>
              </w:rPr>
            </w:pPr>
            <w:r>
              <w:rPr>
                <w:rFonts w:asciiTheme="majorBidi" w:hAnsiTheme="majorBidi"/>
                <w:noProof/>
              </w:rPr>
              <w:t>Toutefois:</w:t>
            </w:r>
          </w:p>
          <w:p>
            <w:pPr>
              <w:spacing w:before="60" w:after="60"/>
              <w:ind w:left="567" w:hanging="567"/>
              <w:rPr>
                <w:rFonts w:asciiTheme="majorBidi" w:hAnsiTheme="majorBidi"/>
                <w:noProof/>
              </w:rPr>
            </w:pPr>
            <w:r>
              <w:rPr>
                <w:noProof/>
              </w:rPr>
              <w:t>–</w:t>
            </w:r>
            <w:r>
              <w:rPr>
                <w:noProof/>
              </w:rPr>
              <w:tab/>
              <w:t>des fils de filaments de polypropylène du nº 5402,</w:t>
            </w:r>
          </w:p>
          <w:p>
            <w:pPr>
              <w:spacing w:before="60" w:after="60"/>
              <w:ind w:left="567" w:hanging="567"/>
              <w:rPr>
                <w:rFonts w:asciiTheme="majorBidi" w:hAnsiTheme="majorBidi"/>
                <w:noProof/>
              </w:rPr>
            </w:pPr>
            <w:r>
              <w:rPr>
                <w:noProof/>
              </w:rPr>
              <w:t>–</w:t>
            </w:r>
            <w:r>
              <w:rPr>
                <w:noProof/>
              </w:rPr>
              <w:tab/>
              <w:t>des fibres de polypropylène des nºs 5503 ou 5506, ou</w:t>
            </w:r>
          </w:p>
          <w:p>
            <w:pPr>
              <w:spacing w:before="60" w:after="60"/>
              <w:ind w:left="567" w:hanging="567"/>
              <w:rPr>
                <w:rFonts w:asciiTheme="majorBidi" w:hAnsiTheme="majorBidi"/>
                <w:noProof/>
              </w:rPr>
            </w:pPr>
            <w:r>
              <w:rPr>
                <w:noProof/>
              </w:rPr>
              <w:t xml:space="preserve">– </w:t>
            </w:r>
            <w:r>
              <w:rPr>
                <w:noProof/>
              </w:rPr>
              <w:tab/>
              <w:t>des câbles de filaments de polypropylène du nº 5501,</w:t>
            </w:r>
          </w:p>
          <w:p>
            <w:pPr>
              <w:spacing w:before="60" w:after="60"/>
              <w:rPr>
                <w:rFonts w:asciiTheme="majorBidi" w:hAnsiTheme="majorBidi" w:cstheme="minorBidi"/>
                <w:noProof/>
                <w:sz w:val="22"/>
              </w:rPr>
            </w:pPr>
            <w:r>
              <w:rPr>
                <w:rFonts w:asciiTheme="majorBidi" w:hAnsiTheme="majorBidi"/>
                <w:noProof/>
              </w:rPr>
              <w:t>dont le titre de chaque fibre ou filament constitutif est, dans tous les cas, inférieur à 9 décitex, peuvent être utilisés pour autant que leur valeur totale n’excède pas 40 %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de tissu non-tissé uniquement dans le cas des feutres élaborés à partir de fibres naturelles</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la fabrication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Formation de non-tissés uniquement, dans le cas des autres feutres élaborés à partir de fibres naturelles</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Non-tissés, même imprégnés, enduits, recouverts ou stratifiés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 à 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Non-tissés, même imprégnés, enduits, recouverts ou stratifiés de filaments synthétiques ou artificiels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w:t>
            </w:r>
          </w:p>
          <w:p>
            <w:pPr>
              <w:spacing w:before="60" w:after="60"/>
              <w:rPr>
                <w:rFonts w:asciiTheme="majorBidi" w:eastAsia="Times New Roman" w:hAnsiTheme="majorBidi" w:cstheme="majorBidi"/>
                <w:noProof/>
              </w:rPr>
            </w:pPr>
            <w:r>
              <w:rPr>
                <w:noProof/>
              </w:rPr>
              <w:t>–</w:t>
            </w:r>
            <w:r>
              <w:rPr>
                <w:noProof/>
              </w:rPr>
              <w:tab/>
              <w:t>de filaments à orientation déterminée ou aléatoire</w:t>
            </w:r>
          </w:p>
          <w:p>
            <w:pPr>
              <w:spacing w:before="60" w:after="60"/>
              <w:rPr>
                <w:rFonts w:asciiTheme="majorBidi" w:hAnsiTheme="majorBidi" w:cstheme="minorBidi"/>
                <w:noProof/>
                <w:sz w:val="22"/>
              </w:rPr>
            </w:pPr>
            <w:r>
              <w:rPr>
                <w:rFonts w:asciiTheme="majorBidi" w:hAnsiTheme="majorBidi"/>
                <w:noProof/>
              </w:rPr>
              <w:t>ou</w:t>
            </w:r>
          </w:p>
          <w:p>
            <w:pPr>
              <w:spacing w:before="60" w:after="60"/>
              <w:ind w:left="567" w:hanging="567"/>
              <w:rPr>
                <w:rFonts w:asciiTheme="majorBidi" w:hAnsiTheme="majorBidi"/>
                <w:noProof/>
              </w:rPr>
            </w:pPr>
            <w:r>
              <w:rPr>
                <w:noProof/>
              </w:rPr>
              <w:t>–</w:t>
            </w:r>
            <w:r>
              <w:rPr>
                <w:noProof/>
              </w:rPr>
              <w:tab/>
              <w:t>de substances ou de polymères d’origine naturelle, synthétique ou artificielle,</w:t>
            </w:r>
          </w:p>
          <w:p>
            <w:pPr>
              <w:spacing w:before="60" w:after="60"/>
              <w:rPr>
                <w:rFonts w:asciiTheme="majorBidi" w:hAnsiTheme="majorBidi" w:cstheme="minorBidi"/>
                <w:noProof/>
                <w:sz w:val="22"/>
              </w:rPr>
            </w:pPr>
            <w:r>
              <w:rPr>
                <w:rFonts w:asciiTheme="majorBidi" w:hAnsiTheme="majorBidi"/>
                <w:noProof/>
              </w:rPr>
              <w:t>suivie dans les deux cas par une consolidation formant un non-tissé</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 à 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Non-tissés, même imprégnés, enduits, recouverts ou stratifiés, autres que de filaments synthétiques ou artificiels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w:t>
            </w:r>
          </w:p>
          <w:p>
            <w:pPr>
              <w:spacing w:before="60" w:after="60"/>
              <w:rPr>
                <w:rFonts w:asciiTheme="majorBidi" w:hAnsiTheme="majorBidi"/>
                <w:noProof/>
              </w:rPr>
            </w:pPr>
            <w:r>
              <w:rPr>
                <w:noProof/>
              </w:rPr>
              <w:t>–</w:t>
            </w:r>
            <w:r>
              <w:rPr>
                <w:noProof/>
              </w:rPr>
              <w:tab/>
              <w:t>de fibres discontinues à orientation déterminée ou aléatoire</w:t>
            </w:r>
          </w:p>
          <w:p>
            <w:pPr>
              <w:spacing w:before="60" w:after="60"/>
              <w:rPr>
                <w:rFonts w:asciiTheme="majorBidi" w:hAnsiTheme="majorBidi" w:cstheme="minorBidi"/>
                <w:noProof/>
                <w:sz w:val="22"/>
              </w:rPr>
            </w:pPr>
            <w:r>
              <w:rPr>
                <w:rFonts w:asciiTheme="majorBidi" w:hAnsiTheme="majorBidi"/>
                <w:noProof/>
              </w:rPr>
              <w:t>et/ou</w:t>
            </w:r>
          </w:p>
          <w:p>
            <w:pPr>
              <w:spacing w:before="60" w:after="60"/>
              <w:rPr>
                <w:rFonts w:asciiTheme="majorBidi" w:hAnsiTheme="majorBidi"/>
                <w:noProof/>
              </w:rPr>
            </w:pPr>
            <w:r>
              <w:rPr>
                <w:noProof/>
              </w:rPr>
              <w:t>–</w:t>
            </w:r>
            <w:r>
              <w:rPr>
                <w:noProof/>
              </w:rPr>
              <w:tab/>
              <w:t>de fils coupés d’origine naturelle, synthétique ou artificielle,</w:t>
            </w:r>
          </w:p>
          <w:p>
            <w:pPr>
              <w:spacing w:before="60" w:after="60"/>
              <w:rPr>
                <w:rFonts w:asciiTheme="majorBidi" w:hAnsiTheme="majorBidi" w:cstheme="minorBidi"/>
                <w:noProof/>
                <w:sz w:val="22"/>
              </w:rPr>
            </w:pPr>
            <w:r>
              <w:rPr>
                <w:rFonts w:asciiTheme="majorBidi" w:hAnsiTheme="majorBidi"/>
                <w:noProof/>
              </w:rPr>
              <w:t>suivie dans les deux cas par une consolidation formant un non-tissé</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Fils et cordes de caoutchouc, recouverts de textiles; fils textiles, lames et formes similaires des nº</w:t>
            </w:r>
            <w:r>
              <w:rPr>
                <w:rFonts w:asciiTheme="majorBidi" w:hAnsiTheme="majorBidi"/>
                <w:noProof/>
                <w:vertAlign w:val="superscript"/>
              </w:rPr>
              <w:t>s</w:t>
            </w:r>
            <w:r>
              <w:rPr>
                <w:rFonts w:asciiTheme="majorBidi" w:hAnsiTheme="majorBidi"/>
                <w:noProof/>
              </w:rPr>
              <w:t xml:space="preserve"> 5404 ou 5405, imprégnés, enduits, recouverts ou gainés de caoutchouc ou de matière plastique: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hAnsiTheme="majorBidi"/>
                <w:noProof/>
              </w:rPr>
              <w:t>- Fils et cordes de caoutchouc, recouverts de textiles</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Fabrication à partir de fils ou de cordes de caoutchouc, non recouverts de matières textiles</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Filés métalliques et fils métallisés, même guipés, constitués par des fils textiles, des lames ou formes similaires des nº</w:t>
            </w:r>
            <w:r>
              <w:rPr>
                <w:rFonts w:asciiTheme="majorBidi" w:hAnsiTheme="majorBidi"/>
                <w:noProof/>
                <w:vertAlign w:val="superscript"/>
              </w:rPr>
              <w:t>s</w:t>
            </w:r>
            <w:r>
              <w:rPr>
                <w:rFonts w:asciiTheme="majorBidi" w:hAnsiTheme="majorBidi"/>
                <w:noProof/>
              </w:rPr>
              <w:t> 5404 ou 5405, combinés avec du métal sous forme de fils, de lames ou de poudres, ou recouverts de métal</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Fils guipés, lames et formes similaires des nº</w:t>
            </w:r>
            <w:r>
              <w:rPr>
                <w:rFonts w:asciiTheme="majorBidi" w:hAnsiTheme="majorBidi"/>
                <w:noProof/>
                <w:vertAlign w:val="superscript"/>
              </w:rPr>
              <w:t>s</w:t>
            </w:r>
            <w:r>
              <w:rPr>
                <w:rFonts w:asciiTheme="majorBidi" w:hAnsiTheme="majorBidi"/>
                <w:noProof/>
              </w:rPr>
              <w:t xml:space="preserve"> 5404 ou 5405 guipées, autres que ceux du nº 5605 et autres que les fils de crins guipés; fils de chenille; fils dits “de chaînette”</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Détordage combiné à un guipage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Flocage combiné à une teinture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Chapitre 57</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Tapis et autres revêtements de sol en matières textiles: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 combiné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filaments synthétiques ou artificiels combinée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Fabrication à partir de fils de coco, de sisal, de jute ou de fibranne filée sur un métier continu à anneaux classique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Touffetage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Flocage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des techniques de fabrication de non-tissés, y compris l’aiguilletage</w:t>
            </w:r>
          </w:p>
          <w:p>
            <w:pPr>
              <w:spacing w:before="20" w:after="20"/>
              <w:rPr>
                <w:rFonts w:asciiTheme="majorBidi" w:hAnsiTheme="majorBidi"/>
                <w:noProof/>
              </w:rPr>
            </w:pPr>
            <w:r>
              <w:rPr>
                <w:rFonts w:asciiTheme="majorBidi" w:hAnsiTheme="majorBidi"/>
                <w:noProof/>
              </w:rPr>
              <w:t>De la toile de jute peut être utilisée en tant que support.</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58</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Tissus spéciaux; surfaces textiles touffetées; dentelles; tapisseries; passementeries; broderies à l’exclusion des: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synthétiques ou artificielles discontinues combiné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filaments synthétiques ou artificiels combinée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teinture, à un flocage, à une enduction, à une stratification ou à une métallisation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Touffetage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Flocage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Tapisseries tissées à la main (genre Gobelins, Flandres, Aubusson, Beauvais et similaires) et tapisseries à l’aiguille (au petit point, au point de croix, par exemple), même confectionnées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Broderies en pièces, en bandes ou en motifs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Broderie dans laquelle la valeur de toutes les matières utilisées de toute position, à l’exclusion de celle dont relève le produit, ne doit pas excéder 50 %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Tissus enduits de colle ou de matières amylacées, des types utilisés pour la reliure, le cartonnage, la gainerie ou usages similaires; toiles à calquer ou transparentes pour le dessin; toiles préparées pour la peinture; bougran et tissus similaires raidis des types utilisés pour la chapellerie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combiné à une teinture, à un flocage, à une enduction, à une stratification ou à une métallisation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Flocage combiné à une teinture ou une impression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Nappes tramées pour pneumatiques obtenues à partir de fils à haute ténacité de nylon ou d’autres polyamides, de polyesters ou de rayonne viscose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Contenant 90 % ou moins en poids de matières textiles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tissage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Tissus imprégnés, enduits ou recouverts de matière plastique ou stratifiés avec de la matière plastique, autres que ceux du nº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combiné à une imprégnation, à une enduction, à un recouvrement, à une stratification ou à une métallisation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Linoléums, même découpés; revêtements de sol consistant en un enduit ou un recouvrement appliqué sur support de matières textiles, même découpés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teinture, à une enduction, à une stratification ou à une métallisation</w:t>
            </w:r>
          </w:p>
          <w:p>
            <w:pPr>
              <w:spacing w:before="60" w:after="60"/>
              <w:rPr>
                <w:rFonts w:asciiTheme="majorBidi" w:hAnsiTheme="majorBidi" w:cstheme="minorBidi"/>
                <w:noProof/>
                <w:sz w:val="22"/>
              </w:rPr>
            </w:pPr>
            <w:r>
              <w:rPr>
                <w:rFonts w:asciiTheme="majorBidi" w:hAnsiTheme="majorBidi"/>
                <w:noProof/>
              </w:rPr>
              <w:t>De la toile de jute peut être utilisée en tant que support.</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rPr>
            </w:pPr>
            <w:r>
              <w:rPr>
                <w:rFonts w:asciiTheme="majorBidi" w:hAnsiTheme="majorBidi"/>
                <w:noProof/>
              </w:rPr>
              <w:t>Revêtements muraux en matières textiles:</w:t>
            </w:r>
          </w:p>
          <w:p>
            <w:pPr>
              <w:spacing w:before="60" w:after="60"/>
              <w:rPr>
                <w:rFonts w:asciiTheme="majorBidi" w:hAnsiTheme="majorBidi"/>
                <w:noProof/>
              </w:rPr>
            </w:pPr>
            <w:r>
              <w:rPr>
                <w:rFonts w:asciiTheme="majorBidi" w:hAnsiTheme="majorBidi"/>
                <w:noProof/>
              </w:rPr>
              <w:t>- Imprégnés, enduits ou recouverts de caoutchouc, de matière plastique ou d’autres matières, ou stratifiés avec du caoutchouc, de la matière plastique ou d’autres matières</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tricotage ou formation de non-tissé combiné à une imprégnation, à une enduction, à un recouvrement, à une stratification ou à une métallisation</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tricotage ou formation de non-tissé combiné à une imprégnation, à une enduction ou à une stratification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impression</w:t>
            </w:r>
          </w:p>
          <w:p>
            <w:pPr>
              <w:spacing w:before="60" w:after="60"/>
              <w:rPr>
                <w:rFonts w:asciiTheme="majorBidi" w:eastAsia="Times New Roman" w:hAnsiTheme="majorBidi" w:cstheme="maj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rPr>
            </w:pPr>
            <w:r>
              <w:rPr>
                <w:rFonts w:asciiTheme="majorBidi" w:hAnsiTheme="majorBidi"/>
                <w:noProof/>
              </w:rPr>
              <w:t>Tissus caoutchoutés, autres que ceux du nº 5902:</w:t>
            </w:r>
          </w:p>
          <w:p>
            <w:pPr>
              <w:spacing w:before="60" w:after="60"/>
              <w:rPr>
                <w:rFonts w:asciiTheme="majorBidi" w:hAnsiTheme="majorBidi"/>
                <w:b/>
                <w:noProof/>
              </w:rPr>
            </w:pPr>
            <w:r>
              <w:rPr>
                <w:rFonts w:asciiTheme="majorBidi" w:hAnsiTheme="majorBidi"/>
                <w:noProof/>
              </w:rPr>
              <w:t>- Étoffes de bonneterie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noProof/>
              </w:rPr>
              <w:br/>
            </w: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 et/ou synthétiques ou artificielles discontinues combiné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combinée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Bonneterie combinée à un caoutchoutage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Caoutchoutage combiné à au moins deux opérations principales de préparation ou de finissage (telles que calandrage, test de résistance au rétrécissement, thermofixage, fini permanent) à condition que la valeur des matières non originaires mises en œuvre ne dépasse pas 50 % du prix départ usine du produit</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autres tissus obtenus à partir de fils de filaments synthétiques, contenant plus de 90 % en poids de matières textiles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tissage</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tricotage ou procédé de fabrication de non-tissés combiné à une teinture ou à un revêtement en caoutchouc</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Teinture de fils combiné à un tissage, à un tricotage ou à un procédé de fabrication de non-tissés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b/>
                <w:i/>
                <w:noProof/>
                <w:sz w:val="22"/>
              </w:rPr>
            </w:pPr>
            <w:r>
              <w:rPr>
                <w:rFonts w:asciiTheme="majorBidi" w:hAnsiTheme="majorBidi"/>
                <w:noProof/>
              </w:rPr>
              <w:t>Caoutchoutage combiné à au moins deux opérations principales de préparation ou de finissage (telles que calandrage, test de résistance au rétrécissement, thermofixage, fini permanent) à condition que la valeur des matières non originaires mises en œuvre ne dépasse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tissus imprégnés, enduits ou recouverts; toiles peintes pour décors de théâtres, fonds d’atelier ou usages analogues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tricotage ou procédé de fabrication de non-tissés combiné à une teinture, à une impression, à une enduction, à une imprégnation ou à un recouvrement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Flocage combiné à une teinture ou une 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Mèches tissées, tressées ou tricotées, en matières textiles, pour lampes, réchauds, briquets, bougies ou similaires; manchons à incandescence et étoffes tubulaires tricotées servant à leur fabrication, même imprégnés: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Manchons à incandescence, imprégnés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d’étoffes tubulaires tricotées/en bonneterie</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 à 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Produits et articles textiles pour usages techniques:</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Enduction, flocage, stratification ou métallisation, combinés à au moins deux opérations principales de préparation ou de finissage (telles que calandrage, test de résistance au rétrécissement, thermofixage, fini permanent) à condition que la valeur des matières mises en œuvre ne dépasse pas 50 % du prix départ usine du produit</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Chapitre 60</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Étoffes de bonneterie</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 combiné à une bonneterie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filaments synthétiques ou artificiels combinée à une bonneterie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Bonneterie combinée à une teinture, à un flocage, à une enduction, à une stratification ou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Flocage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combinée à une bonneterie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Torsion ou texturation combinée à une bonneterie, à condition que la valeur des fils non originaires non tordus ou non texturés utilisés ne dépasse pas 50 % du prix départ usine du produit</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Chapitre 61</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Vêtements et accessoires du vêtement, en bonneterie:</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Obtenus par assemblage par couture ou autrement de deux ou plusieurs pièces de bonneterie qui ont été découpées en forme ou obtenues directement en forme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Bonneterie combinée à une confection (y compris une coupe de tissu)</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 et/ou synthétiques ou artificielles discontinues combiné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combinée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Tricotage et confection en une seule opération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62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Vêtements et accessoires du vêtement, autres qu’en bonneterie; à l’exclusion des:</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(y compris une coupe de tissu) précédée d’impression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noProof/>
              </w:rPr>
              <w:t xml:space="preserve">6202, ex 6204, </w:t>
            </w:r>
            <w:r>
              <w:rPr>
                <w:noProof/>
              </w:rPr>
              <w:br/>
              <w:t xml:space="preserve">ex 6206, ex 6209 </w:t>
            </w:r>
            <w:r>
              <w:rPr>
                <w:noProof/>
              </w:rPr>
              <w:br/>
              <w:t>et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Vêtements pour femmes, fillettes et bébés, et autres accessoires confectionnés du vêtement pour bébés, brodés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non brodés dont la valeur n’excède pas 40 %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noProof/>
              </w:rPr>
              <w:t xml:space="preserve">ex 6210 et </w:t>
            </w:r>
            <w:r>
              <w:rPr>
                <w:noProof/>
              </w:rPr>
              <w:br/>
              <w:t>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Équipements antifeu en tissus recouverts d’une feuille de polyester aluminisée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Enduction ou stratification combinée à une confection (y compris une coupe de tissu), à condition que la valeur des tissus non enduits et non stratifiés utilisés ne dépasse pas 40 %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Soutiens-gorge, corsets, gaines, bustiers, porte-jarretelles, jarretières et articles similaires, et leurs parties, en bonneterie, obtenus par assemblage par couture ou autrement d’au moins deux pièces de bonneterie qui ont été découpées en forme ou obtenues directement en forme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Tricotage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Confection (y compris une coupe de tissu) précédée d’impression (en tant qu’opération indépendante)</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et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Mouchoirs, pochettes, châles, écharpes, foulards, cache-nez, cache-col, mantilles, voiles et voilettes et articles similaires: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Brodés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non brodés dont la valeur n’excède pas 40 %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(y compris une coupe de tissu)</w:t>
            </w:r>
          </w:p>
          <w:p>
            <w:pPr>
              <w:spacing w:before="60" w:after="60"/>
              <w:rPr>
                <w:rFonts w:asciiTheme="majorBidi" w:hAnsiTheme="majorBidi" w:cstheme="minorBidi"/>
                <w:noProof/>
                <w:sz w:val="22"/>
              </w:rPr>
            </w:pPr>
            <w:r>
              <w:rPr>
                <w:rFonts w:asciiTheme="majorBidi" w:hAnsiTheme="majorBidi"/>
                <w:noProof/>
              </w:rPr>
              <w:t>précédée d’impression (en tant qu’opération indépendante)</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précédée d’impression (en tant qu’opération indépendante)</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Autres accessoires confectionnés du vêtement; parties de vêtements ou d’accessoires du vêtement, autres que celles du nº 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Brodés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non brodés dont la valeur n’excède pas 40 %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précédée d’impression (en tant qu’opération indépendante)</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Équipements antifeu en tissus recouverts d’une feuille de polyester aluminisée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Enduction ou stratification combinée à une confection (y compris une coupe de tissu), à condition que la valeur des tissus non enduits et non stratifiés utilisés ne dépasse pas 40 % du prix départ usine du produit</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Triplures pour cols et poignets, découpées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40 % du prix départ usine du produit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Chapitre 63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articles textiles confectionnés; assortiments; friperie et chiffons; à l’exclusion des: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 à 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Couvertures, linge de lit, etc.; rideaux, etc.; autres articles d’ameublement:</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hAnsiTheme="majorBidi"/>
                <w:noProof/>
              </w:rPr>
              <w:t>- En feutre, en non-tissés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Procédé de fabrication de non-tissés combiné à une confection (y compris une coupe de tissu)</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Brodés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ou bonneterie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(autres qu’en bonneterie) non brodés dont la valeur n’excède pas 40 % du prix départ usine du produit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ou bonneterie combiné à une confection (y compris une coupe de tissu)</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Sacs et sachets d’emballage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 Extrusion de fibres synthétiques ou artificielles ou filage de fibres naturelles et/ou synthétiques ou artificielles discontinue, combinés à un tissage ou à un tricotage et à une confection (y compris une coupe de tissu)</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Bâches et stores d’extérieur; tentes; voiles pour embarcations, planches à voile ou chars à voile; articles de campement:</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En non-tissés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Procédé de fabrication de non-tissés combiné à une confection (y compris une coupe de tissu)</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articles confectionnés, y compris les patrons de vêtements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Assortiments composés de pièces de tissus et de fils, même avec accessoires, pour la confection de tapis, de tapisseries, de nappes de table ou de serviettes brodées, ou d’articles textiles similaires, en emballages pour la vente au détail</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Chacun des articles de l’assortiment doit respecter la règle qui lui serait applicable s’il n’était pas inclus dans l’assortiment. Toutefois, des articles non originaires peuvent être incorporés, à condition que leur valeur totale n’excède pas 15 % du prix départ usine de l’assortiment.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64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Chaussures, guêtres et articles analogues; parties de ces objets;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des assemblages formés de dessus de chaussures fixés aux semelles premières ou à d’autres parties inférieures du nº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Parties de chaussures (y compris les dessus même fixés à des semelles autres que les semelles extérieures); semelles intérieures amovibles, talonnettes et articles similaires amovibles; guêtres, jambières et articles similaires, et leurs parties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Coiffures et parties de coiffures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Parapluies, ombrelles, parasols, cannes, cannes-sièges, fouets, cravaches et leurs parties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Plumes et duvet apprêtés et articles en plumes ou en duvet; fleurs artificielles; ouvrages en cheveux</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68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Ouvrages en pierres, plâtre, ciment, amiante, mica ou matières analogues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70 %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céramiques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Verre et ouvrages en verre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Bonbonnes, bouteilles, flacons, bocaux, pots, emballages tubulaires, ampoules et autres récipients de transport ou d’emballage, en verre; bocaux à conserves en verre; bouchons, couvercles et autres dispositifs de fermeture, en verre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Taille d’objets en verre, à condition que la valeur de l’objet en verre non taillé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Objets en verre pour le service de la table, pour la cuisine, la toilette, le bureau, l’ornementation des appartements ou usages similaires, autres que ceux des nº</w:t>
            </w:r>
            <w:r>
              <w:rPr>
                <w:rFonts w:asciiTheme="majorBidi" w:hAnsiTheme="majorBidi"/>
                <w:noProof/>
                <w:vertAlign w:val="superscript"/>
              </w:rPr>
              <w:t>s</w:t>
            </w:r>
            <w:r>
              <w:rPr>
                <w:rFonts w:asciiTheme="majorBidi" w:hAnsiTheme="majorBidi"/>
                <w:noProof/>
              </w:rPr>
              <w:t> 7010 ou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Perles fines ou de culture, pierres gemmes ou similaires, métaux précieux, plaqués ou doublés de métaux précieux et ouvrages en ces matières; bijouterie de fantaisie; monnaies;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ind w:left="-3" w:firstLine="3"/>
              <w:rPr>
                <w:rFonts w:asciiTheme="majorBidi" w:hAnsiTheme="majorBidi" w:cstheme="minorBidi"/>
                <w:noProof/>
                <w:sz w:val="22"/>
              </w:rPr>
            </w:pPr>
            <w:r>
              <w:rPr>
                <w:rFonts w:asciiTheme="majorBidi" w:hAnsiTheme="majorBidi"/>
                <w:noProof/>
              </w:rPr>
              <w:t>Fabrication dans laquelle la valeur de toutes les matières utilisées n’excède pas 70 %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7102, ex 7103 et 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Pierres gemmes (précieuses ou fines) et pierres synthétiques ou reconstituées, travaillées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et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Métaux précieux:</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des matières des nº</w:t>
            </w:r>
            <w:r>
              <w:rPr>
                <w:rFonts w:asciiTheme="majorBidi" w:hAnsiTheme="majorBidi"/>
                <w:noProof/>
                <w:vertAlign w:val="superscript"/>
              </w:rPr>
              <w:t>s</w:t>
            </w:r>
            <w:r>
              <w:rPr>
                <w:rFonts w:asciiTheme="majorBidi" w:hAnsiTheme="majorBidi"/>
                <w:noProof/>
              </w:rPr>
              <w:t> 7106, 7108 et 7110 ou</w:t>
            </w:r>
          </w:p>
          <w:p>
            <w:pPr>
              <w:spacing w:before="60" w:after="60"/>
              <w:rPr>
                <w:rFonts w:asciiTheme="majorBidi" w:hAnsiTheme="majorBidi" w:cstheme="minorBidi"/>
                <w:noProof/>
                <w:sz w:val="22"/>
              </w:rPr>
            </w:pPr>
            <w:r>
              <w:rPr>
                <w:rFonts w:asciiTheme="majorBidi" w:hAnsiTheme="majorBidi"/>
                <w:noProof/>
              </w:rPr>
              <w:t>séparation électrolytique, thermique ou chimique de métaux précieux des nº</w:t>
            </w:r>
            <w:r>
              <w:rPr>
                <w:rFonts w:asciiTheme="majorBidi" w:hAnsiTheme="majorBidi"/>
                <w:noProof/>
                <w:vertAlign w:val="superscript"/>
              </w:rPr>
              <w:t>s</w:t>
            </w:r>
            <w:r>
              <w:rPr>
                <w:rFonts w:asciiTheme="majorBidi" w:hAnsiTheme="majorBidi"/>
                <w:noProof/>
              </w:rPr>
              <w:t> 7106, 7108 ou 7110 ou</w:t>
            </w:r>
          </w:p>
          <w:p>
            <w:pPr>
              <w:spacing w:before="60" w:after="60"/>
              <w:rPr>
                <w:rFonts w:asciiTheme="majorBidi" w:hAnsiTheme="majorBidi" w:cstheme="minorBidi"/>
                <w:noProof/>
                <w:sz w:val="22"/>
              </w:rPr>
            </w:pPr>
            <w:r>
              <w:rPr>
                <w:rFonts w:asciiTheme="majorBidi" w:hAnsiTheme="majorBidi"/>
                <w:noProof/>
              </w:rPr>
              <w:t>fusion et/ou alliage des métaux précieux des nº</w:t>
            </w:r>
            <w:r>
              <w:rPr>
                <w:rFonts w:asciiTheme="majorBidi" w:hAnsiTheme="majorBidi"/>
                <w:noProof/>
                <w:vertAlign w:val="superscript"/>
              </w:rPr>
              <w:t>s</w:t>
            </w:r>
            <w:r>
              <w:rPr>
                <w:rFonts w:asciiTheme="majorBidi" w:hAnsiTheme="majorBidi"/>
                <w:noProof/>
              </w:rPr>
              <w:t> 7106, 7108 ou 7110 entre eux ou avec des métaux communs ou purification</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Sous formes brutes</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Sous formes mi-ouvrées ou en poudre</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métaux précieux, sous forme brute</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7107, ex 7109 et 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Métaux plaqués ou doublés de métaux précieux, sous formes mi-ouvrées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métaux plaqués ou doublés de métaux précieux, sous forme brute</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Fonte, fer et acier;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Demi-produits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7201, 7202, 7203, 7204 ou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 à 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laminés plats,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 à 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Barres et profilés et fil machine,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aciers en lingots ou autres formes primaires du nº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et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Demi-produits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xml:space="preserve"> 7201, 7202, 7203, 7204 ou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 à 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laminés plats, fil machine, barres et profilés en aciers inoxydables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aciers en lingots ou autres formes primaires du nº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en aciers inoxydables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Demi-produits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xml:space="preserve"> 7201, 7202, 7203, 7204 ou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 à 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laminés plats, fil machine, barres et fils machines laminés à chaud; barres et profilés en autres aciers alliés; barres creuses pour le forage en aciers alliés ou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aciers en lingots ou autres formes primaires des nº</w:t>
            </w:r>
            <w:r>
              <w:rPr>
                <w:rFonts w:asciiTheme="majorBidi" w:hAnsiTheme="majorBidi"/>
                <w:noProof/>
                <w:vertAlign w:val="superscript"/>
              </w:rPr>
              <w:t>s</w:t>
            </w:r>
            <w:r>
              <w:rPr>
                <w:rFonts w:asciiTheme="majorBidi" w:hAnsiTheme="majorBidi"/>
                <w:noProof/>
              </w:rPr>
              <w:t> 7206, 7218 ou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en autres aciers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en fonte, fer ou acier;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Palplanches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du nº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Éléments de voies ferrées, en fonte, fer ou acier: rails, contre-rails et crémaillères, aiguilles, pointes de cœur, tringles d’aiguillage et autres éléments de croisement ou changement de voies, traverses, éclisses, coussinets, coins, selles d’assise, plaques de serrage, plaques et barres d’écartement et autres pièces spécialement conçues pour la pose, le jointement ou la fixation des rails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du nº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et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Tubes, tuyaux et profilés creux, en fer ou en acier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7206 à 7212 et 7218 ou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szCs w:val="24"/>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Accessoires de tuyauterie en aciers inoxydables (ISO nº X5CrNiMo 1712) consistant en plusieurs pièces</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Tournage, perçage, alésage, filetage, ébavurage et sablage d’ébauches forgées dont la valeur ne doit pas excéder 35 %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Constructions et parties de constructions (ponts et éléments de ponts, portes d’écluses, tours, pylônes, piliers, colonnes, charpentes, toitures, portes et fenêtres et leurs cadres, chambranles et seuils, rideaux de fermeture, balustrades, par exemple), en fonte, fer ou acier, à l’exception des constructions préfabriquées du nº 9406; tôles, barres, profilés, tubes et similaires, en fonte, fer ou acier, préparés en vue de leur utilisation dans la construction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les profilés obtenus par soudage du nº 7301 ne peuvent pas être utilisés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Chaînes antidérapantes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du nº 7315 utilisées ne doit pas excéder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Cuivre et ouvrages en cuivre;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Cuivre affiné et alliages de cuivre sous forme brute: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 de cuivre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75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Nickel et ouvrages en nickel</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et ouvrages en aluminium;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sous forme brute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50 % du prix départ usine du produit</w:t>
            </w:r>
          </w:p>
          <w:p>
            <w:pPr>
              <w:spacing w:before="60" w:after="60"/>
              <w:rPr>
                <w:rFonts w:asciiTheme="majorBidi" w:hAnsiTheme="majorBidi" w:cstheme="majorBidi"/>
                <w:noProof/>
                <w:szCs w:val="24"/>
              </w:rPr>
            </w:pPr>
            <w:r>
              <w:rPr>
                <w:rFonts w:asciiTheme="majorBidi" w:hAnsiTheme="majorBidi"/>
                <w:noProof/>
                <w:szCs w:val="24"/>
              </w:rPr>
              <w:t>ou</w:t>
            </w:r>
          </w:p>
          <w:p>
            <w:pPr>
              <w:spacing w:before="60" w:after="60"/>
              <w:rPr>
                <w:rFonts w:asciiTheme="majorBidi" w:hAnsiTheme="majorBidi" w:cstheme="minorBidi"/>
                <w:noProof/>
                <w:sz w:val="22"/>
              </w:rPr>
            </w:pPr>
            <w:r>
              <w:rPr>
                <w:rFonts w:asciiTheme="majorBidi" w:hAnsiTheme="majorBidi"/>
                <w:noProof/>
              </w:rPr>
              <w:t>Fabrication par traitement thermique ou électrolytique à partir d’aluminium non allié ou de déchets et débris d’aluminium</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Déchets et débris d’aluminium</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en aluminium autres que toiles métalliques (y compris les toiles continues ou sans fin), grillages et treillis, en fils métalliques, de tôles ou bandes déployées, en aluminium</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w:t>
            </w:r>
            <w:r>
              <w:rPr>
                <w:rFonts w:asciiTheme="majorBidi" w:hAnsiTheme="majorBidi"/>
                <w:noProof/>
              </w:rPr>
              <w:t xml:space="preserve"> Toutefois, peuvent être utilisés des toiles métalliques (y compris les toiles continues ou sans fin), des grillages et treillis, en fils métalliques, des tôles ou bandes déployées, en aluminium, et</w:t>
            </w:r>
          </w:p>
          <w:p>
            <w:pPr>
              <w:spacing w:before="60" w:after="60"/>
              <w:ind w:left="567" w:hanging="567"/>
              <w:rPr>
                <w:rFonts w:asciiTheme="majorBidi" w:hAnsiTheme="majorBidi"/>
                <w:i/>
                <w:noProof/>
              </w:rPr>
            </w:pPr>
            <w:r>
              <w:rPr>
                <w:noProof/>
              </w:rPr>
              <w:t>–</w:t>
            </w:r>
            <w:r>
              <w:rPr>
                <w:noProof/>
              </w:rPr>
              <w:tab/>
              <w:t>dans laquelle la valeur de toutes les matières utilisées ne doit pas excéder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78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Plomb et ouvrages en plomb</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79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Zinc et ouvrages en zinc</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Étain et ouvrages en étain</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Autres métaux communs; cermets; ouvrages en ces matières</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82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Outils et outillage, articles de coutellerie et couverts de table, en métaux communs; parties de ces articles, en métaux communs;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Outils d’au moins deux des nº</w:t>
            </w:r>
            <w:r>
              <w:rPr>
                <w:rFonts w:asciiTheme="majorBidi" w:hAnsiTheme="majorBidi"/>
                <w:noProof/>
                <w:vertAlign w:val="superscript"/>
              </w:rPr>
              <w:t>s</w:t>
            </w:r>
            <w:r>
              <w:rPr>
                <w:rFonts w:asciiTheme="majorBidi" w:hAnsiTheme="majorBidi"/>
                <w:noProof/>
              </w:rPr>
              <w:t> 8202 à 8205, conditionnés en assortiments pour la vente au détail</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Fabrication à partir de matières de toute position, à l’exclusion des matières des nº</w:t>
            </w:r>
            <w:r>
              <w:rPr>
                <w:rFonts w:asciiTheme="majorBidi" w:hAnsiTheme="majorBidi"/>
                <w:noProof/>
                <w:vertAlign w:val="superscript"/>
              </w:rPr>
              <w:t>s</w:t>
            </w:r>
            <w:r>
              <w:rPr>
                <w:rFonts w:asciiTheme="majorBidi" w:hAnsiTheme="majorBidi"/>
                <w:noProof/>
              </w:rPr>
              <w:t> 8202 à 8205. Toutefois, des outils des nº</w:t>
            </w:r>
            <w:r>
              <w:rPr>
                <w:rFonts w:asciiTheme="majorBidi" w:hAnsiTheme="majorBidi"/>
                <w:noProof/>
                <w:vertAlign w:val="superscript"/>
              </w:rPr>
              <w:t>s</w:t>
            </w:r>
            <w:r>
              <w:rPr>
                <w:rFonts w:asciiTheme="majorBidi" w:hAnsiTheme="majorBidi"/>
                <w:noProof/>
              </w:rPr>
              <w:t> 8202 à 8205 peuvent être utilisés dans la composition de l’assortiment, à condition que leur valeur totale n’excède pas 15 % du prix départ usine de cet assortiment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83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divers en métaux communs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84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Réacteurs nucléaires, chaudières, machines, appareils et engins mécaniques; parties de ces machines ou appareils,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Moteurs à piston alternatif ou rotatif, à allumage par étincelles (moteurs à explosion)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Moteurs à piston, à allumage par compression (moteur diesel ou semi-diesel)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 à 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Palans; treuils et cabestans; crics et vérins:</w:t>
            </w:r>
          </w:p>
          <w:p>
            <w:pPr>
              <w:spacing w:before="60" w:after="60"/>
              <w:rPr>
                <w:rFonts w:asciiTheme="majorBidi" w:hAnsiTheme="majorBidi" w:cstheme="minorBidi"/>
                <w:noProof/>
                <w:sz w:val="22"/>
              </w:rPr>
            </w:pPr>
            <w:r>
              <w:rPr>
                <w:rFonts w:asciiTheme="majorBidi" w:hAnsiTheme="majorBidi"/>
                <w:noProof/>
              </w:rPr>
              <w:t>Bigues; grues et blondins; ponts roulants, portiques de déchargement ou de manutention, ponts-grues, chariots-cavaliers et chariots-grues</w:t>
            </w:r>
          </w:p>
          <w:p>
            <w:pPr>
              <w:spacing w:before="60" w:after="60"/>
              <w:rPr>
                <w:rFonts w:asciiTheme="majorBidi" w:hAnsiTheme="majorBidi" w:cstheme="minorBidi"/>
                <w:noProof/>
                <w:sz w:val="22"/>
              </w:rPr>
            </w:pPr>
            <w:r>
              <w:rPr>
                <w:rFonts w:asciiTheme="majorBidi" w:hAnsiTheme="majorBidi"/>
                <w:noProof/>
              </w:rPr>
              <w:t>Chariots-gerbeurs; autres chariots de manutention munis d’un dispositif de levage</w:t>
            </w:r>
          </w:p>
          <w:p>
            <w:pPr>
              <w:spacing w:before="60" w:after="60"/>
              <w:rPr>
                <w:rFonts w:asciiTheme="majorBidi" w:hAnsiTheme="majorBidi" w:cstheme="minorBidi"/>
                <w:noProof/>
                <w:sz w:val="22"/>
              </w:rPr>
            </w:pPr>
            <w:r>
              <w:rPr>
                <w:rFonts w:asciiTheme="majorBidi" w:hAnsiTheme="majorBidi"/>
                <w:noProof/>
              </w:rPr>
              <w:t>Autres machines et appareils de levage, de chargement, de déchargement ou de manutention (ascenseurs, escaliers mécaniques, transporteurs, téléphériques, par exemple)</w:t>
            </w:r>
          </w:p>
          <w:p>
            <w:pPr>
              <w:spacing w:before="60" w:after="60"/>
              <w:rPr>
                <w:rFonts w:asciiTheme="majorBidi" w:hAnsiTheme="majorBidi" w:cstheme="minorBidi"/>
                <w:noProof/>
                <w:sz w:val="22"/>
              </w:rPr>
            </w:pPr>
            <w:r>
              <w:rPr>
                <w:rFonts w:asciiTheme="majorBidi" w:hAnsiTheme="majorBidi"/>
                <w:noProof/>
              </w:rPr>
              <w:t>Bouteurs (bulldozers), bouteurs biais (angledozers), niveleuses, décapeuses (scrapers), pelles mécaniques, excavateurs, chargeuses et chargeuses-pelleteuses, compacteuses et rouleaux compresseurs, autopropulsés</w:t>
            </w:r>
          </w:p>
          <w:p>
            <w:pPr>
              <w:spacing w:before="60" w:after="60"/>
              <w:rPr>
                <w:rFonts w:asciiTheme="majorBidi" w:hAnsiTheme="majorBidi" w:cstheme="minorBidi"/>
                <w:noProof/>
                <w:sz w:val="20"/>
              </w:rPr>
            </w:pPr>
            <w:r>
              <w:rPr>
                <w:rFonts w:asciiTheme="majorBidi" w:hAnsiTheme="majorBidi"/>
                <w:noProof/>
              </w:rPr>
              <w:t>Autres machines et appareils de terrassement, nivellement, décapage, excavation, compactage, extraction ou forage de la terre, des minéraux ou des minerais; sonnettes de battage et machines pour l’arrachage des pieux; chasse-neige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et du nº 8431,</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 à 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pour le filage (extrusion), l’étirage, la texturation ou le tranchage des matières textiles synthétiques ou artificielles:</w:t>
            </w:r>
          </w:p>
          <w:p>
            <w:pPr>
              <w:spacing w:before="60" w:after="60"/>
              <w:rPr>
                <w:rFonts w:asciiTheme="majorBidi" w:hAnsiTheme="majorBidi" w:cstheme="minorBidi"/>
                <w:noProof/>
                <w:sz w:val="22"/>
              </w:rPr>
            </w:pPr>
            <w:r>
              <w:rPr>
                <w:rFonts w:asciiTheme="majorBidi" w:hAnsiTheme="majorBidi"/>
                <w:noProof/>
              </w:rPr>
              <w:t>Machines pour la préparation des matières textiles; machines pour la filature, le doublage ou le retordage des matières textiles et autres machines et appareils pour la fabrication des fils textiles; machines à bobiner (y compris les canetières) ou à dévider les matières textiles et machines pour la préparation des fils textiles en vue de leur utilisation sur les machines du nº 8446 ou 8447</w:t>
            </w:r>
          </w:p>
          <w:p>
            <w:pPr>
              <w:spacing w:before="60" w:after="60"/>
              <w:rPr>
                <w:rFonts w:asciiTheme="majorBidi" w:hAnsiTheme="majorBidi" w:cstheme="minorBidi"/>
                <w:noProof/>
                <w:sz w:val="22"/>
              </w:rPr>
            </w:pPr>
            <w:r>
              <w:rPr>
                <w:rFonts w:asciiTheme="majorBidi" w:hAnsiTheme="majorBidi"/>
                <w:noProof/>
              </w:rPr>
              <w:t>Métiers à tisser:</w:t>
            </w:r>
          </w:p>
          <w:p>
            <w:pPr>
              <w:spacing w:before="60" w:after="60"/>
              <w:rPr>
                <w:rFonts w:asciiTheme="majorBidi" w:hAnsiTheme="majorBidi" w:cstheme="minorBidi"/>
                <w:noProof/>
                <w:sz w:val="22"/>
              </w:rPr>
            </w:pPr>
            <w:r>
              <w:rPr>
                <w:rFonts w:asciiTheme="majorBidi" w:hAnsiTheme="majorBidi"/>
                <w:noProof/>
              </w:rPr>
              <w:t>Machines et métiers à bonneterie, de couture-tricotage, à guipure, à tulle, à dentelle, à broderie, à passementerie, à tresses, à filet ou à touffeter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et du nº 8448,</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 à 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Machines-outils travaillant par enlèvement de toute matière,</w:t>
            </w:r>
          </w:p>
          <w:p>
            <w:pPr>
              <w:spacing w:before="60" w:after="60"/>
              <w:rPr>
                <w:rFonts w:asciiTheme="majorBidi" w:hAnsiTheme="majorBidi" w:cstheme="minorBidi"/>
                <w:noProof/>
                <w:sz w:val="22"/>
              </w:rPr>
            </w:pPr>
            <w:r>
              <w:rPr>
                <w:rFonts w:asciiTheme="majorBidi" w:hAnsiTheme="majorBidi"/>
                <w:noProof/>
              </w:rPr>
              <w:t>Centres d’usinage, machines à poste fixe et machines à stations multiples, pour le travail des métaux</w:t>
            </w:r>
          </w:p>
          <w:p>
            <w:pPr>
              <w:spacing w:before="60" w:after="60"/>
              <w:rPr>
                <w:rFonts w:asciiTheme="majorBidi" w:hAnsiTheme="majorBidi" w:cstheme="minorBidi"/>
                <w:noProof/>
                <w:sz w:val="22"/>
              </w:rPr>
            </w:pPr>
            <w:r>
              <w:rPr>
                <w:rFonts w:asciiTheme="majorBidi" w:hAnsiTheme="majorBidi"/>
                <w:noProof/>
              </w:rPr>
              <w:t>Tours travaillant par enlèvement de métal</w:t>
            </w:r>
          </w:p>
          <w:p>
            <w:pPr>
              <w:spacing w:before="60" w:after="60"/>
              <w:rPr>
                <w:rFonts w:asciiTheme="majorBidi" w:hAnsiTheme="majorBidi" w:cstheme="minorBidi"/>
                <w:noProof/>
                <w:sz w:val="22"/>
              </w:rPr>
            </w:pPr>
            <w:r>
              <w:rPr>
                <w:rFonts w:asciiTheme="majorBidi" w:hAnsiTheme="majorBidi"/>
                <w:noProof/>
              </w:rPr>
              <w:t>Machines-outils: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8466,</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8470 à 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à calculer et machines de poche permettant d’enregistrer, de reproduire et d’afficher des informations, comportant une fonction de calcul; postage- machines comptables, machines à affranchir, à établir les tickets et machines similaires, comportant un dispositif de calcul; caisses enregistreuses</w:t>
            </w:r>
          </w:p>
          <w:p>
            <w:pPr>
              <w:spacing w:before="60" w:after="60"/>
              <w:rPr>
                <w:rFonts w:asciiTheme="majorBidi" w:hAnsiTheme="majorBidi" w:cstheme="minorBidi"/>
                <w:noProof/>
                <w:sz w:val="22"/>
              </w:rPr>
            </w:pPr>
            <w:r>
              <w:rPr>
                <w:rFonts w:asciiTheme="majorBidi" w:hAnsiTheme="majorBidi"/>
                <w:noProof/>
              </w:rPr>
              <w:t>Machines automatiques de traitement de l’information et leurs unités; lecteurs magnétiques ou optiques, machines de mise d’informations sur support sous forme codée et machines de traitement de ces données</w:t>
            </w:r>
          </w:p>
          <w:p>
            <w:pPr>
              <w:spacing w:before="60" w:after="60"/>
              <w:rPr>
                <w:rFonts w:asciiTheme="majorBidi" w:hAnsiTheme="majorBidi" w:cstheme="minorBidi"/>
                <w:noProof/>
                <w:sz w:val="22"/>
              </w:rPr>
            </w:pPr>
            <w:r>
              <w:rPr>
                <w:rFonts w:asciiTheme="majorBidi" w:hAnsiTheme="majorBidi"/>
                <w:noProof/>
              </w:rPr>
              <w:t>Autres machines de bureau</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8473,</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85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appareils et matériels électriques et leurs parties; appareils d’enregistrement ou de reproduction du son; appareils d’enregistrement ou de reproduction des images et du son en télévision, et parties et accessoires de ces appareils;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 à 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Moteurs et machines génératrices, électriques</w:t>
            </w:r>
          </w:p>
          <w:p>
            <w:pPr>
              <w:spacing w:before="60" w:after="60"/>
              <w:rPr>
                <w:rFonts w:asciiTheme="majorBidi" w:hAnsiTheme="majorBidi" w:cstheme="minorBidi"/>
                <w:noProof/>
                <w:sz w:val="22"/>
              </w:rPr>
            </w:pPr>
            <w:r>
              <w:rPr>
                <w:rFonts w:asciiTheme="majorBidi" w:hAnsiTheme="majorBidi"/>
                <w:noProof/>
              </w:rPr>
              <w:t>Groupes électrogènes et convertisseurs rotatifs électriques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8503,</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Appareils d’enregistrement du son; appareils de reproduction du son</w:t>
            </w:r>
          </w:p>
          <w:p>
            <w:pPr>
              <w:spacing w:before="60" w:after="60"/>
              <w:rPr>
                <w:rFonts w:asciiTheme="majorBidi" w:hAnsiTheme="majorBidi" w:cstheme="minorBidi"/>
                <w:noProof/>
                <w:sz w:val="22"/>
              </w:rPr>
            </w:pPr>
            <w:r>
              <w:rPr>
                <w:rFonts w:asciiTheme="majorBidi" w:hAnsiTheme="majorBidi"/>
                <w:noProof/>
              </w:rPr>
              <w:t>Appareils d’enregistrement ou de reproduction vidéophoniques, même incorporant un récepteur de signaux vidéophoniques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8522,</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 à 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Appareils d’émission pour la radiodiffusion ou la télévision, caméras de télévision, appareils photographiques numériques et caméscopes</w:t>
            </w:r>
          </w:p>
          <w:p>
            <w:pPr>
              <w:spacing w:before="60" w:after="60"/>
              <w:rPr>
                <w:rFonts w:asciiTheme="majorBidi" w:hAnsiTheme="majorBidi" w:cstheme="minorBidi"/>
                <w:noProof/>
                <w:sz w:val="22"/>
              </w:rPr>
            </w:pPr>
            <w:r>
              <w:rPr>
                <w:rFonts w:asciiTheme="majorBidi" w:hAnsiTheme="majorBidi"/>
                <w:noProof/>
              </w:rPr>
              <w:t>Appareils de radiodétection et de radiosondage (radars), appareils de radionavigation et appareils de radiotélécommande</w:t>
            </w:r>
          </w:p>
          <w:p>
            <w:pPr>
              <w:spacing w:before="60" w:after="60"/>
              <w:rPr>
                <w:rFonts w:asciiTheme="majorBidi" w:hAnsiTheme="majorBidi" w:cstheme="minorBidi"/>
                <w:noProof/>
                <w:sz w:val="22"/>
              </w:rPr>
            </w:pPr>
            <w:r>
              <w:rPr>
                <w:rFonts w:asciiTheme="majorBidi" w:hAnsiTheme="majorBidi"/>
                <w:noProof/>
              </w:rPr>
              <w:t>Appareils récepteurs pour la radiodiffusion</w:t>
            </w:r>
          </w:p>
          <w:p>
            <w:pPr>
              <w:spacing w:before="60" w:after="60"/>
              <w:rPr>
                <w:rFonts w:asciiTheme="majorBidi" w:hAnsiTheme="majorBidi" w:cstheme="minorBidi"/>
                <w:noProof/>
                <w:sz w:val="22"/>
              </w:rPr>
            </w:pPr>
            <w:r>
              <w:rPr>
                <w:rFonts w:asciiTheme="majorBidi" w:hAnsiTheme="majorBidi"/>
                <w:noProof/>
              </w:rPr>
              <w:t>Moniteurs et projecteurs, n’incorporant pas d’appareil de réception de télévision; appareils récepteurs de télévision, même incorporant un appareil récepteur de radiodiffusion ou un appareil d’enregistrement ou de reproduction du son ou des images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8529,</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 à 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Appareillage pour la coupure, le sectionnement, la protection, le branchement, le raccordement ou la connexion des circuits électriques; connecteurs de fibres optiques, faisceaux ou câbles de fibres optiques; tableaux, panneaux, consoles, pupitres, armoires et autres supports pour la commande ou la distribution électrique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8538,</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 à 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Circuits intégrés monolithiques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 de diffusion, dans laquelle les circuits intégrés sont formés sur un support semi-conducteur, grâce à l’introduction sélective d’un dopant adéquat, qu’il soit ou non assemblé et/ou testé dans un pays non partie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 à 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câbles et autres conducteurs isolés pour l’électricité, câbles de fibres optiques</w:t>
            </w:r>
          </w:p>
          <w:p>
            <w:pPr>
              <w:spacing w:before="60" w:after="60"/>
              <w:rPr>
                <w:rFonts w:asciiTheme="majorBidi" w:hAnsiTheme="majorBidi" w:cstheme="minorBidi"/>
                <w:noProof/>
                <w:sz w:val="22"/>
              </w:rPr>
            </w:pPr>
            <w:r>
              <w:rPr>
                <w:rFonts w:asciiTheme="majorBidi" w:hAnsiTheme="majorBidi"/>
                <w:noProof/>
              </w:rPr>
              <w:t>Électrodes en charbon, balais en charbon, charbons pour lampes ou pour piles et autres articles en graphite ou en autre carbone, pour usages électriques</w:t>
            </w:r>
          </w:p>
          <w:p>
            <w:pPr>
              <w:spacing w:before="60" w:after="60"/>
              <w:rPr>
                <w:rFonts w:asciiTheme="majorBidi" w:hAnsiTheme="majorBidi" w:cstheme="minorBidi"/>
                <w:noProof/>
                <w:sz w:val="22"/>
              </w:rPr>
            </w:pPr>
            <w:r>
              <w:rPr>
                <w:rFonts w:asciiTheme="majorBidi" w:hAnsiTheme="majorBidi"/>
                <w:noProof/>
              </w:rPr>
              <w:t>Isolateurs en toutes matières pour l’électricité</w:t>
            </w:r>
          </w:p>
          <w:p>
            <w:pPr>
              <w:spacing w:before="60" w:after="60"/>
              <w:rPr>
                <w:rFonts w:asciiTheme="majorBidi" w:hAnsiTheme="majorBidi" w:cstheme="minorBidi"/>
                <w:noProof/>
                <w:sz w:val="22"/>
              </w:rPr>
            </w:pPr>
            <w:r>
              <w:rPr>
                <w:rFonts w:asciiTheme="majorBidi" w:hAnsiTheme="majorBidi"/>
                <w:noProof/>
              </w:rPr>
              <w:t>Pièces isolantes pour machines, appareils ou installations électriques, tubes isolateurs et leurs pièces de raccordement, en métaux communs, isolés intérieurement</w:t>
            </w:r>
          </w:p>
          <w:p>
            <w:pPr>
              <w:spacing w:before="60" w:after="60"/>
              <w:rPr>
                <w:rFonts w:asciiTheme="majorBidi" w:hAnsiTheme="majorBidi" w:cstheme="minorBidi"/>
                <w:noProof/>
                <w:sz w:val="22"/>
              </w:rPr>
            </w:pPr>
            <w:r>
              <w:rPr>
                <w:rFonts w:asciiTheme="majorBidi" w:hAnsiTheme="majorBidi"/>
                <w:noProof/>
              </w:rPr>
              <w:t>Déchets et débris de piles, de batteries de piles et d’accumulateurs électriques; piles et batteries de piles électriques hors d’usage et accumulateurs électriques hors d’usage; parties électriques de machines ou d’appareils, non dénommées ni comprises ailleurs dans le présent chapitre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Véhicules et matériel pour voies ferrées ou similaires et leurs parties; matériel fixe de voies ferrées ou similaires et leurs parties; appareils mécaniques (y compris électromécaniques) de signalisation pour voies de communications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87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Voitures automobiles, tracteurs, cycles et autres véhicules terrestres, leurs parties et accessoires;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45 %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Parties et accessoires des véhicules des nº</w:t>
            </w:r>
            <w:r>
              <w:rPr>
                <w:rFonts w:asciiTheme="majorBidi" w:hAnsiTheme="majorBidi"/>
                <w:noProof/>
                <w:vertAlign w:val="superscript"/>
              </w:rPr>
              <w:t>s</w:t>
            </w:r>
            <w:r>
              <w:rPr>
                <w:rFonts w:asciiTheme="majorBidi" w:hAnsiTheme="majorBidi"/>
                <w:noProof/>
              </w:rPr>
              <w:t> 8701 à 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Motocycles (y compris les cyclomoteurs) et cycles équipés d’un moteur auxiliaire, avec ou sans side-cars; side-cars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Navigation aérienne ou spatiale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89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Navigation maritime ou fluviale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Toutefois, les coques du nº 8906 ne peuvent pas être utilisées,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90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Instruments et appareils d’optique, de photographie ou de cinématographie, de mesure, de contrôle ou de précision; instruments et appareils médico-chirurgicaux; leurs parties et accessoires; à l’exclusion de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Verres de lunetterie en matières autres que le verre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l’une des opérations suivantes est réalisée:</w:t>
            </w:r>
          </w:p>
          <w:p>
            <w:pPr>
              <w:spacing w:before="60" w:after="60"/>
              <w:ind w:left="567" w:hanging="567"/>
              <w:rPr>
                <w:rFonts w:asciiTheme="majorBidi" w:hAnsiTheme="majorBidi"/>
                <w:noProof/>
              </w:rPr>
            </w:pPr>
            <w:r>
              <w:rPr>
                <w:noProof/>
              </w:rPr>
              <w:t>–</w:t>
            </w:r>
            <w:r>
              <w:rPr>
                <w:noProof/>
              </w:rPr>
              <w:tab/>
              <w:t>usinage de la surface de verres semi-finis les transformant en verres optiques correcteurs finis destinés à être enchâssés dans une monture;</w:t>
            </w:r>
          </w:p>
          <w:p>
            <w:pPr>
              <w:spacing w:before="60" w:after="60"/>
              <w:ind w:left="567" w:hanging="567"/>
              <w:rPr>
                <w:rFonts w:asciiTheme="majorBidi" w:hAnsiTheme="majorBidi"/>
                <w:noProof/>
              </w:rPr>
            </w:pPr>
            <w:r>
              <w:rPr>
                <w:noProof/>
              </w:rPr>
              <w:t>–</w:t>
            </w:r>
            <w:r>
              <w:rPr>
                <w:noProof/>
              </w:rPr>
              <w:tab/>
              <w:t>revêtement des verres par des traitements appropriés pour améliorer la vision de l’utilisateur et assurer sa sécurité</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0"/>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Horlogerie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92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Instruments de musique; parties et accessoires de ces instruments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Armes, munitions et leurs parties et accessoires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Meubles; articles de literie, matelas, sommiers, coussins et articles rembourrés similaires; appareils d’éclairage non dénommés ni compris ailleurs; lampes-réclames, enseignes lumineuses, plaques indicatrices lumineuses et articles similaires; constructions préfabriquées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Jouets, jeux, articles pour divertissements ou pour sports; leurs parties et accessoires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96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Ouvrages divers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Objets d’art, de collection ou d’antiquité</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bl>
    <w:p>
      <w:pPr>
        <w:pStyle w:val="Text1"/>
        <w:rPr>
          <w:noProof/>
        </w:rPr>
      </w:pPr>
      <w:r>
        <w:rPr>
          <w:noProof/>
        </w:rPr>
        <w:t>________________</w:t>
      </w:r>
    </w:p>
    <w:p>
      <w:pPr>
        <w:pStyle w:val="Point1"/>
        <w:spacing w:before="60" w:after="60"/>
        <w:ind w:left="1418"/>
        <w:rPr>
          <w:noProof/>
          <w:sz w:val="20"/>
          <w:szCs w:val="20"/>
        </w:rPr>
      </w:pPr>
      <w:r>
        <w:rPr>
          <w:b/>
          <w:bCs/>
          <w:noProof/>
          <w:sz w:val="20"/>
          <w:szCs w:val="20"/>
          <w:vertAlign w:val="superscript"/>
        </w:rPr>
        <w:t>(1)</w:t>
      </w:r>
      <w:r>
        <w:rPr>
          <w:noProof/>
        </w:rPr>
        <w:tab/>
      </w:r>
      <w:r>
        <w:rPr>
          <w:noProof/>
          <w:sz w:val="20"/>
          <w:szCs w:val="20"/>
        </w:rPr>
        <w:t>Les conditions particulières relatives aux “traitements spécifiques” sont exposées dans les notes introductives 8.1 et 8.3.</w:t>
      </w:r>
    </w:p>
    <w:p>
      <w:pPr>
        <w:pStyle w:val="Point1"/>
        <w:spacing w:before="60" w:after="60"/>
        <w:ind w:left="1418"/>
        <w:rPr>
          <w:noProof/>
          <w:sz w:val="20"/>
          <w:szCs w:val="20"/>
        </w:rPr>
      </w:pPr>
      <w:r>
        <w:rPr>
          <w:b/>
          <w:bCs/>
          <w:noProof/>
          <w:sz w:val="20"/>
          <w:szCs w:val="20"/>
          <w:vertAlign w:val="superscript"/>
        </w:rPr>
        <w:t>(2)</w:t>
      </w:r>
      <w:r>
        <w:rPr>
          <w:noProof/>
        </w:rPr>
        <w:tab/>
      </w:r>
      <w:r>
        <w:rPr>
          <w:noProof/>
          <w:sz w:val="20"/>
          <w:szCs w:val="20"/>
        </w:rPr>
        <w:t>Les conditions particulières applicables aux produits constitués d’un mélange de matières textiles sont exposées dans la note introductive 6.</w:t>
      </w:r>
    </w:p>
    <w:p>
      <w:pPr>
        <w:pStyle w:val="Point1"/>
        <w:spacing w:before="60" w:after="60"/>
        <w:ind w:left="1418"/>
        <w:rPr>
          <w:noProof/>
          <w:sz w:val="20"/>
          <w:szCs w:val="20"/>
        </w:rPr>
      </w:pPr>
      <w:r>
        <w:rPr>
          <w:b/>
          <w:bCs/>
          <w:noProof/>
          <w:sz w:val="20"/>
          <w:szCs w:val="20"/>
          <w:vertAlign w:val="superscript"/>
        </w:rPr>
        <w:t>(3)</w:t>
      </w:r>
      <w:r>
        <w:rPr>
          <w:noProof/>
        </w:rPr>
        <w:tab/>
      </w:r>
      <w:r>
        <w:rPr>
          <w:noProof/>
          <w:sz w:val="20"/>
          <w:szCs w:val="20"/>
        </w:rPr>
        <w:t>Voir la note introductive 7.</w:t>
      </w:r>
    </w:p>
    <w:p>
      <w:pPr>
        <w:pStyle w:val="Point1"/>
        <w:spacing w:before="60" w:after="60"/>
        <w:ind w:left="1418"/>
        <w:rPr>
          <w:noProof/>
          <w:sz w:val="20"/>
          <w:szCs w:val="20"/>
        </w:rPr>
      </w:pPr>
      <w:r>
        <w:rPr>
          <w:b/>
          <w:bCs/>
          <w:noProof/>
          <w:sz w:val="20"/>
          <w:szCs w:val="20"/>
          <w:vertAlign w:val="superscript"/>
        </w:rPr>
        <w:t>(4)</w:t>
      </w:r>
      <w:r>
        <w:rPr>
          <w:noProof/>
        </w:rPr>
        <w:tab/>
      </w:r>
      <w:r>
        <w:rPr>
          <w:noProof/>
          <w:sz w:val="20"/>
          <w:szCs w:val="20"/>
        </w:rPr>
        <w:t>Voir la note introductive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ANNEXE III</w:t>
      </w:r>
    </w:p>
    <w:p>
      <w:pPr>
        <w:pStyle w:val="Text1"/>
        <w:jc w:val="center"/>
        <w:rPr>
          <w:b/>
          <w:noProof/>
        </w:rPr>
      </w:pPr>
      <w:r>
        <w:rPr>
          <w:b/>
          <w:noProof/>
        </w:rPr>
        <w:t>TEXTE DE LA DÉCLARATION D’ORIGINE</w:t>
      </w:r>
    </w:p>
    <w:p>
      <w:pPr>
        <w:pStyle w:val="Text1"/>
        <w:rPr>
          <w:noProof/>
        </w:rPr>
      </w:pPr>
    </w:p>
    <w:p>
      <w:pPr>
        <w:autoSpaceDE w:val="0"/>
        <w:autoSpaceDN w:val="0"/>
        <w:jc w:val="center"/>
        <w:rPr>
          <w:b/>
          <w:noProof/>
        </w:rPr>
      </w:pPr>
      <w:r>
        <w:rPr>
          <w:b/>
          <w:noProof/>
        </w:rPr>
        <w:t>Version albanaise</w:t>
      </w:r>
    </w:p>
    <w:p>
      <w:pPr>
        <w:rPr>
          <w:rFonts w:eastAsia="Times New Roman"/>
          <w:noProof/>
          <w:color w:val="000000"/>
          <w:szCs w:val="24"/>
          <w:shd w:val="clear" w:color="auto" w:fill="FFFFFF"/>
        </w:rPr>
      </w:pPr>
      <w:r>
        <w:rPr>
          <w:noProof/>
          <w:color w:val="000000"/>
          <w:szCs w:val="24"/>
          <w:shd w:val="clear" w:color="auto" w:fill="FFFFFF"/>
        </w:rPr>
        <w:t>Eksportuesi i produkteve të mbuluara nga ky dokument (autorizim doganor Nr. ………….. </w:t>
      </w:r>
      <w:r>
        <w:rPr>
          <w:noProof/>
          <w:color w:val="000000"/>
          <w:szCs w:val="24"/>
          <w:shd w:val="clear" w:color="auto" w:fill="FFFFFF"/>
          <w:vertAlign w:val="superscript"/>
        </w:rPr>
        <w:t>1</w:t>
      </w:r>
      <w:r>
        <w:rPr>
          <w:noProof/>
          <w:color w:val="000000"/>
          <w:szCs w:val="24"/>
          <w:shd w:val="clear" w:color="auto" w:fill="FFFFFF"/>
        </w:rPr>
        <w:t>) deklaron që përveç rasteve kur tregohet qartësisht ndryshe, këto produkte janë me origjine preferenciale ……………..</w:t>
      </w:r>
      <w:r>
        <w:rPr>
          <w:noProof/>
          <w:color w:val="000000"/>
          <w:szCs w:val="24"/>
          <w:shd w:val="clear" w:color="auto" w:fill="FFFFFF"/>
          <w:vertAlign w:val="superscript"/>
        </w:rPr>
        <w:t>2</w:t>
      </w:r>
      <w:r>
        <w:rPr>
          <w:noProof/>
          <w:color w:val="000000"/>
          <w:szCs w:val="24"/>
          <w:shd w:val="clear" w:color="auto" w:fill="FFFFFF"/>
        </w:rPr>
        <w:t> n​  në përputhje me Rregullat kalimtare të origjinës​.​</w:t>
      </w:r>
    </w:p>
    <w:p>
      <w:pPr>
        <w:rPr>
          <w:rFonts w:eastAsia="Times New Roman"/>
          <w:noProof/>
          <w:color w:val="000000"/>
          <w:szCs w:val="24"/>
          <w:shd w:val="clear" w:color="auto" w:fill="FFFFFF"/>
        </w:rPr>
      </w:pPr>
    </w:p>
    <w:p>
      <w:pPr>
        <w:autoSpaceDE w:val="0"/>
        <w:autoSpaceDN w:val="0"/>
        <w:jc w:val="center"/>
        <w:rPr>
          <w:b/>
          <w:noProof/>
        </w:rPr>
      </w:pPr>
      <w:r>
        <w:rPr>
          <w:b/>
          <w:noProof/>
        </w:rPr>
        <w:t>Version arabe</w:t>
      </w:r>
    </w:p>
    <w:p>
      <w:pPr>
        <w:autoSpaceDE w:val="0"/>
        <w:autoSpaceDN w:val="0"/>
        <w:rPr>
          <w:b/>
          <w:noProof/>
        </w:rPr>
      </w:pPr>
      <w:r>
        <w:rPr>
          <w:noProof/>
          <w:lang w:val="en-GB" w:eastAsia="en-GB"/>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5450"/>
                    </a:xfrm>
                    <a:prstGeom prst="rect">
                      <a:avLst/>
                    </a:prstGeom>
                    <a:noFill/>
                    <a:ln>
                      <a:noFill/>
                    </a:ln>
                  </pic:spPr>
                </pic:pic>
              </a:graphicData>
            </a:graphic>
          </wp:inline>
        </w:drawing>
      </w:r>
    </w:p>
    <w:p>
      <w:pPr>
        <w:autoSpaceDE w:val="0"/>
        <w:autoSpaceDN w:val="0"/>
        <w:rPr>
          <w:b/>
          <w:noProof/>
        </w:rPr>
      </w:pPr>
    </w:p>
    <w:p>
      <w:pPr>
        <w:autoSpaceDE w:val="0"/>
        <w:autoSpaceDN w:val="0"/>
        <w:jc w:val="center"/>
        <w:rPr>
          <w:b/>
          <w:noProof/>
        </w:rPr>
      </w:pPr>
      <w:r>
        <w:rPr>
          <w:b/>
          <w:noProof/>
        </w:rPr>
        <w:t>Version bosniaque</w:t>
      </w:r>
    </w:p>
    <w:p>
      <w:pPr>
        <w:rPr>
          <w:noProof/>
          <w:color w:val="000000"/>
          <w:bdr w:val="none" w:sz="0" w:space="0" w:color="auto" w:frame="1"/>
          <w:lang w:val="es-ES"/>
        </w:rPr>
      </w:pPr>
      <w:r>
        <w:rPr>
          <w:noProof/>
          <w:color w:val="000000"/>
          <w:bdr w:val="none" w:sz="0" w:space="0" w:color="auto" w:frame="1"/>
        </w:rPr>
        <w:t>Izvoznik proizvoda obuhvaćenih ovom ispravom (carinsko ovlaštenje br. …. </w:t>
      </w:r>
      <w:r>
        <w:rPr>
          <w:noProof/>
          <w:color w:val="000000"/>
          <w:bdr w:val="none" w:sz="0" w:space="0" w:color="auto" w:frame="1"/>
          <w:vertAlign w:val="superscript"/>
          <w:lang w:val="es-ES"/>
        </w:rPr>
        <w:t>(1)</w:t>
      </w:r>
      <w:r>
        <w:rPr>
          <w:noProof/>
          <w:color w:val="000000"/>
          <w:bdr w:val="none" w:sz="0" w:space="0" w:color="auto" w:frame="1"/>
          <w:lang w:val="es-ES"/>
        </w:rPr>
        <w:t>) izjavljuje da su, osim ako je to drugačije izričito navedeno, ovi proizvodi ……. </w:t>
      </w:r>
      <w:r>
        <w:rPr>
          <w:noProof/>
          <w:color w:val="000000"/>
          <w:bdr w:val="none" w:sz="0" w:space="0" w:color="auto" w:frame="1"/>
          <w:vertAlign w:val="superscript"/>
          <w:lang w:val="es-ES"/>
        </w:rPr>
        <w:t>(2)</w:t>
      </w:r>
      <w:r>
        <w:rPr>
          <w:noProof/>
          <w:color w:val="000000"/>
          <w:bdr w:val="none" w:sz="0" w:space="0" w:color="auto" w:frame="1"/>
          <w:lang w:val="es-ES"/>
        </w:rPr>
        <w:t> preferencijalnog porijekla u skladu sa prijelaznim pravilima porijekla.</w:t>
      </w:r>
    </w:p>
    <w:p>
      <w:pPr>
        <w:rPr>
          <w:noProof/>
          <w:color w:val="000000"/>
          <w:bdr w:val="none" w:sz="0" w:space="0" w:color="auto" w:frame="1"/>
          <w:lang w:val="es-ES"/>
        </w:rPr>
      </w:pPr>
    </w:p>
    <w:p>
      <w:pPr>
        <w:autoSpaceDE w:val="0"/>
        <w:autoSpaceDN w:val="0"/>
        <w:jc w:val="center"/>
        <w:rPr>
          <w:b/>
          <w:noProof/>
          <w:lang w:val="es-ES"/>
        </w:rPr>
      </w:pPr>
      <w:r>
        <w:rPr>
          <w:b/>
          <w:noProof/>
          <w:lang w:val="es-ES"/>
        </w:rPr>
        <w:t>Version bulgare</w:t>
      </w:r>
    </w:p>
    <w:p>
      <w:pPr>
        <w:autoSpaceDE w:val="0"/>
        <w:autoSpaceDN w:val="0"/>
        <w:rPr>
          <w:rFonts w:asciiTheme="minorHAnsi" w:hAnsiTheme="minorHAnsi" w:cstheme="minorBidi"/>
          <w:noProof/>
          <w:sz w:val="22"/>
          <w:lang w:val="es-ES"/>
        </w:rPr>
      </w:pPr>
      <w:r>
        <w:rPr>
          <w:noProof/>
        </w:rPr>
        <w:t>Износителят</w:t>
      </w:r>
      <w:r>
        <w:rPr>
          <w:noProof/>
          <w:lang w:val="es-ES"/>
        </w:rPr>
        <w:t xml:space="preserve"> </w:t>
      </w:r>
      <w:r>
        <w:rPr>
          <w:noProof/>
        </w:rPr>
        <w:t>на</w:t>
      </w:r>
      <w:r>
        <w:rPr>
          <w:noProof/>
          <w:lang w:val="es-ES"/>
        </w:rPr>
        <w:t xml:space="preserve"> </w:t>
      </w:r>
      <w:r>
        <w:rPr>
          <w:noProof/>
        </w:rPr>
        <w:t>продуктите</w:t>
      </w:r>
      <w:r>
        <w:rPr>
          <w:noProof/>
          <w:lang w:val="es-ES"/>
        </w:rPr>
        <w:t xml:space="preserve">, </w:t>
      </w:r>
      <w:r>
        <w:rPr>
          <w:noProof/>
        </w:rPr>
        <w:t>обхванати</w:t>
      </w:r>
      <w:r>
        <w:rPr>
          <w:noProof/>
          <w:lang w:val="es-ES"/>
        </w:rPr>
        <w:t xml:space="preserve"> </w:t>
      </w:r>
      <w:r>
        <w:rPr>
          <w:noProof/>
        </w:rPr>
        <w:t>от</w:t>
      </w:r>
      <w:r>
        <w:rPr>
          <w:noProof/>
          <w:lang w:val="es-ES"/>
        </w:rPr>
        <w:t xml:space="preserve"> </w:t>
      </w:r>
      <w:r>
        <w:rPr>
          <w:noProof/>
        </w:rPr>
        <w:t>този</w:t>
      </w:r>
      <w:r>
        <w:rPr>
          <w:noProof/>
          <w:lang w:val="es-ES"/>
        </w:rPr>
        <w:t xml:space="preserve"> </w:t>
      </w:r>
      <w:r>
        <w:rPr>
          <w:noProof/>
        </w:rPr>
        <w:t>документ</w:t>
      </w:r>
      <w:r>
        <w:rPr>
          <w:noProof/>
          <w:lang w:val="es-ES"/>
        </w:rPr>
        <w:t xml:space="preserve"> (</w:t>
      </w:r>
      <w:r>
        <w:rPr>
          <w:noProof/>
        </w:rPr>
        <w:t>митническо</w:t>
      </w:r>
      <w:r>
        <w:rPr>
          <w:noProof/>
          <w:lang w:val="es-ES"/>
        </w:rPr>
        <w:t xml:space="preserve"> </w:t>
      </w:r>
      <w:r>
        <w:rPr>
          <w:noProof/>
        </w:rPr>
        <w:t>разрешение</w:t>
      </w:r>
      <w:r>
        <w:rPr>
          <w:noProof/>
          <w:lang w:val="es-ES"/>
        </w:rPr>
        <w:t xml:space="preserve"> №………</w:t>
      </w:r>
      <w:r>
        <w:rPr>
          <w:noProof/>
          <w:vertAlign w:val="superscript"/>
          <w:lang w:val="es-ES"/>
        </w:rPr>
        <w:t>1</w:t>
      </w:r>
      <w:r>
        <w:rPr>
          <w:noProof/>
          <w:lang w:val="es-ES"/>
        </w:rPr>
        <w:t xml:space="preserve">) </w:t>
      </w:r>
      <w:r>
        <w:rPr>
          <w:noProof/>
        </w:rPr>
        <w:t>декларира</w:t>
      </w:r>
      <w:r>
        <w:rPr>
          <w:noProof/>
          <w:lang w:val="es-ES"/>
        </w:rPr>
        <w:t xml:space="preserve">, </w:t>
      </w:r>
      <w:r>
        <w:rPr>
          <w:noProof/>
        </w:rPr>
        <w:t>че</w:t>
      </w:r>
      <w:r>
        <w:rPr>
          <w:noProof/>
          <w:lang w:val="es-ES"/>
        </w:rPr>
        <w:t xml:space="preserve"> </w:t>
      </w:r>
      <w:r>
        <w:rPr>
          <w:noProof/>
        </w:rPr>
        <w:t>освен</w:t>
      </w:r>
      <w:r>
        <w:rPr>
          <w:noProof/>
          <w:lang w:val="es-ES"/>
        </w:rPr>
        <w:t xml:space="preserve"> </w:t>
      </w:r>
      <w:r>
        <w:rPr>
          <w:noProof/>
        </w:rPr>
        <w:t>където</w:t>
      </w:r>
      <w:r>
        <w:rPr>
          <w:noProof/>
          <w:lang w:val="es-ES"/>
        </w:rPr>
        <w:t xml:space="preserve"> </w:t>
      </w:r>
      <w:r>
        <w:rPr>
          <w:noProof/>
        </w:rPr>
        <w:t>ясно</w:t>
      </w:r>
      <w:r>
        <w:rPr>
          <w:noProof/>
          <w:lang w:val="es-ES"/>
        </w:rPr>
        <w:t xml:space="preserve"> </w:t>
      </w:r>
      <w:r>
        <w:rPr>
          <w:noProof/>
        </w:rPr>
        <w:t>е</w:t>
      </w:r>
      <w:r>
        <w:rPr>
          <w:noProof/>
          <w:lang w:val="es-ES"/>
        </w:rPr>
        <w:t xml:space="preserve"> </w:t>
      </w:r>
      <w:r>
        <w:rPr>
          <w:noProof/>
        </w:rPr>
        <w:t>отбелязано</w:t>
      </w:r>
      <w:r>
        <w:rPr>
          <w:noProof/>
          <w:lang w:val="es-ES"/>
        </w:rPr>
        <w:t xml:space="preserve"> </w:t>
      </w:r>
      <w:r>
        <w:rPr>
          <w:noProof/>
        </w:rPr>
        <w:t>друго</w:t>
      </w:r>
      <w:r>
        <w:rPr>
          <w:noProof/>
          <w:lang w:val="es-ES"/>
        </w:rPr>
        <w:t xml:space="preserve">, </w:t>
      </w:r>
      <w:r>
        <w:rPr>
          <w:noProof/>
        </w:rPr>
        <w:t>тези</w:t>
      </w:r>
      <w:r>
        <w:rPr>
          <w:noProof/>
          <w:lang w:val="es-ES"/>
        </w:rPr>
        <w:t xml:space="preserve"> </w:t>
      </w:r>
      <w:r>
        <w:rPr>
          <w:noProof/>
        </w:rPr>
        <w:t>продукти</w:t>
      </w:r>
      <w:r>
        <w:rPr>
          <w:noProof/>
          <w:lang w:val="es-ES"/>
        </w:rPr>
        <w:t xml:space="preserve"> </w:t>
      </w:r>
      <w:r>
        <w:rPr>
          <w:noProof/>
        </w:rPr>
        <w:t>са</w:t>
      </w:r>
      <w:r>
        <w:rPr>
          <w:noProof/>
          <w:lang w:val="es-ES"/>
        </w:rPr>
        <w:t xml:space="preserve"> </w:t>
      </w:r>
      <w:r>
        <w:rPr>
          <w:noProof/>
        </w:rPr>
        <w:t>с</w:t>
      </w:r>
      <w:r>
        <w:rPr>
          <w:noProof/>
          <w:lang w:val="es-ES"/>
        </w:rPr>
        <w:t xml:space="preserve"> ……………..</w:t>
      </w:r>
      <w:r>
        <w:rPr>
          <w:noProof/>
          <w:vertAlign w:val="superscript"/>
          <w:lang w:val="es-ES"/>
        </w:rPr>
        <w:t xml:space="preserve">2 </w:t>
      </w:r>
      <w:r>
        <w:rPr>
          <w:noProof/>
        </w:rPr>
        <w:t>преференциален</w:t>
      </w:r>
      <w:r>
        <w:rPr>
          <w:noProof/>
          <w:lang w:val="es-ES"/>
        </w:rPr>
        <w:t xml:space="preserve"> </w:t>
      </w:r>
      <w:r>
        <w:rPr>
          <w:noProof/>
        </w:rPr>
        <w:t>произход</w:t>
      </w:r>
      <w:r>
        <w:rPr>
          <w:noProof/>
          <w:lang w:val="es-ES"/>
        </w:rPr>
        <w:t xml:space="preserve"> </w:t>
      </w:r>
      <w:r>
        <w:rPr>
          <w:noProof/>
        </w:rPr>
        <w:t>съгласно</w:t>
      </w:r>
      <w:r>
        <w:rPr>
          <w:noProof/>
          <w:lang w:val="es-ES"/>
        </w:rPr>
        <w:t xml:space="preserve"> </w:t>
      </w:r>
      <w:r>
        <w:rPr>
          <w:noProof/>
        </w:rPr>
        <w:t>преходните</w:t>
      </w:r>
      <w:r>
        <w:rPr>
          <w:noProof/>
          <w:lang w:val="es-ES"/>
        </w:rPr>
        <w:t xml:space="preserve"> </w:t>
      </w:r>
      <w:r>
        <w:rPr>
          <w:noProof/>
        </w:rPr>
        <w:t>правила</w:t>
      </w:r>
      <w:r>
        <w:rPr>
          <w:noProof/>
          <w:lang w:val="es-ES"/>
        </w:rPr>
        <w:t xml:space="preserve"> </w:t>
      </w:r>
      <w:r>
        <w:rPr>
          <w:noProof/>
        </w:rPr>
        <w:t>за</w:t>
      </w:r>
      <w:r>
        <w:rPr>
          <w:noProof/>
          <w:lang w:val="es-ES"/>
        </w:rPr>
        <w:t xml:space="preserve"> </w:t>
      </w:r>
      <w:r>
        <w:rPr>
          <w:noProof/>
        </w:rPr>
        <w:t>произход</w:t>
      </w:r>
      <w:r>
        <w:rPr>
          <w:noProof/>
          <w:lang w:val="es-ES"/>
        </w:rPr>
        <w:t>.</w:t>
      </w:r>
    </w:p>
    <w:p>
      <w:pPr>
        <w:autoSpaceDE w:val="0"/>
        <w:autoSpaceDN w:val="0"/>
        <w:rPr>
          <w:rFonts w:asciiTheme="minorHAnsi" w:hAnsiTheme="minorHAnsi" w:cstheme="minorBidi"/>
          <w:noProof/>
          <w:sz w:val="22"/>
          <w:lang w:val="es-ES"/>
        </w:rPr>
      </w:pPr>
    </w:p>
    <w:p>
      <w:pPr>
        <w:keepNext/>
        <w:autoSpaceDE w:val="0"/>
        <w:autoSpaceDN w:val="0"/>
        <w:jc w:val="center"/>
        <w:rPr>
          <w:b/>
          <w:noProof/>
          <w:lang w:val="es-ES"/>
        </w:rPr>
      </w:pPr>
      <w:r>
        <w:rPr>
          <w:b/>
          <w:noProof/>
          <w:lang w:val="es-ES"/>
        </w:rPr>
        <w:t>Version croate</w:t>
      </w:r>
    </w:p>
    <w:p>
      <w:pPr>
        <w:keepNext/>
        <w:autoSpaceDE w:val="0"/>
        <w:autoSpaceDN w:val="0"/>
        <w:rPr>
          <w:rFonts w:eastAsia="Times New Roman"/>
          <w:bCs/>
          <w:noProof/>
          <w:szCs w:val="24"/>
          <w:lang w:val="es-ES"/>
        </w:rPr>
      </w:pPr>
      <w:r>
        <w:rPr>
          <w:noProof/>
          <w:lang w:val="es-ES"/>
        </w:rPr>
        <w:t>Izvoznik proizvoda obuhvaćenih ovom ispravom (carinsko ovlaštenje br. ………</w:t>
      </w:r>
      <w:r>
        <w:rPr>
          <w:noProof/>
          <w:vertAlign w:val="superscript"/>
          <w:lang w:val="es-ES"/>
        </w:rPr>
        <w:t>1</w:t>
      </w:r>
      <w:r>
        <w:rPr>
          <w:noProof/>
          <w:lang w:val="es-ES"/>
        </w:rPr>
        <w:t>) izjavljuje da su, osim ako je drukčije izričito navedeno, ovi proizvodi ……………..</w:t>
      </w:r>
      <w:r>
        <w:rPr>
          <w:noProof/>
          <w:vertAlign w:val="superscript"/>
          <w:lang w:val="es-ES"/>
        </w:rPr>
        <w:t>2</w:t>
      </w:r>
      <w:r>
        <w:rPr>
          <w:noProof/>
          <w:lang w:val="es-ES"/>
        </w:rPr>
        <w:t xml:space="preserve"> preferencijalnog podrijetla prema prijelaznim pravilima o podrijetlu.</w:t>
      </w:r>
    </w:p>
    <w:p>
      <w:pPr>
        <w:autoSpaceDE w:val="0"/>
        <w:autoSpaceDN w:val="0"/>
        <w:rPr>
          <w:rFonts w:eastAsia="Times New Roman"/>
          <w:b/>
          <w:noProof/>
          <w:szCs w:val="24"/>
          <w:lang w:val="es-ES" w:eastAsia="en-GB"/>
        </w:rPr>
      </w:pPr>
    </w:p>
    <w:p>
      <w:pPr>
        <w:autoSpaceDE w:val="0"/>
        <w:autoSpaceDN w:val="0"/>
        <w:jc w:val="center"/>
        <w:rPr>
          <w:b/>
          <w:noProof/>
          <w:lang w:val="es-ES"/>
        </w:rPr>
      </w:pPr>
      <w:r>
        <w:rPr>
          <w:b/>
          <w:noProof/>
          <w:lang w:val="es-ES"/>
        </w:rPr>
        <w:t>Version tchèque</w:t>
      </w:r>
    </w:p>
    <w:p>
      <w:pPr>
        <w:autoSpaceDE w:val="0"/>
        <w:autoSpaceDN w:val="0"/>
        <w:rPr>
          <w:noProof/>
          <w:lang w:val="es-ES"/>
        </w:rPr>
      </w:pPr>
      <w:r>
        <w:rPr>
          <w:noProof/>
          <w:lang w:val="es-ES"/>
        </w:rPr>
        <w:t>Vývozce výrobků uvedených v tomto dokumentu (číslo povolení ………</w:t>
      </w:r>
      <w:r>
        <w:rPr>
          <w:noProof/>
          <w:vertAlign w:val="superscript"/>
          <w:lang w:val="es-ES"/>
        </w:rPr>
        <w:t>1</w:t>
      </w:r>
      <w:r>
        <w:rPr>
          <w:noProof/>
          <w:lang w:val="es-ES"/>
        </w:rPr>
        <w:t>) prohlašuje, že podle přechodných pravidel původu mají tyto výrobky kromě zřetelně označených preferenční původ v …………….</w:t>
      </w:r>
      <w:r>
        <w:rPr>
          <w:noProof/>
          <w:vertAlign w:val="superscript"/>
          <w:lang w:val="es-ES"/>
        </w:rPr>
        <w:t>2</w:t>
      </w:r>
      <w:r>
        <w:rPr>
          <w:noProof/>
          <w:lang w:val="es-ES"/>
        </w:rPr>
        <w:t>.</w:t>
      </w:r>
    </w:p>
    <w:p>
      <w:pPr>
        <w:autoSpaceDE w:val="0"/>
        <w:autoSpaceDN w:val="0"/>
        <w:jc w:val="center"/>
        <w:rPr>
          <w:b/>
          <w:noProof/>
          <w:lang w:val="es-ES"/>
        </w:rPr>
      </w:pPr>
    </w:p>
    <w:p>
      <w:pPr>
        <w:autoSpaceDE w:val="0"/>
        <w:autoSpaceDN w:val="0"/>
        <w:jc w:val="center"/>
        <w:rPr>
          <w:b/>
          <w:noProof/>
          <w:lang w:val="es-ES"/>
        </w:rPr>
      </w:pPr>
      <w:r>
        <w:rPr>
          <w:b/>
          <w:noProof/>
          <w:lang w:val="es-ES"/>
        </w:rPr>
        <w:t>Version danoise</w:t>
      </w:r>
    </w:p>
    <w:p>
      <w:pPr>
        <w:autoSpaceDE w:val="0"/>
        <w:autoSpaceDN w:val="0"/>
        <w:rPr>
          <w:noProof/>
          <w:lang w:val="es-ES"/>
        </w:rPr>
      </w:pPr>
      <w:r>
        <w:rPr>
          <w:noProof/>
          <w:lang w:val="es-ES"/>
        </w:rPr>
        <w:t>Eksportøren af varer, der er omfattet af nærværende dokument (toldmyndighedernes tilladelse nr. ………</w:t>
      </w:r>
      <w:r>
        <w:rPr>
          <w:noProof/>
          <w:vertAlign w:val="superscript"/>
          <w:lang w:val="es-ES"/>
        </w:rPr>
        <w:t>1</w:t>
      </w:r>
      <w:r>
        <w:rPr>
          <w:noProof/>
          <w:lang w:val="es-ES"/>
        </w:rPr>
        <w:t>) erklærer, at varerne, medmindre andet tydeligt er angivet, har præferenceoprindelse i ……………..</w:t>
      </w:r>
      <w:r>
        <w:rPr>
          <w:noProof/>
          <w:vertAlign w:val="superscript"/>
          <w:lang w:val="es-ES"/>
        </w:rPr>
        <w:t>2</w:t>
      </w:r>
      <w:r>
        <w:rPr>
          <w:noProof/>
          <w:lang w:val="es-ES"/>
        </w:rPr>
        <w:t xml:space="preserve"> i henhold til overgangsreglerne for oprindelse.</w:t>
      </w:r>
    </w:p>
    <w:p>
      <w:pPr>
        <w:autoSpaceDE w:val="0"/>
        <w:autoSpaceDN w:val="0"/>
        <w:rPr>
          <w:rFonts w:eastAsia="Times New Roman"/>
          <w:noProof/>
          <w:szCs w:val="24"/>
          <w:lang w:val="es-ES"/>
        </w:rPr>
      </w:pPr>
    </w:p>
    <w:p>
      <w:pPr>
        <w:autoSpaceDE w:val="0"/>
        <w:autoSpaceDN w:val="0"/>
        <w:rPr>
          <w:rFonts w:eastAsia="Times New Roman"/>
          <w:noProof/>
          <w:szCs w:val="24"/>
          <w:lang w:val="es-ES"/>
        </w:rPr>
      </w:pPr>
    </w:p>
    <w:p>
      <w:pPr>
        <w:autoSpaceDE w:val="0"/>
        <w:autoSpaceDN w:val="0"/>
        <w:rPr>
          <w:rFonts w:eastAsia="Times New Roman"/>
          <w:noProof/>
          <w:szCs w:val="24"/>
          <w:lang w:val="es-ES"/>
        </w:rPr>
      </w:pPr>
    </w:p>
    <w:p>
      <w:pPr>
        <w:autoSpaceDE w:val="0"/>
        <w:autoSpaceDN w:val="0"/>
        <w:jc w:val="center"/>
        <w:rPr>
          <w:rFonts w:asciiTheme="minorHAnsi" w:hAnsiTheme="minorHAnsi" w:cstheme="minorBidi"/>
          <w:b/>
          <w:noProof/>
          <w:sz w:val="22"/>
          <w:lang w:val="es-ES"/>
        </w:rPr>
      </w:pPr>
      <w:r>
        <w:rPr>
          <w:b/>
          <w:noProof/>
          <w:lang w:val="es-ES"/>
        </w:rPr>
        <w:t>Version néerlandaise</w:t>
      </w:r>
    </w:p>
    <w:p>
      <w:pPr>
        <w:autoSpaceDE w:val="0"/>
        <w:autoSpaceDN w:val="0"/>
        <w:rPr>
          <w:noProof/>
          <w:lang w:val="es-ES"/>
        </w:rPr>
      </w:pPr>
      <w:r>
        <w:rPr>
          <w:noProof/>
          <w:lang w:val="es-ES"/>
        </w:rPr>
        <w:t>De exporteur van de goederen waarop dit document van toepassing is (douanevergunning nr. ………</w:t>
      </w:r>
      <w:r>
        <w:rPr>
          <w:noProof/>
          <w:vertAlign w:val="superscript"/>
          <w:lang w:val="es-ES"/>
        </w:rPr>
        <w:t>1</w:t>
      </w:r>
      <w:r>
        <w:rPr>
          <w:noProof/>
          <w:lang w:val="es-ES"/>
        </w:rPr>
        <w:t>), verklaart dat, behoudens uitdrukkelijke andersluidende vermelding, deze goederen van preferentiële …………….</w:t>
      </w:r>
      <w:r>
        <w:rPr>
          <w:noProof/>
          <w:vertAlign w:val="superscript"/>
          <w:lang w:val="es-ES"/>
        </w:rPr>
        <w:t>2</w:t>
      </w:r>
      <w:r>
        <w:rPr>
          <w:noProof/>
          <w:lang w:val="es-ES"/>
        </w:rPr>
        <w:t xml:space="preserve"> oorsprong zijn in overeenstemming met de overgangsregels van oorsprong.</w:t>
      </w:r>
    </w:p>
    <w:p>
      <w:pPr>
        <w:autoSpaceDE w:val="0"/>
        <w:autoSpaceDN w:val="0"/>
        <w:rPr>
          <w:noProof/>
          <w:lang w:val="es-ES"/>
        </w:rPr>
      </w:pPr>
    </w:p>
    <w:p>
      <w:pPr>
        <w:autoSpaceDE w:val="0"/>
        <w:autoSpaceDN w:val="0"/>
        <w:jc w:val="center"/>
        <w:rPr>
          <w:b/>
          <w:noProof/>
          <w:lang w:val="en-US"/>
        </w:rPr>
      </w:pPr>
      <w:r>
        <w:rPr>
          <w:b/>
          <w:noProof/>
          <w:lang w:val="en-US"/>
        </w:rPr>
        <w:t>Version anglaise</w:t>
      </w:r>
    </w:p>
    <w:p>
      <w:pPr>
        <w:autoSpaceDE w:val="0"/>
        <w:autoSpaceDN w:val="0"/>
        <w:rPr>
          <w:rFonts w:eastAsia="Times New Roman"/>
          <w:noProof/>
          <w:szCs w:val="24"/>
          <w:lang w:val="en-US"/>
        </w:rPr>
      </w:pPr>
      <w:r>
        <w:rPr>
          <w:noProof/>
          <w:lang w:val="en-US"/>
        </w:rPr>
        <w:t>The exporter of the products covered by this document (customs authorization No………</w:t>
      </w:r>
      <w:r>
        <w:rPr>
          <w:noProof/>
          <w:szCs w:val="24"/>
          <w:vertAlign w:val="superscript"/>
          <w:lang w:val="en-US"/>
        </w:rPr>
        <w:t>1</w:t>
      </w:r>
      <w:r>
        <w:rPr>
          <w:noProof/>
          <w:lang w:val="en-US"/>
        </w:rPr>
        <w:t>) declares that, except where otherwise clearly indicated, these products are of ……………..</w:t>
      </w:r>
      <w:r>
        <w:rPr>
          <w:noProof/>
          <w:szCs w:val="24"/>
          <w:vertAlign w:val="superscript"/>
          <w:lang w:val="en-US"/>
        </w:rPr>
        <w:t>2</w:t>
      </w:r>
      <w:r>
        <w:rPr>
          <w:noProof/>
          <w:lang w:val="en-US"/>
        </w:rPr>
        <w:t xml:space="preserve"> preferential origin according to the transitional Rules of origin.</w:t>
      </w:r>
    </w:p>
    <w:p>
      <w:pPr>
        <w:autoSpaceDE w:val="0"/>
        <w:autoSpaceDN w:val="0"/>
        <w:rPr>
          <w:rFonts w:eastAsia="Times New Roman"/>
          <w:noProof/>
          <w:szCs w:val="24"/>
          <w:lang w:val="en-US" w:eastAsia="en-GB"/>
        </w:rPr>
      </w:pPr>
    </w:p>
    <w:p>
      <w:pPr>
        <w:autoSpaceDE w:val="0"/>
        <w:autoSpaceDN w:val="0"/>
        <w:jc w:val="center"/>
        <w:rPr>
          <w:rFonts w:asciiTheme="minorHAnsi" w:hAnsiTheme="minorHAnsi" w:cstheme="minorBidi"/>
          <w:b/>
          <w:noProof/>
          <w:sz w:val="22"/>
          <w:lang w:val="en-US"/>
        </w:rPr>
      </w:pPr>
      <w:r>
        <w:rPr>
          <w:b/>
          <w:noProof/>
          <w:lang w:val="en-US"/>
        </w:rPr>
        <w:t>Version estonienne</w:t>
      </w:r>
    </w:p>
    <w:p>
      <w:pPr>
        <w:autoSpaceDE w:val="0"/>
        <w:autoSpaceDN w:val="0"/>
        <w:rPr>
          <w:noProof/>
          <w:lang w:val="en-US"/>
        </w:rPr>
      </w:pPr>
      <w:r>
        <w:rPr>
          <w:noProof/>
          <w:lang w:val="en-US"/>
        </w:rPr>
        <w:t>Käesoleva dokumendiga hõlmatud toodete eksportija (tolliasutuse luba nr. ………</w:t>
      </w:r>
      <w:r>
        <w:rPr>
          <w:noProof/>
          <w:vertAlign w:val="superscript"/>
          <w:lang w:val="en-US"/>
        </w:rPr>
        <w:t xml:space="preserve"> 1</w:t>
      </w:r>
      <w:r>
        <w:rPr>
          <w:noProof/>
          <w:lang w:val="en-US"/>
        </w:rPr>
        <w:t>) deklareerib, et päritolureeglite üleminekueeskirjade kohaselt on need tooted ……………..</w:t>
      </w:r>
      <w:r>
        <w:rPr>
          <w:noProof/>
          <w:vertAlign w:val="superscript"/>
          <w:lang w:val="en-US"/>
        </w:rPr>
        <w:t xml:space="preserve"> 2</w:t>
      </w:r>
      <w:r>
        <w:rPr>
          <w:noProof/>
          <w:lang w:val="en-US"/>
        </w:rPr>
        <w:t xml:space="preserve"> sooduspäritolu, välja arvatud juhul, kui on selgelt osutatud teisiti.</w:t>
      </w:r>
    </w:p>
    <w:p>
      <w:pPr>
        <w:autoSpaceDE w:val="0"/>
        <w:autoSpaceDN w:val="0"/>
        <w:rPr>
          <w:noProof/>
          <w:lang w:val="en-US"/>
        </w:rPr>
      </w:pPr>
    </w:p>
    <w:p>
      <w:pPr>
        <w:autoSpaceDE w:val="0"/>
        <w:autoSpaceDN w:val="0"/>
        <w:jc w:val="center"/>
        <w:rPr>
          <w:b/>
          <w:noProof/>
          <w:lang w:val="en-US"/>
        </w:rPr>
      </w:pPr>
      <w:r>
        <w:rPr>
          <w:b/>
          <w:noProof/>
          <w:lang w:val="en-US"/>
        </w:rPr>
        <w:t>Version des Îles Féroé</w:t>
      </w:r>
    </w:p>
    <w:p>
      <w:pPr>
        <w:autoSpaceDE w:val="0"/>
        <w:autoSpaceDN w:val="0"/>
        <w:rPr>
          <w:noProof/>
          <w:lang w:val="en-US"/>
        </w:rPr>
      </w:pPr>
      <w:r>
        <w:rPr>
          <w:noProof/>
          <w:lang w:val="en-US"/>
        </w:rPr>
        <w:t xml:space="preserve">Útflytarin av vørunum, sum hetta skjal fevnir um (tollvaldsins loyvi nr. … </w:t>
      </w:r>
      <w:r>
        <w:rPr>
          <w:noProof/>
          <w:vertAlign w:val="superscript"/>
          <w:lang w:val="en-US"/>
        </w:rPr>
        <w:t>(1)</w:t>
      </w:r>
      <w:r>
        <w:rPr>
          <w:noProof/>
          <w:lang w:val="en-US"/>
        </w:rPr>
        <w:t xml:space="preserve">) váttar, át um ikki nakað annað er tilskilað, eru hesar vørur upprunavørur … </w:t>
      </w:r>
      <w:r>
        <w:rPr>
          <w:noProof/>
          <w:vertAlign w:val="superscript"/>
          <w:lang w:val="en-US"/>
        </w:rPr>
        <w:t>(2)</w:t>
      </w:r>
      <w:r>
        <w:rPr>
          <w:noProof/>
          <w:lang w:val="en-US"/>
        </w:rPr>
        <w:t xml:space="preserve"> sambært skiftisreglunum um uppruna.</w:t>
      </w:r>
    </w:p>
    <w:p>
      <w:pPr>
        <w:autoSpaceDE w:val="0"/>
        <w:autoSpaceDN w:val="0"/>
        <w:rPr>
          <w:noProof/>
          <w:lang w:val="en-US"/>
        </w:rPr>
      </w:pPr>
    </w:p>
    <w:p>
      <w:pPr>
        <w:autoSpaceDE w:val="0"/>
        <w:autoSpaceDN w:val="0"/>
        <w:jc w:val="center"/>
        <w:rPr>
          <w:rFonts w:asciiTheme="minorHAnsi" w:hAnsiTheme="minorHAnsi" w:cstheme="minorBidi"/>
          <w:b/>
          <w:noProof/>
          <w:sz w:val="22"/>
          <w:lang w:val="en-US"/>
        </w:rPr>
      </w:pPr>
      <w:r>
        <w:rPr>
          <w:b/>
          <w:noProof/>
          <w:lang w:val="en-US"/>
        </w:rPr>
        <w:t>Version finnoise</w:t>
      </w:r>
    </w:p>
    <w:p>
      <w:pPr>
        <w:autoSpaceDE w:val="0"/>
        <w:autoSpaceDN w:val="0"/>
        <w:rPr>
          <w:rFonts w:cstheme="minorBidi"/>
          <w:noProof/>
          <w:lang w:val="en-US"/>
        </w:rPr>
      </w:pPr>
      <w:r>
        <w:rPr>
          <w:noProof/>
          <w:lang w:val="en-US"/>
        </w:rPr>
        <w:t>Tässä asiakirjassa mainittujen tuotteiden viejä (tullin lupa n:o ………</w:t>
      </w:r>
      <w:r>
        <w:rPr>
          <w:noProof/>
          <w:vertAlign w:val="superscript"/>
          <w:lang w:val="en-US"/>
        </w:rPr>
        <w:t>1</w:t>
      </w:r>
      <w:r>
        <w:rPr>
          <w:noProof/>
          <w:lang w:val="en-US"/>
        </w:rPr>
        <w:t>) ilmoittaa, että nämä tuotteet ovat, ellei toisin ole selvästi merkitty, etuuskohteluun oikeutettuja……………..</w:t>
      </w:r>
      <w:r>
        <w:rPr>
          <w:noProof/>
          <w:vertAlign w:val="superscript"/>
          <w:lang w:val="en-US"/>
        </w:rPr>
        <w:t xml:space="preserve">2 </w:t>
      </w:r>
      <w:r>
        <w:rPr>
          <w:noProof/>
          <w:lang w:val="en-US"/>
        </w:rPr>
        <w:t>alkuperätuotteita siirtymäkauden alkuperäsääntöjen nojalla.</w:t>
      </w:r>
    </w:p>
    <w:p>
      <w:pPr>
        <w:autoSpaceDE w:val="0"/>
        <w:autoSpaceDN w:val="0"/>
        <w:rPr>
          <w:rFonts w:cstheme="minorBidi"/>
          <w:noProof/>
          <w:lang w:val="en-US"/>
        </w:rPr>
      </w:pPr>
    </w:p>
    <w:p>
      <w:pPr>
        <w:autoSpaceDE w:val="0"/>
        <w:autoSpaceDN w:val="0"/>
        <w:jc w:val="center"/>
        <w:rPr>
          <w:b/>
          <w:noProof/>
        </w:rPr>
      </w:pPr>
      <w:r>
        <w:rPr>
          <w:b/>
          <w:noProof/>
        </w:rPr>
        <w:t>Version française</w:t>
      </w:r>
    </w:p>
    <w:p>
      <w:pPr>
        <w:autoSpaceDE w:val="0"/>
        <w:autoSpaceDN w:val="0"/>
        <w:rPr>
          <w:noProof/>
          <w:sz w:val="22"/>
        </w:rPr>
      </w:pPr>
      <w:r>
        <w:rPr>
          <w:noProof/>
        </w:rPr>
        <w:t>L’exportateur des produits couverts par le présent document (autorisation douanière nº ………</w:t>
      </w:r>
      <w:r>
        <w:rPr>
          <w:noProof/>
          <w:vertAlign w:val="superscript"/>
        </w:rPr>
        <w:t>1</w:t>
      </w:r>
      <w:r>
        <w:rPr>
          <w:noProof/>
        </w:rPr>
        <w:t>) déclare que, sauf indication claire du contraire, ces produits ont l’origine préférentielle ……………..</w:t>
      </w:r>
      <w:r>
        <w:rPr>
          <w:noProof/>
          <w:vertAlign w:val="superscript"/>
        </w:rPr>
        <w:t>2</w:t>
      </w:r>
      <w:r>
        <w:rPr>
          <w:noProof/>
        </w:rPr>
        <w:t xml:space="preserve"> selon les règles d’origine transitoires.</w:t>
      </w:r>
    </w:p>
    <w:p>
      <w:pPr>
        <w:autoSpaceDE w:val="0"/>
        <w:autoSpaceDN w:val="0"/>
        <w:rPr>
          <w:rFonts w:asciiTheme="minorHAnsi" w:hAnsiTheme="minorHAnsi" w:cstheme="minorBidi"/>
          <w:b/>
          <w:noProof/>
          <w:sz w:val="22"/>
        </w:rPr>
      </w:pPr>
    </w:p>
    <w:p>
      <w:pPr>
        <w:autoSpaceDE w:val="0"/>
        <w:autoSpaceDN w:val="0"/>
        <w:jc w:val="center"/>
        <w:rPr>
          <w:rFonts w:asciiTheme="minorHAnsi" w:hAnsiTheme="minorHAnsi" w:cstheme="minorBidi"/>
          <w:b/>
          <w:noProof/>
          <w:sz w:val="22"/>
        </w:rPr>
      </w:pPr>
      <w:r>
        <w:rPr>
          <w:b/>
          <w:noProof/>
        </w:rPr>
        <w:t>Version allemande</w:t>
      </w:r>
    </w:p>
    <w:p>
      <w:pPr>
        <w:autoSpaceDE w:val="0"/>
        <w:autoSpaceDN w:val="0"/>
        <w:rPr>
          <w:noProof/>
        </w:rPr>
      </w:pPr>
      <w:r>
        <w:rPr>
          <w:noProof/>
        </w:rPr>
        <w:t>Der Ausführer (Ermächtigter Ausführer; Bewilligungs-Nr. ………</w:t>
      </w:r>
      <w:r>
        <w:rPr>
          <w:noProof/>
          <w:vertAlign w:val="superscript"/>
        </w:rPr>
        <w:t xml:space="preserve"> </w:t>
      </w:r>
      <w:r>
        <w:rPr>
          <w:noProof/>
          <w:szCs w:val="24"/>
          <w:vertAlign w:val="superscript"/>
          <w:lang w:val="en-US"/>
        </w:rPr>
        <w:t>1</w:t>
      </w:r>
      <w:r>
        <w:rPr>
          <w:noProof/>
          <w:lang w:val="en-US"/>
        </w:rPr>
        <w:t>) der Waren, auf die sich dieses Handelspapier bezieht, erklärt, dass diese Waren, soweit nicht anders angegeben, präferenzbegünstigte ……………..</w:t>
      </w:r>
      <w:r>
        <w:rPr>
          <w:noProof/>
          <w:vertAlign w:val="superscript"/>
          <w:lang w:val="en-US"/>
        </w:rPr>
        <w:t xml:space="preserve"> </w:t>
      </w:r>
      <w:r>
        <w:rPr>
          <w:noProof/>
          <w:szCs w:val="24"/>
          <w:vertAlign w:val="superscript"/>
        </w:rPr>
        <w:t>2</w:t>
      </w:r>
      <w:r>
        <w:rPr>
          <w:noProof/>
        </w:rPr>
        <w:t xml:space="preserve"> Ursprungswaren gemäß den Übergangsregeln für den Ursprung sind.</w:t>
      </w: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jc w:val="center"/>
        <w:rPr>
          <w:b/>
          <w:noProof/>
        </w:rPr>
      </w:pPr>
      <w:r>
        <w:rPr>
          <w:b/>
          <w:noProof/>
        </w:rPr>
        <w:t>Version géorgienne</w:t>
      </w:r>
    </w:p>
    <w:p>
      <w:pPr>
        <w:autoSpaceDE w:val="0"/>
        <w:autoSpaceDN w:val="0"/>
        <w:rPr>
          <w:b/>
          <w:noProof/>
        </w:rPr>
      </w:pPr>
      <w:r>
        <w:rPr>
          <w:noProof/>
          <w:lang w:val="en-GB" w:eastAsia="en-GB"/>
        </w:rPr>
        <w:drawing>
          <wp:inline distT="0" distB="0" distL="0" distR="0">
            <wp:extent cx="5753100" cy="88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882650"/>
                    </a:xfrm>
                    <a:prstGeom prst="rect">
                      <a:avLst/>
                    </a:prstGeom>
                    <a:noFill/>
                    <a:ln>
                      <a:noFill/>
                    </a:ln>
                  </pic:spPr>
                </pic:pic>
              </a:graphicData>
            </a:graphic>
          </wp:inline>
        </w:drawing>
      </w:r>
    </w:p>
    <w:p>
      <w:pPr>
        <w:autoSpaceDE w:val="0"/>
        <w:autoSpaceDN w:val="0"/>
        <w:jc w:val="center"/>
        <w:rPr>
          <w:b/>
          <w:noProof/>
        </w:rPr>
      </w:pPr>
      <w:r>
        <w:rPr>
          <w:b/>
          <w:noProof/>
        </w:rPr>
        <w:t>Version grecque</w:t>
      </w:r>
    </w:p>
    <w:p>
      <w:pPr>
        <w:autoSpaceDE w:val="0"/>
        <w:autoSpaceDN w:val="0"/>
        <w:rPr>
          <w:noProof/>
          <w:szCs w:val="24"/>
        </w:rPr>
      </w:pPr>
      <w:r>
        <w:rPr>
          <w:noProof/>
        </w:rPr>
        <w:t>Ο εξαγωγέας των προϊόντων που καλύπτονται από το παρόν έγγραφο (άδεια τελωνείου υπ’ αριθ. ………</w:t>
      </w:r>
      <w:r>
        <w:rPr>
          <w:noProof/>
          <w:szCs w:val="24"/>
          <w:vertAlign w:val="superscript"/>
        </w:rPr>
        <w:t>1</w:t>
      </w:r>
      <w:r>
        <w:rPr>
          <w:noProof/>
        </w:rPr>
        <w:t>) δηλώνει ότι, εκτός εάν δηλώνεται σαφώς άλλως, τα προϊόντα αυτά είναι προτιμησιακής καταγωγής …..............</w:t>
      </w:r>
      <w:r>
        <w:rPr>
          <w:noProof/>
          <w:vertAlign w:val="superscript"/>
        </w:rPr>
        <w:t xml:space="preserve"> </w:t>
      </w:r>
      <w:r>
        <w:rPr>
          <w:noProof/>
          <w:szCs w:val="24"/>
          <w:vertAlign w:val="superscript"/>
        </w:rPr>
        <w:t>2</w:t>
      </w:r>
      <w:r>
        <w:rPr>
          <w:noProof/>
        </w:rPr>
        <w:t xml:space="preserve"> σύμφωνα με τους μεταβατικούς κανόνες καταγωγής.</w:t>
      </w:r>
    </w:p>
    <w:p>
      <w:pPr>
        <w:autoSpaceDE w:val="0"/>
        <w:autoSpaceDN w:val="0"/>
        <w:rPr>
          <w:noProof/>
          <w:szCs w:val="24"/>
        </w:rPr>
      </w:pPr>
    </w:p>
    <w:p>
      <w:pPr>
        <w:autoSpaceDE w:val="0"/>
        <w:autoSpaceDN w:val="0"/>
        <w:jc w:val="center"/>
        <w:rPr>
          <w:b/>
          <w:noProof/>
          <w:szCs w:val="24"/>
        </w:rPr>
      </w:pPr>
      <w:r>
        <w:rPr>
          <w:b/>
          <w:noProof/>
          <w:szCs w:val="24"/>
        </w:rPr>
        <w:t>Version hébraïque</w:t>
      </w:r>
    </w:p>
    <w:p>
      <w:pPr>
        <w:autoSpaceDE w:val="0"/>
        <w:autoSpaceDN w:val="0"/>
        <w:jc w:val="center"/>
        <w:rPr>
          <w:b/>
          <w:noProof/>
          <w:szCs w:val="24"/>
        </w:rPr>
      </w:pPr>
      <w:r>
        <w:rPr>
          <w:noProof/>
          <w:lang w:val="en-GB" w:eastAsia="en-GB"/>
        </w:rPr>
        <w:drawing>
          <wp:inline distT="0" distB="0" distL="0" distR="0">
            <wp:extent cx="484505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488950"/>
                    </a:xfrm>
                    <a:prstGeom prst="rect">
                      <a:avLst/>
                    </a:prstGeom>
                    <a:noFill/>
                    <a:ln>
                      <a:noFill/>
                    </a:ln>
                  </pic:spPr>
                </pic:pic>
              </a:graphicData>
            </a:graphic>
          </wp:inline>
        </w:drawing>
      </w:r>
    </w:p>
    <w:p>
      <w:pPr>
        <w:autoSpaceDE w:val="0"/>
        <w:autoSpaceDN w:val="0"/>
        <w:jc w:val="center"/>
        <w:rPr>
          <w:b/>
          <w:noProof/>
          <w:szCs w:val="24"/>
        </w:rPr>
      </w:pPr>
    </w:p>
    <w:p>
      <w:pPr>
        <w:autoSpaceDE w:val="0"/>
        <w:autoSpaceDN w:val="0"/>
        <w:jc w:val="center"/>
        <w:rPr>
          <w:rFonts w:eastAsia="Times New Roman"/>
          <w:b/>
          <w:noProof/>
          <w:szCs w:val="24"/>
        </w:rPr>
      </w:pPr>
      <w:r>
        <w:rPr>
          <w:b/>
          <w:noProof/>
        </w:rPr>
        <w:t>Version hongroise</w:t>
      </w:r>
    </w:p>
    <w:p>
      <w:pPr>
        <w:autoSpaceDE w:val="0"/>
        <w:autoSpaceDN w:val="0"/>
        <w:rPr>
          <w:noProof/>
        </w:rPr>
      </w:pPr>
      <w:r>
        <w:rPr>
          <w:noProof/>
        </w:rPr>
        <w:t>A jelen okmányban szereplő termékek exportőre (vámfelhatalmazási szám: ………</w:t>
      </w:r>
      <w:r>
        <w:rPr>
          <w:noProof/>
          <w:vertAlign w:val="superscript"/>
        </w:rPr>
        <w:t>1</w:t>
      </w:r>
      <w:r>
        <w:rPr>
          <w:noProof/>
        </w:rPr>
        <w:t>) kijelentem, hogy eltérő egyértelmű jelzés hiányában a termékek az átmeneti származási szabályok szerint preferenciális ……………..</w:t>
      </w:r>
      <w:r>
        <w:rPr>
          <w:noProof/>
          <w:vertAlign w:val="superscript"/>
        </w:rPr>
        <w:t>2</w:t>
      </w:r>
      <w:r>
        <w:rPr>
          <w:noProof/>
        </w:rPr>
        <w:t xml:space="preserve"> származásúak.</w:t>
      </w:r>
    </w:p>
    <w:p>
      <w:pPr>
        <w:autoSpaceDE w:val="0"/>
        <w:autoSpaceDN w:val="0"/>
        <w:rPr>
          <w:noProof/>
        </w:rPr>
      </w:pPr>
    </w:p>
    <w:p>
      <w:pPr>
        <w:autoSpaceDE w:val="0"/>
        <w:autoSpaceDN w:val="0"/>
        <w:jc w:val="center"/>
        <w:rPr>
          <w:b/>
          <w:noProof/>
        </w:rPr>
      </w:pPr>
      <w:r>
        <w:rPr>
          <w:b/>
          <w:noProof/>
        </w:rPr>
        <w:t>Version islandaise</w:t>
      </w:r>
    </w:p>
    <w:p>
      <w:pPr>
        <w:autoSpaceDE w:val="0"/>
        <w:autoSpaceDN w:val="0"/>
        <w:rPr>
          <w:noProof/>
        </w:rPr>
      </w:pPr>
      <w:r>
        <w:rPr>
          <w:noProof/>
        </w:rPr>
        <w:t>Útflytjandi framleiðsluvara sem skjal þetta tekur til (leyfi tollyfirvalda nr. …………</w:t>
      </w:r>
      <w:r>
        <w:rPr>
          <w:noProof/>
          <w:vertAlign w:val="superscript"/>
        </w:rPr>
        <w:t>(1)</w:t>
      </w:r>
      <w:r>
        <w:rPr>
          <w:noProof/>
        </w:rPr>
        <w:t>), lýsir því yfir að vörurnar séu, ef annars er ekki greinilega getið, af ……………………..</w:t>
      </w:r>
      <w:r>
        <w:rPr>
          <w:noProof/>
          <w:vertAlign w:val="superscript"/>
        </w:rPr>
        <w:t xml:space="preserve">(2) </w:t>
      </w:r>
      <w:r>
        <w:rPr>
          <w:noProof/>
        </w:rPr>
        <w:t>uppruna samkvæmt upprunareglum á umbreytingartímabili.</w:t>
      </w:r>
    </w:p>
    <w:p>
      <w:pPr>
        <w:autoSpaceDE w:val="0"/>
        <w:autoSpaceDN w:val="0"/>
        <w:rPr>
          <w:noProof/>
        </w:rPr>
      </w:pPr>
    </w:p>
    <w:p>
      <w:pPr>
        <w:keepNext/>
        <w:autoSpaceDE w:val="0"/>
        <w:autoSpaceDN w:val="0"/>
        <w:jc w:val="center"/>
        <w:rPr>
          <w:b/>
          <w:noProof/>
        </w:rPr>
      </w:pPr>
      <w:r>
        <w:rPr>
          <w:b/>
          <w:noProof/>
        </w:rPr>
        <w:t>Version italienne</w:t>
      </w:r>
    </w:p>
    <w:p>
      <w:pPr>
        <w:keepNext/>
        <w:autoSpaceDE w:val="0"/>
        <w:autoSpaceDN w:val="0"/>
        <w:rPr>
          <w:noProof/>
        </w:rPr>
      </w:pPr>
      <w:r>
        <w:rPr>
          <w:noProof/>
        </w:rPr>
        <w:t>L’esportatore delle merci contemplate nel presente documento (autorizzazione doganale n. ………</w:t>
      </w:r>
      <w:r>
        <w:rPr>
          <w:noProof/>
          <w:vertAlign w:val="superscript"/>
        </w:rPr>
        <w:t xml:space="preserve"> 1</w:t>
      </w:r>
      <w:r>
        <w:rPr>
          <w:noProof/>
        </w:rPr>
        <w:t>) dichiara che, salvo indicazione contraria, le merci sono di origine preferenziale ……………..</w:t>
      </w:r>
      <w:r>
        <w:rPr>
          <w:noProof/>
          <w:vertAlign w:val="superscript"/>
        </w:rPr>
        <w:t xml:space="preserve"> 2</w:t>
      </w:r>
      <w:r>
        <w:rPr>
          <w:noProof/>
        </w:rPr>
        <w:t xml:space="preserve"> conformemente alle norme di origine transitorie.</w:t>
      </w:r>
    </w:p>
    <w:p>
      <w:pPr>
        <w:autoSpaceDE w:val="0"/>
        <w:autoSpaceDN w:val="0"/>
        <w:rPr>
          <w:noProof/>
        </w:rPr>
      </w:pPr>
    </w:p>
    <w:p>
      <w:pPr>
        <w:autoSpaceDE w:val="0"/>
        <w:autoSpaceDN w:val="0"/>
        <w:jc w:val="center"/>
        <w:rPr>
          <w:b/>
          <w:noProof/>
        </w:rPr>
      </w:pPr>
      <w:r>
        <w:rPr>
          <w:b/>
          <w:noProof/>
        </w:rPr>
        <w:t>Version lettone</w:t>
      </w:r>
    </w:p>
    <w:p>
      <w:pPr>
        <w:autoSpaceDE w:val="0"/>
        <w:autoSpaceDN w:val="0"/>
        <w:rPr>
          <w:rFonts w:cstheme="minorBidi"/>
          <w:noProof/>
        </w:rPr>
      </w:pPr>
      <w:r>
        <w:rPr>
          <w:noProof/>
        </w:rPr>
        <w:t>To produktu eksportētājs, kuri ietverti šajā dokumentā (muitas atļauja Nr. …………</w:t>
      </w:r>
      <w:r>
        <w:rPr>
          <w:noProof/>
          <w:vertAlign w:val="superscript"/>
        </w:rPr>
        <w:t xml:space="preserve"> 1</w:t>
      </w:r>
      <w:r>
        <w:rPr>
          <w:noProof/>
        </w:rPr>
        <w:t>) deklarē, ka, izņemot tur, kur ir citādi skaidri noteikts, šiem produktiem ir……………..</w:t>
      </w:r>
      <w:r>
        <w:rPr>
          <w:noProof/>
          <w:vertAlign w:val="superscript"/>
        </w:rPr>
        <w:t>2</w:t>
      </w:r>
      <w:r>
        <w:rPr>
          <w:noProof/>
        </w:rPr>
        <w:t xml:space="preserve"> preferenciāla izcelsme saskaņā ar pārejas noteikumiem par izcelsmi.</w:t>
      </w:r>
    </w:p>
    <w:p>
      <w:pPr>
        <w:autoSpaceDE w:val="0"/>
        <w:autoSpaceDN w:val="0"/>
        <w:rPr>
          <w:rFonts w:cstheme="minorBidi"/>
          <w:noProof/>
        </w:rPr>
      </w:pPr>
    </w:p>
    <w:p>
      <w:pPr>
        <w:autoSpaceDE w:val="0"/>
        <w:autoSpaceDN w:val="0"/>
        <w:jc w:val="center"/>
        <w:rPr>
          <w:b/>
          <w:noProof/>
        </w:rPr>
      </w:pPr>
      <w:r>
        <w:rPr>
          <w:b/>
          <w:noProof/>
        </w:rPr>
        <w:t>Version lituanienne</w:t>
      </w:r>
    </w:p>
    <w:p>
      <w:pPr>
        <w:autoSpaceDE w:val="0"/>
        <w:autoSpaceDN w:val="0"/>
        <w:rPr>
          <w:rFonts w:cstheme="minorBidi"/>
          <w:noProof/>
        </w:rPr>
      </w:pPr>
      <w:r>
        <w:rPr>
          <w:noProof/>
        </w:rPr>
        <w:t>Šiame dokumente nurodytų produktų eksportuotojas (muitinės leidimo Nr. ………</w:t>
      </w:r>
      <w:r>
        <w:rPr>
          <w:noProof/>
          <w:vertAlign w:val="superscript"/>
        </w:rPr>
        <w:t xml:space="preserve"> 1</w:t>
      </w:r>
      <w:r>
        <w:rPr>
          <w:noProof/>
        </w:rPr>
        <w:t>) deklaruoja, kad, jeigu aiškiai nenurodyta kitaip, šie produktai turi ……………..</w:t>
      </w:r>
      <w:r>
        <w:rPr>
          <w:noProof/>
          <w:vertAlign w:val="superscript"/>
        </w:rPr>
        <w:t>2</w:t>
      </w:r>
      <w:r>
        <w:rPr>
          <w:noProof/>
        </w:rPr>
        <w:t xml:space="preserve"> lengvatinės kilmės statusą pagal pereinamojo laikotarpio kilmės taisykles.</w:t>
      </w:r>
    </w:p>
    <w:p>
      <w:pPr>
        <w:autoSpaceDE w:val="0"/>
        <w:autoSpaceDN w:val="0"/>
        <w:rPr>
          <w:rFonts w:cstheme="minorBidi"/>
          <w:noProof/>
        </w:rPr>
      </w:pPr>
    </w:p>
    <w:p>
      <w:pPr>
        <w:autoSpaceDE w:val="0"/>
        <w:autoSpaceDN w:val="0"/>
        <w:jc w:val="center"/>
        <w:rPr>
          <w:b/>
          <w:noProof/>
        </w:rPr>
      </w:pPr>
      <w:r>
        <w:rPr>
          <w:b/>
          <w:noProof/>
        </w:rPr>
        <w:t>Version macédonienne</w:t>
      </w:r>
    </w:p>
    <w:p>
      <w:pPr>
        <w:rPr>
          <w:noProof/>
          <w:color w:val="201F1E"/>
          <w:spacing w:val="-3"/>
          <w:bdr w:val="none" w:sz="0" w:space="0" w:color="auto" w:frame="1"/>
        </w:rPr>
      </w:pPr>
      <w:r>
        <w:rPr>
          <w:noProof/>
          <w:color w:val="201F1E"/>
          <w:bdr w:val="none" w:sz="0" w:space="0" w:color="auto" w:frame="1"/>
        </w:rPr>
        <w:t xml:space="preserve">Извозникот на производите што ги покрива овоj документ (царинскo одобрение бр. ………… </w:t>
      </w:r>
      <w:r>
        <w:rPr>
          <w:noProof/>
          <w:color w:val="201F1E"/>
          <w:bdr w:val="none" w:sz="0" w:space="0" w:color="auto" w:frame="1"/>
          <w:vertAlign w:val="superscript"/>
        </w:rPr>
        <w:t>(1)</w:t>
      </w:r>
      <w:r>
        <w:rPr>
          <w:noProof/>
          <w:color w:val="201F1E"/>
          <w:bdr w:val="none" w:sz="0" w:space="0" w:color="auto" w:frame="1"/>
        </w:rPr>
        <w:t xml:space="preserve">) изjавува дека, освен ако тоа не е jасно поинаку назначено, овие производи се со ……...…………. </w:t>
      </w:r>
      <w:r>
        <w:rPr>
          <w:noProof/>
          <w:color w:val="201F1E"/>
          <w:bdr w:val="none" w:sz="0" w:space="0" w:color="auto" w:frame="1"/>
          <w:vertAlign w:val="superscript"/>
        </w:rPr>
        <w:t>(2)</w:t>
      </w:r>
      <w:r>
        <w:rPr>
          <w:noProof/>
          <w:color w:val="201F1E"/>
          <w:bdr w:val="none" w:sz="0" w:space="0" w:color="auto" w:frame="1"/>
        </w:rPr>
        <w:t xml:space="preserve"> преференциjaлно потекло.</w:t>
      </w:r>
    </w:p>
    <w:p>
      <w:pPr>
        <w:autoSpaceDE w:val="0"/>
        <w:autoSpaceDN w:val="0"/>
        <w:rPr>
          <w:rFonts w:cstheme="minorBidi"/>
          <w:noProof/>
        </w:rPr>
      </w:pPr>
    </w:p>
    <w:p>
      <w:pPr>
        <w:autoSpaceDE w:val="0"/>
        <w:autoSpaceDN w:val="0"/>
        <w:jc w:val="center"/>
        <w:rPr>
          <w:b/>
          <w:noProof/>
        </w:rPr>
      </w:pPr>
      <w:r>
        <w:rPr>
          <w:b/>
          <w:noProof/>
        </w:rPr>
        <w:t>Version maltaise</w:t>
      </w:r>
    </w:p>
    <w:p>
      <w:pPr>
        <w:autoSpaceDE w:val="0"/>
        <w:autoSpaceDN w:val="0"/>
        <w:rPr>
          <w:rFonts w:cstheme="minorBidi"/>
          <w:noProof/>
        </w:rPr>
      </w:pPr>
      <w:r>
        <w:rPr>
          <w:noProof/>
        </w:rPr>
        <w:t>L-esportatur tal-prodotti koperti minn dan id-dokument (awtorizzazzjoni tad-dwana nru………</w:t>
      </w:r>
      <w:r>
        <w:rPr>
          <w:noProof/>
          <w:vertAlign w:val="superscript"/>
        </w:rPr>
        <w:t>1</w:t>
      </w:r>
      <w:r>
        <w:rPr>
          <w:noProof/>
        </w:rPr>
        <w:t>) jiddikjara li, ħlief fejn indikat mod ieħor b’mod ċar, dawn il-prodotti huma ta’ oriġini preferenzjali …………….</w:t>
      </w:r>
      <w:r>
        <w:rPr>
          <w:noProof/>
          <w:vertAlign w:val="superscript"/>
        </w:rPr>
        <w:t>2</w:t>
      </w:r>
      <w:r>
        <w:rPr>
          <w:noProof/>
        </w:rPr>
        <w:t xml:space="preserve"> skont ir-regoli ta’ oriġini tranżizzjonali.</w:t>
      </w:r>
    </w:p>
    <w:p>
      <w:pPr>
        <w:autoSpaceDE w:val="0"/>
        <w:autoSpaceDN w:val="0"/>
        <w:rPr>
          <w:rFonts w:cstheme="minorBidi"/>
          <w:noProof/>
        </w:rPr>
      </w:pPr>
    </w:p>
    <w:p>
      <w:pPr>
        <w:keepNext/>
        <w:autoSpaceDE w:val="0"/>
        <w:autoSpaceDN w:val="0"/>
        <w:jc w:val="center"/>
        <w:rPr>
          <w:b/>
          <w:noProof/>
        </w:rPr>
      </w:pPr>
      <w:r>
        <w:rPr>
          <w:b/>
          <w:noProof/>
        </w:rPr>
        <w:t>Version monténégrine</w:t>
      </w:r>
    </w:p>
    <w:p>
      <w:pPr>
        <w:keepNext/>
        <w:rPr>
          <w:noProof/>
        </w:rPr>
      </w:pPr>
      <w:r>
        <w:rPr>
          <w:noProof/>
        </w:rPr>
        <w:t>Извозник производа обухваћених овом исправом (царинско овлашћење бр. …...</w:t>
      </w:r>
      <w:r>
        <w:rPr>
          <w:noProof/>
          <w:vertAlign w:val="superscript"/>
        </w:rPr>
        <w:t xml:space="preserve">(1) </w:t>
      </w:r>
      <w:r>
        <w:rPr>
          <w:noProof/>
        </w:rPr>
        <w:t>) изјављује да су, осим ако је другачије изричито наведено, ови производи ..........</w:t>
      </w:r>
      <w:r>
        <w:rPr>
          <w:noProof/>
          <w:vertAlign w:val="superscript"/>
        </w:rPr>
        <w:t>(2)</w:t>
      </w:r>
      <w:r>
        <w:rPr>
          <w:noProof/>
        </w:rPr>
        <w:t xml:space="preserve"> преференцијалног пориjекла, у складу са транзиционим правилима поријекла.</w:t>
      </w:r>
    </w:p>
    <w:p>
      <w:pPr>
        <w:keepNext/>
        <w:rPr>
          <w:noProof/>
        </w:rPr>
      </w:pPr>
      <w:r>
        <w:rPr>
          <w:noProof/>
        </w:rPr>
        <w:t>Izvoznik proizvoda obuhvaćenih ovom ispravom (carinsko ovlašćenje br. ….</w:t>
      </w:r>
      <w:r>
        <w:rPr>
          <w:noProof/>
          <w:vertAlign w:val="superscript"/>
        </w:rPr>
        <w:t xml:space="preserve"> 1</w:t>
      </w:r>
      <w:r>
        <w:rPr>
          <w:noProof/>
        </w:rPr>
        <w:t xml:space="preserve">) izjavljuje da su, osim ako je drugačije izričito navedeno, ovi proizvodi ………. </w:t>
      </w:r>
      <w:r>
        <w:rPr>
          <w:noProof/>
          <w:vertAlign w:val="superscript"/>
        </w:rPr>
        <w:t>2</w:t>
      </w:r>
      <w:r>
        <w:rPr>
          <w:noProof/>
        </w:rPr>
        <w:t xml:space="preserve"> preferencijalnog porijekla u skladu sa tranzicionim pravilima porijekla.</w:t>
      </w:r>
    </w:p>
    <w:p>
      <w:pPr>
        <w:rPr>
          <w:noProof/>
        </w:rPr>
      </w:pPr>
    </w:p>
    <w:p>
      <w:pPr>
        <w:autoSpaceDE w:val="0"/>
        <w:autoSpaceDN w:val="0"/>
        <w:jc w:val="center"/>
        <w:rPr>
          <w:b/>
          <w:noProof/>
        </w:rPr>
      </w:pPr>
      <w:r>
        <w:rPr>
          <w:b/>
          <w:noProof/>
        </w:rPr>
        <w:t>Version norvégienne</w:t>
      </w:r>
    </w:p>
    <w:p>
      <w:pPr>
        <w:autoSpaceDE w:val="0"/>
        <w:autoSpaceDN w:val="0"/>
        <w:rPr>
          <w:noProof/>
        </w:rPr>
      </w:pPr>
      <w:r>
        <w:rPr>
          <w:noProof/>
        </w:rPr>
        <w:t>Eksportøren av produktene omfattet av dette dokument (tollmyndighetenes autorisasjonsnr……</w:t>
      </w:r>
      <w:r>
        <w:rPr>
          <w:noProof/>
          <w:vertAlign w:val="superscript"/>
        </w:rPr>
        <w:t>(1)</w:t>
      </w:r>
      <w:r>
        <w:rPr>
          <w:noProof/>
        </w:rPr>
        <w:t xml:space="preserve">) erklærer at disse produktene, unntatt hvor annet er tydelig angitt, har … preferanseopprinnelse i henhold til overgangsreglene for opprinnelse </w:t>
      </w:r>
      <w:r>
        <w:rPr>
          <w:noProof/>
          <w:vertAlign w:val="superscript"/>
        </w:rPr>
        <w:t>(2)</w:t>
      </w:r>
      <w:r>
        <w:rPr>
          <w:noProof/>
        </w:rPr>
        <w:t xml:space="preserve"> .</w:t>
      </w:r>
    </w:p>
    <w:p>
      <w:pPr>
        <w:autoSpaceDE w:val="0"/>
        <w:autoSpaceDN w:val="0"/>
        <w:rPr>
          <w:noProof/>
        </w:rPr>
      </w:pPr>
    </w:p>
    <w:p>
      <w:pPr>
        <w:autoSpaceDE w:val="0"/>
        <w:autoSpaceDN w:val="0"/>
        <w:jc w:val="center"/>
        <w:rPr>
          <w:rFonts w:asciiTheme="minorHAnsi" w:hAnsiTheme="minorHAnsi" w:cstheme="minorBidi"/>
          <w:b/>
          <w:noProof/>
          <w:sz w:val="22"/>
        </w:rPr>
      </w:pPr>
      <w:r>
        <w:rPr>
          <w:b/>
          <w:noProof/>
        </w:rPr>
        <w:t>Version polonaise</w:t>
      </w:r>
    </w:p>
    <w:p>
      <w:pPr>
        <w:autoSpaceDE w:val="0"/>
        <w:autoSpaceDN w:val="0"/>
        <w:rPr>
          <w:rFonts w:eastAsia="Times New Roman"/>
          <w:bCs/>
          <w:noProof/>
          <w:szCs w:val="24"/>
        </w:rPr>
      </w:pPr>
      <w:r>
        <w:rPr>
          <w:noProof/>
        </w:rPr>
        <w:t>Eksporter produktów objętych tym dokumentem („upoważnienie władz celnych nr………</w:t>
      </w:r>
      <w:r>
        <w:rPr>
          <w:noProof/>
          <w:vertAlign w:val="superscript"/>
        </w:rPr>
        <w:t>1</w:t>
      </w:r>
      <w:r>
        <w:rPr>
          <w:noProof/>
        </w:rPr>
        <w:t>) deklaruje, że z wyjątkiem gdzie jest to wyraźnie określone, produkty te mają ……………..</w:t>
      </w:r>
      <w:r>
        <w:rPr>
          <w:noProof/>
          <w:vertAlign w:val="superscript"/>
        </w:rPr>
        <w:t>2</w:t>
      </w:r>
      <w:r>
        <w:rPr>
          <w:noProof/>
        </w:rPr>
        <w:t xml:space="preserve"> preferencyjne pochodzenie zgodnie z przejściowymi regułami pochodzenia.</w:t>
      </w:r>
    </w:p>
    <w:p>
      <w:pPr>
        <w:autoSpaceDE w:val="0"/>
        <w:autoSpaceDN w:val="0"/>
        <w:rPr>
          <w:rFonts w:eastAsia="Times New Roman"/>
          <w:bCs/>
          <w:noProof/>
          <w:szCs w:val="24"/>
          <w:lang w:eastAsia="en-GB"/>
        </w:rPr>
      </w:pPr>
    </w:p>
    <w:p>
      <w:pPr>
        <w:autoSpaceDE w:val="0"/>
        <w:autoSpaceDN w:val="0"/>
        <w:jc w:val="center"/>
        <w:rPr>
          <w:b/>
          <w:noProof/>
          <w:lang w:val="es-ES"/>
        </w:rPr>
      </w:pPr>
      <w:r>
        <w:rPr>
          <w:b/>
          <w:noProof/>
          <w:lang w:val="es-ES"/>
        </w:rPr>
        <w:t>Version portugaise</w:t>
      </w:r>
    </w:p>
    <w:p>
      <w:pPr>
        <w:autoSpaceDE w:val="0"/>
        <w:autoSpaceDN w:val="0"/>
        <w:rPr>
          <w:rFonts w:cstheme="minorBidi"/>
          <w:noProof/>
          <w:lang w:val="es-ES"/>
        </w:rPr>
      </w:pPr>
      <w:r>
        <w:rPr>
          <w:noProof/>
          <w:lang w:val="es-ES"/>
        </w:rPr>
        <w:t>O exportador dos produtos cobertos pelo presente documento (autorização aduaneira n.º………</w:t>
      </w:r>
      <w:r>
        <w:rPr>
          <w:noProof/>
          <w:vertAlign w:val="superscript"/>
          <w:lang w:val="es-ES"/>
        </w:rPr>
        <w:t xml:space="preserve"> 1</w:t>
      </w:r>
      <w:r>
        <w:rPr>
          <w:noProof/>
          <w:lang w:val="es-ES"/>
        </w:rPr>
        <w:t>) declara que, salvo expressamente indicado em contrário, estes produtos são de origem preferencial ……………..</w:t>
      </w:r>
      <w:r>
        <w:rPr>
          <w:noProof/>
          <w:vertAlign w:val="superscript"/>
          <w:lang w:val="es-ES"/>
        </w:rPr>
        <w:t>2</w:t>
      </w:r>
      <w:r>
        <w:rPr>
          <w:rFonts w:asciiTheme="minorHAnsi" w:hAnsiTheme="minorHAnsi"/>
          <w:noProof/>
          <w:sz w:val="22"/>
          <w:lang w:val="es-ES"/>
        </w:rPr>
        <w:t xml:space="preserve"> </w:t>
      </w:r>
      <w:r>
        <w:rPr>
          <w:noProof/>
          <w:lang w:val="es-ES"/>
        </w:rPr>
        <w:t>de acordo com as regras de origem transitórias.</w:t>
      </w:r>
    </w:p>
    <w:p>
      <w:pPr>
        <w:autoSpaceDE w:val="0"/>
        <w:autoSpaceDN w:val="0"/>
        <w:rPr>
          <w:rFonts w:cstheme="minorBidi"/>
          <w:noProof/>
          <w:lang w:val="es-ES"/>
        </w:rPr>
      </w:pPr>
    </w:p>
    <w:p>
      <w:pPr>
        <w:autoSpaceDE w:val="0"/>
        <w:autoSpaceDN w:val="0"/>
        <w:jc w:val="center"/>
        <w:rPr>
          <w:rFonts w:asciiTheme="minorHAnsi" w:hAnsiTheme="minorHAnsi" w:cstheme="minorBidi"/>
          <w:b/>
          <w:noProof/>
          <w:sz w:val="22"/>
          <w:lang w:val="es-ES"/>
        </w:rPr>
      </w:pPr>
      <w:r>
        <w:rPr>
          <w:b/>
          <w:noProof/>
          <w:sz w:val="22"/>
          <w:lang w:val="es-ES"/>
        </w:rPr>
        <w:t>Version roumaine</w:t>
      </w:r>
    </w:p>
    <w:p>
      <w:pPr>
        <w:autoSpaceDE w:val="0"/>
        <w:autoSpaceDN w:val="0"/>
        <w:rPr>
          <w:rFonts w:cstheme="minorBidi"/>
          <w:noProof/>
          <w:sz w:val="22"/>
          <w:lang w:val="es-ES"/>
        </w:rPr>
      </w:pPr>
      <w:r>
        <w:rPr>
          <w:noProof/>
          <w:sz w:val="22"/>
          <w:lang w:val="es-ES"/>
        </w:rPr>
        <w:t>Exportatorul produselor care fac obiectul prezentului document (autorizația vamală nr. ………</w:t>
      </w:r>
      <w:r>
        <w:rPr>
          <w:noProof/>
          <w:sz w:val="22"/>
          <w:vertAlign w:val="superscript"/>
          <w:lang w:val="es-ES"/>
        </w:rPr>
        <w:t>1</w:t>
      </w:r>
      <w:r>
        <w:rPr>
          <w:noProof/>
          <w:sz w:val="22"/>
          <w:lang w:val="es-ES"/>
        </w:rPr>
        <w:t xml:space="preserve">) declară că, exceptând cazul în care se indică altfel în mod clar, aceste produse sunt de origine preferențială </w:t>
      </w:r>
      <w:r>
        <w:rPr>
          <w:noProof/>
          <w:lang w:val="es-ES"/>
        </w:rPr>
        <w:t>………………</w:t>
      </w:r>
      <w:r>
        <w:rPr>
          <w:noProof/>
          <w:sz w:val="22"/>
          <w:vertAlign w:val="superscript"/>
          <w:lang w:val="es-ES"/>
        </w:rPr>
        <w:t>2</w:t>
      </w:r>
      <w:r>
        <w:rPr>
          <w:noProof/>
          <w:sz w:val="22"/>
          <w:lang w:val="es-ES"/>
        </w:rPr>
        <w:t xml:space="preserve"> în conformitate cu regulile de origine tranzitorii.</w:t>
      </w:r>
    </w:p>
    <w:p>
      <w:pPr>
        <w:autoSpaceDE w:val="0"/>
        <w:autoSpaceDN w:val="0"/>
        <w:rPr>
          <w:rFonts w:cstheme="minorBidi"/>
          <w:noProof/>
          <w:sz w:val="22"/>
          <w:lang w:val="es-ES"/>
        </w:rPr>
      </w:pPr>
    </w:p>
    <w:p>
      <w:pPr>
        <w:autoSpaceDE w:val="0"/>
        <w:autoSpaceDN w:val="0"/>
        <w:rPr>
          <w:rFonts w:cstheme="minorBidi"/>
          <w:noProof/>
          <w:sz w:val="22"/>
          <w:lang w:val="es-ES"/>
        </w:rPr>
      </w:pPr>
    </w:p>
    <w:p>
      <w:pPr>
        <w:autoSpaceDE w:val="0"/>
        <w:autoSpaceDN w:val="0"/>
        <w:rPr>
          <w:rFonts w:cstheme="minorBidi"/>
          <w:noProof/>
          <w:sz w:val="22"/>
          <w:lang w:val="es-ES"/>
        </w:rPr>
      </w:pPr>
    </w:p>
    <w:p>
      <w:pPr>
        <w:autoSpaceDE w:val="0"/>
        <w:autoSpaceDN w:val="0"/>
        <w:rPr>
          <w:rFonts w:cstheme="minorBidi"/>
          <w:noProof/>
          <w:sz w:val="22"/>
          <w:lang w:val="es-ES"/>
        </w:rPr>
      </w:pPr>
    </w:p>
    <w:p>
      <w:pPr>
        <w:autoSpaceDE w:val="0"/>
        <w:autoSpaceDN w:val="0"/>
        <w:jc w:val="center"/>
        <w:rPr>
          <w:b/>
          <w:noProof/>
          <w:lang w:val="es-ES"/>
        </w:rPr>
      </w:pPr>
      <w:r>
        <w:rPr>
          <w:b/>
          <w:noProof/>
          <w:lang w:val="es-ES"/>
        </w:rPr>
        <w:t>Versions serbes</w:t>
      </w:r>
    </w:p>
    <w:p>
      <w:pPr>
        <w:rPr>
          <w:noProof/>
          <w:color w:val="000000"/>
          <w:spacing w:val="-3"/>
          <w:shd w:val="clear" w:color="auto" w:fill="FFFFFF"/>
          <w:lang w:val="es-ES"/>
        </w:rPr>
      </w:pPr>
      <w:r>
        <w:rPr>
          <w:noProof/>
          <w:color w:val="000000"/>
          <w:shd w:val="clear" w:color="auto" w:fill="FFFFFF"/>
        </w:rPr>
        <w:t>Извозник</w:t>
      </w:r>
      <w:r>
        <w:rPr>
          <w:noProof/>
          <w:color w:val="000000"/>
          <w:shd w:val="clear" w:color="auto" w:fill="FFFFFF"/>
          <w:lang w:val="es-ES"/>
        </w:rPr>
        <w:t xml:space="preserve"> </w:t>
      </w:r>
      <w:r>
        <w:rPr>
          <w:noProof/>
          <w:color w:val="000000"/>
          <w:shd w:val="clear" w:color="auto" w:fill="FFFFFF"/>
        </w:rPr>
        <w:t>производа</w:t>
      </w:r>
      <w:r>
        <w:rPr>
          <w:noProof/>
          <w:color w:val="000000"/>
          <w:shd w:val="clear" w:color="auto" w:fill="FFFFFF"/>
          <w:lang w:val="es-ES"/>
        </w:rPr>
        <w:t xml:space="preserve"> </w:t>
      </w:r>
      <w:r>
        <w:rPr>
          <w:noProof/>
          <w:color w:val="000000"/>
          <w:shd w:val="clear" w:color="auto" w:fill="FFFFFF"/>
        </w:rPr>
        <w:t>обухваћених</w:t>
      </w:r>
      <w:r>
        <w:rPr>
          <w:noProof/>
          <w:color w:val="000000"/>
          <w:shd w:val="clear" w:color="auto" w:fill="FFFFFF"/>
          <w:lang w:val="es-ES"/>
        </w:rPr>
        <w:t xml:space="preserve"> </w:t>
      </w:r>
      <w:r>
        <w:rPr>
          <w:noProof/>
          <w:color w:val="000000"/>
          <w:shd w:val="clear" w:color="auto" w:fill="FFFFFF"/>
        </w:rPr>
        <w:t>овом</w:t>
      </w:r>
      <w:r>
        <w:rPr>
          <w:noProof/>
          <w:color w:val="000000"/>
          <w:shd w:val="clear" w:color="auto" w:fill="FFFFFF"/>
          <w:lang w:val="es-ES"/>
        </w:rPr>
        <w:t xml:space="preserve"> </w:t>
      </w:r>
      <w:r>
        <w:rPr>
          <w:noProof/>
          <w:color w:val="000000"/>
          <w:shd w:val="clear" w:color="auto" w:fill="FFFFFF"/>
        </w:rPr>
        <w:t>исправом</w:t>
      </w:r>
      <w:r>
        <w:rPr>
          <w:noProof/>
          <w:color w:val="000000"/>
          <w:shd w:val="clear" w:color="auto" w:fill="FFFFFF"/>
          <w:lang w:val="es-ES"/>
        </w:rPr>
        <w:t xml:space="preserve"> (</w:t>
      </w:r>
      <w:r>
        <w:rPr>
          <w:noProof/>
          <w:color w:val="000000"/>
          <w:shd w:val="clear" w:color="auto" w:fill="FFFFFF"/>
        </w:rPr>
        <w:t>царинско</w:t>
      </w:r>
      <w:r>
        <w:rPr>
          <w:noProof/>
          <w:color w:val="000000"/>
          <w:shd w:val="clear" w:color="auto" w:fill="FFFFFF"/>
          <w:lang w:val="es-ES"/>
        </w:rPr>
        <w:t xml:space="preserve"> </w:t>
      </w:r>
      <w:r>
        <w:rPr>
          <w:noProof/>
          <w:color w:val="000000"/>
          <w:shd w:val="clear" w:color="auto" w:fill="FFFFFF"/>
        </w:rPr>
        <w:t>овлашћење</w:t>
      </w:r>
      <w:r>
        <w:rPr>
          <w:noProof/>
          <w:color w:val="000000"/>
          <w:shd w:val="clear" w:color="auto" w:fill="FFFFFF"/>
          <w:lang w:val="es-ES"/>
        </w:rPr>
        <w:t xml:space="preserve"> </w:t>
      </w:r>
      <w:r>
        <w:rPr>
          <w:noProof/>
          <w:color w:val="000000"/>
          <w:shd w:val="clear" w:color="auto" w:fill="FFFFFF"/>
        </w:rPr>
        <w:t>бр</w:t>
      </w:r>
      <w:r>
        <w:rPr>
          <w:noProof/>
          <w:color w:val="000000"/>
          <w:shd w:val="clear" w:color="auto" w:fill="FFFFFF"/>
          <w:lang w:val="es-ES"/>
        </w:rPr>
        <w:t xml:space="preserve">. …... </w:t>
      </w:r>
      <w:r>
        <w:rPr>
          <w:noProof/>
          <w:color w:val="000000"/>
          <w:shd w:val="clear" w:color="auto" w:fill="FFFFFF"/>
          <w:vertAlign w:val="superscript"/>
          <w:lang w:val="es-ES"/>
        </w:rPr>
        <w:t>(1)</w:t>
      </w:r>
      <w:r>
        <w:rPr>
          <w:noProof/>
          <w:color w:val="000000"/>
          <w:shd w:val="clear" w:color="auto" w:fill="FFFFFF"/>
          <w:lang w:val="es-ES"/>
        </w:rPr>
        <w:t xml:space="preserve">) </w:t>
      </w:r>
      <w:r>
        <w:rPr>
          <w:noProof/>
          <w:color w:val="000000"/>
          <w:shd w:val="clear" w:color="auto" w:fill="FFFFFF"/>
        </w:rPr>
        <w:t>изјављује</w:t>
      </w:r>
      <w:r>
        <w:rPr>
          <w:noProof/>
          <w:color w:val="000000"/>
          <w:shd w:val="clear" w:color="auto" w:fill="FFFFFF"/>
          <w:lang w:val="es-ES"/>
        </w:rPr>
        <w:t xml:space="preserve"> </w:t>
      </w:r>
      <w:r>
        <w:rPr>
          <w:noProof/>
          <w:color w:val="000000"/>
          <w:shd w:val="clear" w:color="auto" w:fill="FFFFFF"/>
        </w:rPr>
        <w:t>да</w:t>
      </w:r>
      <w:r>
        <w:rPr>
          <w:noProof/>
          <w:color w:val="000000"/>
          <w:shd w:val="clear" w:color="auto" w:fill="FFFFFF"/>
          <w:lang w:val="es-ES"/>
        </w:rPr>
        <w:t xml:space="preserve"> </w:t>
      </w:r>
      <w:r>
        <w:rPr>
          <w:noProof/>
          <w:color w:val="000000"/>
          <w:shd w:val="clear" w:color="auto" w:fill="FFFFFF"/>
        </w:rPr>
        <w:t>су</w:t>
      </w:r>
      <w:r>
        <w:rPr>
          <w:noProof/>
          <w:color w:val="000000"/>
          <w:shd w:val="clear" w:color="auto" w:fill="FFFFFF"/>
          <w:lang w:val="es-ES"/>
        </w:rPr>
        <w:t xml:space="preserve">, </w:t>
      </w:r>
      <w:r>
        <w:rPr>
          <w:noProof/>
          <w:color w:val="000000"/>
          <w:shd w:val="clear" w:color="auto" w:fill="FFFFFF"/>
        </w:rPr>
        <w:t>осим</w:t>
      </w:r>
      <w:r>
        <w:rPr>
          <w:noProof/>
          <w:color w:val="000000"/>
          <w:shd w:val="clear" w:color="auto" w:fill="FFFFFF"/>
          <w:lang w:val="es-ES"/>
        </w:rPr>
        <w:t xml:space="preserve"> </w:t>
      </w:r>
      <w:r>
        <w:rPr>
          <w:noProof/>
          <w:color w:val="000000"/>
          <w:shd w:val="clear" w:color="auto" w:fill="FFFFFF"/>
        </w:rPr>
        <w:t>ако</w:t>
      </w:r>
      <w:r>
        <w:rPr>
          <w:noProof/>
          <w:color w:val="000000"/>
          <w:shd w:val="clear" w:color="auto" w:fill="FFFFFF"/>
          <w:lang w:val="es-ES"/>
        </w:rPr>
        <w:t xml:space="preserve"> </w:t>
      </w:r>
      <w:r>
        <w:rPr>
          <w:noProof/>
          <w:color w:val="000000"/>
          <w:shd w:val="clear" w:color="auto" w:fill="FFFFFF"/>
        </w:rPr>
        <w:t>је</w:t>
      </w:r>
      <w:r>
        <w:rPr>
          <w:noProof/>
          <w:color w:val="000000"/>
          <w:shd w:val="clear" w:color="auto" w:fill="FFFFFF"/>
          <w:lang w:val="es-ES"/>
        </w:rPr>
        <w:t xml:space="preserve"> </w:t>
      </w:r>
      <w:r>
        <w:rPr>
          <w:noProof/>
          <w:color w:val="000000"/>
          <w:shd w:val="clear" w:color="auto" w:fill="FFFFFF"/>
        </w:rPr>
        <w:t>другачије</w:t>
      </w:r>
      <w:r>
        <w:rPr>
          <w:noProof/>
          <w:color w:val="000000"/>
          <w:shd w:val="clear" w:color="auto" w:fill="FFFFFF"/>
          <w:lang w:val="es-ES"/>
        </w:rPr>
        <w:t xml:space="preserve"> </w:t>
      </w:r>
      <w:r>
        <w:rPr>
          <w:noProof/>
          <w:color w:val="000000"/>
          <w:shd w:val="clear" w:color="auto" w:fill="FFFFFF"/>
        </w:rPr>
        <w:t>изричито</w:t>
      </w:r>
      <w:r>
        <w:rPr>
          <w:noProof/>
          <w:color w:val="000000"/>
          <w:shd w:val="clear" w:color="auto" w:fill="FFFFFF"/>
          <w:lang w:val="es-ES"/>
        </w:rPr>
        <w:t xml:space="preserve"> </w:t>
      </w:r>
      <w:r>
        <w:rPr>
          <w:noProof/>
          <w:color w:val="000000"/>
          <w:shd w:val="clear" w:color="auto" w:fill="FFFFFF"/>
        </w:rPr>
        <w:t>наведено</w:t>
      </w:r>
      <w:r>
        <w:rPr>
          <w:noProof/>
          <w:color w:val="000000"/>
          <w:shd w:val="clear" w:color="auto" w:fill="FFFFFF"/>
          <w:lang w:val="es-ES"/>
        </w:rPr>
        <w:t xml:space="preserve">, </w:t>
      </w:r>
      <w:r>
        <w:rPr>
          <w:noProof/>
          <w:color w:val="000000"/>
          <w:shd w:val="clear" w:color="auto" w:fill="FFFFFF"/>
        </w:rPr>
        <w:t>ови</w:t>
      </w:r>
      <w:r>
        <w:rPr>
          <w:noProof/>
          <w:color w:val="000000"/>
          <w:shd w:val="clear" w:color="auto" w:fill="FFFFFF"/>
          <w:lang w:val="es-ES"/>
        </w:rPr>
        <w:t xml:space="preserve"> </w:t>
      </w:r>
      <w:r>
        <w:rPr>
          <w:noProof/>
          <w:color w:val="000000"/>
          <w:shd w:val="clear" w:color="auto" w:fill="FFFFFF"/>
        </w:rPr>
        <w:t>производи</w:t>
      </w:r>
      <w:r>
        <w:rPr>
          <w:noProof/>
          <w:color w:val="000000"/>
          <w:shd w:val="clear" w:color="auto" w:fill="FFFFFF"/>
          <w:lang w:val="es-ES"/>
        </w:rPr>
        <w:t xml:space="preserve"> .......... </w:t>
      </w:r>
      <w:r>
        <w:rPr>
          <w:noProof/>
          <w:color w:val="000000"/>
          <w:shd w:val="clear" w:color="auto" w:fill="FFFFFF"/>
          <w:vertAlign w:val="superscript"/>
          <w:lang w:val="es-ES"/>
        </w:rPr>
        <w:t>(2)</w:t>
      </w:r>
      <w:r>
        <w:rPr>
          <w:noProof/>
          <w:color w:val="000000"/>
          <w:shd w:val="clear" w:color="auto" w:fill="FFFFFF"/>
          <w:lang w:val="es-ES"/>
        </w:rPr>
        <w:t xml:space="preserve"> </w:t>
      </w:r>
      <w:r>
        <w:rPr>
          <w:noProof/>
          <w:color w:val="000000"/>
          <w:shd w:val="clear" w:color="auto" w:fill="FFFFFF"/>
        </w:rPr>
        <w:t>преференцијалног</w:t>
      </w:r>
      <w:r>
        <w:rPr>
          <w:noProof/>
          <w:color w:val="000000"/>
          <w:shd w:val="clear" w:color="auto" w:fill="FFFFFF"/>
          <w:lang w:val="es-ES"/>
        </w:rPr>
        <w:t xml:space="preserve"> </w:t>
      </w:r>
      <w:r>
        <w:rPr>
          <w:noProof/>
          <w:color w:val="000000"/>
          <w:shd w:val="clear" w:color="auto" w:fill="FFFFFF"/>
        </w:rPr>
        <w:t>порекла</w:t>
      </w:r>
      <w:r>
        <w:rPr>
          <w:noProof/>
          <w:color w:val="000000"/>
          <w:shd w:val="clear" w:color="auto" w:fill="FFFFFF"/>
          <w:lang w:val="es-ES"/>
        </w:rPr>
        <w:t xml:space="preserve">, </w:t>
      </w:r>
      <w:r>
        <w:rPr>
          <w:noProof/>
          <w:color w:val="000000"/>
          <w:shd w:val="clear" w:color="auto" w:fill="FFFFFF"/>
        </w:rPr>
        <w:t>у</w:t>
      </w:r>
      <w:r>
        <w:rPr>
          <w:noProof/>
          <w:color w:val="000000"/>
          <w:shd w:val="clear" w:color="auto" w:fill="FFFFFF"/>
          <w:lang w:val="es-ES"/>
        </w:rPr>
        <w:t xml:space="preserve"> </w:t>
      </w:r>
      <w:r>
        <w:rPr>
          <w:noProof/>
          <w:color w:val="000000"/>
          <w:shd w:val="clear" w:color="auto" w:fill="FFFFFF"/>
        </w:rPr>
        <w:t>складу</w:t>
      </w:r>
      <w:r>
        <w:rPr>
          <w:noProof/>
          <w:color w:val="000000"/>
          <w:shd w:val="clear" w:color="auto" w:fill="FFFFFF"/>
          <w:lang w:val="es-ES"/>
        </w:rPr>
        <w:t xml:space="preserve"> </w:t>
      </w:r>
      <w:r>
        <w:rPr>
          <w:noProof/>
          <w:color w:val="000000"/>
          <w:shd w:val="clear" w:color="auto" w:fill="FFFFFF"/>
        </w:rPr>
        <w:t>са</w:t>
      </w:r>
      <w:r>
        <w:rPr>
          <w:noProof/>
          <w:color w:val="000000"/>
          <w:shd w:val="clear" w:color="auto" w:fill="FFFFFF"/>
          <w:lang w:val="es-ES"/>
        </w:rPr>
        <w:t xml:space="preserve"> </w:t>
      </w:r>
      <w:r>
        <w:rPr>
          <w:noProof/>
          <w:color w:val="000000"/>
          <w:shd w:val="clear" w:color="auto" w:fill="FFFFFF"/>
        </w:rPr>
        <w:t>прелазним</w:t>
      </w:r>
      <w:r>
        <w:rPr>
          <w:noProof/>
          <w:color w:val="000000"/>
          <w:shd w:val="clear" w:color="auto" w:fill="FFFFFF"/>
          <w:lang w:val="es-ES"/>
        </w:rPr>
        <w:t xml:space="preserve"> </w:t>
      </w:r>
      <w:r>
        <w:rPr>
          <w:noProof/>
          <w:color w:val="000000"/>
          <w:shd w:val="clear" w:color="auto" w:fill="FFFFFF"/>
        </w:rPr>
        <w:t>правилима</w:t>
      </w:r>
      <w:r>
        <w:rPr>
          <w:noProof/>
          <w:color w:val="000000"/>
          <w:shd w:val="clear" w:color="auto" w:fill="FFFFFF"/>
          <w:lang w:val="es-ES"/>
        </w:rPr>
        <w:t xml:space="preserve"> </w:t>
      </w:r>
      <w:r>
        <w:rPr>
          <w:noProof/>
          <w:color w:val="000000"/>
          <w:shd w:val="clear" w:color="auto" w:fill="FFFFFF"/>
        </w:rPr>
        <w:t>о</w:t>
      </w:r>
      <w:r>
        <w:rPr>
          <w:noProof/>
          <w:color w:val="000000"/>
          <w:shd w:val="clear" w:color="auto" w:fill="FFFFFF"/>
          <w:lang w:val="es-ES"/>
        </w:rPr>
        <w:t xml:space="preserve"> </w:t>
      </w:r>
      <w:r>
        <w:rPr>
          <w:noProof/>
          <w:color w:val="000000"/>
          <w:shd w:val="clear" w:color="auto" w:fill="FFFFFF"/>
        </w:rPr>
        <w:t>пореклу</w:t>
      </w:r>
      <w:r>
        <w:rPr>
          <w:noProof/>
          <w:color w:val="000000"/>
          <w:shd w:val="clear" w:color="auto" w:fill="FFFFFF"/>
          <w:lang w:val="es-ES"/>
        </w:rPr>
        <w:t>.</w:t>
      </w:r>
    </w:p>
    <w:p>
      <w:pPr>
        <w:rPr>
          <w:noProof/>
          <w:color w:val="000000"/>
          <w:spacing w:val="-3"/>
          <w:shd w:val="clear" w:color="auto" w:fill="FFFFFF"/>
          <w:lang w:val="es-ES"/>
        </w:rPr>
      </w:pPr>
      <w:r>
        <w:rPr>
          <w:noProof/>
          <w:color w:val="000000"/>
          <w:shd w:val="clear" w:color="auto" w:fill="FFFFFF"/>
          <w:lang w:val="es-ES"/>
        </w:rPr>
        <w:t>Izvoznik proizvoda obuhvaćenih ovom ispravom (carinsko ovlašćenje br……………. </w:t>
      </w:r>
      <w:r>
        <w:rPr>
          <w:noProof/>
          <w:color w:val="000000"/>
          <w:shd w:val="clear" w:color="auto" w:fill="FFFFFF"/>
          <w:vertAlign w:val="superscript"/>
          <w:lang w:val="es-ES"/>
        </w:rPr>
        <w:t>(1)</w:t>
      </w:r>
      <w:r>
        <w:rPr>
          <w:noProof/>
          <w:color w:val="000000"/>
          <w:shd w:val="clear" w:color="auto" w:fill="FFFFFF"/>
          <w:lang w:val="es-ES"/>
        </w:rPr>
        <w:t xml:space="preserve">) izjavljuje da su, osim ako je drugačije izričito </w:t>
      </w:r>
      <w:r>
        <w:rPr>
          <w:noProof/>
          <w:color w:val="000000"/>
          <w:shd w:val="clear" w:color="auto" w:fill="FFFFFF"/>
        </w:rPr>
        <w:t>на</w:t>
      </w:r>
      <w:r>
        <w:rPr>
          <w:noProof/>
          <w:color w:val="000000"/>
          <w:shd w:val="clear" w:color="auto" w:fill="FFFFFF"/>
          <w:lang w:val="es-ES"/>
        </w:rPr>
        <w:t>vedeno, ovi proizvodi ……………………………. </w:t>
      </w:r>
      <w:r>
        <w:rPr>
          <w:noProof/>
          <w:color w:val="000000"/>
          <w:shd w:val="clear" w:color="auto" w:fill="FFFFFF"/>
          <w:vertAlign w:val="superscript"/>
          <w:lang w:val="es-ES"/>
        </w:rPr>
        <w:t>(2)</w:t>
      </w:r>
      <w:r>
        <w:rPr>
          <w:noProof/>
          <w:color w:val="000000"/>
          <w:shd w:val="clear" w:color="auto" w:fill="FFFFFF"/>
          <w:lang w:val="es-ES"/>
        </w:rPr>
        <w:t> preferencijalnog porekla, u skladu sa prelaznim pravilima o poreklu.</w:t>
      </w:r>
    </w:p>
    <w:p>
      <w:pPr>
        <w:rPr>
          <w:noProof/>
          <w:color w:val="000000"/>
          <w:spacing w:val="-3"/>
          <w:shd w:val="clear" w:color="auto" w:fill="FFFFFF"/>
          <w:lang w:val="es-ES"/>
        </w:rPr>
      </w:pPr>
    </w:p>
    <w:p>
      <w:pPr>
        <w:autoSpaceDE w:val="0"/>
        <w:autoSpaceDN w:val="0"/>
        <w:jc w:val="center"/>
        <w:rPr>
          <w:b/>
          <w:noProof/>
          <w:lang w:val="es-ES"/>
        </w:rPr>
      </w:pPr>
      <w:r>
        <w:rPr>
          <w:b/>
          <w:noProof/>
          <w:lang w:val="es-ES"/>
        </w:rPr>
        <w:t>Version slovaque</w:t>
      </w:r>
    </w:p>
    <w:p>
      <w:pPr>
        <w:autoSpaceDE w:val="0"/>
        <w:autoSpaceDN w:val="0"/>
        <w:rPr>
          <w:noProof/>
          <w:sz w:val="22"/>
          <w:lang w:val="es-ES"/>
        </w:rPr>
      </w:pPr>
      <w:r>
        <w:rPr>
          <w:noProof/>
          <w:lang w:val="es-ES"/>
        </w:rPr>
        <w:t>Vývozca výrobkov uvedených v tomto dokumente (číslo povolenia ………</w:t>
      </w:r>
      <w:r>
        <w:rPr>
          <w:noProof/>
          <w:vertAlign w:val="superscript"/>
          <w:lang w:val="es-ES"/>
        </w:rPr>
        <w:t>1</w:t>
      </w:r>
      <w:r>
        <w:rPr>
          <w:noProof/>
          <w:lang w:val="es-ES"/>
        </w:rPr>
        <w:t>) vyhlasuje, že pokiaľ nie je zreteľne uvedené inak, tieto výrobky majú v súlade s prechodnými pravidlami pôvodu preferenčný pôvod v ………………</w:t>
      </w:r>
      <w:r>
        <w:rPr>
          <w:noProof/>
          <w:vertAlign w:val="superscript"/>
          <w:lang w:val="es-ES"/>
        </w:rPr>
        <w:t>2</w:t>
      </w:r>
      <w:r>
        <w:rPr>
          <w:noProof/>
          <w:sz w:val="22"/>
          <w:lang w:val="es-ES"/>
        </w:rPr>
        <w:t>.</w:t>
      </w:r>
    </w:p>
    <w:p>
      <w:pPr>
        <w:autoSpaceDE w:val="0"/>
        <w:autoSpaceDN w:val="0"/>
        <w:rPr>
          <w:noProof/>
          <w:sz w:val="22"/>
          <w:lang w:val="es-ES"/>
        </w:rPr>
      </w:pPr>
    </w:p>
    <w:p>
      <w:pPr>
        <w:autoSpaceDE w:val="0"/>
        <w:autoSpaceDN w:val="0"/>
        <w:jc w:val="center"/>
        <w:rPr>
          <w:b/>
          <w:noProof/>
          <w:lang w:val="es-ES"/>
        </w:rPr>
      </w:pPr>
      <w:r>
        <w:rPr>
          <w:b/>
          <w:noProof/>
          <w:lang w:val="es-ES"/>
        </w:rPr>
        <w:t>Version slovène</w:t>
      </w:r>
    </w:p>
    <w:p>
      <w:pPr>
        <w:autoSpaceDE w:val="0"/>
        <w:autoSpaceDN w:val="0"/>
        <w:rPr>
          <w:noProof/>
          <w:lang w:val="es-ES"/>
        </w:rPr>
      </w:pPr>
      <w:r>
        <w:rPr>
          <w:noProof/>
          <w:lang w:val="es-ES"/>
        </w:rPr>
        <w:t>Izvoznik blaga, zajetega s tem dokumentom (pooblastilo carinskih organov št ……………….</w:t>
      </w:r>
      <w:r>
        <w:rPr>
          <w:b/>
          <w:bCs/>
          <w:noProof/>
          <w:szCs w:val="24"/>
          <w:vertAlign w:val="superscript"/>
          <w:lang w:val="es-ES"/>
        </w:rPr>
        <w:t>(</w:t>
      </w:r>
      <w:r>
        <w:rPr>
          <w:noProof/>
          <w:vertAlign w:val="superscript"/>
          <w:lang w:val="es-ES"/>
        </w:rPr>
        <w:t>1</w:t>
      </w:r>
      <w:r>
        <w:rPr>
          <w:b/>
          <w:bCs/>
          <w:noProof/>
          <w:szCs w:val="24"/>
          <w:vertAlign w:val="superscript"/>
          <w:lang w:val="es-ES"/>
        </w:rPr>
        <w:t>)</w:t>
      </w:r>
      <w:r>
        <w:rPr>
          <w:noProof/>
          <w:lang w:val="es-ES"/>
        </w:rPr>
        <w:t>), izjavlja, da, razen če ni drugače jasno navedeno, ima to blago preferencialno ……………………………………</w:t>
      </w:r>
      <w:r>
        <w:rPr>
          <w:b/>
          <w:bCs/>
          <w:noProof/>
          <w:szCs w:val="24"/>
          <w:vertAlign w:val="superscript"/>
          <w:lang w:val="es-ES"/>
        </w:rPr>
        <w:t>(2)</w:t>
      </w:r>
      <w:r>
        <w:rPr>
          <w:noProof/>
          <w:lang w:val="es-ES"/>
        </w:rPr>
        <w:t xml:space="preserve"> poreklo v skladu s prehodnimi pravili o poreklu.</w:t>
      </w:r>
    </w:p>
    <w:p>
      <w:pPr>
        <w:spacing w:before="0" w:after="200" w:line="276" w:lineRule="auto"/>
        <w:rPr>
          <w:rFonts w:cstheme="minorBidi"/>
          <w:b/>
          <w:noProof/>
          <w:lang w:val="es-ES"/>
        </w:rPr>
      </w:pPr>
    </w:p>
    <w:p>
      <w:pPr>
        <w:autoSpaceDE w:val="0"/>
        <w:autoSpaceDN w:val="0"/>
        <w:jc w:val="center"/>
        <w:rPr>
          <w:rFonts w:asciiTheme="minorHAnsi" w:hAnsiTheme="minorHAnsi" w:cstheme="minorBidi"/>
          <w:b/>
          <w:noProof/>
          <w:sz w:val="22"/>
          <w:lang w:val="es-ES"/>
        </w:rPr>
      </w:pPr>
      <w:r>
        <w:rPr>
          <w:b/>
          <w:noProof/>
          <w:lang w:val="es-ES"/>
        </w:rPr>
        <w:t>Version espagnole</w:t>
      </w:r>
    </w:p>
    <w:p>
      <w:pPr>
        <w:autoSpaceDE w:val="0"/>
        <w:autoSpaceDN w:val="0"/>
        <w:rPr>
          <w:noProof/>
          <w:lang w:val="es-ES"/>
        </w:rPr>
      </w:pPr>
      <w:r>
        <w:rPr>
          <w:noProof/>
          <w:lang w:val="es-ES"/>
        </w:rPr>
        <w:t>El exportador de los productos incluidos en el presente documento (autorización aduanera n.º………</w:t>
      </w:r>
      <w:r>
        <w:rPr>
          <w:noProof/>
          <w:vertAlign w:val="superscript"/>
          <w:lang w:val="es-ES"/>
        </w:rPr>
        <w:t xml:space="preserve"> 1</w:t>
      </w:r>
      <w:r>
        <w:rPr>
          <w:noProof/>
          <w:lang w:val="es-ES"/>
        </w:rPr>
        <w:t>) declara que, excepto donde se indique claramente lo contrario, estos productos son de origen preferencial……………..</w:t>
      </w:r>
      <w:r>
        <w:rPr>
          <w:noProof/>
          <w:vertAlign w:val="superscript"/>
          <w:lang w:val="es-ES"/>
        </w:rPr>
        <w:t xml:space="preserve"> 2</w:t>
      </w:r>
      <w:r>
        <w:rPr>
          <w:rFonts w:asciiTheme="minorHAnsi" w:hAnsiTheme="minorHAnsi"/>
          <w:noProof/>
          <w:sz w:val="22"/>
          <w:lang w:val="es-ES"/>
        </w:rPr>
        <w:t xml:space="preserve"> </w:t>
      </w:r>
      <w:r>
        <w:rPr>
          <w:noProof/>
          <w:lang w:val="es-ES"/>
        </w:rPr>
        <w:t>con arreglo a las normas de origen transitorias.</w:t>
      </w:r>
    </w:p>
    <w:p>
      <w:pPr>
        <w:autoSpaceDE w:val="0"/>
        <w:autoSpaceDN w:val="0"/>
        <w:rPr>
          <w:b/>
          <w:noProof/>
          <w:lang w:val="es-ES"/>
        </w:rPr>
      </w:pPr>
    </w:p>
    <w:p>
      <w:pPr>
        <w:autoSpaceDE w:val="0"/>
        <w:autoSpaceDN w:val="0"/>
        <w:jc w:val="center"/>
        <w:rPr>
          <w:b/>
          <w:noProof/>
          <w:lang w:val="es-ES"/>
        </w:rPr>
      </w:pPr>
      <w:r>
        <w:rPr>
          <w:b/>
          <w:noProof/>
          <w:lang w:val="es-ES"/>
        </w:rPr>
        <w:t>Version suédoise</w:t>
      </w:r>
    </w:p>
    <w:p>
      <w:pPr>
        <w:autoSpaceDE w:val="0"/>
        <w:autoSpaceDN w:val="0"/>
        <w:rPr>
          <w:noProof/>
          <w:lang w:val="es-ES"/>
        </w:rPr>
      </w:pPr>
      <w:r>
        <w:rPr>
          <w:noProof/>
          <w:lang w:val="es-ES"/>
        </w:rPr>
        <w:t>Exportören av de varor som omfattas av detta dokument (tullmyndighetens tillstånd nr. ………</w:t>
      </w:r>
      <w:r>
        <w:rPr>
          <w:noProof/>
          <w:vertAlign w:val="superscript"/>
          <w:lang w:val="es-ES"/>
        </w:rPr>
        <w:t>1</w:t>
      </w:r>
      <w:r>
        <w:rPr>
          <w:noProof/>
          <w:lang w:val="es-ES"/>
        </w:rPr>
        <w:t>) försäkrar att dessa varor, om inte annat tydligt markerats, har förmånsberättigande …………….</w:t>
      </w:r>
      <w:r>
        <w:rPr>
          <w:noProof/>
          <w:vertAlign w:val="superscript"/>
          <w:lang w:val="es-ES"/>
        </w:rPr>
        <w:t>2</w:t>
      </w:r>
      <w:r>
        <w:rPr>
          <w:noProof/>
          <w:lang w:val="es-ES"/>
        </w:rPr>
        <w:t xml:space="preserve"> ursprung i enlighet med övergångsbestämmelserna om ursprung.</w:t>
      </w:r>
    </w:p>
    <w:p>
      <w:pPr>
        <w:autoSpaceDE w:val="0"/>
        <w:autoSpaceDN w:val="0"/>
        <w:rPr>
          <w:b/>
          <w:noProof/>
          <w:lang w:val="es-ES"/>
        </w:rPr>
      </w:pPr>
    </w:p>
    <w:p>
      <w:pPr>
        <w:autoSpaceDE w:val="0"/>
        <w:autoSpaceDN w:val="0"/>
        <w:jc w:val="center"/>
        <w:rPr>
          <w:b/>
          <w:noProof/>
          <w:lang w:val="es-ES"/>
        </w:rPr>
      </w:pPr>
      <w:r>
        <w:rPr>
          <w:b/>
          <w:noProof/>
          <w:lang w:val="es-ES"/>
        </w:rPr>
        <w:t>Version turque</w:t>
      </w:r>
    </w:p>
    <w:p>
      <w:pPr>
        <w:autoSpaceDE w:val="0"/>
        <w:autoSpaceDN w:val="0"/>
        <w:rPr>
          <w:noProof/>
          <w:szCs w:val="24"/>
          <w:lang w:val="es-ES"/>
        </w:rPr>
      </w:pPr>
      <w:r>
        <w:rPr>
          <w:noProof/>
          <w:lang w:val="es-ES"/>
        </w:rPr>
        <w:t>Bu belge kapsamındaki ürünlerin ihracatçısı (gümrük yetki No: …………….</w:t>
      </w:r>
      <w:r>
        <w:rPr>
          <w:noProof/>
          <w:szCs w:val="24"/>
          <w:vertAlign w:val="superscript"/>
          <w:lang w:val="es-ES"/>
        </w:rPr>
        <w:t xml:space="preserve"> (1)</w:t>
      </w:r>
      <w:r>
        <w:rPr>
          <w:noProof/>
          <w:lang w:val="es-ES"/>
        </w:rPr>
        <w:t xml:space="preserve">), aksi açıkça belirtilmedikçe, bu ürünlerin geçiş menşe kurallarına göre ……………………………………. </w:t>
      </w:r>
      <w:r>
        <w:rPr>
          <w:noProof/>
          <w:szCs w:val="24"/>
          <w:vertAlign w:val="superscript"/>
          <w:lang w:val="es-ES"/>
        </w:rPr>
        <w:t>(2)</w:t>
      </w:r>
      <w:r>
        <w:rPr>
          <w:noProof/>
          <w:lang w:val="es-ES"/>
        </w:rPr>
        <w:t xml:space="preserve"> tercihli menşeli olduğunu beyan eder.</w:t>
      </w:r>
    </w:p>
    <w:p>
      <w:pPr>
        <w:autoSpaceDE w:val="0"/>
        <w:autoSpaceDN w:val="0"/>
        <w:rPr>
          <w:noProof/>
          <w:szCs w:val="24"/>
          <w:lang w:val="es-ES"/>
        </w:rPr>
      </w:pPr>
    </w:p>
    <w:p>
      <w:pPr>
        <w:autoSpaceDE w:val="0"/>
        <w:autoSpaceDN w:val="0"/>
        <w:jc w:val="center"/>
        <w:rPr>
          <w:b/>
          <w:noProof/>
          <w:lang w:val="es-ES"/>
        </w:rPr>
      </w:pPr>
      <w:r>
        <w:rPr>
          <w:b/>
          <w:noProof/>
          <w:lang w:val="es-ES"/>
        </w:rPr>
        <w:t>Version ukrainienne</w:t>
      </w:r>
    </w:p>
    <w:p>
      <w:pPr>
        <w:autoSpaceDE w:val="0"/>
        <w:autoSpaceDN w:val="0"/>
        <w:rPr>
          <w:noProof/>
          <w:lang w:val="es-ES"/>
        </w:rPr>
      </w:pPr>
      <w:r>
        <w:rPr>
          <w:noProof/>
        </w:rPr>
        <w:t>Експортер</w:t>
      </w:r>
      <w:r>
        <w:rPr>
          <w:noProof/>
          <w:lang w:val="es-ES"/>
        </w:rPr>
        <w:t xml:space="preserve"> </w:t>
      </w:r>
      <w:r>
        <w:rPr>
          <w:noProof/>
        </w:rPr>
        <w:t>продукції</w:t>
      </w:r>
      <w:r>
        <w:rPr>
          <w:noProof/>
          <w:lang w:val="es-ES"/>
        </w:rPr>
        <w:t xml:space="preserve">, </w:t>
      </w:r>
      <w:r>
        <w:rPr>
          <w:noProof/>
        </w:rPr>
        <w:t>на</w:t>
      </w:r>
      <w:r>
        <w:rPr>
          <w:noProof/>
          <w:lang w:val="es-ES"/>
        </w:rPr>
        <w:t xml:space="preserve"> </w:t>
      </w:r>
      <w:r>
        <w:rPr>
          <w:noProof/>
        </w:rPr>
        <w:t>яку</w:t>
      </w:r>
      <w:r>
        <w:rPr>
          <w:noProof/>
          <w:lang w:val="es-ES"/>
        </w:rPr>
        <w:t xml:space="preserve"> </w:t>
      </w:r>
      <w:r>
        <w:rPr>
          <w:noProof/>
        </w:rPr>
        <w:t>поширюється</w:t>
      </w:r>
      <w:r>
        <w:rPr>
          <w:noProof/>
          <w:lang w:val="es-ES"/>
        </w:rPr>
        <w:t xml:space="preserve"> </w:t>
      </w:r>
      <w:r>
        <w:rPr>
          <w:noProof/>
        </w:rPr>
        <w:t>цей</w:t>
      </w:r>
      <w:r>
        <w:rPr>
          <w:noProof/>
          <w:lang w:val="es-ES"/>
        </w:rPr>
        <w:t xml:space="preserve"> </w:t>
      </w:r>
      <w:r>
        <w:rPr>
          <w:noProof/>
        </w:rPr>
        <w:t>документ</w:t>
      </w:r>
      <w:r>
        <w:rPr>
          <w:noProof/>
          <w:lang w:val="es-ES"/>
        </w:rPr>
        <w:t xml:space="preserve"> (</w:t>
      </w:r>
      <w:r>
        <w:rPr>
          <w:noProof/>
        </w:rPr>
        <w:t>митний</w:t>
      </w:r>
      <w:r>
        <w:rPr>
          <w:noProof/>
          <w:lang w:val="es-ES"/>
        </w:rPr>
        <w:t xml:space="preserve"> </w:t>
      </w:r>
      <w:r>
        <w:rPr>
          <w:noProof/>
        </w:rPr>
        <w:t>дозвіл</w:t>
      </w:r>
      <w:r>
        <w:rPr>
          <w:noProof/>
          <w:lang w:val="es-ES"/>
        </w:rPr>
        <w:t xml:space="preserve"> № ………. </w:t>
      </w:r>
      <w:r>
        <w:rPr>
          <w:noProof/>
          <w:vertAlign w:val="superscript"/>
          <w:lang w:val="es-ES"/>
        </w:rPr>
        <w:t>1</w:t>
      </w:r>
      <w:r>
        <w:rPr>
          <w:noProof/>
          <w:lang w:val="es-ES"/>
        </w:rPr>
        <w:t>)  </w:t>
      </w:r>
      <w:r>
        <w:rPr>
          <w:noProof/>
        </w:rPr>
        <w:t>заявляє</w:t>
      </w:r>
      <w:r>
        <w:rPr>
          <w:noProof/>
          <w:lang w:val="es-ES"/>
        </w:rPr>
        <w:t xml:space="preserve">, </w:t>
      </w:r>
      <w:r>
        <w:rPr>
          <w:noProof/>
        </w:rPr>
        <w:t>що</w:t>
      </w:r>
      <w:r>
        <w:rPr>
          <w:noProof/>
          <w:lang w:val="es-ES"/>
        </w:rPr>
        <w:t xml:space="preserve">, </w:t>
      </w:r>
      <w:r>
        <w:rPr>
          <w:noProof/>
        </w:rPr>
        <w:t>за</w:t>
      </w:r>
      <w:r>
        <w:rPr>
          <w:noProof/>
          <w:lang w:val="es-ES"/>
        </w:rPr>
        <w:t xml:space="preserve"> </w:t>
      </w:r>
      <w:r>
        <w:rPr>
          <w:noProof/>
        </w:rPr>
        <w:t>винятком</w:t>
      </w:r>
      <w:r>
        <w:rPr>
          <w:noProof/>
          <w:lang w:val="es-ES"/>
        </w:rPr>
        <w:t xml:space="preserve"> </w:t>
      </w:r>
      <w:r>
        <w:rPr>
          <w:noProof/>
        </w:rPr>
        <w:t>випадків</w:t>
      </w:r>
      <w:r>
        <w:rPr>
          <w:noProof/>
          <w:lang w:val="es-ES"/>
        </w:rPr>
        <w:t xml:space="preserve">, </w:t>
      </w:r>
      <w:r>
        <w:rPr>
          <w:noProof/>
        </w:rPr>
        <w:t>де</w:t>
      </w:r>
      <w:r>
        <w:rPr>
          <w:noProof/>
          <w:lang w:val="es-ES"/>
        </w:rPr>
        <w:t xml:space="preserve"> </w:t>
      </w:r>
      <w:r>
        <w:rPr>
          <w:noProof/>
        </w:rPr>
        <w:t>це</w:t>
      </w:r>
      <w:r>
        <w:rPr>
          <w:noProof/>
          <w:lang w:val="es-ES"/>
        </w:rPr>
        <w:t xml:space="preserve"> </w:t>
      </w:r>
      <w:r>
        <w:rPr>
          <w:noProof/>
        </w:rPr>
        <w:t>явно</w:t>
      </w:r>
      <w:r>
        <w:rPr>
          <w:noProof/>
          <w:lang w:val="es-ES"/>
        </w:rPr>
        <w:t xml:space="preserve"> </w:t>
      </w:r>
      <w:r>
        <w:rPr>
          <w:noProof/>
        </w:rPr>
        <w:t>зазначено</w:t>
      </w:r>
      <w:r>
        <w:rPr>
          <w:noProof/>
          <w:lang w:val="es-ES"/>
        </w:rPr>
        <w:t xml:space="preserve">, </w:t>
      </w:r>
      <w:r>
        <w:rPr>
          <w:noProof/>
        </w:rPr>
        <w:t>ця</w:t>
      </w:r>
      <w:r>
        <w:rPr>
          <w:noProof/>
          <w:lang w:val="es-ES"/>
        </w:rPr>
        <w:t xml:space="preserve"> </w:t>
      </w:r>
      <w:r>
        <w:rPr>
          <w:noProof/>
        </w:rPr>
        <w:t>продукція</w:t>
      </w:r>
      <w:r>
        <w:rPr>
          <w:noProof/>
          <w:lang w:val="es-ES"/>
        </w:rPr>
        <w:t xml:space="preserve"> </w:t>
      </w:r>
      <w:r>
        <w:rPr>
          <w:noProof/>
        </w:rPr>
        <w:t>має</w:t>
      </w:r>
      <w:r>
        <w:rPr>
          <w:noProof/>
          <w:lang w:val="es-ES"/>
        </w:rPr>
        <w:t xml:space="preserve"> …………….</w:t>
      </w:r>
      <w:r>
        <w:rPr>
          <w:noProof/>
          <w:vertAlign w:val="superscript"/>
          <w:lang w:val="es-ES"/>
        </w:rPr>
        <w:t>2</w:t>
      </w:r>
      <w:r>
        <w:rPr>
          <w:noProof/>
          <w:lang w:val="es-ES"/>
        </w:rPr>
        <w:t xml:space="preserve"> </w:t>
      </w:r>
      <w:r>
        <w:rPr>
          <w:noProof/>
        </w:rPr>
        <w:t>преференційне</w:t>
      </w:r>
      <w:r>
        <w:rPr>
          <w:noProof/>
          <w:lang w:val="es-ES"/>
        </w:rPr>
        <w:t xml:space="preserve"> </w:t>
      </w:r>
      <w:r>
        <w:rPr>
          <w:noProof/>
        </w:rPr>
        <w:t>походження</w:t>
      </w:r>
      <w:r>
        <w:rPr>
          <w:noProof/>
          <w:lang w:val="es-ES"/>
        </w:rPr>
        <w:t xml:space="preserve"> </w:t>
      </w:r>
      <w:r>
        <w:rPr>
          <w:noProof/>
        </w:rPr>
        <w:t>згідно</w:t>
      </w:r>
      <w:r>
        <w:rPr>
          <w:noProof/>
          <w:lang w:val="es-ES"/>
        </w:rPr>
        <w:t xml:space="preserve"> </w:t>
      </w:r>
      <w:r>
        <w:rPr>
          <w:noProof/>
        </w:rPr>
        <w:t>з</w:t>
      </w:r>
      <w:r>
        <w:rPr>
          <w:noProof/>
          <w:lang w:val="es-ES"/>
        </w:rPr>
        <w:t xml:space="preserve"> </w:t>
      </w:r>
      <w:r>
        <w:rPr>
          <w:noProof/>
        </w:rPr>
        <w:t>перехідними</w:t>
      </w:r>
      <w:r>
        <w:rPr>
          <w:noProof/>
          <w:lang w:val="es-ES"/>
        </w:rPr>
        <w:t xml:space="preserve"> </w:t>
      </w:r>
      <w:r>
        <w:rPr>
          <w:noProof/>
        </w:rPr>
        <w:t>правилами</w:t>
      </w:r>
      <w:r>
        <w:rPr>
          <w:noProof/>
          <w:lang w:val="es-ES"/>
        </w:rPr>
        <w:t xml:space="preserve"> </w:t>
      </w:r>
      <w:r>
        <w:rPr>
          <w:noProof/>
        </w:rPr>
        <w:t>походження</w:t>
      </w:r>
      <w:r>
        <w:rPr>
          <w:noProof/>
          <w:lang w:val="es-ES"/>
        </w:rPr>
        <w:t>.».</w:t>
      </w:r>
    </w:p>
    <w:p>
      <w:pPr>
        <w:autoSpaceDE w:val="0"/>
        <w:autoSpaceDN w:val="0"/>
        <w:rPr>
          <w:rFonts w:eastAsia="Times New Roman"/>
          <w:noProof/>
          <w:szCs w:val="24"/>
          <w:lang w:val="es-ES" w:eastAsia="en-GB"/>
        </w:rPr>
      </w:pPr>
    </w:p>
    <w:p>
      <w:pPr>
        <w:autoSpaceDE w:val="0"/>
        <w:autoSpaceDN w:val="0"/>
        <w:adjustRightInd w:val="0"/>
        <w:spacing w:before="0" w:after="360"/>
        <w:jc w:val="center"/>
        <w:rPr>
          <w:noProof/>
          <w:sz w:val="20"/>
        </w:rPr>
      </w:pPr>
      <w:r>
        <w:rPr>
          <w:noProof/>
        </w:rPr>
        <w:t xml:space="preserve">…................................................................................................................................................ </w:t>
      </w:r>
      <w:r>
        <w:rPr>
          <w:noProof/>
          <w:sz w:val="20"/>
        </w:rPr>
        <w:t>(Lieu et date)</w:t>
      </w:r>
      <w:r>
        <w:rPr>
          <w:noProof/>
          <w:vertAlign w:val="superscript"/>
        </w:rPr>
        <w:t xml:space="preserve"> </w:t>
      </w:r>
      <w:r>
        <w:rPr>
          <w:bCs/>
          <w:noProof/>
          <w:szCs w:val="24"/>
          <w:vertAlign w:val="superscript"/>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rPr>
      </w:pPr>
      <w:r>
        <w:rPr>
          <w:noProof/>
          <w:sz w:val="20"/>
        </w:rPr>
        <w:t>(Signature de l’exportateur et indication, en toutes lettres, du nom de la personne qui signe la déclaration)</w:t>
      </w:r>
      <w:r>
        <w:rPr>
          <w:bCs/>
          <w:noProof/>
          <w:szCs w:val="24"/>
          <w:vertAlign w:val="superscript"/>
        </w:rPr>
        <w:t xml:space="preserve"> 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ab/>
        <w:t>Lorsque la déclaration d’origine est établie par un exportateur agréé, le numéro d’autorisation de cet exportateur doit être mentionné ici. Lorsque la déclaration d’origine n’est pas établie par un exportateur agréé, les mots entre parenthèses doivent être omis ou l’espace doit être laissé blanc.</w:t>
      </w:r>
    </w:p>
    <w:p>
      <w:pPr>
        <w:pStyle w:val="EndnoteText"/>
        <w:rPr>
          <w:noProof/>
        </w:rPr>
      </w:pPr>
      <w:r>
        <w:rPr>
          <w:rStyle w:val="EndnoteReference"/>
          <w:noProof/>
        </w:rPr>
        <w:t>2</w:t>
      </w:r>
      <w:r>
        <w:rPr>
          <w:noProof/>
        </w:rPr>
        <w:t xml:space="preserve"> L’origine des produits doit être indiquée. Lorsque la déclaration d’origine se rapporte, en totalité ou en partie, à des produits originaires de Ceuta et Melilla, l’exportateur est tenu de les identifier clairement, au moyen du sigle “CM”, dans le document sur lequel la déclaration est établie.</w:t>
      </w:r>
    </w:p>
    <w:p>
      <w:pPr>
        <w:pStyle w:val="EndnoteText"/>
        <w:rPr>
          <w:noProof/>
        </w:rPr>
      </w:pPr>
      <w:r>
        <w:rPr>
          <w:rStyle w:val="EndnoteReference"/>
          <w:noProof/>
        </w:rPr>
        <w:t>3</w:t>
      </w:r>
      <w:r>
        <w:rPr>
          <w:noProof/>
        </w:rPr>
        <w:t xml:space="preserve"> Ces indications sont facultatives si les informations figurent dans le document proprement dit.</w:t>
      </w:r>
    </w:p>
    <w:p>
      <w:pPr>
        <w:autoSpaceDE w:val="0"/>
        <w:autoSpaceDN w:val="0"/>
        <w:rPr>
          <w:rFonts w:eastAsia="Times New Roman"/>
          <w:noProof/>
          <w:szCs w:val="24"/>
        </w:rPr>
      </w:pPr>
      <w:r>
        <w:rPr>
          <w:rStyle w:val="EndnoteReference"/>
          <w:noProof/>
          <w:sz w:val="20"/>
          <w:szCs w:val="20"/>
        </w:rPr>
        <w:t>4</w:t>
      </w:r>
      <w:r>
        <w:rPr>
          <w:noProof/>
        </w:rPr>
        <w:t xml:space="preserve"> </w:t>
      </w:r>
      <w:r>
        <w:rPr>
          <w:noProof/>
          <w:sz w:val="20"/>
          <w:szCs w:val="20"/>
        </w:rPr>
        <w:t>Dans les cas où l’exportateur n’est pas tenu de signer, la dispense de signature dégage aussi de l’obligation d’indiquer le nom du signataire.</w:t>
      </w:r>
    </w:p>
    <w:p>
      <w:pPr>
        <w:autoSpaceDE w:val="0"/>
        <w:autoSpaceDN w:val="0"/>
        <w:rPr>
          <w:rFonts w:eastAsia="Times New Roman"/>
          <w:noProof/>
          <w:szCs w:val="24"/>
          <w:lang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rPr>
        <w:t>Annexe IV</w:t>
      </w:r>
    </w:p>
    <w:p>
      <w:pPr>
        <w:pStyle w:val="Text1"/>
        <w:jc w:val="center"/>
        <w:rPr>
          <w:b/>
          <w:noProof/>
        </w:rPr>
      </w:pPr>
      <w:r>
        <w:rPr>
          <w:b/>
          <w:noProof/>
        </w:rPr>
        <w:t>MODÈLES DE CERTIFICAT DE CIRCULATION DES MARCHANDISES EUR.1 ET DE DEMANDE DE CERTIFICAT DE CIRCULATION DES MARCHANDISES EUR.1</w:t>
      </w:r>
    </w:p>
    <w:p>
      <w:pPr>
        <w:pStyle w:val="Text1"/>
        <w:rPr>
          <w:rFonts w:eastAsia="Times New Roman"/>
          <w:noProof/>
          <w:szCs w:val="20"/>
        </w:rPr>
      </w:pPr>
      <w:r>
        <w:rPr>
          <w:noProof/>
        </w:rPr>
        <w:t>RÈGLES D’IMPRESSION</w:t>
      </w:r>
    </w:p>
    <w:p>
      <w:pPr>
        <w:pStyle w:val="Point1"/>
        <w:rPr>
          <w:noProof/>
        </w:rPr>
      </w:pPr>
      <w:r>
        <w:rPr>
          <w:noProof/>
        </w:rPr>
        <w:t>1.</w:t>
      </w:r>
      <w:r>
        <w:rPr>
          <w:noProof/>
        </w:rPr>
        <w:tab/>
        <w:t>Chaque formulaire doit mesurer 210 x 297 mm, avec une tolérance maximale de 5 millimètres en moins et de 8 millimètres en plus étant admise en ce qui concerne la longueur. Le papier à utiliser est un papier de couleur blanche sans pâtes mécaniques, collé pour écritures et pesant au minimum 25 g/m</w:t>
      </w:r>
      <w:r>
        <w:rPr>
          <w:noProof/>
          <w:vertAlign w:val="superscript"/>
        </w:rPr>
        <w:t>2</w:t>
      </w:r>
      <w:r>
        <w:rPr>
          <w:noProof/>
        </w:rPr>
        <w:t>. Il est revêtu d’une impression de fond guillochée de couleur verte rendant apparente toute falsification par moyens mécaniques ou chimiques.</w:t>
      </w:r>
    </w:p>
    <w:p>
      <w:pPr>
        <w:pStyle w:val="Point1"/>
        <w:rPr>
          <w:noProof/>
        </w:rPr>
      </w:pPr>
      <w:r>
        <w:rPr>
          <w:noProof/>
        </w:rPr>
        <w:t>2.</w:t>
      </w:r>
      <w:r>
        <w:rPr>
          <w:noProof/>
        </w:rPr>
        <w:tab/>
        <w:t>Les autorités compétentes des parties peuvent se réserver l’impression des certificats ou en confier le soin à des imprimeries ayant reçu leur agrément. Dans ce dernier cas, référence à cet agrément est faite sur chaque certificat. Chaque certificat est revêtu d’une mention indiquant le nom et l’adresse de l’imprimeur ou d’un signe permettant l’identification de celui-ci. Il porte en outre un numéro de série, imprimé ou non, destiné à l’individualiser.</w:t>
      </w:r>
    </w:p>
    <w:p>
      <w:pPr>
        <w:pStyle w:val="Text1"/>
        <w:rPr>
          <w:noProof/>
        </w:rPr>
      </w:pPr>
      <w:r>
        <w:rPr>
          <w:noProof/>
        </w:rPr>
        <w:br w:type="page"/>
        <w:t>CERTIFICAT DE CIRCULATION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noProof/>
              </w:rPr>
              <w:tab/>
            </w:r>
            <w:r>
              <w:rPr>
                <w:rFonts w:asciiTheme="majorBidi" w:hAnsiTheme="majorBidi"/>
                <w:b/>
                <w:noProof/>
                <w:sz w:val="18"/>
              </w:rPr>
              <w:t>Exportateur</w:t>
            </w:r>
            <w:r>
              <w:rPr>
                <w:rFonts w:asciiTheme="majorBidi" w:hAnsiTheme="majorBidi"/>
                <w:noProof/>
                <w:sz w:val="18"/>
              </w:rPr>
              <w:t xml:space="preserve"> (nom, adresse complète, pays)</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noProof/>
              </w:rPr>
              <w:tab/>
            </w:r>
            <w:r>
              <w:rPr>
                <w:rFonts w:asciiTheme="majorBidi" w:hAnsiTheme="majorBidi"/>
                <w:b/>
                <w:noProof/>
              </w:rPr>
              <w:t>Nº A</w:t>
            </w:r>
            <w:r>
              <w:rPr>
                <w:noProof/>
              </w:rPr>
              <w:tab/>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Consulter les notes au verso avant de remplir le formulaire</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noProof/>
              </w:rPr>
              <w:tab/>
            </w:r>
            <w:r>
              <w:rPr>
                <w:rFonts w:asciiTheme="majorBidi" w:hAnsiTheme="majorBidi"/>
                <w:b/>
                <w:noProof/>
                <w:sz w:val="18"/>
              </w:rPr>
              <w:t>Certificat utilisé dans les échanges préférentiels entre</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noProof/>
              </w:rPr>
              <w:tab/>
            </w:r>
            <w:r>
              <w:rPr>
                <w:rFonts w:asciiTheme="majorBidi" w:hAnsiTheme="majorBidi"/>
                <w:b/>
                <w:noProof/>
                <w:sz w:val="18"/>
              </w:rPr>
              <w:t>Destinataire</w:t>
            </w:r>
            <w:r>
              <w:rPr>
                <w:rFonts w:asciiTheme="majorBidi" w:hAnsiTheme="majorBidi"/>
                <w:noProof/>
                <w:sz w:val="18"/>
              </w:rPr>
              <w:t xml:space="preserve"> (nom, adresse complète, pays) (mention facultative)</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noProof/>
              </w:rPr>
              <w:tab/>
            </w:r>
            <w:r>
              <w:rPr>
                <w:rFonts w:asciiTheme="majorBidi" w:hAnsiTheme="majorBidi"/>
                <w:b/>
                <w:noProof/>
                <w:sz w:val="18"/>
                <w:szCs w:val="18"/>
              </w:rPr>
              <w:t>et</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(indiquer les pays, groupes de pays ou territoires concernés)</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noProof/>
              </w:rPr>
              <w:tab/>
            </w:r>
            <w:r>
              <w:rPr>
                <w:rFonts w:asciiTheme="majorBidi" w:hAnsiTheme="majorBidi"/>
                <w:b/>
                <w:noProof/>
                <w:sz w:val="18"/>
              </w:rPr>
              <w:t>Pays, groupe de pays ou territoire dont les produits sont considérés comme originaires</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noProof/>
              </w:rPr>
              <w:tab/>
            </w:r>
            <w:r>
              <w:rPr>
                <w:rFonts w:asciiTheme="majorBidi" w:hAnsiTheme="majorBidi"/>
                <w:b/>
                <w:noProof/>
                <w:sz w:val="18"/>
              </w:rPr>
              <w:t>Pays, groupe de pays ou territoire de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noProof/>
              </w:rPr>
              <w:tab/>
            </w:r>
            <w:r>
              <w:rPr>
                <w:rFonts w:asciiTheme="majorBidi" w:hAnsiTheme="majorBidi"/>
                <w:b/>
                <w:noProof/>
                <w:sz w:val="18"/>
              </w:rPr>
              <w:t>Informations relatives au transport</w:t>
            </w:r>
            <w:r>
              <w:rPr>
                <w:rFonts w:asciiTheme="majorBidi" w:hAnsiTheme="majorBidi"/>
                <w:noProof/>
                <w:sz w:val="18"/>
              </w:rPr>
              <w:t xml:space="preserve"> (mention facultative)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noProof/>
              </w:rPr>
              <w:tab/>
            </w:r>
            <w:r>
              <w:rPr>
                <w:rFonts w:asciiTheme="majorBidi" w:hAnsiTheme="majorBidi"/>
                <w:b/>
                <w:noProof/>
                <w:sz w:val="18"/>
              </w:rPr>
              <w:t>Observations</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noProof/>
              </w:rPr>
              <w:tab/>
            </w:r>
            <w:r>
              <w:rPr>
                <w:rFonts w:asciiTheme="majorBidi" w:hAnsiTheme="majorBidi"/>
                <w:b/>
                <w:noProof/>
                <w:sz w:val="18"/>
              </w:rPr>
              <w:t xml:space="preserve">Numéro d’ordre; marques, numéros; nombre et nature des colis </w:t>
            </w:r>
            <w:r>
              <w:rPr>
                <w:rFonts w:asciiTheme="majorBidi" w:hAnsiTheme="majorBidi"/>
                <w:b/>
                <w:noProof/>
                <w:sz w:val="18"/>
                <w:vertAlign w:val="superscript"/>
              </w:rPr>
              <w:t>(1)</w:t>
            </w:r>
            <w:r>
              <w:rPr>
                <w:rFonts w:asciiTheme="majorBidi" w:hAnsiTheme="majorBidi"/>
                <w:b/>
                <w:noProof/>
                <w:sz w:val="18"/>
              </w:rPr>
              <w:t>; désignation des marchandises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noProof/>
              </w:rPr>
              <w:tab/>
            </w:r>
            <w:r>
              <w:rPr>
                <w:rFonts w:asciiTheme="majorBidi" w:hAnsiTheme="majorBidi"/>
                <w:b/>
                <w:noProof/>
                <w:sz w:val="18"/>
              </w:rPr>
              <w:t>Masse brute (kg) ou autre mesure (l, m</w:t>
            </w:r>
            <w:r>
              <w:rPr>
                <w:rFonts w:asciiTheme="majorBidi" w:hAnsiTheme="majorBidi"/>
                <w:b/>
                <w:noProof/>
                <w:sz w:val="18"/>
                <w:vertAlign w:val="superscript"/>
              </w:rPr>
              <w:t>3</w:t>
            </w:r>
            <w:r>
              <w:rPr>
                <w:rFonts w:asciiTheme="majorBidi" w:hAnsiTheme="majorBidi"/>
                <w:b/>
                <w:noProof/>
                <w:sz w:val="18"/>
                <w:szCs w:val="18"/>
              </w:rPr>
              <w:t>,</w:t>
            </w:r>
            <w:r>
              <w:rPr>
                <w:rFonts w:asciiTheme="majorBidi" w:hAnsiTheme="majorBidi"/>
                <w:b/>
                <w:noProof/>
                <w:sz w:val="18"/>
              </w:rPr>
              <w:t xml:space="preserve"> etc.)</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noProof/>
              </w:rPr>
              <w:tab/>
            </w:r>
            <w:r>
              <w:rPr>
                <w:rFonts w:asciiTheme="majorBidi" w:hAnsiTheme="majorBidi"/>
                <w:b/>
                <w:noProof/>
                <w:sz w:val="18"/>
              </w:rPr>
              <w:t>Factures</w:t>
            </w:r>
          </w:p>
          <w:p>
            <w:pPr>
              <w:spacing w:before="0" w:after="0"/>
              <w:ind w:left="340" w:hanging="340"/>
              <w:rPr>
                <w:rFonts w:asciiTheme="majorBidi" w:hAnsiTheme="majorBidi" w:cstheme="minorBidi"/>
                <w:noProof/>
                <w:sz w:val="18"/>
              </w:rPr>
            </w:pPr>
            <w:r>
              <w:rPr>
                <w:noProof/>
              </w:rPr>
              <w:tab/>
            </w:r>
            <w:r>
              <w:rPr>
                <w:rFonts w:asciiTheme="majorBidi" w:hAnsiTheme="majorBidi"/>
                <w:noProof/>
                <w:sz w:val="18"/>
              </w:rPr>
              <w:t>(mention facultative)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rPr>
        <w:t xml:space="preserve"> </w:t>
      </w:r>
      <w:r>
        <w:rPr>
          <w:noProof/>
          <w:sz w:val="20"/>
          <w:szCs w:val="20"/>
        </w:rPr>
        <w:t>Pour les marchandises non emballées, indiquer le nombre d’objets ou mentionner “en vrac”.</w:t>
      </w:r>
    </w:p>
    <w:tbl>
      <w:tblPr>
        <w:tblW w:w="5000" w:type="pct"/>
        <w:jc w:val="center"/>
        <w:tblCellMar>
          <w:left w:w="120" w:type="dxa"/>
          <w:right w:w="120" w:type="dxa"/>
        </w:tblCellMar>
        <w:tblLook w:val="0000" w:firstRow="0" w:lastRow="0" w:firstColumn="0" w:lastColumn="0" w:noHBand="0" w:noVBand="0"/>
      </w:tblPr>
      <w:tblGrid>
        <w:gridCol w:w="5040"/>
        <w:gridCol w:w="4838"/>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11.</w:t>
            </w:r>
            <w:r>
              <w:rPr>
                <w:noProof/>
              </w:rPr>
              <w:tab/>
            </w:r>
            <w:r>
              <w:rPr>
                <w:rFonts w:asciiTheme="majorBidi" w:hAnsiTheme="majorBidi"/>
                <w:b/>
                <w:noProof/>
                <w:sz w:val="18"/>
                <w:szCs w:val="18"/>
              </w:rPr>
              <w:t>VISA DE LA DOUANE</w:t>
            </w:r>
          </w:p>
          <w:p>
            <w:pPr>
              <w:spacing w:before="0" w:after="0"/>
              <w:ind w:left="340" w:hanging="340"/>
              <w:rPr>
                <w:rFonts w:asciiTheme="majorBidi" w:eastAsia="Times New Roman" w:hAnsiTheme="majorBidi" w:cstheme="majorBidi"/>
                <w:i/>
                <w:noProof/>
                <w:sz w:val="18"/>
                <w:szCs w:val="18"/>
              </w:rPr>
            </w:pPr>
            <w:r>
              <w:rPr>
                <w:rFonts w:asciiTheme="majorBidi" w:hAnsiTheme="majorBidi"/>
                <w:i/>
                <w:noProof/>
                <w:sz w:val="18"/>
                <w:szCs w:val="18"/>
              </w:rPr>
              <w:t>Déclaration certifiée conforme</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 xml:space="preserve">Document d’exportation </w:t>
            </w:r>
            <w:r>
              <w:rPr>
                <w:rFonts w:asciiTheme="majorBidi" w:hAnsiTheme="majorBidi"/>
                <w:b/>
                <w:bCs/>
                <w:noProof/>
                <w:sz w:val="18"/>
                <w:szCs w:val="18"/>
                <w:vertAlign w:val="superscript"/>
              </w:rPr>
              <w:t>(2)</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Modèle ……………………………. nº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du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Bureau de douane………………………………..</w:t>
            </w:r>
          </w:p>
          <w:p>
            <w:pPr>
              <w:tabs>
                <w:tab w:val="left" w:pos="3974"/>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Pays ou territoire de délivrance ………………</w:t>
            </w:r>
            <w:r>
              <w:rPr>
                <w:noProof/>
              </w:rPr>
              <w:tab/>
            </w:r>
            <w:r>
              <w:rPr>
                <w:rFonts w:asciiTheme="majorBidi" w:hAnsiTheme="majorBidi"/>
                <w:noProof/>
                <w:sz w:val="18"/>
                <w:szCs w:val="18"/>
              </w:rPr>
              <w:t>Cachet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À …………., le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(Signature)</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12.</w:t>
            </w:r>
            <w:r>
              <w:rPr>
                <w:noProof/>
              </w:rPr>
              <w:tab/>
            </w:r>
            <w:r>
              <w:rPr>
                <w:rFonts w:asciiTheme="majorBidi" w:hAnsiTheme="majorBidi"/>
                <w:b/>
                <w:noProof/>
                <w:sz w:val="18"/>
                <w:szCs w:val="18"/>
              </w:rPr>
              <w:t>DÉCLARATION DE L’EXPORTATEUR</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Je soussigné, déclare que les marchandises désignées ci-dessus remplissent les conditions requises pour l’obtention du présent certificat.</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À ………………………….., le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jc w:val="center"/>
              <w:rPr>
                <w:rFonts w:asciiTheme="majorBidi" w:eastAsia="Times New Roman" w:hAnsiTheme="majorBidi" w:cstheme="majorBidi"/>
                <w:b/>
                <w:noProof/>
                <w:sz w:val="18"/>
                <w:szCs w:val="18"/>
              </w:rPr>
            </w:pPr>
            <w:r>
              <w:rPr>
                <w:rFonts w:asciiTheme="majorBidi" w:hAnsiTheme="majorBidi"/>
                <w:noProof/>
                <w:sz w:val="18"/>
                <w:szCs w:val="18"/>
              </w:rPr>
              <w:t>(Signature)</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noProof/>
              </w:rPr>
              <w:tab/>
            </w:r>
            <w:r>
              <w:rPr>
                <w:rFonts w:asciiTheme="majorBidi" w:hAnsiTheme="majorBidi"/>
                <w:b/>
                <w:noProof/>
                <w:sz w:val="18"/>
              </w:rPr>
              <w:t>DEMANDE DE CONTRÔLE, à envoyer à</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noProof/>
              </w:rPr>
              <w:tab/>
            </w:r>
            <w:r>
              <w:rPr>
                <w:rFonts w:asciiTheme="majorBidi" w:hAnsiTheme="majorBidi"/>
                <w:b/>
                <w:noProof/>
                <w:sz w:val="18"/>
              </w:rPr>
              <w:t>RÉSULTAT DU CONTRÔLE</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Le contrôle effectué a permis de constater que le présent certificat</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a bien été délivré par le bureau de douane indiqué et que les mentions qu’il contient sont exactes.</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noProof/>
                <w:szCs w:val="18"/>
              </w:rPr>
              <w:t xml:space="preserve"> </w:t>
            </w:r>
            <w:r>
              <w:rPr>
                <w:rFonts w:asciiTheme="majorBidi" w:hAnsiTheme="majorBidi"/>
                <w:noProof/>
                <w:sz w:val="18"/>
              </w:rPr>
              <w:t>ne répond pas aux conditions d’authenticité et de régularité requises (voir les remarques ci-annexées).</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cstheme="minorBidi"/>
                <w:noProof/>
                <w:sz w:val="18"/>
              </w:rPr>
            </w:pPr>
            <w:r>
              <w:rPr>
                <w:rFonts w:asciiTheme="majorBidi" w:hAnsiTheme="majorBidi"/>
                <w:noProof/>
                <w:sz w:val="18"/>
              </w:rPr>
              <w:t>Le contrôle de l’authenticité et de la régularité du présent certificat est sollicité.</w:t>
            </w:r>
            <w:r>
              <w:rPr>
                <w:noProof/>
              </w:rPr>
              <w:t xml:space="preserve"> </w:t>
            </w:r>
            <w:r>
              <w:rPr>
                <w:noProof/>
              </w:rPr>
              <w:br/>
              <w:t xml:space="preserve"> </w:t>
            </w:r>
            <w:r>
              <w:rPr>
                <w:noProof/>
              </w:rPr>
              <w:br/>
              <w:t xml:space="preserve"> </w:t>
            </w:r>
            <w:r>
              <w:rPr>
                <w:noProof/>
              </w:rPr>
              <w:br/>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(Lieu et date)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noProof/>
              </w:rPr>
              <w:tab/>
            </w:r>
            <w:r>
              <w:rPr>
                <w:rFonts w:asciiTheme="majorBidi" w:hAnsiTheme="majorBidi"/>
                <w:noProof/>
                <w:sz w:val="18"/>
              </w:rPr>
              <w:t>Cachet</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(Signature)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noProof/>
              </w:rPr>
              <w:br/>
              <w:t xml:space="preserve"> </w:t>
            </w:r>
            <w:r>
              <w:rPr>
                <w:noProof/>
              </w:rPr>
              <w:br/>
              <w:t xml:space="preserve"> </w:t>
            </w:r>
            <w:r>
              <w:rPr>
                <w:noProof/>
              </w:rPr>
              <w:br/>
              <w:t xml:space="preserve"> </w:t>
            </w:r>
            <w:r>
              <w:rPr>
                <w:noProof/>
              </w:rPr>
              <w:br/>
              <w:t xml:space="preserve"> </w:t>
            </w:r>
            <w:r>
              <w:rPr>
                <w:noProof/>
              </w:rPr>
              <w:br/>
            </w: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À ………………………….., le ……………………</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noProof/>
              </w:rPr>
              <w:tab/>
            </w:r>
            <w:r>
              <w:rPr>
                <w:rFonts w:asciiTheme="majorBidi" w:hAnsiTheme="majorBidi"/>
                <w:noProof/>
                <w:sz w:val="18"/>
              </w:rPr>
              <w:t>Cachet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(Signature)</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noProof/>
              </w:rPr>
              <w:tab/>
            </w:r>
            <w:r>
              <w:rPr>
                <w:rFonts w:asciiTheme="majorBidi" w:hAnsiTheme="majorBidi"/>
                <w:noProof/>
                <w:sz w:val="18"/>
              </w:rPr>
              <w:t>Marquer d’un X la mention applicable.</w:t>
            </w:r>
          </w:p>
        </w:tc>
      </w:tr>
    </w:tbl>
    <w:p>
      <w:pPr>
        <w:pStyle w:val="Point1"/>
        <w:rPr>
          <w:noProof/>
          <w:sz w:val="20"/>
          <w:szCs w:val="20"/>
        </w:rPr>
      </w:pPr>
      <w:r>
        <w:rPr>
          <w:b/>
          <w:bCs/>
          <w:noProof/>
          <w:sz w:val="20"/>
          <w:szCs w:val="20"/>
          <w:vertAlign w:val="superscript"/>
        </w:rPr>
        <w:t>(2)</w:t>
      </w:r>
      <w:r>
        <w:rPr>
          <w:noProof/>
        </w:rPr>
        <w:t xml:space="preserve"> </w:t>
      </w:r>
      <w:r>
        <w:rPr>
          <w:noProof/>
          <w:sz w:val="20"/>
          <w:szCs w:val="20"/>
        </w:rPr>
        <w:t>À remplir seulement lorsque les règles nationales du pays ou territoire d’exportation l’exigent.</w:t>
      </w:r>
    </w:p>
    <w:p>
      <w:pPr>
        <w:pStyle w:val="Text1"/>
        <w:rPr>
          <w:noProof/>
        </w:rPr>
      </w:pPr>
      <w:r>
        <w:rPr>
          <w:noProof/>
        </w:rPr>
        <w:br w:type="page"/>
        <w:t>NOTES</w:t>
      </w:r>
    </w:p>
    <w:p>
      <w:pPr>
        <w:pStyle w:val="Point1"/>
        <w:rPr>
          <w:noProof/>
        </w:rPr>
      </w:pPr>
      <w:r>
        <w:rPr>
          <w:noProof/>
        </w:rPr>
        <w:t>1.</w:t>
      </w:r>
      <w:r>
        <w:rPr>
          <w:noProof/>
        </w:rPr>
        <w:tab/>
        <w:t>Le certificat ne doit comporter ni grattages ni surcharges. Les modifications éventuelles qui y sont apportées doivent être effectuées en biffant les indications erronées et en ajoutant, le cas échéant, les indications voulues. Toute modification ainsi opérée doit être approuvée par celui qui a établi le certificat et visée par les autorités douanières du pays ou territoire de délivrance.</w:t>
      </w:r>
    </w:p>
    <w:p>
      <w:pPr>
        <w:pStyle w:val="Point1"/>
        <w:rPr>
          <w:noProof/>
        </w:rPr>
      </w:pPr>
      <w:r>
        <w:rPr>
          <w:noProof/>
        </w:rPr>
        <w:t>2.</w:t>
      </w:r>
      <w:r>
        <w:rPr>
          <w:noProof/>
        </w:rPr>
        <w:tab/>
        <w:t>Les articles indiqués sur le certificat doivent se suivre sans interligne, et chaque article doit être précédé d’un numéro d’ordre. Une ligne horizontale doit être tracée immédiatement au-dessous du dernier article. Les espaces non utilisés doivent être bâtonnés de façon à rendre impossible toute adjonction ultérieure.</w:t>
      </w:r>
    </w:p>
    <w:p>
      <w:pPr>
        <w:pStyle w:val="Point1"/>
        <w:rPr>
          <w:noProof/>
        </w:rPr>
      </w:pPr>
      <w:r>
        <w:rPr>
          <w:noProof/>
        </w:rPr>
        <w:t>3.</w:t>
      </w:r>
      <w:r>
        <w:rPr>
          <w:noProof/>
        </w:rPr>
        <w:tab/>
        <w:t>Les marchandises sont désignées selon les usages commerciaux, avec les précisions suffisantes pour en permettre l’identification.</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DEMANDE DE CERTIFICAT DE CIRCULATION DES MARCHANDISES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noProof/>
              </w:rPr>
              <w:tab/>
            </w:r>
            <w:r>
              <w:rPr>
                <w:b/>
                <w:noProof/>
                <w:sz w:val="18"/>
              </w:rPr>
              <w:t>Exportateur</w:t>
            </w:r>
            <w:r>
              <w:rPr>
                <w:noProof/>
                <w:sz w:val="18"/>
              </w:rPr>
              <w:t xml:space="preserve"> (nom, adresse complète, pays)</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noProof/>
              </w:rPr>
              <w:tab/>
            </w:r>
            <w:r>
              <w:rPr>
                <w:b/>
                <w:noProof/>
              </w:rPr>
              <w:t>Nº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Consulter les notes au verso avant de remplir le formulaire</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noProof/>
              </w:rPr>
              <w:tab/>
            </w:r>
            <w:r>
              <w:rPr>
                <w:b/>
                <w:noProof/>
                <w:sz w:val="18"/>
              </w:rPr>
              <w:t>Demande de certificat à utiliser dans les échanges préférentiels entre</w:t>
            </w:r>
          </w:p>
          <w:p>
            <w:pPr>
              <w:tabs>
                <w:tab w:val="left" w:pos="359"/>
                <w:tab w:val="right" w:leader="dot" w:pos="4522"/>
              </w:tabs>
              <w:spacing w:before="0" w:after="0"/>
              <w:ind w:left="340" w:hanging="340"/>
              <w:rPr>
                <w:noProof/>
                <w:sz w:val="18"/>
              </w:rPr>
            </w:pPr>
            <w:r>
              <w:rPr>
                <w:noProof/>
              </w:rPr>
              <w:tab/>
            </w:r>
            <w:r>
              <w:rPr>
                <w:noProof/>
                <w:sz w:val="18"/>
              </w:rPr>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noProof/>
              </w:rPr>
              <w:tab/>
            </w:r>
            <w:r>
              <w:rPr>
                <w:b/>
                <w:noProof/>
                <w:sz w:val="18"/>
              </w:rPr>
              <w:t>Destinataire</w:t>
            </w:r>
            <w:r>
              <w:rPr>
                <w:noProof/>
                <w:sz w:val="18"/>
              </w:rPr>
              <w:t xml:space="preserve"> (Nom, </w:t>
            </w:r>
            <w:r>
              <w:rPr>
                <w:noProof/>
                <w:sz w:val="18"/>
                <w:szCs w:val="18"/>
              </w:rPr>
              <w:t>adresse</w:t>
            </w:r>
            <w:r>
              <w:rPr>
                <w:noProof/>
                <w:sz w:val="18"/>
              </w:rPr>
              <w:t xml:space="preserve"> complète, pays) (mention facultative)</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rPr>
              <w:tab/>
            </w:r>
            <w:r>
              <w:rPr>
                <w:b/>
                <w:noProof/>
                <w:sz w:val="18"/>
              </w:rPr>
              <w:t>et</w:t>
            </w:r>
          </w:p>
          <w:p>
            <w:pPr>
              <w:tabs>
                <w:tab w:val="left" w:pos="359"/>
                <w:tab w:val="right" w:leader="dot" w:pos="4522"/>
              </w:tabs>
              <w:spacing w:before="0" w:after="0"/>
              <w:ind w:left="340" w:hanging="340"/>
              <w:rPr>
                <w:noProof/>
                <w:sz w:val="18"/>
              </w:rPr>
            </w:pPr>
            <w:r>
              <w:rPr>
                <w:noProof/>
              </w:rPr>
              <w:tab/>
            </w: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(indiquer les pays, groupes de pays ou territoires concernés)</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noProof/>
              </w:rPr>
              <w:tab/>
            </w:r>
            <w:r>
              <w:rPr>
                <w:b/>
                <w:noProof/>
                <w:sz w:val="18"/>
              </w:rPr>
              <w:t>Pays, groupe de pays ou territoire dont les produits sont considérés comme originaires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noProof/>
              </w:rPr>
              <w:tab/>
            </w:r>
            <w:r>
              <w:rPr>
                <w:b/>
                <w:noProof/>
                <w:sz w:val="18"/>
              </w:rPr>
              <w:t>Pays, groupe de pays ou territoire de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noProof/>
              </w:rPr>
              <w:tab/>
            </w:r>
            <w:r>
              <w:rPr>
                <w:b/>
                <w:noProof/>
                <w:sz w:val="18"/>
              </w:rPr>
              <w:t>Informations relatives au transport</w:t>
            </w:r>
            <w:r>
              <w:rPr>
                <w:noProof/>
                <w:sz w:val="18"/>
              </w:rPr>
              <w:t xml:space="preserve"> (mention facultative)</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noProof/>
              </w:rPr>
              <w:tab/>
            </w:r>
            <w:r>
              <w:rPr>
                <w:b/>
                <w:noProof/>
                <w:sz w:val="18"/>
              </w:rPr>
              <w:t>Observations</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noProof/>
              </w:rPr>
              <w:tab/>
            </w:r>
            <w:r>
              <w:rPr>
                <w:b/>
                <w:noProof/>
                <w:sz w:val="18"/>
              </w:rPr>
              <w:t xml:space="preserve">Numéro d’ordre; marques, numéros; nombre et nature du colis </w:t>
            </w:r>
            <w:r>
              <w:rPr>
                <w:b/>
                <w:noProof/>
                <w:sz w:val="18"/>
                <w:szCs w:val="18"/>
                <w:vertAlign w:val="superscript"/>
              </w:rPr>
              <w:t>(1)</w:t>
            </w:r>
            <w:r>
              <w:rPr>
                <w:b/>
                <w:noProof/>
                <w:sz w:val="18"/>
              </w:rPr>
              <w:t>; désignation des marchandises</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noProof/>
              </w:rPr>
              <w:tab/>
            </w:r>
            <w:r>
              <w:rPr>
                <w:b/>
                <w:noProof/>
                <w:sz w:val="18"/>
              </w:rPr>
              <w:t>Masse brute (kg) ou autre mesure (l, m</w:t>
            </w:r>
            <w:r>
              <w:rPr>
                <w:b/>
                <w:noProof/>
                <w:sz w:val="18"/>
                <w:vertAlign w:val="superscript"/>
              </w:rPr>
              <w:t>3</w:t>
            </w:r>
            <w:r>
              <w:rPr>
                <w:b/>
                <w:noProof/>
                <w:sz w:val="18"/>
                <w:szCs w:val="18"/>
              </w:rPr>
              <w:t>,</w:t>
            </w:r>
            <w:r>
              <w:rPr>
                <w:b/>
                <w:noProof/>
                <w:sz w:val="18"/>
              </w:rPr>
              <w:t xml:space="preserve"> etc.)</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noProof/>
              </w:rPr>
              <w:tab/>
            </w:r>
            <w:r>
              <w:rPr>
                <w:b/>
                <w:noProof/>
              </w:rPr>
              <w:t>Factures</w:t>
            </w:r>
            <w:r>
              <w:rPr>
                <w:noProof/>
              </w:rPr>
              <w:t xml:space="preserve"> </w:t>
            </w:r>
            <w:r>
              <w:rPr>
                <w:noProof/>
              </w:rPr>
              <w:br/>
              <w:t>(mention facultative)</w:t>
            </w:r>
          </w:p>
        </w:tc>
      </w:tr>
    </w:tbl>
    <w:p>
      <w:pPr>
        <w:pStyle w:val="Text1"/>
        <w:tabs>
          <w:tab w:val="left" w:pos="1418"/>
        </w:tabs>
        <w:spacing w:before="60" w:after="60"/>
        <w:ind w:left="851"/>
        <w:rPr>
          <w:noProof/>
          <w:sz w:val="18"/>
        </w:rPr>
      </w:pPr>
      <w:r>
        <w:rPr>
          <w:b/>
          <w:noProof/>
          <w:sz w:val="18"/>
          <w:vertAlign w:val="superscript"/>
        </w:rPr>
        <w:t>(1)</w:t>
      </w:r>
      <w:r>
        <w:rPr>
          <w:noProof/>
        </w:rPr>
        <w:tab/>
      </w:r>
      <w:r>
        <w:rPr>
          <w:noProof/>
          <w:sz w:val="18"/>
        </w:rPr>
        <w:t>Pour les marchandises non emballées, indiquer le nombre d’articles ou mentionner “en vrac”</w:t>
      </w:r>
      <w:r>
        <w:rPr>
          <w:noProof/>
        </w:rPr>
        <w:t>.</w:t>
      </w:r>
    </w:p>
    <w:p>
      <w:pPr>
        <w:pStyle w:val="Text1"/>
        <w:rPr>
          <w:noProof/>
        </w:rPr>
      </w:pPr>
      <w:r>
        <w:rPr>
          <w:noProof/>
        </w:rPr>
        <w:br w:type="page"/>
        <w:t>DÉCLARATION DE L’EXPORTATEUR</w:t>
      </w:r>
    </w:p>
    <w:p>
      <w:pPr>
        <w:pStyle w:val="Text1"/>
        <w:rPr>
          <w:noProof/>
        </w:rPr>
      </w:pPr>
      <w:r>
        <w:rPr>
          <w:noProof/>
        </w:rPr>
        <w:t>Je soussigné, exportateur des marchandises désignées au recto,</w:t>
      </w:r>
    </w:p>
    <w:p>
      <w:pPr>
        <w:pStyle w:val="Text1"/>
        <w:rPr>
          <w:noProof/>
        </w:rPr>
      </w:pPr>
      <w:r>
        <w:rPr>
          <w:noProof/>
        </w:rPr>
        <w:t>DÉCLARE que ces marchandises remplissent les conditions requises pour l’obtention du certificat ci-annexé;</w:t>
      </w:r>
    </w:p>
    <w:p>
      <w:pPr>
        <w:pStyle w:val="Text1"/>
        <w:rPr>
          <w:noProof/>
        </w:rPr>
      </w:pPr>
      <w:r>
        <w:rPr>
          <w:noProof/>
        </w:rPr>
        <w:t>PRÉCISE les circonstances qui ont permis à ces marchandises de remplir ces conditions:</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PRÉSENTE les pièces justificatives suivantes</w:t>
      </w:r>
      <w:r>
        <w:rPr>
          <w:rStyle w:val="FootnoteReference"/>
          <w:noProof/>
        </w:rPr>
        <w:footnoteReference w:id="7"/>
      </w:r>
      <w:r>
        <w:rPr>
          <w:noProof/>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M’ENGAGE à présenter, à la demande des autorités compétentes, toutes justifications supplémentaires que celles-ci jugeraient nécessaires en vue de la délivrance du certificat ci-annexé, ainsi qu’à accepter, le cas échéant, tout contrôle par lesdites autorités de ma comptabilité et des circonstances de la fabrication des marchandises susvisées;</w:t>
      </w:r>
    </w:p>
    <w:p>
      <w:pPr>
        <w:pStyle w:val="Text1"/>
        <w:rPr>
          <w:noProof/>
        </w:rPr>
      </w:pPr>
      <w:r>
        <w:rPr>
          <w:noProof/>
        </w:rPr>
        <w:t>DEMANDE la délivrance du certificat ci-annexé pour ces marchandises.</w:t>
      </w:r>
    </w:p>
    <w:p>
      <w:pPr>
        <w:pStyle w:val="Text1"/>
        <w:tabs>
          <w:tab w:val="left" w:leader="dot" w:pos="9639"/>
        </w:tabs>
        <w:ind w:left="851"/>
        <w:jc w:val="right"/>
        <w:rPr>
          <w:noProof/>
        </w:rPr>
      </w:pPr>
      <w:r>
        <w:rPr>
          <w:noProof/>
        </w:rPr>
        <w:tab/>
        <w:t xml:space="preserve"> </w:t>
      </w:r>
      <w:r>
        <w:rPr>
          <w:noProof/>
        </w:rPr>
        <w:br/>
        <w:t>(Lieu et date)</w:t>
      </w:r>
    </w:p>
    <w:p>
      <w:pPr>
        <w:pStyle w:val="Text1"/>
        <w:tabs>
          <w:tab w:val="left" w:leader="dot" w:pos="9639"/>
        </w:tabs>
        <w:ind w:left="851"/>
        <w:jc w:val="right"/>
        <w:rPr>
          <w:noProof/>
        </w:rPr>
      </w:pPr>
      <w:r>
        <w:rPr>
          <w:noProof/>
        </w:rPr>
        <w:tab/>
        <w:t xml:space="preserve"> </w:t>
      </w:r>
      <w:r>
        <w:rPr>
          <w:noProof/>
        </w:rPr>
        <w:br/>
        <w:t>(Signature)</w:t>
      </w:r>
    </w:p>
    <w:p>
      <w:pPr>
        <w:pStyle w:val="Text1"/>
        <w:jc w:val="center"/>
        <w:rPr>
          <w:i/>
          <w:noProof/>
        </w:rPr>
      </w:pPr>
      <w:r>
        <w:rPr>
          <w:noProof/>
        </w:rPr>
        <w:br w:type="page"/>
      </w:r>
      <w:r>
        <w:rPr>
          <w:i/>
          <w:noProof/>
        </w:rPr>
        <w:t>ANNEXE V</w:t>
      </w:r>
    </w:p>
    <w:p>
      <w:pPr>
        <w:pStyle w:val="Text1"/>
        <w:jc w:val="center"/>
        <w:rPr>
          <w:b/>
          <w:noProof/>
        </w:rPr>
      </w:pPr>
      <w:r>
        <w:rPr>
          <w:b/>
          <w:noProof/>
        </w:rPr>
        <w:t>CONDITIONS PARTICULIÈRES RELATIVES AUX PRODUITS ORIGINAIRES DE CEUTA ET MELILLA</w:t>
      </w:r>
    </w:p>
    <w:p>
      <w:pPr>
        <w:pStyle w:val="Text1"/>
        <w:jc w:val="center"/>
        <w:rPr>
          <w:i/>
          <w:noProof/>
        </w:rPr>
      </w:pPr>
      <w:r>
        <w:rPr>
          <w:i/>
          <w:noProof/>
        </w:rPr>
        <w:t>Article unique</w:t>
      </w:r>
    </w:p>
    <w:p>
      <w:pPr>
        <w:pStyle w:val="Point1"/>
        <w:rPr>
          <w:noProof/>
        </w:rPr>
      </w:pPr>
      <w:r>
        <w:rPr>
          <w:noProof/>
        </w:rPr>
        <w:t>1.</w:t>
      </w:r>
      <w:r>
        <w:rPr>
          <w:noProof/>
        </w:rPr>
        <w:tab/>
        <w:t>Sous réserve qu’ils respectent le principe de non-modification énoncé à l’article 14 de l’appendice A, sont considérés comme:</w:t>
      </w:r>
    </w:p>
    <w:p>
      <w:pPr>
        <w:pStyle w:val="Point2"/>
        <w:rPr>
          <w:noProof/>
        </w:rPr>
      </w:pPr>
      <w:r>
        <w:rPr>
          <w:noProof/>
        </w:rPr>
        <w:t>1)</w:t>
      </w:r>
      <w:r>
        <w:rPr>
          <w:noProof/>
        </w:rPr>
        <w:tab/>
        <w:t>produits originaires de Ceuta et Melilla:</w:t>
      </w:r>
    </w:p>
    <w:p>
      <w:pPr>
        <w:pStyle w:val="Point3"/>
        <w:rPr>
          <w:noProof/>
        </w:rPr>
      </w:pPr>
      <w:r>
        <w:rPr>
          <w:noProof/>
        </w:rPr>
        <w:t>a)</w:t>
      </w:r>
      <w:r>
        <w:rPr>
          <w:noProof/>
        </w:rPr>
        <w:tab/>
        <w:t>les produits entièrement obtenus à Ceuta et Melilla;</w:t>
      </w:r>
    </w:p>
    <w:p>
      <w:pPr>
        <w:pStyle w:val="Point3"/>
        <w:rPr>
          <w:noProof/>
        </w:rPr>
      </w:pPr>
      <w:r>
        <w:rPr>
          <w:noProof/>
        </w:rPr>
        <w:t>b)</w:t>
      </w:r>
      <w:r>
        <w:rPr>
          <w:noProof/>
        </w:rPr>
        <w:tab/>
        <w:t>les produits obtenus à Ceuta et Melilla dans la fabrication desquels sont entrés des produits autres que les produits entièrement obtenus à Ceuta et Melilla, à condition que:</w:t>
      </w:r>
    </w:p>
    <w:p>
      <w:pPr>
        <w:pStyle w:val="Point4"/>
        <w:rPr>
          <w:noProof/>
        </w:rPr>
      </w:pPr>
      <w:r>
        <w:rPr>
          <w:noProof/>
        </w:rPr>
        <w:t>i)</w:t>
      </w:r>
      <w:r>
        <w:rPr>
          <w:noProof/>
        </w:rPr>
        <w:tab/>
        <w:t>ces produits aient fait l’objet d’ouvraisons ou de transformations suffisantes au sens de l’article 4 de l’appendice A; ou</w:t>
      </w:r>
    </w:p>
    <w:p>
      <w:pPr>
        <w:pStyle w:val="Point4"/>
        <w:rPr>
          <w:noProof/>
        </w:rPr>
      </w:pPr>
      <w:r>
        <w:rPr>
          <w:noProof/>
        </w:rPr>
        <w:t>ii)</w:t>
      </w:r>
      <w:r>
        <w:rPr>
          <w:noProof/>
        </w:rPr>
        <w:tab/>
        <w:t>ces produits soient originaires de Macédoine du Nord ou de l’Union européenne, pour autant qu’ils aient été soumis à des ouvraisons ou transformations allant au-delà des opérations visées à l’article 6 du présent appendice;</w:t>
      </w:r>
    </w:p>
    <w:p>
      <w:pPr>
        <w:pStyle w:val="Point2"/>
        <w:rPr>
          <w:noProof/>
        </w:rPr>
      </w:pPr>
      <w:r>
        <w:rPr>
          <w:noProof/>
        </w:rPr>
        <w:t>2)</w:t>
      </w:r>
      <w:r>
        <w:rPr>
          <w:noProof/>
        </w:rPr>
        <w:tab/>
        <w:t>produits originaires de Macédoine du Nord:</w:t>
      </w:r>
    </w:p>
    <w:p>
      <w:pPr>
        <w:pStyle w:val="Point3"/>
        <w:rPr>
          <w:noProof/>
        </w:rPr>
      </w:pPr>
      <w:r>
        <w:rPr>
          <w:noProof/>
        </w:rPr>
        <w:t>a)</w:t>
      </w:r>
      <w:r>
        <w:rPr>
          <w:noProof/>
        </w:rPr>
        <w:tab/>
        <w:t>les produits entièrement obtenus en Macédoine du Nord;</w:t>
      </w:r>
    </w:p>
    <w:p>
      <w:pPr>
        <w:pStyle w:val="Point3"/>
        <w:rPr>
          <w:noProof/>
        </w:rPr>
      </w:pPr>
      <w:r>
        <w:rPr>
          <w:noProof/>
        </w:rPr>
        <w:t>b)</w:t>
      </w:r>
      <w:r>
        <w:rPr>
          <w:noProof/>
        </w:rPr>
        <w:tab/>
        <w:t>les produits obtenus en Macédoine du Nord dans la fabrication desquels sont entrés des produits autres que des produits entièrement obtenus, à condition que:</w:t>
      </w:r>
    </w:p>
    <w:p>
      <w:pPr>
        <w:pStyle w:val="Point4"/>
        <w:rPr>
          <w:noProof/>
        </w:rPr>
      </w:pPr>
      <w:r>
        <w:rPr>
          <w:noProof/>
        </w:rPr>
        <w:t>i)</w:t>
      </w:r>
      <w:r>
        <w:rPr>
          <w:noProof/>
        </w:rPr>
        <w:tab/>
        <w:t>ces produits aient fait l’objet d’ouvraisons ou de transformations suffisantes au sens de l’article 4 de l’appendice A; ou</w:t>
      </w:r>
    </w:p>
    <w:p>
      <w:pPr>
        <w:pStyle w:val="Point4"/>
        <w:rPr>
          <w:noProof/>
        </w:rPr>
      </w:pPr>
      <w:r>
        <w:rPr>
          <w:noProof/>
        </w:rPr>
        <w:t>ii)</w:t>
      </w:r>
      <w:r>
        <w:rPr>
          <w:noProof/>
        </w:rPr>
        <w:tab/>
        <w:t>ces produits soient originaires de Ceuta et Melilla ou de l’Union européenne, pour autant qu’ils aient été soumis à des ouvraisons ou transformations allant au-delà des opérations visées à l’article 6 de l’appendice A.</w:t>
      </w:r>
    </w:p>
    <w:p>
      <w:pPr>
        <w:pStyle w:val="Point1"/>
        <w:rPr>
          <w:noProof/>
        </w:rPr>
      </w:pPr>
      <w:r>
        <w:rPr>
          <w:noProof/>
        </w:rPr>
        <w:t>2.</w:t>
      </w:r>
      <w:r>
        <w:rPr>
          <w:noProof/>
        </w:rPr>
        <w:tab/>
        <w:t>Ceuta et Melilla sont considérés comme un seul territoire.</w:t>
      </w:r>
    </w:p>
    <w:p>
      <w:pPr>
        <w:pStyle w:val="Point1"/>
        <w:rPr>
          <w:noProof/>
        </w:rPr>
      </w:pPr>
      <w:r>
        <w:rPr>
          <w:noProof/>
        </w:rPr>
        <w:t>3.</w:t>
      </w:r>
      <w:r>
        <w:rPr>
          <w:noProof/>
        </w:rPr>
        <w:tab/>
        <w:t>L’exportateur ou son représentant habilité est tenu d’indiquer le nom de la partie exportatrice et la mention “Ceuta et Melilla” dans la case 2 du certificat de circulation des marchandises EUR.1 ou dans la déclaration d’origine. De plus, dans le cas de produits originaires de Ceuta et Melilla, le caractère originaire doit être indiqué dans la case 4 du certificat de circulation des marchandises EUR.1 ou dans la déclaration d’origine.</w:t>
      </w:r>
    </w:p>
    <w:p>
      <w:pPr>
        <w:pStyle w:val="Point1"/>
        <w:rPr>
          <w:noProof/>
        </w:rPr>
      </w:pPr>
      <w:r>
        <w:rPr>
          <w:noProof/>
        </w:rPr>
        <w:t>4.</w:t>
      </w:r>
      <w:r>
        <w:rPr>
          <w:noProof/>
        </w:rPr>
        <w:tab/>
        <w:t>Les autorités douanières espagnoles sont chargées d’assurer à Ceuta et Melilla l’application des présentes règles.</w:t>
      </w:r>
    </w:p>
    <w:p>
      <w:pPr>
        <w:pStyle w:val="Point1"/>
        <w:ind w:left="0" w:firstLine="0"/>
        <w:rPr>
          <w:noProof/>
        </w:rPr>
      </w:pPr>
    </w:p>
    <w:p>
      <w:pPr>
        <w:pStyle w:val="Point1"/>
        <w:rPr>
          <w:noProof/>
        </w:rPr>
      </w:pPr>
    </w:p>
    <w:p>
      <w:pPr>
        <w:pStyle w:val="Point1"/>
        <w:rPr>
          <w:noProof/>
        </w:rPr>
      </w:pPr>
    </w:p>
    <w:p>
      <w:pPr>
        <w:pStyle w:val="Point1"/>
        <w:rPr>
          <w:noProof/>
        </w:rPr>
      </w:pPr>
    </w:p>
    <w:p>
      <w:pPr>
        <w:pStyle w:val="Point1"/>
        <w:jc w:val="center"/>
        <w:rPr>
          <w:i/>
          <w:noProof/>
        </w:rPr>
      </w:pPr>
      <w:r>
        <w:rPr>
          <w:i/>
          <w:noProof/>
        </w:rPr>
        <w:t>ANNEXE VI</w:t>
      </w:r>
    </w:p>
    <w:p>
      <w:pPr>
        <w:pStyle w:val="Text1"/>
        <w:jc w:val="center"/>
        <w:rPr>
          <w:b/>
          <w:noProof/>
        </w:rPr>
      </w:pPr>
      <w:r>
        <w:rPr>
          <w:b/>
          <w:noProof/>
        </w:rPr>
        <w:t>DÉCLARATION DU FOURNISSEUR</w:t>
      </w:r>
    </w:p>
    <w:p>
      <w:pPr>
        <w:pStyle w:val="Text1"/>
        <w:rPr>
          <w:noProof/>
        </w:rPr>
      </w:pPr>
      <w:r>
        <w:rPr>
          <w:noProof/>
        </w:rPr>
        <w:t>La déclaration du fournisseur, dont le texte figure ci-après, doit être établie conformément aux notes figurant en bas de page. Il n’est toutefois pas nécessaire de reproduire ces notes.</w:t>
      </w:r>
    </w:p>
    <w:p>
      <w:pPr>
        <w:pStyle w:val="Text1"/>
        <w:jc w:val="left"/>
        <w:rPr>
          <w:noProof/>
        </w:rPr>
      </w:pPr>
      <w:r>
        <w:rPr>
          <w:noProof/>
        </w:rPr>
        <w:t xml:space="preserve">DÉCLARATION DU FOURNISSEUR </w:t>
      </w:r>
      <w:r>
        <w:rPr>
          <w:noProof/>
        </w:rPr>
        <w:br/>
        <w:t>relative à des marchandises ayant subi une ouvraison ou une transformation dans des parties contractantes appliquant les règles sans acquérir le caractère originaire à titre préférentiel</w:t>
      </w:r>
    </w:p>
    <w:p>
      <w:pPr>
        <w:pStyle w:val="Text1"/>
        <w:rPr>
          <w:noProof/>
        </w:rPr>
      </w:pPr>
      <w:r>
        <w:rPr>
          <w:noProof/>
        </w:rPr>
        <w:t>Je soussigné, fournisseur des marchandises énumérées dans le document annexé, déclare que:</w:t>
      </w:r>
    </w:p>
    <w:p>
      <w:pPr>
        <w:pStyle w:val="Point1"/>
        <w:rPr>
          <w:noProof/>
        </w:rPr>
      </w:pPr>
      <w:r>
        <w:rPr>
          <w:noProof/>
        </w:rPr>
        <w:t>1.</w:t>
      </w:r>
      <w:r>
        <w:rPr>
          <w:noProof/>
        </w:rPr>
        <w:tab/>
        <w:t>Les matières suivantes qui ne sont pas originaires de [indiquer le nom des parties contractantes appliquant les règles concernées] ont été utilisées pour [indiquer le nom des parties contractantes appliquant les règles concernées] pour produire ces marchandises: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Désignation des marchandises fournies</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Description des matières non originaires utilisées</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Position SH des matières non originaires utilisées</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Valeur des matières non originaires utilisées</w:t>
            </w:r>
            <w:r>
              <w:rPr>
                <w:b/>
                <w:noProof/>
                <w:vertAlign w:val="superscript"/>
              </w:rPr>
              <w:t>(2) (3)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Valeur totale</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Toutes les autres matières utilisées dans [indiquer le nom des parties contractantes appliquant les règles concernées] pour produire ces marchandises sont originaires de [indiquer le nom des parties contractantes appliquant les règles concernées];</w:t>
      </w:r>
    </w:p>
    <w:p>
      <w:pPr>
        <w:pStyle w:val="Point1"/>
        <w:rPr>
          <w:noProof/>
        </w:rPr>
      </w:pPr>
      <w:r>
        <w:rPr>
          <w:noProof/>
        </w:rPr>
        <w:t>3.</w:t>
      </w:r>
      <w:r>
        <w:rPr>
          <w:noProof/>
        </w:rPr>
        <w:tab/>
        <w:t>Les marchandises mentionnées ci-après ont subi une ouvraison ou une transformation hors de [indiquer le nom des parties contractantes appliquant les règles concernées] conformément à l’article 13 de l’appendice A et y ont acquis la valeur ajoutée totale précisée ci-dessous: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Désignation des marchandises fournies</w:t>
            </w:r>
          </w:p>
        </w:tc>
        <w:tc>
          <w:tcPr>
            <w:tcW w:w="3003" w:type="pct"/>
            <w:vAlign w:val="center"/>
          </w:tcPr>
          <w:p>
            <w:pPr>
              <w:autoSpaceDE w:val="0"/>
              <w:autoSpaceDN w:val="0"/>
              <w:spacing w:before="60" w:after="60"/>
              <w:jc w:val="center"/>
              <w:rPr>
                <w:rFonts w:cstheme="minorBidi"/>
                <w:noProof/>
              </w:rPr>
            </w:pPr>
            <w:r>
              <w:rPr>
                <w:noProof/>
              </w:rPr>
              <w:t xml:space="preserve">Valeur ajoutée totale acquise hors de </w:t>
            </w:r>
            <w:r>
              <w:rPr>
                <w:noProof/>
              </w:rPr>
              <w:br/>
              <w:t>[indiquer le nom des parties contractantes appliquant les règles concernées]</w:t>
            </w:r>
            <w:r>
              <w:rPr>
                <w:b/>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À ………………………….., le ……………………</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rPr>
            </w:pPr>
            <w:r>
              <w:rPr>
                <w:noProof/>
              </w:rPr>
              <w:t xml:space="preserve">(Adresse et signature du fournisseur, </w:t>
            </w:r>
            <w:r>
              <w:rPr>
                <w:noProof/>
              </w:rPr>
              <w:br/>
              <w:t>et indication, en toutes lettres, du nom de la personne qui signe la déclaration)</w:t>
            </w:r>
          </w:p>
        </w:tc>
      </w:tr>
    </w:tbl>
    <w:p>
      <w:pPr>
        <w:pStyle w:val="Text1"/>
        <w:rPr>
          <w:noProof/>
        </w:rPr>
      </w:pPr>
      <w:r>
        <w:rPr>
          <w:noProof/>
        </w:rPr>
        <w:t>________________</w:t>
      </w:r>
    </w:p>
    <w:p>
      <w:pPr>
        <w:pStyle w:val="Point1"/>
        <w:spacing w:before="60" w:after="60"/>
        <w:ind w:left="1418"/>
        <w:rPr>
          <w:noProof/>
          <w:sz w:val="18"/>
          <w:szCs w:val="18"/>
        </w:rPr>
      </w:pPr>
      <w:r>
        <w:rPr>
          <w:b/>
          <w:noProof/>
          <w:sz w:val="20"/>
          <w:vertAlign w:val="superscript"/>
        </w:rPr>
        <w:t>(1)</w:t>
      </w:r>
      <w:r>
        <w:rPr>
          <w:noProof/>
        </w:rPr>
        <w:tab/>
      </w:r>
      <w:r>
        <w:rPr>
          <w:noProof/>
          <w:sz w:val="18"/>
          <w:szCs w:val="18"/>
        </w:rPr>
        <w:t>Lorsque la facture, le bon de livraison ou un autre document commercial auquel la déclaration est annexée se rapporte à des marchandises de différents types ou à des marchandises ne comportant pas la même proportion de matières non originaires, le fournisseur est tenu de les distinguer clairement.</w:t>
      </w:r>
    </w:p>
    <w:p>
      <w:pPr>
        <w:pStyle w:val="Text2"/>
        <w:spacing w:before="60" w:after="60"/>
        <w:ind w:left="1418"/>
        <w:rPr>
          <w:noProof/>
          <w:sz w:val="18"/>
          <w:szCs w:val="18"/>
        </w:rPr>
      </w:pPr>
      <w:r>
        <w:rPr>
          <w:noProof/>
          <w:sz w:val="18"/>
          <w:szCs w:val="18"/>
        </w:rPr>
        <w:t>Exemple:</w:t>
      </w:r>
    </w:p>
    <w:p>
      <w:pPr>
        <w:pStyle w:val="Text2"/>
        <w:spacing w:before="60" w:after="60"/>
        <w:ind w:left="1418"/>
        <w:rPr>
          <w:noProof/>
          <w:sz w:val="18"/>
          <w:szCs w:val="18"/>
        </w:rPr>
      </w:pPr>
      <w:r>
        <w:rPr>
          <w:noProof/>
          <w:sz w:val="18"/>
          <w:szCs w:val="18"/>
        </w:rPr>
        <w:t>Le document présenté se rapporte à différents modèles de moteurs électriques relevant de la position 8501, utilisés dans la fabrication de machines à laver de la position 8450. La nature et la valeur des matières non originaires entrant dans la fabrication de ces moteurs varient d’un modèle à l’autre. Une distinction doit donc être établie entre ces modèles dans la première colonne, et les indications à porter dans les autres colonnes doivent figurer séparément pour chacun d’eux, de façon à permettre au fabricant des machines à laver de procéder à une évaluation correcte du caractère originaire de ses produits en fonction du modèle de moteur électrique qu’il utilise.</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Les informations demandées dans ces colonnes ne doivent être fournies que si elles sont nécessaires.</w:t>
      </w:r>
    </w:p>
    <w:p>
      <w:pPr>
        <w:pStyle w:val="Text2"/>
        <w:spacing w:before="60" w:after="60"/>
        <w:ind w:left="1418"/>
        <w:rPr>
          <w:noProof/>
          <w:sz w:val="18"/>
          <w:szCs w:val="18"/>
        </w:rPr>
      </w:pPr>
      <w:r>
        <w:rPr>
          <w:noProof/>
          <w:sz w:val="18"/>
          <w:szCs w:val="18"/>
        </w:rPr>
        <w:t>Exemples:</w:t>
      </w:r>
    </w:p>
    <w:p>
      <w:pPr>
        <w:pStyle w:val="Text2"/>
        <w:spacing w:before="60" w:after="60"/>
        <w:ind w:left="1418"/>
        <w:rPr>
          <w:noProof/>
          <w:sz w:val="18"/>
          <w:szCs w:val="18"/>
        </w:rPr>
      </w:pPr>
      <w:r>
        <w:rPr>
          <w:noProof/>
          <w:sz w:val="18"/>
          <w:szCs w:val="18"/>
        </w:rPr>
        <w:t>La règle applicable aux vêtements de l’ex chapitre 62 admet l’utilisation de tissage combiné à une confection (y compris une coupe de tissu). Si le fabricant de ces vêtements, établi dans une partie contractante qui applique les règles, utilise du tissu importé de l’Union européenne où il a été obtenu à partir de fils non originaires, il suffit que, dans sa déclaration, le fournisseur de l’Union européenne indique “fils” comme désignation de la matière non originaire, sans qu’il soit nécessaire d’indiquer la position ni la valeur des fils en question.</w:t>
      </w:r>
    </w:p>
    <w:p>
      <w:pPr>
        <w:pStyle w:val="Text2"/>
        <w:spacing w:before="60" w:after="60"/>
        <w:ind w:left="1418"/>
        <w:rPr>
          <w:noProof/>
          <w:sz w:val="18"/>
          <w:szCs w:val="18"/>
        </w:rPr>
      </w:pPr>
      <w:r>
        <w:rPr>
          <w:noProof/>
          <w:sz w:val="18"/>
          <w:szCs w:val="18"/>
        </w:rPr>
        <w:t>Un fabricant de fil de fer de la position 7217 qui produit ce fil à partir de barres non originaires doit indiquer “barres de fer” dans la deuxième colonne. Si ce fil de fer est appelé à entrer dans la fabrication d’une machine dont la règle d’origine limite la proportion de matières non originaires utilisées à un pourcentage déterminé de sa valeur, il convient d’indiquer la valeur des barres non originaires dans la troisième colonne.</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Les termes “valeur des matières” désignent la valeur en douane, au moment de l’importation, des matières non originaires utilisées ou, si elle n’est pas connue et ne peut être établie, le premier prix vérifiable payé pour ces matières dans [indiquer le nom de la ou des parties contractantes appliquant les règles concernée(s)].</w:t>
      </w:r>
    </w:p>
    <w:p>
      <w:pPr>
        <w:pStyle w:val="Text2"/>
        <w:spacing w:before="60" w:after="60"/>
        <w:ind w:left="1418"/>
        <w:rPr>
          <w:noProof/>
          <w:sz w:val="18"/>
          <w:szCs w:val="18"/>
        </w:rPr>
      </w:pPr>
      <w:r>
        <w:rPr>
          <w:noProof/>
          <w:sz w:val="18"/>
          <w:szCs w:val="18"/>
        </w:rPr>
        <w:t>La valeur exacte des différentes matières non originaires utilisées doit être précisée par unité des marchandises mentionnées dans la première colonne.</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Les termes “valeur ajoutée totale” désignent les différents coûts accumulés hors de [indiquer le nom de la ou des parties contractantes appliquant les règles concernée(s)], y compris la valeur de toutes les matières qui y ont été incorporées. Le montant exact de la valeur ajoutée totale acquise hors de [indiquer le nom de la ou des parties contractantes appliquant les règles concernée(s)] doit être précisé par unité des marchandises mentionnées dans la première colonne.</w:t>
      </w:r>
    </w:p>
    <w:p>
      <w:pPr>
        <w:pStyle w:val="Text1"/>
        <w:jc w:val="center"/>
        <w:rPr>
          <w:i/>
          <w:noProof/>
        </w:rPr>
      </w:pPr>
      <w:r>
        <w:rPr>
          <w:noProof/>
        </w:rPr>
        <w:br w:type="page"/>
      </w:r>
      <w:r>
        <w:rPr>
          <w:i/>
          <w:noProof/>
        </w:rPr>
        <w:t>ANNEXE VII</w:t>
      </w:r>
    </w:p>
    <w:p>
      <w:pPr>
        <w:pStyle w:val="Text1"/>
        <w:jc w:val="center"/>
        <w:rPr>
          <w:b/>
          <w:noProof/>
        </w:rPr>
      </w:pPr>
      <w:r>
        <w:rPr>
          <w:b/>
          <w:noProof/>
        </w:rPr>
        <w:t>DÉCLARATION À LONG TERME DU FOURNISSEUR</w:t>
      </w:r>
    </w:p>
    <w:p>
      <w:pPr>
        <w:pStyle w:val="Text1"/>
        <w:rPr>
          <w:noProof/>
        </w:rPr>
      </w:pPr>
      <w:r>
        <w:rPr>
          <w:noProof/>
        </w:rPr>
        <w:t>La déclaration à long terme du fournisseur, dont le texte figure ci-après, doit être établie conformément aux notes figurant en bas de page. Il n’est toutefois pas nécessaire de reproduire ces notes.</w:t>
      </w:r>
    </w:p>
    <w:p>
      <w:pPr>
        <w:pStyle w:val="Text1"/>
        <w:jc w:val="left"/>
        <w:rPr>
          <w:noProof/>
        </w:rPr>
      </w:pPr>
      <w:r>
        <w:rPr>
          <w:noProof/>
        </w:rPr>
        <w:t xml:space="preserve">DÉCLARATION À LONG TERME DU FOURNISSEUR </w:t>
      </w:r>
      <w:r>
        <w:rPr>
          <w:noProof/>
        </w:rPr>
        <w:br/>
        <w:t>relative à des marchandises ayant subi une ouvraison ou une transformation dans une partie contractante appliquant les règles sans acquérir le caractère originaire à titre préférentiel</w:t>
      </w:r>
    </w:p>
    <w:p>
      <w:pPr>
        <w:pStyle w:val="Text1"/>
        <w:rPr>
          <w:noProof/>
        </w:rPr>
      </w:pPr>
      <w:r>
        <w:rPr>
          <w:noProof/>
        </w:rPr>
        <w:t xml:space="preserve">Je soussigné, fournisseur des marchandises énumérées dans le document fourni en annexe, qui sont régulièrement envoyées à </w:t>
      </w:r>
      <w:r>
        <w:rPr>
          <w:b/>
          <w:noProof/>
          <w:vertAlign w:val="superscript"/>
        </w:rPr>
        <w:t>(1)</w:t>
      </w:r>
      <w:r>
        <w:rPr>
          <w:noProof/>
        </w:rPr>
        <w:t xml:space="preserve"> ……………. déclare que:</w:t>
      </w:r>
    </w:p>
    <w:p>
      <w:pPr>
        <w:pStyle w:val="Point1"/>
        <w:rPr>
          <w:noProof/>
        </w:rPr>
      </w:pPr>
      <w:r>
        <w:rPr>
          <w:noProof/>
        </w:rPr>
        <w:t>1.</w:t>
      </w:r>
      <w:r>
        <w:rPr>
          <w:noProof/>
        </w:rPr>
        <w:tab/>
        <w:t>Les matières suivantes qui ne sont pas originaires de [indiquer le nom des parties contractantes appliquant les règles concernées] ont été utilisées pour [indiquer le nom de la ou des parties contractantes appliquant les règles concernée(s)] pour produire ces marchandises: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Désignation des marchandises fournies</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des matières non originaires utilisées</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Position SH des matières non originaires utilisées</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Valeur des matières non originaires utilisées</w:t>
            </w:r>
            <w:r>
              <w:rPr>
                <w:b/>
                <w:noProof/>
                <w:vertAlign w:val="superscript"/>
              </w:rPr>
              <w:t>(3) (4)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Valeur totale</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Toutes les autres matières utilisées dans [indiquer le nom de la ou des parties contractantes appliquant les règles concernées] pour produire ces marchandises sont originaires de [indiquer le nom de la ou des parties contractantes appliquant les règles concernée(s)];</w:t>
      </w:r>
    </w:p>
    <w:p>
      <w:pPr>
        <w:pStyle w:val="Point1"/>
        <w:rPr>
          <w:noProof/>
        </w:rPr>
      </w:pPr>
      <w:r>
        <w:rPr>
          <w:noProof/>
        </w:rPr>
        <w:t>3.</w:t>
      </w:r>
      <w:r>
        <w:rPr>
          <w:noProof/>
        </w:rPr>
        <w:tab/>
        <w:t>Les marchandises mentionnées ci-après ont subi une ouvraison ou une transformation hors de [indiquer le nom de la ou des parties contractantes appliquant les règles concernée(s)] conformément à l’article 13 de l’appendice A et y ont acquis la valeur ajoutée totale précisée ci-dessous:</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rPr>
            </w:pPr>
            <w:r>
              <w:rPr>
                <w:noProof/>
              </w:rPr>
              <w:t>Désignation des marchandises fournies</w:t>
            </w:r>
          </w:p>
        </w:tc>
        <w:tc>
          <w:tcPr>
            <w:tcW w:w="3075" w:type="pct"/>
            <w:vAlign w:val="center"/>
          </w:tcPr>
          <w:p>
            <w:pPr>
              <w:autoSpaceDE w:val="0"/>
              <w:autoSpaceDN w:val="0"/>
              <w:spacing w:before="60" w:after="60"/>
              <w:jc w:val="center"/>
              <w:rPr>
                <w:rFonts w:eastAsia="Times New Roman"/>
                <w:noProof/>
                <w:szCs w:val="24"/>
              </w:rPr>
            </w:pPr>
            <w:r>
              <w:rPr>
                <w:noProof/>
              </w:rPr>
              <w:t>Valeur ajoutée totale acquise hors de [indiquer le nom de la ou des parties contractantes appliquant les règles concernée(s)]</w:t>
            </w:r>
            <w:r>
              <w:rPr>
                <w:b/>
                <w:bCs/>
                <w:noProof/>
                <w:szCs w:val="24"/>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La présente déclaration est valable pour toutes les expéditions futures de ces marchandises effectuées du …………………………………………..........</w:t>
      </w:r>
    </w:p>
    <w:p>
      <w:pPr>
        <w:pStyle w:val="Text1"/>
        <w:rPr>
          <w:noProof/>
          <w:vertAlign w:val="superscript"/>
        </w:rPr>
      </w:pPr>
      <w:r>
        <w:rPr>
          <w:noProof/>
        </w:rPr>
        <w:t>au………………………………………………</w:t>
      </w:r>
      <w:r>
        <w:rPr>
          <w:b/>
          <w:bCs/>
          <w:noProof/>
          <w:szCs w:val="24"/>
          <w:vertAlign w:val="superscript"/>
        </w:rPr>
        <w:t>(</w:t>
      </w:r>
      <w:r>
        <w:rPr>
          <w:b/>
          <w:noProof/>
          <w:vertAlign w:val="superscript"/>
        </w:rPr>
        <w:t>6)</w:t>
      </w:r>
    </w:p>
    <w:p>
      <w:pPr>
        <w:pStyle w:val="Text1"/>
        <w:rPr>
          <w:noProof/>
        </w:rPr>
      </w:pPr>
      <w:r>
        <w:rPr>
          <w:noProof/>
        </w:rPr>
        <w:t xml:space="preserve">Je m’engage à informer immédiatement ……………….. </w:t>
      </w:r>
      <w:r>
        <w:rPr>
          <w:b/>
          <w:bCs/>
          <w:noProof/>
          <w:szCs w:val="24"/>
          <w:vertAlign w:val="superscript"/>
        </w:rPr>
        <w:t>(1)</w:t>
      </w:r>
      <w:r>
        <w:rPr>
          <w:noProof/>
        </w:rPr>
        <w:t xml:space="preserve"> de la cessation éventuelle de validité de la présente déclaration.</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(Lieu et date)</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(Adresse et signature du fournisseur, et indication, en toutes lettres, du nom de la personne qui signe la déclaration)</w:t>
            </w:r>
          </w:p>
        </w:tc>
      </w:tr>
    </w:tbl>
    <w:p>
      <w:pPr>
        <w:pStyle w:val="Text1"/>
        <w:rPr>
          <w:noProof/>
        </w:rPr>
      </w:pPr>
      <w:r>
        <w:rPr>
          <w:noProof/>
        </w:rPr>
        <w:t>________________</w:t>
      </w:r>
    </w:p>
    <w:p>
      <w:pPr>
        <w:pStyle w:val="Point1"/>
        <w:spacing w:before="60" w:after="60"/>
        <w:ind w:left="1418"/>
        <w:rPr>
          <w:noProof/>
          <w:sz w:val="18"/>
          <w:szCs w:val="18"/>
        </w:rPr>
      </w:pPr>
      <w:r>
        <w:rPr>
          <w:b/>
          <w:noProof/>
          <w:sz w:val="18"/>
          <w:szCs w:val="18"/>
          <w:vertAlign w:val="superscript"/>
        </w:rPr>
        <w:t>(1)</w:t>
      </w:r>
      <w:r>
        <w:rPr>
          <w:noProof/>
        </w:rPr>
        <w:tab/>
      </w:r>
      <w:r>
        <w:rPr>
          <w:noProof/>
          <w:sz w:val="18"/>
          <w:szCs w:val="18"/>
        </w:rPr>
        <w:t>Nom et adresse du client.</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Lorsque la facture, le bon de livraison ou un autre document commercial auquel la déclaration est annexée se rapporte à des marchandises de différents types ou à des marchandises ne comportant pas la même proportion de matières non originaires, le fournisseur est tenu de les distinguer clairement.</w:t>
      </w:r>
    </w:p>
    <w:p>
      <w:pPr>
        <w:pStyle w:val="Text2"/>
        <w:spacing w:before="60" w:after="60"/>
        <w:ind w:left="1418"/>
        <w:rPr>
          <w:noProof/>
          <w:sz w:val="18"/>
          <w:szCs w:val="18"/>
        </w:rPr>
      </w:pPr>
      <w:r>
        <w:rPr>
          <w:noProof/>
          <w:sz w:val="18"/>
          <w:szCs w:val="18"/>
        </w:rPr>
        <w:t>Exemple:</w:t>
      </w:r>
    </w:p>
    <w:p>
      <w:pPr>
        <w:pStyle w:val="Text2"/>
        <w:spacing w:before="60" w:after="60"/>
        <w:ind w:left="1418"/>
        <w:rPr>
          <w:noProof/>
          <w:sz w:val="18"/>
          <w:szCs w:val="18"/>
        </w:rPr>
      </w:pPr>
      <w:r>
        <w:rPr>
          <w:noProof/>
          <w:sz w:val="18"/>
          <w:szCs w:val="18"/>
        </w:rPr>
        <w:t>Le document présenté se rapporte à différents modèles de moteurs électriques relevant de la position 8501, utilisés dans la fabrication de machines à laver de la position 8450. La nature et la valeur des matières non originaires entrant dans la fabrication de ces moteurs varient d’un modèle à l’autre. Une distinction doit donc être établie entre ces modèles dans la première colonne, et les indications à porter dans les autres colonnes doivent figurer séparément pour chacun d’eux, de façon à permettre au fabricant des machines à laver de procéder à une évaluation correcte du caractère originaire de ses produits en fonction du modèle de moteur électrique qu’il utilise.</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Les informations demandées dans ces colonnes ne doivent être fournies que si elles sont nécessaires.</w:t>
      </w:r>
    </w:p>
    <w:p>
      <w:pPr>
        <w:pStyle w:val="Text2"/>
        <w:spacing w:before="60" w:after="60"/>
        <w:ind w:left="1418"/>
        <w:rPr>
          <w:noProof/>
          <w:sz w:val="18"/>
          <w:szCs w:val="18"/>
        </w:rPr>
      </w:pPr>
      <w:r>
        <w:rPr>
          <w:noProof/>
          <w:sz w:val="18"/>
          <w:szCs w:val="18"/>
        </w:rPr>
        <w:t>Exemples:</w:t>
      </w:r>
    </w:p>
    <w:p>
      <w:pPr>
        <w:pStyle w:val="Text2"/>
        <w:spacing w:before="60" w:after="60"/>
        <w:ind w:left="1418"/>
        <w:rPr>
          <w:noProof/>
          <w:sz w:val="18"/>
          <w:szCs w:val="18"/>
        </w:rPr>
      </w:pPr>
      <w:r>
        <w:rPr>
          <w:noProof/>
          <w:sz w:val="18"/>
          <w:szCs w:val="18"/>
        </w:rPr>
        <w:t>La règle applicable aux vêtements de l’ex chapitre 62 admet l’utilisation de tissage combiné à une confection (y compris une coupe de tissu). Si le fabricant de ces vêtements, établi dans une partie contractante qui applique les règles, utilise du tissu importé de l’Union européenne où il a été obtenu à partir de fils non originaires, il suffit que, dans sa déclaration, le fournisseur de l’Union européenne indique “fils” comme désignation de la matière non originaire, sans qu’il soit nécessaire d’indiquer la position ni la valeur des fils en question.</w:t>
      </w:r>
    </w:p>
    <w:p>
      <w:pPr>
        <w:pStyle w:val="Text2"/>
        <w:spacing w:before="60" w:after="60"/>
        <w:ind w:left="1418"/>
        <w:rPr>
          <w:noProof/>
          <w:sz w:val="18"/>
          <w:szCs w:val="18"/>
        </w:rPr>
      </w:pPr>
      <w:r>
        <w:rPr>
          <w:noProof/>
          <w:sz w:val="18"/>
          <w:szCs w:val="18"/>
        </w:rPr>
        <w:t>Un fabricant de fil de fer de la position 7217 qui produit ce fil à partir de barres non originaires doit indiquer “barres de fer” dans la deuxième colonne. Si ce fil de fer est appelé à entrer dans la fabrication d’une machine dont la règle d’origine limite la proportion de matières non originaires utilisées à un pourcentage déterminé de sa valeur, il convient d’indiquer la valeur des barres non originaires dans la troisième colonne.</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Les termes “valeur des matières” désignent la valeur en douane, au moment de l’importation, des matières non originaires utilisées ou, si elle n’est pas connue et ne peut être établie, le premier prix vérifiable payé pour ces matières dans [indiquer le nom de la ou des parties contractantes appliquant les règles concernées].</w:t>
      </w:r>
    </w:p>
    <w:p>
      <w:pPr>
        <w:pStyle w:val="Text2"/>
        <w:spacing w:before="60" w:after="60"/>
        <w:ind w:left="1418"/>
        <w:rPr>
          <w:noProof/>
          <w:sz w:val="18"/>
          <w:szCs w:val="18"/>
        </w:rPr>
      </w:pPr>
      <w:r>
        <w:rPr>
          <w:noProof/>
          <w:sz w:val="18"/>
          <w:szCs w:val="18"/>
        </w:rPr>
        <w:t>La valeur exacte des différentes matières non originaires utilisées doit être précisée par unité des marchandises mentionnées dans la première colonne.</w:t>
      </w:r>
    </w:p>
    <w:p>
      <w:pPr>
        <w:pStyle w:val="Point1"/>
        <w:spacing w:before="60" w:after="60"/>
        <w:ind w:left="1418"/>
        <w:rPr>
          <w:noProof/>
          <w:sz w:val="18"/>
          <w:szCs w:val="18"/>
        </w:rPr>
      </w:pPr>
      <w:r>
        <w:rPr>
          <w:b/>
          <w:noProof/>
          <w:sz w:val="18"/>
          <w:szCs w:val="18"/>
          <w:vertAlign w:val="superscript"/>
        </w:rPr>
        <w:t>(5)</w:t>
      </w:r>
      <w:r>
        <w:rPr>
          <w:noProof/>
        </w:rPr>
        <w:tab/>
      </w:r>
      <w:r>
        <w:rPr>
          <w:noProof/>
          <w:sz w:val="18"/>
          <w:szCs w:val="18"/>
        </w:rPr>
        <w:t>Les termes “valeur ajoutée totale” désignent les différents coûts accumulés hors de [indiquer le nom de la ou des parties contractantes appliquant les règles concernées], y compris la valeur de toutes les matières qui y ont été incorporées. Le montant exact de la valeur ajoutée totale acquise hors de [indiquer le nom de la ou des parties contractantes appliquant les règles concernée(s)] doit être précisé par unité des marchandises mentionnées dans la première colonne.</w:t>
      </w:r>
    </w:p>
    <w:p>
      <w:pPr>
        <w:pStyle w:val="Point1"/>
        <w:spacing w:before="60" w:after="60"/>
        <w:ind w:left="1418"/>
        <w:rPr>
          <w:noProof/>
        </w:rPr>
      </w:pPr>
      <w:r>
        <w:rPr>
          <w:b/>
          <w:noProof/>
          <w:sz w:val="18"/>
          <w:szCs w:val="18"/>
          <w:vertAlign w:val="superscript"/>
        </w:rPr>
        <w:t>(6)</w:t>
      </w:r>
      <w:r>
        <w:rPr>
          <w:noProof/>
        </w:rPr>
        <w:tab/>
      </w:r>
      <w:r>
        <w:rPr>
          <w:noProof/>
          <w:sz w:val="18"/>
          <w:szCs w:val="18"/>
        </w:rPr>
        <w:t>Indiquer les dates</w:t>
      </w:r>
      <w:r>
        <w:rPr>
          <w:noProof/>
        </w:rPr>
        <w:t>.</w:t>
      </w:r>
      <w:r>
        <w:rPr>
          <w:noProof/>
          <w:sz w:val="18"/>
          <w:szCs w:val="18"/>
        </w:rPr>
        <w:t xml:space="preserve"> La période de validité de la déclaration à long terme du fournisseur ne devrait pas normalement dépasser 12 mois, sous réserve des conditions fixées par les autorités douanières de la partie contractante appliquant les règles où la déclaration à long terme du fournisseur est établie.</w:t>
      </w:r>
    </w:p>
    <w:p>
      <w:pPr>
        <w:tabs>
          <w:tab w:val="left" w:pos="6230"/>
        </w:tabs>
        <w:spacing w:line="360" w:lineRule="auto"/>
        <w:jc w:val="left"/>
        <w:rPr>
          <w:noProof/>
          <w:lang w:eastAsia="en-GB"/>
        </w:rPr>
      </w:pP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137</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lang w:val="en-US"/>
        </w:rPr>
        <w:footnoteRef/>
      </w:r>
      <w:r>
        <w:tab/>
        <w:t>JO L 84 du 20.3.2004, p. 13.</w:t>
      </w:r>
    </w:p>
  </w:footnote>
  <w:footnote w:id="3">
    <w:p>
      <w:pPr>
        <w:pStyle w:val="FootnoteText"/>
      </w:pPr>
      <w:r>
        <w:rPr>
          <w:rStyle w:val="FootnoteReference"/>
        </w:rPr>
        <w:footnoteRef/>
      </w:r>
      <w:r>
        <w:tab/>
        <w:t>JO L 54 du 26.2.2013, p. 4.</w:t>
      </w:r>
    </w:p>
  </w:footnote>
  <w:footnote w:id="4">
    <w:p>
      <w:pPr>
        <w:pStyle w:val="FootnoteText"/>
      </w:pPr>
      <w:r>
        <w:rPr>
          <w:rStyle w:val="FootnoteReference"/>
        </w:rPr>
        <w:footnoteRef/>
      </w:r>
      <w:r>
        <w:tab/>
        <w:t>JO L 54 du 26.2.2013, p. 4.</w:t>
      </w:r>
    </w:p>
  </w:footnote>
  <w:footnote w:id="5">
    <w:p>
      <w:pPr>
        <w:pStyle w:val="FootnoteText"/>
      </w:pPr>
      <w:r>
        <w:rPr>
          <w:rStyle w:val="FootnoteReference"/>
        </w:rPr>
        <w:footnoteRef/>
      </w:r>
      <w:r>
        <w:tab/>
      </w:r>
      <w:r>
        <w:rPr>
          <w:sz w:val="18"/>
          <w:szCs w:val="18"/>
        </w:rPr>
        <w:t>Les parties conviennent de déroger à l’obligation d’inclure sur la preuve de l’origine la mention visée au paragraphe 3 de l’article 8</w:t>
      </w:r>
      <w:r>
        <w:t>.</w:t>
      </w:r>
    </w:p>
  </w:footnote>
  <w:footnote w:id="6">
    <w:p>
      <w:pPr>
        <w:pStyle w:val="FootnoteText"/>
      </w:pPr>
      <w:r>
        <w:rPr>
          <w:rStyle w:val="FootnoteReference"/>
        </w:rPr>
        <w:footnoteRef/>
      </w:r>
      <w:r>
        <w:tab/>
      </w:r>
      <w:r>
        <w:rPr>
          <w:sz w:val="18"/>
          <w:szCs w:val="18"/>
        </w:rPr>
        <w:t>JO CE L 302 du 15.11.1985, p. 23.</w:t>
      </w:r>
    </w:p>
  </w:footnote>
  <w:footnote w:id="7">
    <w:p>
      <w:pPr>
        <w:pStyle w:val="FootnoteText"/>
      </w:pPr>
      <w:r>
        <w:rPr>
          <w:rStyle w:val="FootnoteReference"/>
        </w:rPr>
        <w:footnoteRef/>
      </w:r>
      <w:r>
        <w:tab/>
      </w:r>
      <w:r>
        <w:rPr>
          <w:sz w:val="18"/>
          <w:szCs w:val="18"/>
        </w:rPr>
        <w:t>Par exemple: documents d’importation, certificats de circulation, factures, déclarations du fabricant, etc., se référant aux produits mis en œuvre ou aux marchandises réexportées en l’état.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ArticleSection2"/>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111112"/>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ai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26"/>
  </w:num>
  <w:num w:numId="26">
    <w:abstractNumId w:val="16"/>
  </w:num>
  <w:num w:numId="27">
    <w:abstractNumId w:val="32"/>
  </w:num>
  <w:num w:numId="28">
    <w:abstractNumId w:val="12"/>
  </w:num>
  <w:num w:numId="29">
    <w:abstractNumId w:val="18"/>
  </w:num>
  <w:num w:numId="30">
    <w:abstractNumId w:val="9"/>
  </w:num>
  <w:num w:numId="31">
    <w:abstractNumId w:val="27"/>
  </w:num>
  <w:num w:numId="32">
    <w:abstractNumId w:val="8"/>
  </w:num>
  <w:num w:numId="33">
    <w:abstractNumId w:val="20"/>
  </w:num>
  <w:num w:numId="34">
    <w:abstractNumId w:val="24"/>
  </w:num>
  <w:num w:numId="35">
    <w:abstractNumId w:val="25"/>
  </w:num>
  <w:num w:numId="36">
    <w:abstractNumId w:val="11"/>
  </w:num>
  <w:num w:numId="37">
    <w:abstractNumId w:val="23"/>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1597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08 11:16:25"/>
    <w:docVar w:name="DQCNUMB_1" w:val="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0"/>
    <w:docVar w:name="DQCResult_ModifiedMarkers" w:val="0;0"/>
    <w:docVar w:name="DQCResult_ModifiedNumbering" w:val="0;0"/>
    <w:docVar w:name="DQCResult_Objects" w:val="0;0"/>
    <w:docVar w:name="DQCResult_Sections" w:val="0;0"/>
    <w:docVar w:name="DQCResult_StructureCheck" w:val="0;0"/>
    <w:docVar w:name="DQCResult_SuperfluousWhitespace" w:val="0;97"/>
    <w:docVar w:name="DQCResult_UnknownFonts" w:val="0;0"/>
    <w:docVar w:name="DQCResult_UnknownStyles" w:val="0;3"/>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C55605D9-9E84-49A3-A193-5C2DBB353B97"/>
    <w:docVar w:name="LW_COVERPAGE_TYPE" w:val="1"/>
    <w:docVar w:name="LW_CROSSREFERENCE" w:val="&lt;UNUSED&gt;"/>
    <w:docVar w:name="LW_DocType" w:val="ANNEX"/>
    <w:docVar w:name="LW_EMISSION" w:val="24.8.2020"/>
    <w:docVar w:name="LW_EMISSION_ISODATE" w:val="2020-08-24"/>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nseil de stabilisation et d\u8217?association institué par l\u8217?accord de stabilisation et d\u8217?association entre les Communautés européennes et leurs États membres, d\u8217?une part, et l\u8217?ancienne République yougoslave de Macédoine, d\u8217?autre part, en ce qui concerne la modification du protocole nº 4 dudit accord relatif à la définition de la notion de «produits originaires» et aux méthodes de coopération administrative"/>
    <w:docVar w:name="LW_OBJETACTEPRINCIPAL.CP" w:val="relative à la position à prendre, au nom de l\u8217?Union européenne, au sein du conseil de stabilisation et d\u8217?association institué par l\u8217?accord de stabilisation et d\u8217?association entre les Communautés européennes et leurs États membres, d\u8217?une part, et l\u8217?ancienne République yougoslave de Macédoine, d\u8217?autre part, en ce qui concerne la modification du protocole nº 4 dudit accord relatif à la définition de la notion de «produits originaires» et aux méthodes de coopération administrative"/>
    <w:docVar w:name="LW_PART_NBR" w:val="1"/>
    <w:docVar w:name="LW_PART_NBR_TOTAL" w:val="1"/>
    <w:docVar w:name="LW_REF.INST.NEW" w:val="COM"/>
    <w:docVar w:name="LW_REF.INST.NEW_ADOPTED" w:val="final"/>
    <w:docVar w:name="LW_REF.INST.NEW_TEXT" w:val="(2020) 4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fr-F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fr-FR"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fr-FR"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fr-FR"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fr-FR"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Pr>
      <w:rFonts w:ascii="Times New Roman" w:hAnsi="Times New Roman" w:cs="Times New Roman"/>
      <w:sz w:val="2"/>
      <w:lang w:val="fr-FR"/>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fr-FR"/>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fr-FR"/>
    </w:rPr>
  </w:style>
  <w:style w:type="character" w:customStyle="1" w:styleId="HeaderCouncilChar">
    <w:name w:val="Header Council Char"/>
    <w:basedOn w:val="DefaultParagraphFont"/>
    <w:rPr>
      <w:rFonts w:ascii="Times New Roman" w:hAnsi="Times New Roman" w:cs="Times New Roman"/>
      <w:sz w:val="2"/>
      <w:lang w:val="fr-FR"/>
    </w:rPr>
  </w:style>
  <w:style w:type="character" w:customStyle="1" w:styleId="FooterCouncilChar">
    <w:name w:val="Footer Council Char"/>
    <w:basedOn w:val="DefaultParagraphFont"/>
    <w:rPr>
      <w:rFonts w:ascii="Times New Roman" w:hAnsi="Times New Roman" w:cs="Times New Roman"/>
      <w:sz w:val="2"/>
      <w:lang w:val="fr-FR"/>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ChapterTitlef8">
    <w:name w:val="ChapterTitle"/>
    <w:basedOn w:val="Normal"/>
    <w:next w:val="Normal"/>
    <w:pPr>
      <w:keepNext/>
      <w:spacing w:after="360"/>
      <w:jc w:val="center"/>
    </w:pPr>
    <w:rPr>
      <w:b/>
      <w:sz w:val="32"/>
    </w:rPr>
  </w:style>
  <w:style w:type="paragraph" w:customStyle="1" w:styleId="PartTitlef8">
    <w:name w:val="PartTitle"/>
    <w:basedOn w:val="Normal"/>
    <w:next w:val="ChapterTitlef8"/>
    <w:pPr>
      <w:keepNext/>
      <w:pageBreakBefore/>
      <w:spacing w:after="360"/>
      <w:jc w:val="center"/>
    </w:pPr>
    <w:rPr>
      <w:b/>
      <w:sz w:val="36"/>
    </w:rPr>
  </w:style>
  <w:style w:type="paragraph" w:customStyle="1" w:styleId="ChapterTitlef9">
    <w:name w:val="ChapterTitle"/>
    <w:basedOn w:val="Normal"/>
    <w:next w:val="Normal"/>
    <w:pPr>
      <w:keepNext/>
      <w:spacing w:after="360"/>
      <w:jc w:val="center"/>
    </w:pPr>
    <w:rPr>
      <w:b/>
      <w:sz w:val="32"/>
    </w:rPr>
  </w:style>
  <w:style w:type="paragraph" w:customStyle="1" w:styleId="PartTitlef9">
    <w:name w:val="PartTitle"/>
    <w:basedOn w:val="Normal"/>
    <w:next w:val="ChapterTitlef9"/>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a">
    <w:name w:val="ChapterTitle"/>
    <w:basedOn w:val="Normal"/>
    <w:next w:val="Normal"/>
    <w:pPr>
      <w:keepNext/>
      <w:spacing w:after="360"/>
      <w:jc w:val="center"/>
    </w:pPr>
    <w:rPr>
      <w:b/>
      <w:sz w:val="32"/>
    </w:rPr>
  </w:style>
  <w:style w:type="paragraph" w:customStyle="1" w:styleId="PartTitlefa">
    <w:name w:val="PartTitle"/>
    <w:basedOn w:val="Normal"/>
    <w:next w:val="ChapterTitlefa"/>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fr-F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fr-FR"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fr-FR"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fr-FR"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fr-FR"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Pr>
      <w:rFonts w:ascii="Times New Roman" w:hAnsi="Times New Roman" w:cs="Times New Roman"/>
      <w:sz w:val="2"/>
      <w:lang w:val="fr-FR"/>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fr-FR"/>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fr-FR"/>
    </w:rPr>
  </w:style>
  <w:style w:type="character" w:customStyle="1" w:styleId="HeaderCouncilChar">
    <w:name w:val="Header Council Char"/>
    <w:basedOn w:val="DefaultParagraphFont"/>
    <w:rPr>
      <w:rFonts w:ascii="Times New Roman" w:hAnsi="Times New Roman" w:cs="Times New Roman"/>
      <w:sz w:val="2"/>
      <w:lang w:val="fr-FR"/>
    </w:rPr>
  </w:style>
  <w:style w:type="character" w:customStyle="1" w:styleId="FooterCouncilChar">
    <w:name w:val="Footer Council Char"/>
    <w:basedOn w:val="DefaultParagraphFont"/>
    <w:rPr>
      <w:rFonts w:ascii="Times New Roman" w:hAnsi="Times New Roman" w:cs="Times New Roman"/>
      <w:sz w:val="2"/>
      <w:lang w:val="fr-FR"/>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ChapterTitlef8">
    <w:name w:val="ChapterTitle"/>
    <w:basedOn w:val="Normal"/>
    <w:next w:val="Normal"/>
    <w:pPr>
      <w:keepNext/>
      <w:spacing w:after="360"/>
      <w:jc w:val="center"/>
    </w:pPr>
    <w:rPr>
      <w:b/>
      <w:sz w:val="32"/>
    </w:rPr>
  </w:style>
  <w:style w:type="paragraph" w:customStyle="1" w:styleId="PartTitlef8">
    <w:name w:val="PartTitle"/>
    <w:basedOn w:val="Normal"/>
    <w:next w:val="ChapterTitlef8"/>
    <w:pPr>
      <w:keepNext/>
      <w:pageBreakBefore/>
      <w:spacing w:after="360"/>
      <w:jc w:val="center"/>
    </w:pPr>
    <w:rPr>
      <w:b/>
      <w:sz w:val="36"/>
    </w:rPr>
  </w:style>
  <w:style w:type="paragraph" w:customStyle="1" w:styleId="ChapterTitlef9">
    <w:name w:val="ChapterTitle"/>
    <w:basedOn w:val="Normal"/>
    <w:next w:val="Normal"/>
    <w:pPr>
      <w:keepNext/>
      <w:spacing w:after="360"/>
      <w:jc w:val="center"/>
    </w:pPr>
    <w:rPr>
      <w:b/>
      <w:sz w:val="32"/>
    </w:rPr>
  </w:style>
  <w:style w:type="paragraph" w:customStyle="1" w:styleId="PartTitlef9">
    <w:name w:val="PartTitle"/>
    <w:basedOn w:val="Normal"/>
    <w:next w:val="ChapterTitlef9"/>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a">
    <w:name w:val="ChapterTitle"/>
    <w:basedOn w:val="Normal"/>
    <w:next w:val="Normal"/>
    <w:pPr>
      <w:keepNext/>
      <w:spacing w:after="360"/>
      <w:jc w:val="center"/>
    </w:pPr>
    <w:rPr>
      <w:b/>
      <w:sz w:val="32"/>
    </w:rPr>
  </w:style>
  <w:style w:type="paragraph" w:customStyle="1" w:styleId="PartTitlefa">
    <w:name w:val="PartTitle"/>
    <w:basedOn w:val="Normal"/>
    <w:next w:val="ChapterTitlefa"/>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5964">
      <w:bodyDiv w:val="1"/>
      <w:marLeft w:val="0"/>
      <w:marRight w:val="0"/>
      <w:marTop w:val="0"/>
      <w:marBottom w:val="0"/>
      <w:divBdr>
        <w:top w:val="none" w:sz="0" w:space="0" w:color="auto"/>
        <w:left w:val="none" w:sz="0" w:space="0" w:color="auto"/>
        <w:bottom w:val="none" w:sz="0" w:space="0" w:color="auto"/>
        <w:right w:val="none" w:sz="0" w:space="0" w:color="auto"/>
      </w:divBdr>
    </w:div>
    <w:div w:id="253826544">
      <w:bodyDiv w:val="1"/>
      <w:marLeft w:val="0"/>
      <w:marRight w:val="0"/>
      <w:marTop w:val="0"/>
      <w:marBottom w:val="0"/>
      <w:divBdr>
        <w:top w:val="none" w:sz="0" w:space="0" w:color="auto"/>
        <w:left w:val="none" w:sz="0" w:space="0" w:color="auto"/>
        <w:bottom w:val="none" w:sz="0" w:space="0" w:color="auto"/>
        <w:right w:val="none" w:sz="0" w:space="0" w:color="auto"/>
      </w:divBdr>
    </w:div>
    <w:div w:id="467093326">
      <w:bodyDiv w:val="1"/>
      <w:marLeft w:val="0"/>
      <w:marRight w:val="0"/>
      <w:marTop w:val="0"/>
      <w:marBottom w:val="0"/>
      <w:divBdr>
        <w:top w:val="none" w:sz="0" w:space="0" w:color="auto"/>
        <w:left w:val="none" w:sz="0" w:space="0" w:color="auto"/>
        <w:bottom w:val="none" w:sz="0" w:space="0" w:color="auto"/>
        <w:right w:val="none" w:sz="0" w:space="0" w:color="auto"/>
      </w:divBdr>
    </w:div>
    <w:div w:id="520629854">
      <w:bodyDiv w:val="1"/>
      <w:marLeft w:val="0"/>
      <w:marRight w:val="0"/>
      <w:marTop w:val="0"/>
      <w:marBottom w:val="0"/>
      <w:divBdr>
        <w:top w:val="none" w:sz="0" w:space="0" w:color="auto"/>
        <w:left w:val="none" w:sz="0" w:space="0" w:color="auto"/>
        <w:bottom w:val="none" w:sz="0" w:space="0" w:color="auto"/>
        <w:right w:val="none" w:sz="0" w:space="0" w:color="auto"/>
      </w:divBdr>
    </w:div>
    <w:div w:id="615866084">
      <w:bodyDiv w:val="1"/>
      <w:marLeft w:val="0"/>
      <w:marRight w:val="0"/>
      <w:marTop w:val="0"/>
      <w:marBottom w:val="0"/>
      <w:divBdr>
        <w:top w:val="none" w:sz="0" w:space="0" w:color="auto"/>
        <w:left w:val="none" w:sz="0" w:space="0" w:color="auto"/>
        <w:bottom w:val="none" w:sz="0" w:space="0" w:color="auto"/>
        <w:right w:val="none" w:sz="0" w:space="0" w:color="auto"/>
      </w:divBdr>
    </w:div>
    <w:div w:id="860049709">
      <w:bodyDiv w:val="1"/>
      <w:marLeft w:val="0"/>
      <w:marRight w:val="0"/>
      <w:marTop w:val="0"/>
      <w:marBottom w:val="0"/>
      <w:divBdr>
        <w:top w:val="none" w:sz="0" w:space="0" w:color="auto"/>
        <w:left w:val="none" w:sz="0" w:space="0" w:color="auto"/>
        <w:bottom w:val="none" w:sz="0" w:space="0" w:color="auto"/>
        <w:right w:val="none" w:sz="0" w:space="0" w:color="auto"/>
      </w:divBdr>
    </w:div>
    <w:div w:id="1578636179">
      <w:bodyDiv w:val="1"/>
      <w:marLeft w:val="0"/>
      <w:marRight w:val="0"/>
      <w:marTop w:val="0"/>
      <w:marBottom w:val="0"/>
      <w:divBdr>
        <w:top w:val="none" w:sz="0" w:space="0" w:color="auto"/>
        <w:left w:val="none" w:sz="0" w:space="0" w:color="auto"/>
        <w:bottom w:val="none" w:sz="0" w:space="0" w:color="auto"/>
        <w:right w:val="none" w:sz="0" w:space="0" w:color="auto"/>
      </w:divBdr>
    </w:div>
    <w:div w:id="17612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F3C62-A937-4C9F-AAD7-76E6D8C9C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4</TotalTime>
  <Pages>139</Pages>
  <Words>31991</Words>
  <Characters>178196</Characters>
  <Application>Microsoft Office Word</Application>
  <DocSecurity>0</DocSecurity>
  <Lines>4346</Lines>
  <Paragraphs>2415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WES PDFC Administrator</cp:lastModifiedBy>
  <cp:revision>9</cp:revision>
  <cp:lastPrinted>2019-08-28T11:52:00Z</cp:lastPrinted>
  <dcterms:created xsi:type="dcterms:W3CDTF">2020-09-07T09:07:00Z</dcterms:created>
  <dcterms:modified xsi:type="dcterms:W3CDTF">2020-09-08T09:16:00Z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