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C973A5F-6A8A-46E6-8BBE-8DF9785B05CC"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DU COMITÉ MIXTE UE-ORGANISATION DE LIBÉRATION DE LA PALESTINE (OLP), AGISSANT POUR LE COMPTE DE L’AUTORITÉ PALESTINIENNE DE LA CISJORDANIE ET DE LA BANDE DE GAZA</w:t>
      </w:r>
    </w:p>
    <w:p>
      <w:pPr>
        <w:spacing w:before="360" w:after="0"/>
        <w:jc w:val="center"/>
        <w:rPr>
          <w:b/>
          <w:noProof/>
        </w:rPr>
      </w:pPr>
      <w:r>
        <w:rPr>
          <w:b/>
          <w:noProof/>
        </w:rPr>
        <w:t>portant</w:t>
      </w:r>
    </w:p>
    <w:p>
      <w:pPr>
        <w:spacing w:before="360" w:after="0"/>
        <w:jc w:val="center"/>
        <w:rPr>
          <w:b/>
          <w:noProof/>
        </w:rPr>
      </w:pPr>
      <w:r>
        <w:rPr>
          <w:b/>
          <w:noProof/>
        </w:rPr>
        <w:t>modification du protocole nº 3 de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relatif à la définition de la notion de «produits originaires» et aux méthodes de coopération administrative</w:t>
      </w:r>
    </w:p>
    <w:p>
      <w:pPr>
        <w:keepNext/>
        <w:spacing w:before="600"/>
        <w:rPr>
          <w:caps/>
          <w:noProof/>
        </w:rPr>
      </w:pPr>
      <w:r>
        <w:rPr>
          <w:caps/>
          <w:noProof/>
        </w:rPr>
        <w:t>Le COMITÉ MIXTE UE-ORGANISATION DE LIBÉRATION DE LA PALESTINE (OLP), AGISSANT POUR LE COMPTE DE L’AUTORITÉ PALESTINIENNE DE LA CISJORDANIE ET DE LA BANDE DE GAZA</w:t>
      </w:r>
    </w:p>
    <w:p>
      <w:pPr>
        <w:rPr>
          <w:noProof/>
        </w:rPr>
      </w:pPr>
      <w:r>
        <w:rPr>
          <w:noProof/>
        </w:rPr>
        <w:t>Vu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w:t>
      </w:r>
      <w:r>
        <w:rPr>
          <w:rStyle w:val="FootnoteReference"/>
          <w:noProof/>
        </w:rPr>
        <w:footnoteReference w:id="2"/>
      </w:r>
      <w:r>
        <w:rPr>
          <w:noProof/>
        </w:rPr>
        <w:t>, et notamment l’article 3 de son protocole nº 3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25 de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(l’«accord») fait référence au protocole nº 3 de l’accord (le «protocole nº 3»), qui détermine les règles d’origine.</w:t>
      </w:r>
    </w:p>
    <w:p>
      <w:pPr>
        <w:pStyle w:val="Point0number"/>
        <w:ind w:left="851" w:hanging="851"/>
        <w:rPr>
          <w:noProof/>
        </w:rPr>
      </w:pPr>
      <w:r>
        <w:rPr>
          <w:noProof/>
        </w:rPr>
        <w:t>L’article 3 du protocole nº 3 dispose que le comité mixte institué par l’article 63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l’Organisation de libération de la Palestine (OLP), agissant pour le compte de l’Autorité palestinienne de la Cisjordanie et de la bande de Gaza, ont signé la convention respectivement le 15 juin 2011 et le 18 novembre 2013.</w:t>
      </w:r>
    </w:p>
    <w:p>
      <w:pPr>
        <w:pStyle w:val="Point0number"/>
        <w:rPr>
          <w:noProof/>
        </w:rPr>
      </w:pPr>
      <w:r>
        <w:rPr>
          <w:noProof/>
        </w:rPr>
        <w:t>L’Union et l’Organisation de libération de la Palestine (OLP), agissant pour le compte de l’Autorité palestinienne de la Cisjordanie et de la bande de Gaza, ont déposé leurs instruments d’acceptation auprès du dépositaire de la convention respectivement le 26 mars 2012 et le 27 mai 2014. En conséquence, conformément à l’article 10, paragraphe 3, de la convention, cette dernière est entrée en vigueur pour l’Union européenne et pour l’Organisation de libération de la Palestine (OLP), agissant pour le compte de l’Autorité palestinienne de la Cisjordanie et de la bande de Gaza, respectivement le 1</w:t>
      </w:r>
      <w:r>
        <w:rPr>
          <w:noProof/>
          <w:vertAlign w:val="superscript"/>
        </w:rPr>
        <w:t>er</w:t>
      </w:r>
      <w:r>
        <w:rPr>
          <w:noProof/>
        </w:rPr>
        <w:t> mai 2012 et le 1</w:t>
      </w:r>
      <w:r>
        <w:rPr>
          <w:noProof/>
          <w:vertAlign w:val="superscript"/>
        </w:rPr>
        <w:t>er</w:t>
      </w:r>
      <w:r>
        <w:rPr>
          <w:noProof/>
        </w:rPr>
        <w:t> juillet 2014.</w:t>
      </w:r>
    </w:p>
    <w:p>
      <w:pPr>
        <w:pStyle w:val="Point0number"/>
        <w:rPr>
          <w:noProof/>
        </w:rPr>
      </w:pPr>
      <w:r>
        <w:rPr>
          <w:noProof/>
        </w:rPr>
        <w:t>L’Union européenne et l’Organisation de libération de la Palestine (OLP), agissant pour le compte de l’Autorité palestinienne de la Cisjordanie et de la bande de Gaza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comité mixte</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Cisjordanie et de la bande de Gaza.</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comité mixte.</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comité mixte peut décider de modifier les dispositions du présent protocole.</w:t>
      </w: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l’Organisation de libération de la Palestine (OLP), agissant pour le compte de l’Autorité palestinienne de la Cisjordanie et de la bande de Gaza, notifie par écrit au dépositaire de la convention son intention de dénoncer la convention conformément à l’article 9 de cette dernière, l’Union européenne et l’Organisation de libération de la Palestine (OLP), agissant pour le compte de l’Autorité palestinienne de la Cisjordanie et de la bande de Gaza,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uniquement entre l’Union européenne et l’Organisation de libération de la Palestine (OLP), agissant pour le compte de l’Autorité palestinienne de la Cisjordanie et de la bande de Gaza.</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Cisjordanie et dans la bande de Gaza, selon leurs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rPr>
      </w:pPr>
      <w:r>
        <w:rPr>
          <w:noProof/>
        </w:rPr>
        <w:t>5.</w:t>
      </w:r>
      <w:r>
        <w:rPr>
          <w:noProof/>
        </w:rPr>
        <w:tab/>
        <w:t>L’interdiction visée au paragraphe 1 du présent article ne s’applique pas aux échanges bilatéraux entre les parties sans application du cumul avec des matières originaires d’une autre partie contractante appliquant les règles.</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comité mixte à la demande d’une partie. Lors de ce réexamen, le comité mixte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mixte.</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Cisjordanie et la bande de Gaza, à condition que les accords de libre-échange reprenant les présentes règles soient applicables entre l’Organisation de libération de la Palestine (OLP), agissant pour le compte de l’Autorité palestinienne de la Cisjordanie et de la bande de Gaza,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rPr>
          <w:noProof/>
        </w:rPr>
      </w:pPr>
    </w:p>
    <w:p>
      <w:pPr>
        <w:pStyle w:val="Text1"/>
        <w:rPr>
          <w:noProof/>
        </w:rPr>
      </w:pP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Cisjordanie et de la bande de Gaza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L’Organisation de libération de la Palestine (OLP), agissant pour le compte de l’Autorité palestinienne de la Cisjordanie et de la bande de Gaza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46750" cy="876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87630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6"/>
        <w:gridCol w:w="4832"/>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Cisjordanie et de la bande de Gaza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Cisjordanie et de la bande de Gaza:</w:t>
      </w:r>
    </w:p>
    <w:p>
      <w:pPr>
        <w:pStyle w:val="Point3"/>
        <w:rPr>
          <w:noProof/>
        </w:rPr>
      </w:pPr>
      <w:r>
        <w:rPr>
          <w:noProof/>
        </w:rPr>
        <w:t>a)</w:t>
      </w:r>
      <w:r>
        <w:rPr>
          <w:noProof/>
        </w:rPr>
        <w:tab/>
        <w:t>les produits entièrement obtenus en Cisjordanie et dans la bande de Gaza;</w:t>
      </w:r>
    </w:p>
    <w:p>
      <w:pPr>
        <w:pStyle w:val="Point3"/>
        <w:rPr>
          <w:noProof/>
        </w:rPr>
      </w:pPr>
      <w:r>
        <w:rPr>
          <w:noProof/>
        </w:rPr>
        <w:t>b)</w:t>
      </w:r>
      <w:r>
        <w:rPr>
          <w:noProof/>
        </w:rPr>
        <w:tab/>
        <w:t>les produits obtenus en Cisjordanie et dans la bande de Gaza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spacing w:before="0" w:after="200" w:line="276" w:lineRule="auto"/>
        <w:ind w:left="1418" w:hanging="567"/>
        <w:jc w:val="left"/>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187 du 16.7.1997,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11:51"/>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14"/>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C973A5F-6A8A-46E6-8BBE-8DF9785B05CC"/>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d\u8217?association euro-méditerranéen intérimaire relatif aux échanges et à la coopération entre la Communauté européenne, d\u8217?une part, et l\u8217?Organisation de libération de la Palestine (OLP), agissant pour le compte de l\u8217?Autorité palestinienne de la Cisjordanie et de la bande de Gaza, d\u8217?autre part, en ce qui concerne la modification du protocole nº 3 dudit accord relatif à la définition de la notion de «produits originaires» et aux méthodes de coopération administrative"/>
    <w:docVar w:name="LW_OBJETACTEPRINCIPAL.CP" w:val="relative à la position à prendre, au nom de l\u8217?Union européenne, au sein du comité mixte institué par l\u8217?accord d\u8217?association euro-méditerranéen intérimaire relatif aux échanges et à la coopération entre la Communauté européenne, d\u8217?une part, et l\u8217?Organisation de libération de la Palestine (OLP), agissant pour le compte de l\u8217?Autorité palestinienne de la Cisjordanie et de la bande de Gaza, d\u8217?autre part, en ce qui concerne la modification du protocole nº 3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A479-C45A-4CEE-901C-E66B71A9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32281</Words>
  <Characters>179484</Characters>
  <Application>Microsoft Office Word</Application>
  <DocSecurity>0</DocSecurity>
  <Lines>4377</Lines>
  <Paragraphs>2406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2020-09-07T07:59:00Z</dcterms:created>
  <dcterms:modified xsi:type="dcterms:W3CDTF">2020-09-08T09:11:00Z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