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DF4BDCA-0AC3-4BC4-AD7A-80879FAD9C48" style="width:450.45pt;height:437.7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noProof/>
        </w:rPr>
        <w:t xml:space="preserve"> </w:t>
      </w:r>
      <w:r>
        <w:rPr>
          <w:noProof/>
        </w:rPr>
        <w:br/>
        <w:t xml:space="preserve"> </w:t>
      </w:r>
      <w:r>
        <w:rPr>
          <w:noProof/>
        </w:rPr>
        <w:br/>
      </w:r>
      <w:r>
        <w:rPr>
          <w:b/>
          <w:noProof/>
        </w:rPr>
        <w:t>DÉCISION Nº… DU SOUS-COMITÉ DOUANIER UE-RÉPUBLIQUE DE MOLDAVIE</w:t>
      </w:r>
    </w:p>
    <w:p>
      <w:pPr>
        <w:spacing w:before="360" w:after="0"/>
        <w:jc w:val="center"/>
        <w:rPr>
          <w:b/>
          <w:noProof/>
        </w:rPr>
      </w:pPr>
      <w:r>
        <w:rPr>
          <w:b/>
          <w:noProof/>
        </w:rPr>
        <w:t>portant</w:t>
      </w:r>
    </w:p>
    <w:p>
      <w:pPr>
        <w:spacing w:before="360" w:after="0"/>
        <w:jc w:val="center"/>
        <w:rPr>
          <w:b/>
          <w:noProof/>
        </w:rPr>
      </w:pPr>
      <w:r>
        <w:rPr>
          <w:b/>
          <w:noProof/>
        </w:rPr>
        <w:t>modification du protocole II de l’accord d’association entre l’Union européenne et la Communauté européenne de l’énergie atomique et leurs États membres, d’une part, et la République de Moldavie, d’autre part, concernant la définition de la notion de «produits originaires» et les méthodes de coopération administrative</w:t>
      </w:r>
    </w:p>
    <w:p>
      <w:pPr>
        <w:keepNext/>
        <w:spacing w:before="600"/>
        <w:rPr>
          <w:caps/>
          <w:noProof/>
        </w:rPr>
      </w:pPr>
      <w:r>
        <w:rPr>
          <w:caps/>
          <w:noProof/>
        </w:rPr>
        <w:t>Le SOUS-COMITÉ DOUANIER UE-RÉPUBLIQUE DE MOLDAVIE,</w:t>
      </w:r>
    </w:p>
    <w:p>
      <w:pPr>
        <w:rPr>
          <w:noProof/>
        </w:rPr>
      </w:pPr>
      <w:r>
        <w:rPr>
          <w:noProof/>
        </w:rPr>
        <w:t>vu l’accord d’association entre l’Union européenne et la Communauté européenne de l’énergie atomique et leurs États membres, d’une part, et la République de Moldavie, d’autre part</w:t>
      </w:r>
      <w:r>
        <w:rPr>
          <w:rStyle w:val="FootnoteReference"/>
          <w:noProof/>
        </w:rPr>
        <w:footnoteReference w:id="2"/>
      </w:r>
      <w:r>
        <w:rPr>
          <w:noProof/>
        </w:rPr>
        <w:t>, et notamment l’article 3 de son protocole II concernant la définition de la notion de «produits originaires» et les méthodes de coopération administrative,</w:t>
      </w:r>
    </w:p>
    <w:p>
      <w:pPr>
        <w:rPr>
          <w:noProof/>
        </w:rPr>
      </w:pPr>
      <w:r>
        <w:rPr>
          <w:noProof/>
        </w:rPr>
        <w:t>considérant ce qui suit:</w:t>
      </w:r>
    </w:p>
    <w:p>
      <w:pPr>
        <w:pStyle w:val="Point0number"/>
        <w:numPr>
          <w:ilvl w:val="0"/>
          <w:numId w:val="1"/>
        </w:numPr>
        <w:ind w:left="851" w:hanging="851"/>
        <w:rPr>
          <w:noProof/>
        </w:rPr>
      </w:pPr>
      <w:r>
        <w:rPr>
          <w:noProof/>
        </w:rPr>
        <w:t>L’article 144, paragraphe 2, de l’accord d’association entre l’Union européenne et la Communauté européenne de l’énergie atomique et leurs États membres, d’une part, et la République de Moldavie, d’autre part, (l'«accord») fait référence au protocole II de l’accord (le «protocole II»), qui détermine les règles d’origine.</w:t>
      </w:r>
    </w:p>
    <w:p>
      <w:pPr>
        <w:pStyle w:val="Point0number"/>
        <w:ind w:left="851" w:hanging="851"/>
        <w:rPr>
          <w:noProof/>
        </w:rPr>
      </w:pPr>
      <w:r>
        <w:rPr>
          <w:noProof/>
        </w:rPr>
        <w:t>L’article 3 du protocole II dispose que le sous-comité douanier institué par l’article 200, de l’accord peut décider de modifier les dispositions dudit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a signé la convention le 15 juin 2011. Par sa décision nº 2 du 21 mai 2014, le comité mixte institué par l’article 3, paragraphe 1, de la convention a décidé qu’il convenait d’inviter la République de Moldavie à adhérer à la convention.</w:t>
      </w:r>
    </w:p>
    <w:p>
      <w:pPr>
        <w:pStyle w:val="Point0number"/>
        <w:rPr>
          <w:noProof/>
        </w:rPr>
      </w:pPr>
      <w:r>
        <w:rPr>
          <w:noProof/>
        </w:rPr>
        <w:t>L’Union européenne et la République de Moldavie ont déposé leurs instruments d’acceptation auprès du dépositaire de la convention respectivement le 26 mars 2012 et le 31 juillet 2015. En conséquence, conformément à l’article 10, paragraphe 3, de la convention, celle-ci est entrée en vigueur pour l’Union européenne et pour la République de Moldavie respectivement le 1</w:t>
      </w:r>
      <w:r>
        <w:rPr>
          <w:noProof/>
          <w:vertAlign w:val="superscript"/>
        </w:rPr>
        <w:t>er</w:t>
      </w:r>
      <w:r>
        <w:rPr>
          <w:noProof/>
        </w:rPr>
        <w:t> mai 2012 et le 1</w:t>
      </w:r>
      <w:r>
        <w:rPr>
          <w:noProof/>
          <w:vertAlign w:val="superscript"/>
        </w:rPr>
        <w:t>er</w:t>
      </w:r>
      <w:r>
        <w:rPr>
          <w:noProof/>
        </w:rPr>
        <w:t> septembre 2015.</w:t>
      </w:r>
    </w:p>
    <w:p>
      <w:pPr>
        <w:pStyle w:val="Point0number"/>
        <w:rPr>
          <w:noProof/>
        </w:rPr>
      </w:pPr>
      <w:r>
        <w:rPr>
          <w:noProof/>
        </w:rPr>
        <w:t>Le protocole II a été remplacé par un nouveau protocole faisant référence à la convention par la décision nº 1/2016 du sous-comité douanier UE-République de Moldavie du 6 octobre 2016</w:t>
      </w:r>
      <w:r>
        <w:rPr>
          <w:rStyle w:val="FootnoteReference"/>
          <w:noProof/>
        </w:rPr>
        <w:footnoteReference w:id="4"/>
      </w:r>
      <w:r>
        <w:rPr>
          <w:noProof/>
        </w:rPr>
        <w:t>.</w:t>
      </w:r>
    </w:p>
    <w:p>
      <w:pPr>
        <w:pStyle w:val="Point0number"/>
        <w:rPr>
          <w:noProof/>
        </w:rPr>
      </w:pPr>
      <w:r>
        <w:rPr>
          <w:noProof/>
        </w:rPr>
        <w:t>L’Union européenne et la République de Moldavie sont convenues d’introduire un ensemble de règles modifiées qui pourraient être utilisées de façon bilatérale comme règles d’origine de substitution aux règles d’origine prévues par la convention, dans l’attente de la finalisation et de l’entrée en vigueur de la modification de la convention en cours, sur laquelle s’appuient les règles transitoires.</w:t>
      </w:r>
    </w:p>
    <w:p>
      <w:pPr>
        <w:pStyle w:val="Point0number"/>
        <w:rPr>
          <w:noProof/>
        </w:rPr>
      </w:pPr>
      <w:r>
        <w:rPr>
          <w:noProof/>
        </w:rPr>
        <w:t>Il convient dès lors de modifier le protocole II afin de faire référence à la convention de manière dynamique, dans la mesure où elle est susceptible d’être modifiée par la suite, et de prévoir un ensemble de règles de substitution,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II de l’accord d’association entre l’Union européenne et la Communauté européenne de l’énergie atomique et leurs États membres, d’une part, et la République de Moldavie, d’autre part, concernant la définition de la notion de «produits originaires» et les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sous-comité douanier</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II</w:t>
      </w:r>
    </w:p>
    <w:p>
      <w:pPr>
        <w:spacing w:before="0" w:after="240"/>
        <w:jc w:val="center"/>
        <w:rPr>
          <w:b/>
          <w:noProof/>
        </w:rPr>
      </w:pPr>
      <w:r>
        <w:rPr>
          <w:b/>
          <w:noProof/>
        </w:rPr>
        <w:t>relatif à la définition de la notion de “produits originaires” et aux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5"/>
      </w:r>
      <w:r>
        <w:rPr>
          <w:noProof/>
        </w:rPr>
        <w:t xml:space="preserve"> (la “convention”), tels qu’ils pourraient être ultérieurement modifiés et publiés au Journal officiel de l’Union européenne,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au présent accord.</w:t>
      </w:r>
    </w:p>
    <w:p>
      <w:pPr>
        <w:rPr>
          <w:noProof/>
        </w:rPr>
      </w:pPr>
      <w:r>
        <w:rPr>
          <w:noProof/>
        </w:rPr>
        <w:t>3.</w:t>
      </w:r>
      <w:r>
        <w:rPr>
          <w:noProof/>
        </w:rPr>
        <w:tab/>
        <w:t>Nonobstant l’article 16, paragraphe 5, et l’article 21, paragraphe 3, de l’appendice I de la convention, lorsque le cumul ne concerne que les États de l’AELE, les Îles Féroé, l’Union européenne, la Turquie, les participants au processus de stabilisation et d’association, la République de Moldavie, la Géorgie et l’Ukraine, la preuve de l’origine peut être un certificat de circulation des marchandises EUR.1 ou une déclaration d’origine.</w:t>
      </w:r>
    </w:p>
    <w:p>
      <w:pPr>
        <w:rPr>
          <w:noProof/>
        </w:rPr>
      </w:pP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du présent accord, les produits qui acquièrent l’origine préférentielle conformément aux dispositions de l’appendice A du présent protocole sont également considérés comme originaires de l’Union européenne ou de la République de Moldavie.</w:t>
      </w:r>
    </w:p>
    <w:p>
      <w:pPr>
        <w:rPr>
          <w:noProof/>
        </w:rPr>
      </w:pPr>
      <w:r>
        <w:rPr>
          <w:noProof/>
        </w:rPr>
        <w:t>2.</w:t>
      </w:r>
      <w:r>
        <w:rPr>
          <w:noProof/>
        </w:rPr>
        <w:tab/>
        <w:t>Les règles de substitution s’appliquent jusqu’à l’entrée en vigueur de la modification de la convention, sur laquelle s’appuient les règles de substitution.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34 de l’appendice A du présent protocole ne peuvent être réglés entre les autorités douanières ayant sollicité le contrôle et celles responsables de sa réalisation, ils sont soumis au sous-comité douanier.</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rPr>
          <w:noProof/>
        </w:rPr>
      </w:pP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sous-comité douanier peut décider de modifier les dispositions du présent protocole.</w:t>
      </w:r>
    </w:p>
    <w:p>
      <w:pPr>
        <w:rPr>
          <w:noProof/>
        </w:rPr>
      </w:pP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la République de Moldavie notifie par écrit au dépositaire de la convention son intention de dénoncer la convention conformément à l’article 9 de cette dernière, l’Union européenne et la République de Moldavie engagent immédiatement des négociations sur les règles d’origine aux fins de la mise en œuvre du présent accord.</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la République de Moldavie uniquement.</w:t>
      </w:r>
    </w:p>
    <w:p>
      <w:pPr>
        <w:rPr>
          <w:noProof/>
        </w:rPr>
      </w:pP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APPENDICE A</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Espace économique européen</w:t>
      </w:r>
    </w:p>
    <w:p>
      <w:pPr>
        <w:pStyle w:val="Text1"/>
        <w:tabs>
          <w:tab w:val="left" w:pos="2268"/>
        </w:tabs>
        <w:rPr>
          <w:noProof/>
        </w:rPr>
      </w:pPr>
      <w:r>
        <w:rPr>
          <w:noProof/>
        </w:rPr>
        <w:t>Article 38</w:t>
      </w:r>
      <w:r>
        <w:rPr>
          <w:noProof/>
        </w:rPr>
        <w:tab/>
      </w:r>
      <w:r>
        <w:rPr>
          <w:b/>
          <w:noProof/>
        </w:rPr>
        <w:t>Liechtenstein</w:t>
      </w:r>
    </w:p>
    <w:p>
      <w:pPr>
        <w:pStyle w:val="Text1"/>
        <w:tabs>
          <w:tab w:val="left" w:pos="2268"/>
        </w:tabs>
        <w:rPr>
          <w:noProof/>
        </w:rPr>
      </w:pPr>
      <w:r>
        <w:rPr>
          <w:noProof/>
        </w:rPr>
        <w:t>Article 39</w:t>
      </w:r>
      <w:r>
        <w:rPr>
          <w:noProof/>
        </w:rPr>
        <w:tab/>
      </w:r>
      <w:r>
        <w:rPr>
          <w:b/>
          <w:noProof/>
        </w:rPr>
        <w:t>République de Saint-Marin</w:t>
      </w:r>
    </w:p>
    <w:p>
      <w:pPr>
        <w:pStyle w:val="Text1"/>
        <w:tabs>
          <w:tab w:val="left" w:pos="2268"/>
        </w:tabs>
        <w:rPr>
          <w:noProof/>
        </w:rPr>
      </w:pPr>
      <w:r>
        <w:rPr>
          <w:noProof/>
        </w:rPr>
        <w:t>Article 40</w:t>
      </w:r>
      <w:r>
        <w:rPr>
          <w:noProof/>
        </w:rPr>
        <w:tab/>
      </w:r>
      <w:r>
        <w:rPr>
          <w:b/>
          <w:noProof/>
        </w:rPr>
        <w:t>Principauté d’Andorre</w:t>
      </w:r>
    </w:p>
    <w:p>
      <w:pPr>
        <w:pStyle w:val="Text1"/>
        <w:tabs>
          <w:tab w:val="left" w:pos="2268"/>
        </w:tabs>
        <w:rPr>
          <w:noProof/>
        </w:rPr>
      </w:pPr>
      <w:r>
        <w:rPr>
          <w:noProof/>
        </w:rPr>
        <w:t>Article 41</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TITRE I </w:t>
      </w:r>
      <w:r>
        <w:rPr>
          <w:noProof/>
        </w:rPr>
        <w:br/>
      </w:r>
      <w:r>
        <w:rPr>
          <w:b/>
          <w:noProof/>
        </w:rPr>
        <w:t>DISPOSITIONS GÉNÉRALES</w:t>
      </w:r>
    </w:p>
    <w:p>
      <w:pPr>
        <w:pStyle w:val="Text1"/>
        <w:jc w:val="center"/>
        <w:rPr>
          <w:i/>
          <w:noProof/>
        </w:rPr>
      </w:pPr>
      <w:r>
        <w:rPr>
          <w:i/>
          <w:noProof/>
        </w:rPr>
        <w:t>Article 1</w:t>
      </w:r>
      <w:r>
        <w:rPr>
          <w:i/>
          <w:noProof/>
          <w:vertAlign w:val="superscript"/>
        </w:rPr>
        <w:t>er</w:t>
      </w:r>
      <w:r>
        <w:rPr>
          <w:noProof/>
        </w:rPr>
        <w:t xml:space="preserve"> </w:t>
      </w:r>
      <w:r>
        <w:rPr>
          <w:noProof/>
        </w:rPr>
        <w:br/>
      </w: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cstheme="minorBidi"/>
          <w:noProof/>
        </w:rPr>
      </w:pPr>
    </w:p>
    <w:p>
      <w:pPr>
        <w:pStyle w:val="Text1"/>
        <w:jc w:val="center"/>
        <w:rPr>
          <w:b/>
          <w:noProof/>
        </w:rPr>
      </w:pPr>
      <w:r>
        <w:rPr>
          <w:noProof/>
        </w:rPr>
        <w:t xml:space="preserve">TITRE II </w:t>
      </w:r>
      <w:r>
        <w:rPr>
          <w:noProof/>
        </w:rPr>
        <w:br/>
      </w:r>
      <w:r>
        <w:rPr>
          <w:b/>
          <w:noProof/>
        </w:rPr>
        <w:t>DÉFINITION DE LA NOTION DE PRODUITS ORIGINAIRES</w:t>
      </w:r>
    </w:p>
    <w:p>
      <w:pPr>
        <w:pStyle w:val="Text1"/>
        <w:jc w:val="center"/>
        <w:rPr>
          <w:i/>
          <w:noProof/>
        </w:rPr>
      </w:pPr>
      <w:r>
        <w:rPr>
          <w:i/>
          <w:noProof/>
        </w:rPr>
        <w:t>Article 2</w:t>
      </w:r>
      <w:r>
        <w:rPr>
          <w:noProof/>
        </w:rPr>
        <w:t xml:space="preserve"> </w:t>
      </w:r>
      <w:r>
        <w:rPr>
          <w:noProof/>
        </w:rPr>
        <w:br/>
      </w:r>
      <w:r>
        <w:rPr>
          <w:b/>
          <w:noProof/>
        </w:rPr>
        <w:t>Conditions générales</w:t>
      </w:r>
    </w:p>
    <w:p>
      <w:pPr>
        <w:autoSpaceDE w:val="0"/>
        <w:autoSpaceDN w:val="0"/>
        <w:ind w:left="851" w:hanging="1"/>
        <w:rPr>
          <w:noProof/>
        </w:rPr>
      </w:pPr>
      <w:r>
        <w:rPr>
          <w:noProof/>
        </w:rPr>
        <w:t>Aux fins de la mise en œuvre du présent accord, les produits suivants sont considérés comme originaires d’une partie lorsqu’ils sont exportés vers l’autre partie:</w:t>
      </w:r>
    </w:p>
    <w:p>
      <w:pPr>
        <w:pStyle w:val="Point2letter"/>
        <w:rPr>
          <w:noProof/>
        </w:rPr>
      </w:pPr>
      <w:r>
        <w:rPr>
          <w:noProof/>
        </w:rPr>
        <w:t>les produits entièrement obtenus dans une partie au sens de l’article 3;</w:t>
      </w:r>
    </w:p>
    <w:p>
      <w:pPr>
        <w:pStyle w:val="Point2letter"/>
        <w:rPr>
          <w:noProof/>
        </w:rPr>
      </w:pPr>
      <w:r>
        <w:rPr>
          <w:noProof/>
        </w:rPr>
        <w:t>les produits obtenus dans une partie et contenant des matières qui n’y ont pas été entièrement obtenues, à condition que ces matières aient fait l’objet, dans cette partie, d’ouvraisons ou de transformations suffisantes au sens de l’article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r>
        <w:rPr>
          <w:noProof/>
        </w:rPr>
        <w:t xml:space="preserve"> </w:t>
      </w:r>
      <w:r>
        <w:rPr>
          <w:noProof/>
        </w:rPr>
        <w:br/>
      </w: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noProof/>
        </w:rPr>
        <w:t>Article 5</w:t>
      </w:r>
      <w:r>
        <w:rPr>
          <w:noProof/>
        </w:rPr>
        <w:t xml:space="preserve"> </w:t>
      </w:r>
      <w:r>
        <w:rPr>
          <w:noProof/>
        </w:rPr>
        <w:br/>
      </w:r>
      <w:r>
        <w:rPr>
          <w:b/>
          <w:noProof/>
        </w:rPr>
        <w:t>Règle de 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noProof/>
        </w:rPr>
        <w:t>Article 6</w:t>
      </w:r>
      <w:r>
        <w:rPr>
          <w:noProof/>
        </w:rPr>
        <w:t xml:space="preserve"> </w:t>
      </w:r>
      <w:r>
        <w:rPr>
          <w:noProof/>
        </w:rPr>
        <w:br/>
      </w: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w:t>
      </w:r>
    </w:p>
    <w:p>
      <w:pPr>
        <w:pStyle w:val="Point2"/>
        <w:rPr>
          <w:noProof/>
        </w:rPr>
      </w:pPr>
      <w:r>
        <w:rPr>
          <w:noProof/>
        </w:rPr>
        <w:t>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noProof/>
        </w:rPr>
        <w:t>Article 7</w:t>
      </w:r>
      <w:r>
        <w:rPr>
          <w:noProof/>
        </w:rPr>
        <w:t xml:space="preserve"> </w:t>
      </w:r>
      <w:r>
        <w:rPr>
          <w:noProof/>
        </w:rPr>
        <w:br/>
      </w: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noProof/>
        </w:rPr>
        <w:t>Article 8</w:t>
      </w:r>
      <w:r>
        <w:rPr>
          <w:noProof/>
        </w:rPr>
        <w:t xml:space="preserve"> </w:t>
      </w:r>
      <w:r>
        <w:rPr>
          <w:noProof/>
        </w:rPr>
        <w:br/>
      </w: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en République de Moldavie, selon les procédures propres à cette dernière.</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noProof/>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6"/>
      </w:r>
      <w:r>
        <w:rPr>
          <w:noProof/>
        </w:rPr>
        <w:t>.</w:t>
      </w:r>
    </w:p>
    <w:p>
      <w:pPr>
        <w:pStyle w:val="Point1"/>
        <w:ind w:firstLine="0"/>
        <w:rPr>
          <w:noProof/>
        </w:rPr>
      </w:pPr>
      <w:r>
        <w:rPr>
          <w:noProof/>
        </w:rPr>
        <w:t>Les parties notifient cette dérogation à la Commission européenne conformément à l’article 8, paragraphe 2.</w:t>
      </w:r>
    </w:p>
    <w:p>
      <w:pPr>
        <w:pStyle w:val="Text1"/>
        <w:jc w:val="center"/>
        <w:rPr>
          <w:i/>
          <w:noProof/>
        </w:rPr>
      </w:pPr>
      <w:r>
        <w:rPr>
          <w:i/>
          <w:noProof/>
        </w:rPr>
        <w:t>Article 9</w:t>
      </w:r>
      <w:r>
        <w:rPr>
          <w:noProof/>
        </w:rPr>
        <w:t xml:space="preserve"> </w:t>
      </w:r>
      <w:r>
        <w:rPr>
          <w:noProof/>
        </w:rPr>
        <w:br/>
      </w: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noProof/>
        </w:rPr>
      </w:pPr>
      <w:r>
        <w:rPr>
          <w:i/>
          <w:iCs/>
          <w:noProof/>
        </w:rPr>
        <w:t>Article 10</w:t>
      </w:r>
      <w:r>
        <w:rPr>
          <w:noProof/>
        </w:rPr>
        <w:t xml:space="preserve"> </w:t>
      </w:r>
      <w:r>
        <w:rPr>
          <w:noProof/>
        </w:rPr>
        <w:br/>
      </w: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noProof/>
        </w:rPr>
        <w:t>Article 11</w:t>
      </w:r>
      <w:r>
        <w:rPr>
          <w:noProof/>
        </w:rPr>
        <w:t xml:space="preserve"> </w:t>
      </w:r>
      <w:r>
        <w:rPr>
          <w:noProof/>
        </w:rPr>
        <w:br/>
      </w: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noProof/>
        </w:rPr>
        <w:t>Article 12</w:t>
      </w:r>
      <w:r>
        <w:rPr>
          <w:noProof/>
        </w:rPr>
        <w:t xml:space="preserve"> </w:t>
      </w:r>
      <w:r>
        <w:rPr>
          <w:noProof/>
        </w:rPr>
        <w:br/>
      </w: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rPr>
          <w:noProof/>
        </w:rPr>
      </w:pPr>
    </w:p>
    <w:p>
      <w:pPr>
        <w:pStyle w:val="Point1"/>
        <w:jc w:val="center"/>
        <w:rPr>
          <w:b/>
          <w:noProof/>
        </w:rPr>
      </w:pPr>
      <w:r>
        <w:rPr>
          <w:noProof/>
        </w:rPr>
        <w:t xml:space="preserve">TITRE III </w:t>
      </w:r>
      <w:r>
        <w:rPr>
          <w:noProof/>
        </w:rPr>
        <w:br/>
      </w:r>
      <w:r>
        <w:rPr>
          <w:b/>
          <w:noProof/>
        </w:rPr>
        <w:t>CONDITIONS TERRITORIALES</w:t>
      </w:r>
    </w:p>
    <w:p>
      <w:pPr>
        <w:pStyle w:val="Text1"/>
        <w:jc w:val="center"/>
        <w:rPr>
          <w:i/>
          <w:noProof/>
        </w:rPr>
      </w:pPr>
      <w:r>
        <w:rPr>
          <w:i/>
          <w:noProof/>
        </w:rPr>
        <w:t>Article 13</w:t>
      </w:r>
      <w:r>
        <w:rPr>
          <w:noProof/>
        </w:rPr>
        <w:t xml:space="preserve"> </w:t>
      </w:r>
      <w:r>
        <w:rPr>
          <w:noProof/>
        </w:rPr>
        <w:br/>
      </w: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noProof/>
        </w:rPr>
        <w:t>Article 14</w:t>
      </w:r>
      <w:r>
        <w:rPr>
          <w:noProof/>
        </w:rPr>
        <w:t xml:space="preserve"> </w:t>
      </w:r>
      <w:r>
        <w:rPr>
          <w:noProof/>
        </w:rPr>
        <w:br/>
      </w: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Text1"/>
        <w:jc w:val="center"/>
        <w:rPr>
          <w:i/>
          <w:noProof/>
        </w:rPr>
      </w:pPr>
      <w:r>
        <w:rPr>
          <w:i/>
          <w:noProof/>
        </w:rPr>
        <w:t>Article 15</w:t>
      </w:r>
      <w:r>
        <w:rPr>
          <w:noProof/>
        </w:rPr>
        <w:t xml:space="preserve"> </w:t>
      </w:r>
      <w:r>
        <w:rPr>
          <w:noProof/>
        </w:rPr>
        <w:br/>
      </w: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b/>
          <w:noProof/>
        </w:rPr>
      </w:pPr>
      <w:r>
        <w:rPr>
          <w:noProof/>
        </w:rPr>
        <w:t xml:space="preserve">TITRE IV </w:t>
      </w:r>
      <w:r>
        <w:rPr>
          <w:noProof/>
        </w:rPr>
        <w:br/>
      </w:r>
      <w:r>
        <w:rPr>
          <w:b/>
          <w:noProof/>
        </w:rPr>
        <w:t>RISTOURNES OU EXONÉRATIONS</w:t>
      </w:r>
    </w:p>
    <w:p>
      <w:pPr>
        <w:pStyle w:val="Text1"/>
        <w:jc w:val="center"/>
        <w:rPr>
          <w:i/>
          <w:noProof/>
        </w:rPr>
      </w:pPr>
      <w:r>
        <w:rPr>
          <w:i/>
          <w:noProof/>
        </w:rPr>
        <w:t>Article 16</w:t>
      </w:r>
      <w:r>
        <w:rPr>
          <w:noProof/>
        </w:rPr>
        <w:t xml:space="preserve"> </w:t>
      </w:r>
      <w:r>
        <w:rPr>
          <w:noProof/>
        </w:rPr>
        <w:br/>
      </w:r>
      <w:r>
        <w:rPr>
          <w:b/>
          <w:noProof/>
        </w:rPr>
        <w:t>Ristournes ou exonérations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r>
        <w:rPr>
          <w:noProof/>
        </w:rPr>
        <w:t>4.</w:t>
      </w:r>
      <w:r>
        <w:rPr>
          <w:noProof/>
        </w:rPr>
        <w:tab/>
        <w:t>L’interdiction prévue au paragraphe 1 du présent article ne s’applique pas aux échanges entre les parties pour les produits qui ont obtenu le caractère originaire par application du cumul de l’origine couvert par l’article 7, paragraphe 4 ou 5.</w:t>
      </w:r>
    </w:p>
    <w:p>
      <w:pPr>
        <w:pStyle w:val="Point1"/>
        <w:rPr>
          <w:rFonts w:eastAsia="Times New Roman"/>
          <w:noProof/>
          <w:szCs w:val="24"/>
          <w:lang w:eastAsia="en-GB"/>
        </w:rPr>
      </w:pPr>
    </w:p>
    <w:p>
      <w:pPr>
        <w:pStyle w:val="Point1"/>
        <w:jc w:val="center"/>
        <w:rPr>
          <w:b/>
          <w:noProof/>
        </w:rPr>
      </w:pPr>
      <w:r>
        <w:rPr>
          <w:noProof/>
        </w:rPr>
        <w:t xml:space="preserve">TITRE V </w:t>
      </w:r>
      <w:r>
        <w:rPr>
          <w:noProof/>
        </w:rPr>
        <w:br/>
      </w:r>
      <w:r>
        <w:rPr>
          <w:b/>
          <w:noProof/>
        </w:rPr>
        <w:t>PREUVE DE L’ORIGINE</w:t>
      </w:r>
    </w:p>
    <w:p>
      <w:pPr>
        <w:pStyle w:val="Text1"/>
        <w:jc w:val="center"/>
        <w:rPr>
          <w:i/>
          <w:noProof/>
        </w:rPr>
      </w:pPr>
      <w:r>
        <w:rPr>
          <w:i/>
          <w:noProof/>
        </w:rPr>
        <w:t>Article 17</w:t>
      </w:r>
      <w:r>
        <w:rPr>
          <w:noProof/>
        </w:rPr>
        <w:t xml:space="preserve"> </w:t>
      </w:r>
      <w:r>
        <w:rPr>
          <w:noProof/>
        </w:rPr>
        <w:br/>
      </w: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noProof/>
        </w:rPr>
        <w:t>Article 18</w:t>
      </w:r>
      <w:r>
        <w:rPr>
          <w:noProof/>
        </w:rPr>
        <w:t xml:space="preserve"> </w:t>
      </w:r>
      <w:r>
        <w:rPr>
          <w:noProof/>
        </w:rPr>
        <w:br/>
      </w: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Une déclaration d’origine peut être établie si les produits en question peuvent être considérés comme des produits originaires d’une partie contractante appliquant les règles, et qu’ils remplissent les autres conditions des présentes règles.</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noProof/>
        </w:rPr>
        <w:t>Article 19</w:t>
      </w:r>
      <w:r>
        <w:rPr>
          <w:noProof/>
        </w:rPr>
        <w:t xml:space="preserve"> </w:t>
      </w:r>
      <w:r>
        <w:rPr>
          <w:noProof/>
        </w:rPr>
        <w:br/>
      </w: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noProof/>
        </w:rPr>
        <w:t>Article 20</w:t>
      </w:r>
      <w:r>
        <w:rPr>
          <w:noProof/>
        </w:rPr>
        <w:t xml:space="preserve"> </w:t>
      </w:r>
      <w:r>
        <w:rPr>
          <w:noProof/>
        </w:rPr>
        <w:br/>
      </w: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Un certificat d’origine est délivré par les autorités compétentes de la partie exportatrice si les produits concernés peuvent être considérés comme des produits originaires et qu’ils remplissent les autres conditions des présentes règles.</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r>
        <w:rPr>
          <w:noProof/>
        </w:rPr>
        <w:t xml:space="preserve"> </w:t>
      </w:r>
      <w:r>
        <w:rPr>
          <w:noProof/>
        </w:rPr>
        <w:br/>
      </w: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Nonobstant l’article 20, paragraphe 3, les certificats de circulation des marchandises EUR.1 délivrés a posteriori sont revêtus de la mention suivante en anglais: “ISSUED RETROSPECTIVELY”.</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 xml:space="preserve">Article 22 </w:t>
      </w:r>
      <w:r>
        <w:rPr>
          <w:noProof/>
        </w:rPr>
        <w:br/>
      </w: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Nonobstant l’article 20, paragraphe 3, le duplicata délivré conformément au paragraphe 1 du présent article est revêtu de la mention suivante en anglais: “DUPLICATE”.</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noProof/>
        </w:rPr>
        <w:t>Article 23</w:t>
      </w:r>
      <w:r>
        <w:rPr>
          <w:noProof/>
        </w:rPr>
        <w:t xml:space="preserve"> </w:t>
      </w:r>
      <w:r>
        <w:rPr>
          <w:noProof/>
        </w:rPr>
        <w:br/>
      </w: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Text1"/>
        <w:jc w:val="center"/>
        <w:rPr>
          <w:i/>
          <w:noProof/>
        </w:rPr>
      </w:pPr>
      <w:r>
        <w:rPr>
          <w:i/>
          <w:noProof/>
        </w:rPr>
        <w:t>Article 24</w:t>
      </w:r>
      <w:r>
        <w:rPr>
          <w:noProof/>
        </w:rPr>
        <w:t xml:space="preserve"> </w:t>
      </w:r>
      <w:r>
        <w:rPr>
          <w:noProof/>
        </w:rPr>
        <w:br/>
      </w: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noProof/>
        </w:rPr>
        <w:t xml:space="preserve"> </w:t>
      </w:r>
      <w:r>
        <w:rPr>
          <w:noProof/>
        </w:rPr>
        <w:br/>
      </w: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jc w:val="center"/>
        <w:rPr>
          <w:i/>
          <w:noProof/>
        </w:rPr>
      </w:pPr>
      <w:r>
        <w:rPr>
          <w:i/>
          <w:noProof/>
        </w:rPr>
        <w:t>Article 26</w:t>
      </w:r>
      <w:r>
        <w:rPr>
          <w:noProof/>
        </w:rPr>
        <w:t xml:space="preserve"> </w:t>
      </w:r>
      <w:r>
        <w:rPr>
          <w:noProof/>
        </w:rPr>
        <w:br/>
      </w: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ind w:left="1440"/>
        <w:jc w:val="center"/>
        <w:rPr>
          <w:i/>
          <w:noProof/>
        </w:rPr>
      </w:pPr>
      <w:r>
        <w:rPr>
          <w:i/>
          <w:noProof/>
        </w:rPr>
        <w:t>Article 27</w:t>
      </w:r>
      <w:r>
        <w:rPr>
          <w:noProof/>
        </w:rPr>
        <w:t xml:space="preserve"> </w:t>
      </w:r>
      <w:r>
        <w:rPr>
          <w:noProof/>
        </w:rPr>
        <w:br/>
      </w:r>
      <w:r>
        <w:rPr>
          <w:b/>
          <w:noProof/>
        </w:rPr>
        <w:t>Exemption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noProof/>
        </w:rPr>
        <w:t>Article 28</w:t>
      </w:r>
      <w:r>
        <w:rPr>
          <w:noProof/>
        </w:rPr>
        <w:t xml:space="preserve"> </w:t>
      </w:r>
      <w:r>
        <w:rPr>
          <w:noProof/>
        </w:rPr>
        <w:br/>
      </w: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noProof/>
        </w:rPr>
        <w:t>Article 29</w:t>
      </w:r>
      <w:r>
        <w:rPr>
          <w:noProof/>
        </w:rPr>
        <w:t xml:space="preserve"> </w:t>
      </w:r>
      <w:r>
        <w:rPr>
          <w:noProof/>
        </w:rPr>
        <w:br/>
      </w: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noProof/>
        </w:rPr>
        <w:t>Article 30</w:t>
      </w:r>
      <w:r>
        <w:rPr>
          <w:noProof/>
        </w:rPr>
        <w:t xml:space="preserve"> </w:t>
      </w:r>
      <w:r>
        <w:rPr>
          <w:noProof/>
        </w:rPr>
        <w:br/>
      </w: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sous-comité douanier à la demande d’une partie. Lors de ce réexamen, le sous-comité douanier étudie l’opportunité de préserver les effets des limites concernées en termes réels. À cette fin, il est habilité à décider de modifier les montants exprimés en euros.</w:t>
      </w:r>
    </w:p>
    <w:p>
      <w:pPr>
        <w:pStyle w:val="Point1"/>
        <w:rPr>
          <w:noProof/>
        </w:rPr>
      </w:pPr>
    </w:p>
    <w:p>
      <w:pPr>
        <w:pStyle w:val="Point1"/>
        <w:jc w:val="center"/>
        <w:rPr>
          <w:b/>
          <w:noProof/>
        </w:rPr>
      </w:pPr>
      <w:r>
        <w:rPr>
          <w:noProof/>
        </w:rPr>
        <w:t xml:space="preserve">TITRE VI </w:t>
      </w:r>
      <w:r>
        <w:rPr>
          <w:noProof/>
        </w:rPr>
        <w:br/>
      </w:r>
      <w:r>
        <w:rPr>
          <w:b/>
          <w:noProof/>
        </w:rPr>
        <w:t>PRINCIPES DE COOPÉRATION ET PIÈCES JUSTIFICATIVES</w:t>
      </w:r>
    </w:p>
    <w:p>
      <w:pPr>
        <w:pStyle w:val="Text1"/>
        <w:jc w:val="center"/>
        <w:rPr>
          <w:i/>
          <w:noProof/>
        </w:rPr>
      </w:pPr>
      <w:r>
        <w:rPr>
          <w:i/>
          <w:noProof/>
        </w:rPr>
        <w:t>Article 31</w:t>
      </w:r>
      <w:r>
        <w:rPr>
          <w:noProof/>
        </w:rPr>
        <w:t xml:space="preserve"> </w:t>
      </w:r>
      <w:r>
        <w:rPr>
          <w:noProof/>
        </w:rPr>
        <w:br/>
      </w: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noProof/>
        </w:rPr>
        <w:t>Article 32</w:t>
      </w:r>
      <w:r>
        <w:rPr>
          <w:noProof/>
        </w:rPr>
        <w:t xml:space="preserve"> </w:t>
      </w:r>
      <w:r>
        <w:rPr>
          <w:noProof/>
        </w:rPr>
        <w:br/>
      </w: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sous-comité douanier.</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jc w:val="center"/>
        <w:rPr>
          <w:noProof/>
        </w:rPr>
      </w:pPr>
    </w:p>
    <w:p>
      <w:pPr>
        <w:pStyle w:val="Text1"/>
        <w:jc w:val="center"/>
        <w:rPr>
          <w:b/>
          <w:noProof/>
        </w:rPr>
      </w:pPr>
      <w:r>
        <w:rPr>
          <w:noProof/>
        </w:rPr>
        <w:t xml:space="preserve">TITRE VII </w:t>
      </w:r>
      <w:r>
        <w:rPr>
          <w:noProof/>
        </w:rPr>
        <w:br/>
      </w:r>
      <w:r>
        <w:rPr>
          <w:b/>
          <w:noProof/>
        </w:rPr>
        <w:t>COOPÉRATION ADMINISTRATIVE</w:t>
      </w:r>
    </w:p>
    <w:p>
      <w:pPr>
        <w:pStyle w:val="Text1"/>
        <w:jc w:val="center"/>
        <w:rPr>
          <w:i/>
          <w:noProof/>
        </w:rPr>
      </w:pPr>
      <w:r>
        <w:rPr>
          <w:i/>
          <w:noProof/>
        </w:rPr>
        <w:t>Article 33</w:t>
      </w:r>
      <w:r>
        <w:rPr>
          <w:noProof/>
        </w:rPr>
        <w:t xml:space="preserve"> </w:t>
      </w:r>
      <w:r>
        <w:rPr>
          <w:noProof/>
        </w:rPr>
        <w:br/>
      </w:r>
      <w:r>
        <w:rPr>
          <w:b/>
          <w:noProof/>
        </w:rPr>
        <w:t>Notification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noProof/>
        </w:rPr>
        <w:t>Article 34</w:t>
      </w:r>
      <w:r>
        <w:rPr>
          <w:noProof/>
        </w:rPr>
        <w:t xml:space="preserve"> </w:t>
      </w:r>
      <w:r>
        <w:rPr>
          <w:noProof/>
        </w:rPr>
        <w:br/>
      </w: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noProof/>
        </w:rPr>
        <w:t>Article 35</w:t>
      </w:r>
      <w:r>
        <w:rPr>
          <w:noProof/>
        </w:rPr>
        <w:t xml:space="preserve"> </w:t>
      </w:r>
      <w:r>
        <w:rPr>
          <w:noProof/>
        </w:rPr>
        <w:br/>
      </w: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Text1"/>
        <w:jc w:val="center"/>
        <w:rPr>
          <w:i/>
          <w:noProof/>
        </w:rPr>
      </w:pPr>
      <w:r>
        <w:rPr>
          <w:i/>
          <w:noProof/>
        </w:rPr>
        <w:t>Article 36</w:t>
      </w:r>
      <w:r>
        <w:rPr>
          <w:noProof/>
        </w:rPr>
        <w:t xml:space="preserve"> </w:t>
      </w:r>
      <w:r>
        <w:rPr>
          <w:noProof/>
        </w:rPr>
        <w:br/>
      </w: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p>
    <w:p>
      <w:pPr>
        <w:pStyle w:val="Text1"/>
        <w:rPr>
          <w:noProof/>
        </w:rPr>
      </w:pPr>
    </w:p>
    <w:p>
      <w:pPr>
        <w:pStyle w:val="Text1"/>
        <w:jc w:val="center"/>
        <w:rPr>
          <w:b/>
          <w:noProof/>
        </w:rPr>
      </w:pPr>
      <w:r>
        <w:rPr>
          <w:noProof/>
        </w:rPr>
        <w:t xml:space="preserve">TITRE VIII </w:t>
      </w:r>
      <w:r>
        <w:rPr>
          <w:noProof/>
        </w:rPr>
        <w:br/>
      </w:r>
      <w:r>
        <w:rPr>
          <w:b/>
          <w:bCs/>
          <w:noProof/>
        </w:rPr>
        <w:t>APPLICATION DE L’APPENDICE A</w:t>
      </w:r>
    </w:p>
    <w:p>
      <w:pPr>
        <w:pStyle w:val="Text1"/>
        <w:jc w:val="center"/>
        <w:rPr>
          <w:i/>
          <w:noProof/>
        </w:rPr>
      </w:pPr>
      <w:r>
        <w:rPr>
          <w:i/>
          <w:noProof/>
        </w:rPr>
        <w:t>Article 37</w:t>
      </w:r>
      <w:r>
        <w:rPr>
          <w:noProof/>
        </w:rPr>
        <w:t xml:space="preserve"> </w:t>
      </w:r>
      <w:r>
        <w:rPr>
          <w:noProof/>
        </w:rPr>
        <w:br/>
      </w:r>
      <w:r>
        <w:rPr>
          <w:b/>
          <w:noProof/>
        </w:rPr>
        <w:t>Espace économique européen</w:t>
      </w:r>
    </w:p>
    <w:p>
      <w:pPr>
        <w:autoSpaceDE w:val="0"/>
        <w:autoSpaceDN w:val="0"/>
        <w:ind w:left="720"/>
        <w:rPr>
          <w:noProof/>
        </w:rPr>
      </w:pPr>
      <w:r>
        <w:rPr>
          <w:noProof/>
        </w:rPr>
        <w:t>Les marchandises originaires de l’Espace économique européen (EEE) au sens du protocole 4 à l’accord sur l’Espace économique européen doivent être considérées comme originaires de l’Union européenne, d’Islande, du Liechtenstein ou de Norvège (les “parties de l’EEE”) lorsqu’elles sont exportées de l’Union européenne, d’Islande, du Liechtenstein ou de Norvège vers la République de Moldavie, à condition que les accords de libre-échange reprenant les présentes règles soient applicables entre la République de Moldavie et les parties de l’EEE.</w:t>
      </w:r>
    </w:p>
    <w:p>
      <w:pPr>
        <w:autoSpaceDE w:val="0"/>
        <w:autoSpaceDN w:val="0"/>
        <w:rPr>
          <w:noProof/>
        </w:rPr>
      </w:pPr>
    </w:p>
    <w:p>
      <w:pPr>
        <w:pStyle w:val="Text1"/>
        <w:jc w:val="center"/>
        <w:rPr>
          <w:i/>
          <w:noProof/>
        </w:rPr>
      </w:pPr>
      <w:r>
        <w:rPr>
          <w:i/>
          <w:noProof/>
        </w:rPr>
        <w:t xml:space="preserve">Article 38 </w:t>
      </w:r>
      <w:r>
        <w:rPr>
          <w:noProof/>
        </w:rPr>
        <w:br/>
      </w: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pStyle w:val="Text1"/>
        <w:jc w:val="center"/>
        <w:rPr>
          <w:i/>
          <w:noProof/>
        </w:rPr>
      </w:pPr>
      <w:r>
        <w:rPr>
          <w:i/>
          <w:noProof/>
        </w:rPr>
        <w:t>Article 39</w:t>
      </w:r>
      <w:r>
        <w:rPr>
          <w:noProof/>
        </w:rPr>
        <w:t xml:space="preserve"> </w:t>
      </w:r>
      <w:r>
        <w:rPr>
          <w:noProof/>
        </w:rPr>
        <w:br/>
      </w: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noProof/>
        </w:rPr>
        <w:t>Article 40</w:t>
      </w:r>
      <w:r>
        <w:rPr>
          <w:noProof/>
        </w:rPr>
        <w:t xml:space="preserve"> </w:t>
      </w:r>
      <w:r>
        <w:rPr>
          <w:noProof/>
        </w:rPr>
        <w:br/>
      </w: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jc w:val="center"/>
        <w:rPr>
          <w:i/>
          <w:noProof/>
        </w:rPr>
      </w:pPr>
      <w:r>
        <w:rPr>
          <w:i/>
          <w:noProof/>
        </w:rPr>
        <w:t>Article 41</w:t>
      </w:r>
      <w:r>
        <w:rPr>
          <w:noProof/>
        </w:rPr>
        <w:t xml:space="preserve"> </w:t>
      </w:r>
      <w:r>
        <w:rPr>
          <w:noProof/>
        </w:rPr>
        <w:br/>
      </w:r>
      <w:r>
        <w:rPr>
          <w:b/>
          <w:noProof/>
        </w:rPr>
        <w:t>Ceuta et Melilla</w:t>
      </w:r>
    </w:p>
    <w:p>
      <w:pPr>
        <w:pStyle w:val="Point1"/>
        <w:rPr>
          <w:noProof/>
        </w:rPr>
      </w:pPr>
      <w:r>
        <w:rPr>
          <w:noProof/>
        </w:rPr>
        <w:t>1.</w:t>
      </w:r>
      <w:r>
        <w:rPr>
          <w:noProof/>
        </w:rPr>
        <w:tab/>
        <w:t>Aux fins de l’application des présentes règles, le terme “Union européenne” ne comprend pas Ceuta et Melilla.</w:t>
      </w:r>
    </w:p>
    <w:p>
      <w:pPr>
        <w:pStyle w:val="Point1"/>
        <w:rPr>
          <w:noProof/>
        </w:rPr>
      </w:pPr>
      <w:r>
        <w:rPr>
          <w:noProof/>
        </w:rPr>
        <w:t>2.</w:t>
      </w:r>
      <w:r>
        <w:rPr>
          <w:noProof/>
        </w:rPr>
        <w:tab/>
        <w:t>Les produits originaires de la République de Moldavie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w:t>
      </w:r>
      <w:r>
        <w:rPr>
          <w:rStyle w:val="FootnoteReference"/>
          <w:noProof/>
        </w:rPr>
        <w:footnoteReference w:id="7"/>
      </w:r>
      <w:r>
        <w:rPr>
          <w:noProof/>
        </w:rPr>
        <w:t>. La République de Moldavie accorde aux importations de produits couverts par l’accord correspondant et originaires de Ceuta et Melilla le même régime douanier que celui qu’elle accorde aux produits importés de l’Union européenne et originaires de celle-ci.</w:t>
      </w:r>
    </w:p>
    <w:p>
      <w:pPr>
        <w:ind w:left="1418" w:hanging="567"/>
        <w:rPr>
          <w:noProof/>
        </w:rPr>
      </w:pPr>
      <w:r>
        <w:rPr>
          <w:noProof/>
        </w:rPr>
        <w:t>3.</w:t>
      </w:r>
      <w:r>
        <w:rPr>
          <w:noProof/>
        </w:rPr>
        <w:tab/>
        <w:t>Aux fins du paragraphe 2 du présent article concernant les produits originaires de Ceuta et Melilla, les présentes règles s’appliquent mutatis mutandis, sous réserve des conditions particulières définies à l’annexe V.</w:t>
      </w: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Note 9 – Définition des traitements et opérations spécifiques effectués dans le cas de certains produits</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Ouvraison ou transformation appliquée à des matières non originaires conférant le caractère de produit originaire</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noProof/>
              </w:rPr>
              <w:t>–</w:t>
            </w:r>
            <w:r>
              <w:rPr>
                <w:noProof/>
              </w:rPr>
              <w:tab/>
              <w:t>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nºs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60</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6202, ex 6204, </w:t>
            </w:r>
            <w:r>
              <w:rPr>
                <w:noProof/>
              </w:rPr>
              <w:br/>
              <w:t xml:space="preserve">ex 6206, ex 6209 </w:t>
            </w:r>
            <w:r>
              <w:rPr>
                <w:noProof/>
              </w:rPr>
              <w:br/>
              <w:t>et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ex 6210 et </w:t>
            </w:r>
            <w:r>
              <w:rPr>
                <w:noProof/>
              </w:rPr>
              <w:b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podle přechodných pravidel původu mají tyto výrobky kromě zřetelně označených preferenční původ v …………….</w:t>
      </w:r>
      <w:r>
        <w:rPr>
          <w:noProof/>
          <w:vertAlign w:val="superscript"/>
          <w:lang w:val="es-ES"/>
        </w:rPr>
        <w:t>2</w:t>
      </w:r>
      <w:r>
        <w:rPr>
          <w:noProof/>
          <w:lang w:val="es-ES"/>
        </w:rPr>
        <w:t>.</w:t>
      </w:r>
    </w:p>
    <w:p>
      <w:pPr>
        <w:autoSpaceDE w:val="0"/>
        <w:autoSpaceDN w:val="0"/>
        <w:jc w:val="center"/>
        <w:rPr>
          <w:b/>
          <w:noProof/>
          <w:lang w:val="es-ES"/>
        </w:rPr>
      </w:pPr>
    </w:p>
    <w:p>
      <w:pPr>
        <w:autoSpaceDE w:val="0"/>
        <w:autoSpaceDN w:val="0"/>
        <w:jc w:val="center"/>
        <w:rPr>
          <w:b/>
          <w:noProof/>
          <w:lang w:val="es-ES"/>
        </w:rPr>
      </w:pPr>
      <w:r>
        <w:rPr>
          <w:b/>
          <w:noProof/>
          <w:lang w:val="es-ES"/>
        </w:rPr>
        <w:t>Version danoise</w:t>
      </w:r>
    </w:p>
    <w:p>
      <w:pPr>
        <w:autoSpaceDE w:val="0"/>
        <w:autoSpaceDN w:val="0"/>
        <w:rPr>
          <w:noProof/>
          <w:lang w:val="es-ES"/>
        </w:rPr>
      </w:pPr>
      <w:r>
        <w:rPr>
          <w:noProof/>
          <w:lang w:val="es-ES"/>
        </w:rPr>
        <w:t>Eksportøren af varer, der er omfattet af nærværende dokument (toldmyndighedernes tilladelse nr. ………</w:t>
      </w:r>
      <w:r>
        <w:rPr>
          <w:noProof/>
          <w:vertAlign w:val="superscript"/>
          <w:lang w:val="es-ES"/>
        </w:rPr>
        <w:t>1</w:t>
      </w:r>
      <w:r>
        <w:rPr>
          <w:noProof/>
          <w:lang w:val="es-ES"/>
        </w:rPr>
        <w:t>) erklærer, at varerne, medmindre andet tydeligt er angivet, har præferenceoprindelse i ……………..</w:t>
      </w:r>
      <w:r>
        <w:rPr>
          <w:noProof/>
          <w:vertAlign w:val="superscript"/>
          <w:lang w:val="es-ES"/>
        </w:rPr>
        <w:t>2</w:t>
      </w:r>
      <w:r>
        <w:rPr>
          <w:noProof/>
          <w:lang w:val="es-ES"/>
        </w:rPr>
        <w:t xml:space="preserve"> i henhold til overgangsreglerne for oprindelse.</w:t>
      </w: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jc w:val="center"/>
        <w:rPr>
          <w:rFonts w:asciiTheme="minorHAnsi" w:hAnsiTheme="minorHAnsi" w:cstheme="minorBidi"/>
          <w:b/>
          <w:noProof/>
          <w:sz w:val="22"/>
          <w:lang w:val="es-ES"/>
        </w:rPr>
      </w:pPr>
      <w:r>
        <w:rPr>
          <w:b/>
          <w:noProof/>
          <w:lang w:val="es-ES"/>
        </w:rPr>
        <w:t>Version néerlandaise</w:t>
      </w:r>
    </w:p>
    <w:p>
      <w:pPr>
        <w:autoSpaceDE w:val="0"/>
        <w:autoSpaceDN w:val="0"/>
        <w:rPr>
          <w:noProof/>
          <w:lang w:val="es-ES"/>
        </w:rPr>
      </w:pPr>
      <w:r>
        <w:rPr>
          <w:noProof/>
          <w:lang w:val="es-ES"/>
        </w:rPr>
        <w:t>De exporteur van de goederen waarop dit document van toepassing is (douanevergunning nr. ………</w:t>
      </w:r>
      <w:r>
        <w:rPr>
          <w:noProof/>
          <w:vertAlign w:val="superscript"/>
          <w:lang w:val="es-ES"/>
        </w:rPr>
        <w:t>1</w:t>
      </w:r>
      <w:r>
        <w:rPr>
          <w:noProof/>
          <w:lang w:val="es-ES"/>
        </w:rPr>
        <w:t>), verklaart dat, behoudens uitdrukkelijke andersluidende vermelding, deze goederen van preferentiële …………….</w:t>
      </w:r>
      <w:r>
        <w:rPr>
          <w:noProof/>
          <w:vertAlign w:val="superscript"/>
          <w:lang w:val="es-ES"/>
        </w:rPr>
        <w:t>2</w:t>
      </w:r>
      <w:r>
        <w:rPr>
          <w:noProof/>
          <w:lang w:val="es-ES"/>
        </w:rPr>
        <w:t xml:space="preserve"> oorsprong zijn in overeenstemming met de overgangsregels van oorsprong.</w:t>
      </w:r>
    </w:p>
    <w:p>
      <w:pPr>
        <w:autoSpaceDE w:val="0"/>
        <w:autoSpaceDN w:val="0"/>
        <w:rPr>
          <w:noProof/>
          <w:lang w:val="es-ES"/>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acordo com as regras de origem transitórias.</w:t>
      </w: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noProof/>
          <w:vertAlign w:val="superscript"/>
          <w:lang w:val="es-ES"/>
        </w:rPr>
        <w:t>1</w:t>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w:t>
            </w:r>
            <w:r>
              <w:rPr>
                <w:rFonts w:asciiTheme="majorBidi" w:hAnsiTheme="majorBidi"/>
                <w:noProof/>
                <w:sz w:val="18"/>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Le contrôle de l’authenticité et de la régularité du présent certificat est sollicité.</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rPr>
              <w:t>Factures</w:t>
            </w:r>
            <w:r>
              <w:rPr>
                <w:noProof/>
              </w:rPr>
              <w:t xml:space="preserve"> </w:t>
            </w:r>
            <w:r>
              <w:rPr>
                <w:noProof/>
              </w:rPr>
              <w:br/>
              <w:t>(mention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8"/>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noProof/>
        </w:rPr>
      </w:pPr>
      <w:r>
        <w:rPr>
          <w:noProof/>
        </w:rPr>
        <w:tab/>
        <w:t xml:space="preserve"> </w:t>
      </w:r>
      <w:r>
        <w:rPr>
          <w:noProof/>
        </w:rPr>
        <w:br/>
        <w:t>(Lieu et date)</w:t>
      </w:r>
    </w:p>
    <w:p>
      <w:pPr>
        <w:pStyle w:val="Text1"/>
        <w:tabs>
          <w:tab w:val="left" w:leader="dot" w:pos="9639"/>
        </w:tabs>
        <w:ind w:left="851"/>
        <w:jc w:val="right"/>
        <w:rPr>
          <w:noProof/>
        </w:rPr>
      </w:pPr>
      <w:r>
        <w:rPr>
          <w:noProof/>
        </w:rPr>
        <w:tab/>
        <w:t xml:space="preserve"> </w:t>
      </w:r>
      <w:r>
        <w:rPr>
          <w:noProof/>
        </w:rPr>
        <w:b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la République de Moldavie ou de l’Union européenne,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de la République de Moldavie:</w:t>
      </w:r>
    </w:p>
    <w:p>
      <w:pPr>
        <w:pStyle w:val="Point3"/>
        <w:rPr>
          <w:noProof/>
        </w:rPr>
      </w:pPr>
      <w:r>
        <w:rPr>
          <w:noProof/>
        </w:rPr>
        <w:t>a)</w:t>
      </w:r>
      <w:r>
        <w:rPr>
          <w:noProof/>
        </w:rPr>
        <w:tab/>
        <w:t>les produits entièrement obtenus en République de Moldavie;</w:t>
      </w:r>
    </w:p>
    <w:p>
      <w:pPr>
        <w:pStyle w:val="Point3"/>
        <w:rPr>
          <w:noProof/>
        </w:rPr>
      </w:pPr>
      <w:r>
        <w:rPr>
          <w:noProof/>
        </w:rPr>
        <w:t>b)</w:t>
      </w:r>
      <w:r>
        <w:rPr>
          <w:noProof/>
        </w:rPr>
        <w:tab/>
        <w:t>les produits obtenus en République de Moldavie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l’Union européenne,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DU FOURNISSEUR </w:t>
      </w:r>
      <w:r>
        <w:rPr>
          <w:noProof/>
        </w:rPr>
        <w:b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 xml:space="preserve">Valeur ajoutée totale acquise hors de </w:t>
            </w:r>
            <w:r>
              <w:rPr>
                <w:noProof/>
              </w:rPr>
              <w:br/>
              <w:t>[indiquer le nom des parties contractantes appliquant les règles concernées]</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À ………………………….., le ……………………</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rPr>
              <w:t xml:space="preserve">(Adresse et signature du fournisseur, </w:t>
            </w:r>
            <w:r>
              <w:rPr>
                <w:noProof/>
              </w:rPr>
              <w:br/>
              <w:t>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 xml:space="preserve">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   </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À LONG TERME DU FOURNISSEUR </w:t>
      </w:r>
      <w:r>
        <w:rPr>
          <w:noProof/>
        </w:rPr>
        <w:b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Point1"/>
        <w:spacing w:before="60" w:after="60"/>
        <w:ind w:left="1418"/>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139</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260 du 30.8.2014, p. 4.</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t>JO L 39 du 16.2.2017, p. 45.</w:t>
      </w:r>
    </w:p>
  </w:footnote>
  <w:footnote w:id="5">
    <w:p>
      <w:pPr>
        <w:pStyle w:val="FootnoteText"/>
      </w:pPr>
      <w:r>
        <w:rPr>
          <w:rStyle w:val="FootnoteReference"/>
        </w:rPr>
        <w:footnoteRef/>
      </w:r>
      <w:r>
        <w:tab/>
        <w:t>JO L 54 du 26.2.2013, p. 4.</w:t>
      </w:r>
    </w:p>
  </w:footnote>
  <w:footnote w:id="6">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7">
    <w:p>
      <w:pPr>
        <w:pStyle w:val="FootnoteText"/>
      </w:pPr>
      <w:r>
        <w:rPr>
          <w:rStyle w:val="FootnoteReference"/>
        </w:rPr>
        <w:footnoteRef/>
      </w:r>
      <w:r>
        <w:tab/>
      </w:r>
      <w:r>
        <w:rPr>
          <w:sz w:val="18"/>
          <w:szCs w:val="18"/>
        </w:rPr>
        <w:t>JO CE L 302 du 15.11.1985, p. 23.</w:t>
      </w:r>
    </w:p>
  </w:footnote>
  <w:footnote w:id="8">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638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10:48:51"/>
    <w:docVar w:name="DQCNUMB_1" w:val="27"/>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02"/>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2DF4BDCA-0AC3-4BC4-AD7A-80879FAD9C48"/>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sous-comité douanier institué par l\u8217?accord d\u8217?association entre l\u8217?Union européenne et la Communauté européenne de l\u8217?énergie atomique et leurs États membres, d\u8217?une part, et la République de Moldavie, d\u8217?autre part, en ce qui concerne la modification du protocole II dudit accord concernant la définition de la notion de «produits originaires» et les méthodes de coopération administrative"/>
    <w:docVar w:name="LW_OBJETACTEPRINCIPAL.CP" w:val="relative à la position à prendre au nom de l\u8217?Union européenne au sein du sous-comité douanier institué par l\u8217?accord d\u8217?association entre l\u8217?Union européenne et la Communauté européenne de l\u8217?énergie atomique et leurs États membres, d\u8217?une part, et la République de Moldavie, d\u8217?autre part, en ce qui concerne la modification du protocole II dudit accord concernant la définition de la notion de «produits originaires» et les méthodes de coopération administrative"/>
    <w:docVar w:name="LW_PART_NBR" w:val="1"/>
    <w:docVar w:name="LW_PART_NBR_TOTAL" w:val="1"/>
    <w:docVar w:name="LW_REF.INST.NEW" w:val="COM"/>
    <w:docVar w:name="LW_REF.INST.NEW_ADOPTED" w:val="final"/>
    <w:docVar w:name="LW_REF.INST.NEW_TEXT" w:val="(2020) 3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ChapterTitlefc">
    <w:name w:val="ChapterTitle"/>
    <w:basedOn w:val="Normal"/>
    <w:next w:val="Normal"/>
    <w:pPr>
      <w:keepNext/>
      <w:spacing w:after="360"/>
      <w:jc w:val="center"/>
    </w:pPr>
    <w:rPr>
      <w:b/>
      <w:sz w:val="32"/>
    </w:rPr>
  </w:style>
  <w:style w:type="paragraph" w:customStyle="1" w:styleId="PartTitlefc">
    <w:name w:val="PartTitle"/>
    <w:basedOn w:val="Normal"/>
    <w:next w:val="ChapterTitlefc"/>
    <w:pPr>
      <w:keepNext/>
      <w:pageBreakBefore/>
      <w:spacing w:after="360"/>
      <w:jc w:val="center"/>
    </w:pPr>
    <w:rPr>
      <w:b/>
      <w:sz w:val="36"/>
    </w:rPr>
  </w:style>
  <w:style w:type="paragraph" w:customStyle="1" w:styleId="ChapterTitlefd">
    <w:name w:val="ChapterTitle"/>
    <w:basedOn w:val="Normal"/>
    <w:next w:val="Normal"/>
    <w:pPr>
      <w:keepNext/>
      <w:spacing w:after="360"/>
      <w:jc w:val="center"/>
    </w:pPr>
    <w:rPr>
      <w:b/>
      <w:sz w:val="32"/>
    </w:rPr>
  </w:style>
  <w:style w:type="paragraph" w:customStyle="1" w:styleId="PartTitlefd">
    <w:name w:val="PartTitle"/>
    <w:basedOn w:val="Normal"/>
    <w:next w:val="ChapterTitlefd"/>
    <w:pPr>
      <w:keepNext/>
      <w:pageBreakBefore/>
      <w:spacing w:after="360"/>
      <w:jc w:val="center"/>
    </w:pPr>
    <w:rPr>
      <w:b/>
      <w:sz w:val="36"/>
    </w:rPr>
  </w:style>
  <w:style w:type="paragraph" w:customStyle="1" w:styleId="ChapterTitlefe">
    <w:name w:val="ChapterTitle"/>
    <w:basedOn w:val="Normal"/>
    <w:next w:val="Normal"/>
    <w:pPr>
      <w:keepNext/>
      <w:spacing w:after="360"/>
      <w:jc w:val="center"/>
    </w:pPr>
    <w:rPr>
      <w:b/>
      <w:sz w:val="32"/>
    </w:rPr>
  </w:style>
  <w:style w:type="paragraph" w:customStyle="1" w:styleId="PartTitlefe">
    <w:name w:val="PartTitle"/>
    <w:basedOn w:val="Normal"/>
    <w:next w:val="ChapterTitlefe"/>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f">
    <w:name w:val="ChapterTitle"/>
    <w:basedOn w:val="Normal"/>
    <w:next w:val="Normal"/>
    <w:pPr>
      <w:keepNext/>
      <w:spacing w:after="360"/>
      <w:jc w:val="center"/>
    </w:pPr>
    <w:rPr>
      <w:b/>
      <w:sz w:val="32"/>
    </w:rPr>
  </w:style>
  <w:style w:type="paragraph" w:customStyle="1" w:styleId="PartTitleff">
    <w:name w:val="PartTitle"/>
    <w:basedOn w:val="Normal"/>
    <w:next w:val="ChapterTitleff"/>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ChapterTitlef6">
    <w:name w:val="ChapterTitle"/>
    <w:basedOn w:val="Normal"/>
    <w:next w:val="Normal"/>
    <w:pPr>
      <w:keepNext/>
      <w:spacing w:after="360"/>
      <w:jc w:val="center"/>
    </w:pPr>
    <w:rPr>
      <w:b/>
      <w:sz w:val="32"/>
    </w:rPr>
  </w:style>
  <w:style w:type="paragraph" w:customStyle="1" w:styleId="PartTitlef6">
    <w:name w:val="PartTitle"/>
    <w:basedOn w:val="Normal"/>
    <w:next w:val="ChapterTitlef6"/>
    <w:pPr>
      <w:keepNext/>
      <w:pageBreakBefore/>
      <w:spacing w:after="360"/>
      <w:jc w:val="center"/>
    </w:pPr>
    <w:rPr>
      <w:b/>
      <w:sz w:val="36"/>
    </w:rPr>
  </w:style>
  <w:style w:type="paragraph" w:customStyle="1" w:styleId="ChapterTitlef7">
    <w:name w:val="ChapterTitle"/>
    <w:basedOn w:val="Normal"/>
    <w:next w:val="Normal"/>
    <w:pPr>
      <w:keepNext/>
      <w:spacing w:after="360"/>
      <w:jc w:val="center"/>
    </w:pPr>
    <w:rPr>
      <w:b/>
      <w:sz w:val="32"/>
    </w:rPr>
  </w:style>
  <w:style w:type="paragraph" w:customStyle="1" w:styleId="PartTitlef7">
    <w:name w:val="PartTitle"/>
    <w:basedOn w:val="Normal"/>
    <w:next w:val="ChapterTitlef7"/>
    <w:pPr>
      <w:keepNext/>
      <w:pageBreakBefore/>
      <w:spacing w:after="360"/>
      <w:jc w:val="center"/>
    </w:pPr>
    <w:rPr>
      <w:b/>
      <w:sz w:val="36"/>
    </w:rPr>
  </w:style>
  <w:style w:type="paragraph" w:customStyle="1" w:styleId="ChapterTitlef8">
    <w:name w:val="ChapterTitle"/>
    <w:basedOn w:val="Normal"/>
    <w:next w:val="Normal"/>
    <w:pPr>
      <w:keepNext/>
      <w:spacing w:after="360"/>
      <w:jc w:val="center"/>
    </w:pPr>
    <w:rPr>
      <w:b/>
      <w:sz w:val="32"/>
    </w:rPr>
  </w:style>
  <w:style w:type="paragraph" w:customStyle="1" w:styleId="PartTitlef8">
    <w:name w:val="PartTitle"/>
    <w:basedOn w:val="Normal"/>
    <w:next w:val="ChapterTitlef8"/>
    <w:pPr>
      <w:keepNext/>
      <w:pageBreakBefore/>
      <w:spacing w:after="360"/>
      <w:jc w:val="center"/>
    </w:pPr>
    <w:rPr>
      <w:b/>
      <w:sz w:val="36"/>
    </w:rPr>
  </w:style>
  <w:style w:type="paragraph" w:customStyle="1" w:styleId="ChapterTitlef9">
    <w:name w:val="ChapterTitle"/>
    <w:basedOn w:val="Normal"/>
    <w:next w:val="Normal"/>
    <w:pPr>
      <w:keepNext/>
      <w:spacing w:after="360"/>
      <w:jc w:val="center"/>
    </w:pPr>
    <w:rPr>
      <w:b/>
      <w:sz w:val="32"/>
    </w:rPr>
  </w:style>
  <w:style w:type="paragraph" w:customStyle="1" w:styleId="PartTitlef9">
    <w:name w:val="PartTitle"/>
    <w:basedOn w:val="Normal"/>
    <w:next w:val="ChapterTitlef9"/>
    <w:pPr>
      <w:keepNext/>
      <w:pageBreakBefore/>
      <w:spacing w:after="360"/>
      <w:jc w:val="center"/>
    </w:pPr>
    <w:rPr>
      <w:b/>
      <w:sz w:val="36"/>
    </w:rPr>
  </w:style>
  <w:style w:type="paragraph" w:customStyle="1" w:styleId="ChapterTitlefa">
    <w:name w:val="ChapterTitle"/>
    <w:basedOn w:val="Normal"/>
    <w:next w:val="Normal"/>
    <w:pPr>
      <w:keepNext/>
      <w:spacing w:after="360"/>
      <w:jc w:val="center"/>
    </w:pPr>
    <w:rPr>
      <w:b/>
      <w:sz w:val="32"/>
    </w:rPr>
  </w:style>
  <w:style w:type="paragraph" w:customStyle="1" w:styleId="PartTitlefa">
    <w:name w:val="PartTitle"/>
    <w:basedOn w:val="Normal"/>
    <w:next w:val="ChapterTitlefa"/>
    <w:pPr>
      <w:keepNext/>
      <w:pageBreakBefore/>
      <w:spacing w:after="360"/>
      <w:jc w:val="center"/>
    </w:pPr>
    <w:rPr>
      <w:b/>
      <w:sz w:val="36"/>
    </w:rPr>
  </w:style>
  <w:style w:type="paragraph" w:customStyle="1" w:styleId="ChapterTitlefb">
    <w:name w:val="ChapterTitle"/>
    <w:basedOn w:val="Normal"/>
    <w:next w:val="Normal"/>
    <w:pPr>
      <w:keepNext/>
      <w:spacing w:after="360"/>
      <w:jc w:val="center"/>
    </w:pPr>
    <w:rPr>
      <w:b/>
      <w:sz w:val="32"/>
    </w:rPr>
  </w:style>
  <w:style w:type="paragraph" w:customStyle="1" w:styleId="PartTitlefb">
    <w:name w:val="PartTitle"/>
    <w:basedOn w:val="Normal"/>
    <w:next w:val="ChapterTitlefb"/>
    <w:pPr>
      <w:keepNext/>
      <w:pageBreakBefore/>
      <w:spacing w:after="360"/>
      <w:jc w:val="center"/>
    </w:pPr>
    <w:rPr>
      <w:b/>
      <w:sz w:val="36"/>
    </w:rPr>
  </w:style>
  <w:style w:type="paragraph" w:customStyle="1" w:styleId="ChapterTitlefc">
    <w:name w:val="ChapterTitle"/>
    <w:basedOn w:val="Normal"/>
    <w:next w:val="Normal"/>
    <w:pPr>
      <w:keepNext/>
      <w:spacing w:after="360"/>
      <w:jc w:val="center"/>
    </w:pPr>
    <w:rPr>
      <w:b/>
      <w:sz w:val="32"/>
    </w:rPr>
  </w:style>
  <w:style w:type="paragraph" w:customStyle="1" w:styleId="PartTitlefc">
    <w:name w:val="PartTitle"/>
    <w:basedOn w:val="Normal"/>
    <w:next w:val="ChapterTitlefc"/>
    <w:pPr>
      <w:keepNext/>
      <w:pageBreakBefore/>
      <w:spacing w:after="360"/>
      <w:jc w:val="center"/>
    </w:pPr>
    <w:rPr>
      <w:b/>
      <w:sz w:val="36"/>
    </w:rPr>
  </w:style>
  <w:style w:type="paragraph" w:customStyle="1" w:styleId="ChapterTitlefd">
    <w:name w:val="ChapterTitle"/>
    <w:basedOn w:val="Normal"/>
    <w:next w:val="Normal"/>
    <w:pPr>
      <w:keepNext/>
      <w:spacing w:after="360"/>
      <w:jc w:val="center"/>
    </w:pPr>
    <w:rPr>
      <w:b/>
      <w:sz w:val="32"/>
    </w:rPr>
  </w:style>
  <w:style w:type="paragraph" w:customStyle="1" w:styleId="PartTitlefd">
    <w:name w:val="PartTitle"/>
    <w:basedOn w:val="Normal"/>
    <w:next w:val="ChapterTitlefd"/>
    <w:pPr>
      <w:keepNext/>
      <w:pageBreakBefore/>
      <w:spacing w:after="360"/>
      <w:jc w:val="center"/>
    </w:pPr>
    <w:rPr>
      <w:b/>
      <w:sz w:val="36"/>
    </w:rPr>
  </w:style>
  <w:style w:type="paragraph" w:customStyle="1" w:styleId="ChapterTitlefe">
    <w:name w:val="ChapterTitle"/>
    <w:basedOn w:val="Normal"/>
    <w:next w:val="Normal"/>
    <w:pPr>
      <w:keepNext/>
      <w:spacing w:after="360"/>
      <w:jc w:val="center"/>
    </w:pPr>
    <w:rPr>
      <w:b/>
      <w:sz w:val="32"/>
    </w:rPr>
  </w:style>
  <w:style w:type="paragraph" w:customStyle="1" w:styleId="PartTitlefe">
    <w:name w:val="PartTitle"/>
    <w:basedOn w:val="Normal"/>
    <w:next w:val="ChapterTitlefe"/>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f">
    <w:name w:val="ChapterTitle"/>
    <w:basedOn w:val="Normal"/>
    <w:next w:val="Normal"/>
    <w:pPr>
      <w:keepNext/>
      <w:spacing w:after="360"/>
      <w:jc w:val="center"/>
    </w:pPr>
    <w:rPr>
      <w:b/>
      <w:sz w:val="32"/>
    </w:rPr>
  </w:style>
  <w:style w:type="paragraph" w:customStyle="1" w:styleId="PartTitleff">
    <w:name w:val="PartTitle"/>
    <w:basedOn w:val="Normal"/>
    <w:next w:val="ChapterTitleff"/>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3B016C-DB53-4D8C-9866-50A36EB1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140</Pages>
  <Words>32028</Words>
  <Characters>178401</Characters>
  <Application>Microsoft Office Word</Application>
  <DocSecurity>0</DocSecurity>
  <Lines>4351</Lines>
  <Paragraphs>2391</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208038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WES PDFC Administrator</cp:lastModifiedBy>
  <cp:revision>9</cp:revision>
  <cp:lastPrinted>2019-08-28T11:52:00Z</cp:lastPrinted>
  <dcterms:created xsi:type="dcterms:W3CDTF">2020-09-07T01:02:00Z</dcterms:created>
  <dcterms:modified xsi:type="dcterms:W3CDTF">2020-09-08T08:48:00Z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