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9115E56-70E1-4761-8FA6-031CF7205ADE" style="width:451.25pt;height:392.6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Настоящото предложение се отнася до решението за определяне на позицията, която трябва да се заеме от името на Европейския съюз в рамките на Конвенцията за бъдещо многостранно сътрудничество в областта на риболова в североизточната част на Атлантическия океан (наричана по-долу за краткост „Конвенцията NEAFC“) по отношение на присъединяването — в собствено качество по време на преходния период — на Обединеното кралство Великобритания и Северна Ирландия (наричано по-долу за краткост „Обединеното кралство“) към посочената конвенция.</w:t>
      </w:r>
    </w:p>
    <w:p>
      <w:pPr>
        <w:pStyle w:val="ManualHeading1"/>
        <w:rPr>
          <w:noProof/>
        </w:rPr>
      </w:pPr>
      <w:r>
        <w:t>1.</w:t>
      </w:r>
      <w:r>
        <w:tab/>
      </w:r>
      <w:r>
        <w:rPr>
          <w:noProof/>
        </w:rPr>
        <w:t>Контекст на предложението</w:t>
      </w:r>
    </w:p>
    <w:p>
      <w:pPr>
        <w:rPr>
          <w:noProof/>
        </w:rPr>
      </w:pPr>
      <w:r>
        <w:rPr>
          <w:noProof/>
        </w:rPr>
        <w:t xml:space="preserve">На 29 март 2017 г. Обединеното кралство уведоми Европейския съвет за намерението си да се оттегли от Европейския съюз по силата на член 50 от Договора за Европейския съюз. </w:t>
      </w:r>
    </w:p>
    <w:p>
      <w:pPr>
        <w:spacing w:before="0"/>
        <w:rPr>
          <w:noProof/>
        </w:rPr>
      </w:pPr>
      <w:r>
        <w:rPr>
          <w:noProof/>
        </w:rPr>
        <w:t>Съюзът и Обединеното кралство договориха споразумение за оттегляне съгласно член 50 от Договора за Европейския съюз. Споразумението за оттеглянето (наричано по-долу за краткост „СО“)</w:t>
      </w:r>
      <w:r>
        <w:rPr>
          <w:rStyle w:val="FootnoteReference"/>
          <w:noProof/>
        </w:rPr>
        <w:footnoteReference w:id="1"/>
      </w:r>
      <w:r>
        <w:rPr>
          <w:noProof/>
        </w:rPr>
        <w:t xml:space="preserve"> влезе в сила на 1 февруари 2020 г., след като беше договорено на 17 октомври 2019 г., заедно с Политическата декларация, очертаваща рамката на бъдещите отношения между Европейския съюз и Обединеното кралство. </w:t>
      </w:r>
    </w:p>
    <w:p>
      <w:pPr>
        <w:spacing w:before="0"/>
        <w:rPr>
          <w:noProof/>
        </w:rPr>
      </w:pPr>
      <w:r>
        <w:rPr>
          <w:noProof/>
        </w:rPr>
        <w:t xml:space="preserve">В член 127, параграф 1 от СО е предвиден преходен период, по време на който правото на Съюза ще продължи да се прилага по отношение на Обединеното кралство и в него (наричан по-долу за краткост „преходният период“). Преходният период изтича на 31 декември 2020 г. В член 129, параграф 1 от СО се предвижда, че по време на преходния период Обединеното кралство е обвързано със задълженията, които произтичат от международните споразумения, сключени от Съюза, от държавите членки, действащи от негово име, или от Съюза и неговите държави членки, действащи съвместно. Член 129, параграф 3 от СО гласи, че в съответствие с принципа на лоялно сътрудничество през преходния период Обединеното кралство трябва да се въздържа от всякакви действия или инициативи, които е вероятно да накърнят интересите на Съюза, по-специално в рамките на международни организации, агенции, конференции или форуми, в които Обединеното кралство е страна на собствено основание. </w:t>
      </w:r>
    </w:p>
    <w:p>
      <w:pPr>
        <w:spacing w:before="0"/>
        <w:rPr>
          <w:noProof/>
        </w:rPr>
      </w:pPr>
      <w:r>
        <w:rPr>
          <w:noProof/>
        </w:rPr>
        <w:t xml:space="preserve">Съюзът информира международните си партньори за предвидените в СО специфични разпоредби, съгласно които за целите на международните споразумения, сключени от Съюза, по време на преходния период Обединеното кралство ще бъде третирано като държава членка. </w:t>
      </w:r>
    </w:p>
    <w:p>
      <w:pPr>
        <w:spacing w:before="0"/>
        <w:rPr>
          <w:noProof/>
        </w:rPr>
      </w:pPr>
      <w:r>
        <w:rPr>
          <w:noProof/>
        </w:rPr>
        <w:t xml:space="preserve">Основната цел на Конвенцията NEAFC е „да [се] насърчават съхраняването и оптималното използване на риболовните ресурси в североизточната част на Атлантическия океан в рамки, съответстващи на режима на разширена юрисдикция на крайбрежната държава върху риболовните дейности и така да [се] насърчат международното сътрудничество и консултации по отношение на тези ресурси“. Конвенцията NEAFC влезе в сила на 17 март 1982 г. Неин депозитар е Обединеното кралство. </w:t>
      </w:r>
    </w:p>
    <w:p>
      <w:pPr>
        <w:spacing w:before="0"/>
        <w:rPr>
          <w:noProof/>
        </w:rPr>
      </w:pPr>
      <w:r>
        <w:rPr>
          <w:noProof/>
        </w:rPr>
        <w:t xml:space="preserve">Конвенцията NEAFC от 1982 г. замени първоначалната Конвенция за риболова в североизточната част на Атлантическия океан от 1959 г., след като през 1963 г. държавите — членки на Европейския съюз, се оттеглиха в качеството си на индивидуални членки от организацията NEAFC, а през 1977 г. границите на </w:t>
      </w:r>
      <w:r>
        <w:rPr>
          <w:noProof/>
        </w:rPr>
        <w:lastRenderedPageBreak/>
        <w:t xml:space="preserve">риболовните зони на държавите бяха разширени на 200 мили. Конвенцията NEAFC от 1959 г. на свой ред замени Конвенцията от 1946 г. за регламентиране на големината на отворите на риболовните мрежи и на пределната големина на рибите. </w:t>
      </w:r>
    </w:p>
    <w:p>
      <w:pPr>
        <w:spacing w:before="0"/>
        <w:rPr>
          <w:noProof/>
        </w:rPr>
      </w:pPr>
      <w:r>
        <w:rPr>
          <w:noProof/>
        </w:rPr>
        <w:t>Конвенцията NEAFC от 1982 г. беше изменена през 2004 г. (бяха добавени процедури за решаване на спорове) и 2006 г. (конвенцията беше приведена в съответствие с развитието на международното право и неговите инструменти). Измененията от 2004 и 2006 г. не преминаха през пълния процес на ратификация във всички договарящи се страни. Посредством Лондонската декларация от 2006 г. страните се споразумяха до приключването на ратификацията да прилагат измененията на доброволна основа.</w:t>
      </w:r>
    </w:p>
    <w:p>
      <w:pPr>
        <w:spacing w:before="0"/>
        <w:rPr>
          <w:noProof/>
        </w:rPr>
      </w:pPr>
      <w:r>
        <w:rPr>
          <w:noProof/>
        </w:rPr>
        <w:t>За целите на Конвенцията NEAFC договарящите се страни учредиха Комисия за риболова в североизточните части на Атлантическия океан („NEAFC“). NEAFC е юридическо лице и притежава в своите отношения с други международни организации и на териториите на договарящите се страни необходимата дееспособност за изпълнение на своите функции и осъществяване на своите цели.</w:t>
      </w:r>
    </w:p>
    <w:p>
      <w:pPr>
        <w:spacing w:before="0"/>
        <w:rPr>
          <w:noProof/>
        </w:rPr>
      </w:pPr>
      <w:r>
        <w:rPr>
          <w:noProof/>
        </w:rPr>
        <w:t>Договарящите се страни са пет — всички крайбрежни държави от зоната на Конвенцията NEAFC: Европейският съюз, Дания (по отношение на Фарьорските острови и Гренландия), Исландия, Норвегия и Руската федерация. На държави на знамето с реален интерес в областта на риболова в североизточната част на Атлантическия океан може да се предостави статут на сътрудничеща страна, която не е договаряща се страна, като по този начин им се дава право — при условие че се съгласят да прилагат мерките на NEAFC — да издават разрешения на плавателни съдове, плаващи под тяхно знаме, да извършват дейност в зоната на Конвенцията NEAFC. Понастоящем с такъв статут се ползват шест страни: Бахамските острови, Канада, Кюрасао, Либерия, Панама и Нова Зеландия.</w:t>
      </w:r>
    </w:p>
    <w:p>
      <w:pPr>
        <w:spacing w:before="0"/>
        <w:rPr>
          <w:noProof/>
        </w:rPr>
      </w:pPr>
      <w:r>
        <w:rPr>
          <w:noProof/>
        </w:rPr>
        <w:t>Европейският съюз е страна по Конвенцията NEAFC</w:t>
      </w:r>
      <w:r>
        <w:rPr>
          <w:rStyle w:val="FootnoteReference"/>
          <w:noProof/>
        </w:rPr>
        <w:footnoteReference w:id="2"/>
      </w:r>
      <w:r>
        <w:rPr>
          <w:noProof/>
        </w:rPr>
        <w:t xml:space="preserve">, защото нейният предмет попада в обхвата на общата политика в областта на рибарството, за която Съюзът разполага с изключителна компетентност. Държавите членки са обхванати от Конвенцията NEAFC по силата на законодателството на Съюза. </w:t>
      </w:r>
    </w:p>
    <w:p>
      <w:pPr>
        <w:rPr>
          <w:rFonts w:eastAsia="Calibri"/>
          <w:noProof/>
        </w:rPr>
      </w:pPr>
      <w:r>
        <w:rPr>
          <w:noProof/>
        </w:rPr>
        <w:t>NEAFC е организацията, която има правомощия да приема препоръки за мерки за управление във връзка с риболова извън зоните под риболовната юрисдикция на договарящите се страни (регулаторната зона), както и за зоните под риболовната юрисдикция на дадена договаряща се страна, при условие че съответната договаряща се страна поиска това. Приетите препоръки стават задължителни за договарящите се страни, освен ако някоя от тях представи своевременно възражение.</w:t>
      </w:r>
    </w:p>
    <w:p>
      <w:pPr>
        <w:rPr>
          <w:rFonts w:eastAsia="Calibri"/>
          <w:noProof/>
        </w:rPr>
      </w:pPr>
      <w:r>
        <w:rPr>
          <w:noProof/>
        </w:rPr>
        <w:t>Съгласно Конвенцията NEAFC всяка държава (с изключение на държава — членка на Европейския съюз) може да се присъедини към конвенцията по всяко време, при условие че заявлението ѝ за присъединяване бъде одобрено от три четвърти от всички договарящи се страни. Заявлението се одобрява, ако до 90 дни след датата на нотификацията три четвърти от договарящите се страни са нотифицирали депозитаря за своето одобрение на заявлението</w:t>
      </w:r>
      <w:r>
        <w:rPr>
          <w:rStyle w:val="FootnoteReference"/>
          <w:rFonts w:eastAsia="Calibri"/>
          <w:noProof/>
          <w:lang w:eastAsia="en-GB"/>
        </w:rPr>
        <w:footnoteReference w:id="3"/>
      </w:r>
      <w:r>
        <w:rPr>
          <w:noProof/>
        </w:rPr>
        <w:t xml:space="preserve">. Депозитарят нотифицира държавата, която кандидатства за присъединяване, и всички договарящи се страни за резултата от заявлението. Присъединяването се извършва чрез внасяне на инструмент за присъединяване при депозитаря и влиза в сила на датата на приемането му от депозитаря.  </w:t>
      </w:r>
    </w:p>
    <w:p>
      <w:pPr>
        <w:spacing w:before="0"/>
        <w:rPr>
          <w:rFonts w:eastAsia="Calibri"/>
          <w:noProof/>
        </w:rPr>
      </w:pPr>
      <w:r>
        <w:rPr>
          <w:noProof/>
        </w:rPr>
        <w:lastRenderedPageBreak/>
        <w:t xml:space="preserve">На 8 януари 2019 г. Обединеното кралство подаде заявление за присъединяване към Конвенцията NEAFC като договаряща се страна. На същата дата депозитарят нотифицира за това Европейската комисия. </w:t>
      </w:r>
    </w:p>
    <w:p>
      <w:pPr>
        <w:spacing w:before="0"/>
        <w:rPr>
          <w:noProof/>
        </w:rPr>
      </w:pPr>
      <w:r>
        <w:rPr>
          <w:noProof/>
        </w:rPr>
        <w:t>С Решение (ЕС) 2019/510 на Съвета</w:t>
      </w:r>
      <w:r>
        <w:rPr>
          <w:rStyle w:val="FootnoteReference"/>
          <w:noProof/>
        </w:rPr>
        <w:footnoteReference w:id="4"/>
      </w:r>
      <w:r>
        <w:rPr>
          <w:noProof/>
        </w:rPr>
        <w:t xml:space="preserve"> беше определена позицията на Съюза да се одобри заявлението на Обединеното кралство за присъединяване към Конвенцията NEAFC и Комисията беше упълномощена да нотифицира депозитаря на Конвенцията NEAFC за позицията на Съюза само ако оттеглянето на Обединеното кралство от Съюза се извърши без споразумение за оттегляне до изтичането на срока за нотифициране, посочен в член 20, параграф 4 от Конвенцията NEAFC. </w:t>
      </w:r>
    </w:p>
    <w:p>
      <w:pPr>
        <w:spacing w:before="0"/>
        <w:rPr>
          <w:noProof/>
        </w:rPr>
      </w:pPr>
      <w:r>
        <w:rPr>
          <w:noProof/>
        </w:rPr>
        <w:t xml:space="preserve">Заявлението на Обединеното кралство за присъединяване не получи изискваното одобрение от три четвърти от всички договарящи се страни: кворумът от три четвърти от договарящите се страни, които трябва да нотифицират депозитаря за одобрението си на заявлението, не беше достигнат. </w:t>
      </w:r>
    </w:p>
    <w:p>
      <w:pPr>
        <w:spacing w:before="0"/>
        <w:rPr>
          <w:noProof/>
        </w:rPr>
      </w:pPr>
      <w:r>
        <w:rPr>
          <w:noProof/>
        </w:rPr>
        <w:t>Съгласно член 129, параграф 4 от СО по време на преходния период Обединеното кралство може да договаря, подписва и ратифицира международни споразумения, сключени от него в негово собствено качество, в областите на изключителна компетентност на Съюза, при условие че тези споразумения не влизат в сила или не се прилагат по време на преходния период, освен ако това не е разрешено от Съюза. В Решение (ЕС) 2020/135 на Съвета</w:t>
      </w:r>
      <w:r>
        <w:rPr>
          <w:rStyle w:val="FootnoteReference"/>
          <w:noProof/>
        </w:rPr>
        <w:footnoteReference w:id="5"/>
      </w:r>
      <w:r>
        <w:rPr>
          <w:noProof/>
        </w:rPr>
        <w:t xml:space="preserve"> се определят условията и процедурата за предоставяне на такива разрешения.</w:t>
      </w:r>
    </w:p>
    <w:p>
      <w:pPr>
        <w:rPr>
          <w:noProof/>
        </w:rPr>
      </w:pPr>
      <w:r>
        <w:rPr>
          <w:noProof/>
        </w:rPr>
        <w:t>Със свое писмо от 3 април 2020 г. Обединеното кралство уведоми Европейската комисия за намерението си да изрази съгласие да се обвърже с Конвенцията NEAFC в собствено качество по време на преходния период. Тъй като условията, посочени в член 3, параграф 2 от Решение (ЕС) 2020/135 на Съвета, са изпълнени, с Решение за изпълнение (ЕС) ХХХ на Съвета</w:t>
      </w:r>
      <w:r>
        <w:rPr>
          <w:rStyle w:val="FootnoteReference"/>
          <w:noProof/>
        </w:rPr>
        <w:footnoteReference w:id="6"/>
      </w:r>
      <w:r>
        <w:rPr>
          <w:noProof/>
        </w:rPr>
        <w:t xml:space="preserve"> на Обединеното кралство се предоставя разрешение да изрази съгласие да се обвърже с Конвенцията NEAFC в собствено качество. </w:t>
      </w:r>
    </w:p>
    <w:p>
      <w:pPr>
        <w:pStyle w:val="ManualHeading1"/>
        <w:rPr>
          <w:rFonts w:eastAsia="Arial Unicode MS"/>
          <w:noProof/>
        </w:rPr>
      </w:pPr>
      <w:r>
        <w:t>2.</w:t>
      </w:r>
      <w:r>
        <w:tab/>
      </w:r>
      <w:r>
        <w:rPr>
          <w:noProof/>
        </w:rPr>
        <w:t>Позиция, която трябва да се заеме от името на Съюза</w:t>
      </w:r>
    </w:p>
    <w:p>
      <w:pPr>
        <w:rPr>
          <w:rFonts w:eastAsia="Calibri"/>
          <w:noProof/>
        </w:rPr>
      </w:pPr>
      <w:r>
        <w:rPr>
          <w:noProof/>
        </w:rPr>
        <w:t>С настоящото решение на Съвета следва да се даде възможност на Комисията преди изтичането на срока за нотифициране, посочен в член 20, параграф 4 от Конвенцията NEAFC, да одобри от името на Съюза присъединяването на Обединеното кралство към Конвенцията NEAFC.</w:t>
      </w:r>
    </w:p>
    <w:p>
      <w:pPr>
        <w:rPr>
          <w:noProof/>
        </w:rPr>
      </w:pPr>
      <w:r>
        <w:rPr>
          <w:noProof/>
        </w:rPr>
        <w:t>Една от основните цели на общата политика в областта на рибарството, определена в Регламент (ЕС) № 1380/2013 на Европейския парламент и на Съвета</w:t>
      </w:r>
      <w:r>
        <w:rPr>
          <w:rStyle w:val="FootnoteReference"/>
          <w:noProof/>
        </w:rPr>
        <w:footnoteReference w:id="7"/>
      </w:r>
      <w:r>
        <w:rPr>
          <w:noProof/>
        </w:rPr>
        <w:t xml:space="preserve">, е „да се гарантира, че риболовните дейности са устойчиви от екологична, икономическа и социална гледна точка, че се управляват в съответствие с целите за постигане на икономически и социални ползи и ползи за заетостта и в съответствие с целите, свързани с възстановяването и поддържането на рибните запаси над равнищата, </w:t>
      </w:r>
      <w:r>
        <w:rPr>
          <w:noProof/>
        </w:rPr>
        <w:lastRenderedPageBreak/>
        <w:t xml:space="preserve">позволяващи максимален устойчив улов, както и че тези дейности допринасят за осигуряването на продоволственото снабдяване“. </w:t>
      </w:r>
    </w:p>
    <w:p>
      <w:pPr>
        <w:rPr>
          <w:noProof/>
        </w:rPr>
      </w:pPr>
      <w:r>
        <w:rPr>
          <w:noProof/>
        </w:rPr>
        <w:t>В интерес на Съюза е Обединеното кралство да сътрудничи в управлението на запасите от общ интерес в пълно съответствие с разпоредбите на Конвенцията на Организацията на обединените нации по морско право от 10 декември 1982 г.</w:t>
      </w:r>
      <w:r>
        <w:rPr>
          <w:rStyle w:val="FootnoteReference"/>
          <w:noProof/>
        </w:rPr>
        <w:footnoteReference w:id="8"/>
      </w:r>
      <w:r>
        <w:rPr>
          <w:noProof/>
        </w:rPr>
        <w:t xml:space="preserve"> (наричана по-долу за краткост „Конвенцията на ООН по морско право“) и Споразумението на ООН относно прилагането на разпоредбите на Конвенцията на ООН по морско право от 10 декември 1982 г., свързани с опазването и управлението на трансгранично преминаващите и далекомигриращите рибни запаси от 4 август 1995 г.</w:t>
      </w:r>
      <w:r>
        <w:rPr>
          <w:rStyle w:val="FootnoteReference"/>
          <w:noProof/>
        </w:rPr>
        <w:footnoteReference w:id="9"/>
      </w:r>
      <w:r>
        <w:rPr>
          <w:noProof/>
        </w:rPr>
        <w:t xml:space="preserve"> (наричано по-долу за краткост „Споразумението на ООН за рибните запаси“), или каквито и да било други международни споразумения или норми на международното право. </w:t>
      </w:r>
    </w:p>
    <w:p>
      <w:pPr>
        <w:rPr>
          <w:noProof/>
        </w:rPr>
      </w:pPr>
      <w:r>
        <w:rPr>
          <w:noProof/>
        </w:rPr>
        <w:t>Съгласно членове 56, 63 и 116 от Конвенцията на ООН по морско право Обединеното кралство има законни риболовни интереси в зоната на Конвенцията NEAFC (в открито море) и като крайбрежна държава, тъй като водите в неговата изключителна икономическа зона попадат в зоната на Конвенцията NEAFC.</w:t>
      </w:r>
    </w:p>
    <w:p>
      <w:pPr>
        <w:rPr>
          <w:noProof/>
        </w:rPr>
      </w:pPr>
      <w:r>
        <w:rPr>
          <w:noProof/>
        </w:rPr>
        <w:t xml:space="preserve">Както е предвидено в член 63, параграф 2 от Конвенцията на ООН по морско право и в член 8 от Споразумението на ООН за рибните запаси, там, където един и същ запас или запаси от сходни видове се срещат както в изключителната икономическа зона, така и в район отвъд нея и прилежащ към зоната, крайбрежната държава и държавите, извършващи риболов от тези запаси в прилежащия район, са длъжни да си сътрудничат, за да се споразумеят за мерките, необходими за съхраняването на тези запаси в прилежащия район. Това сътрудничество може да се извършва в рамките на регионални организации за управление на рибарството или, в случаите, когато въпросният запас не е от тяхната компетентност, посредством </w:t>
      </w:r>
      <w:r>
        <w:rPr>
          <w:i/>
          <w:iCs/>
          <w:noProof/>
        </w:rPr>
        <w:t>ad hoc</w:t>
      </w:r>
      <w:r>
        <w:rPr>
          <w:noProof/>
        </w:rPr>
        <w:t xml:space="preserve"> договорености между държавите, заинтересовани от съответния вид риболов.</w:t>
      </w:r>
    </w:p>
    <w:p>
      <w:pPr>
        <w:rPr>
          <w:rFonts w:eastAsia="Times New Roman"/>
          <w:noProof/>
          <w:szCs w:val="24"/>
        </w:rPr>
      </w:pPr>
      <w:r>
        <w:rPr>
          <w:noProof/>
        </w:rPr>
        <w:t xml:space="preserve">Присъединяването на Обединеното кралство към Конвенцията NEAFC ще му даде възможност да сътрудничи във връзка с необходимите мерки за управление на рибарството, както и да гарантира, че риболовните дейности се извършват така, че съответните рибни запаси да се използват по устойчив начин. </w:t>
      </w:r>
    </w:p>
    <w:p>
      <w:pPr>
        <w:rPr>
          <w:rFonts w:eastAsia="Calibri"/>
          <w:noProof/>
        </w:rPr>
      </w:pPr>
      <w:r>
        <w:rPr>
          <w:noProof/>
        </w:rPr>
        <w:t xml:space="preserve">С оглед на законните риболовни интереси на Обединеното кралство в зоната на Конвенцията NEAFC, задължението на Обединеното кралство да сътрудничи във връзка с необходимото управление на рибарството и необходимостта да се гарантира обвързващият характер на препоръките на NEAFC след присъединяването на Обединеното кралство, Комисията препоръчва заявлението на Обединеното кралство да се приеме. </w:t>
      </w:r>
    </w:p>
    <w:p>
      <w:pPr>
        <w:rPr>
          <w:rFonts w:eastAsia="Calibri"/>
          <w:noProof/>
        </w:rPr>
      </w:pPr>
      <w:r>
        <w:rPr>
          <w:noProof/>
        </w:rPr>
        <w:t xml:space="preserve">Предлага се Комисията да бъде упълномощена да информира депозитаря на Конвенцията NEAFC, че позицията на Съюза е в подкрепа на присъединяването на Обединеното кралство към Конвенцията NEAFC. </w:t>
      </w:r>
    </w:p>
    <w:p>
      <w:pPr>
        <w:pStyle w:val="ManualHeading1"/>
        <w:rPr>
          <w:noProof/>
        </w:rPr>
      </w:pPr>
      <w:r>
        <w:lastRenderedPageBreak/>
        <w:t>3.</w:t>
      </w:r>
      <w:r>
        <w:tab/>
      </w:r>
      <w:r>
        <w:rPr>
          <w:noProof/>
        </w:rPr>
        <w:t>Правно основание</w:t>
      </w:r>
    </w:p>
    <w:p>
      <w:pPr>
        <w:pStyle w:val="ManualHeading2"/>
        <w:rPr>
          <w:noProof/>
        </w:rPr>
      </w:pPr>
      <w:r>
        <w:t>3.1.</w:t>
      </w:r>
      <w:r>
        <w:tab/>
      </w:r>
      <w:r>
        <w:rPr>
          <w:noProof/>
        </w:rPr>
        <w:t>Процесуалноправно основание</w:t>
      </w:r>
    </w:p>
    <w:p>
      <w:pPr>
        <w:pStyle w:val="ManualHeading3"/>
        <w:rPr>
          <w:noProof/>
        </w:rPr>
      </w:pPr>
      <w:r>
        <w:t>3.1.1.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10"/>
      </w:r>
      <w:r>
        <w:rPr>
          <w:noProof/>
        </w:rPr>
        <w:t>.</w:t>
      </w:r>
    </w:p>
    <w:p>
      <w:pPr>
        <w:pStyle w:val="ManualHeading3"/>
        <w:rPr>
          <w:noProof/>
        </w:rPr>
      </w:pPr>
      <w:r>
        <w:t>3.1.2.</w:t>
      </w:r>
      <w:r>
        <w:tab/>
      </w:r>
      <w:r>
        <w:rPr>
          <w:noProof/>
        </w:rPr>
        <w:t>Приложение в конкретния случай</w:t>
      </w:r>
    </w:p>
    <w:p>
      <w:pPr>
        <w:rPr>
          <w:rFonts w:eastAsia="Calibri"/>
          <w:noProof/>
        </w:rPr>
      </w:pPr>
      <w:r>
        <w:rPr>
          <w:noProof/>
        </w:rPr>
        <w:t>Всяка държава може да се присъедини към Конвенцията NEAFC по всяко време. Заявлението се одобрява, ако до 90 дни от датата на нотификацията от депозитаря за приемането на заявлението три четвърти от договарящите се страни са нотифицирали депозитаря за своето одобрение на заявлението. Депозитарят нотифицира държавата, която кандидатства за присъединяване, и всички договарящи се страни за резултата от заявлението.</w:t>
      </w:r>
    </w:p>
    <w:p>
      <w:pPr>
        <w:rPr>
          <w:rFonts w:eastAsia="Calibri"/>
          <w:noProof/>
        </w:rPr>
      </w:pPr>
      <w:r>
        <w:rPr>
          <w:noProof/>
        </w:rPr>
        <w:t>Присъединяването се извършва чрез внасяне на инструмент за присъединяване при депозитаря и влиза в сила на датата на приемането му от депозитаря. Депозитарят уведомява всички страни, подписали конвенцията, и всички присъединяващи се страни за всички внесени инструменти за ратификация, приемане, одобрение или присъединяване и нотифицира всички страни, подписали конвенцията, за датата и страните, за които тя влиза в сила.</w:t>
      </w:r>
    </w:p>
    <w:p>
      <w:pPr>
        <w:rPr>
          <w:noProof/>
        </w:rPr>
      </w:pPr>
      <w:r>
        <w:rPr>
          <w:noProof/>
        </w:rPr>
        <w:t xml:space="preserve">След като присъединяването на Обединеното кралство стане факт, то ще бъде обвързващо съгласно международното право в съответствие с член 24 от Конвенцията NEAFC и може да окаже съществено въздействие върху съдържанието на законодателството на ЕС. </w:t>
      </w:r>
    </w:p>
    <w:p>
      <w:pPr>
        <w:rPr>
          <w:noProof/>
        </w:rPr>
      </w:pPr>
      <w:r>
        <w:rPr>
          <w:noProof/>
        </w:rPr>
        <w:t>Предвиденият акт не допълва, нито изменя институционалната рамка на Конвенцията NEAFC. Поради това процесуалноправното основание за предложеното решение е член 218, параграф 9 от ДФЕС.</w:t>
      </w:r>
    </w:p>
    <w:p>
      <w:pPr>
        <w:pStyle w:val="ManualHeading2"/>
        <w:rPr>
          <w:noProof/>
        </w:rPr>
      </w:pPr>
      <w:r>
        <w:t>3.2.</w:t>
      </w:r>
      <w:r>
        <w:tab/>
      </w:r>
      <w:r>
        <w:rPr>
          <w:noProof/>
        </w:rPr>
        <w:t>Материалноправно основание</w:t>
      </w:r>
    </w:p>
    <w:p>
      <w:pPr>
        <w:pStyle w:val="ManualHeading3"/>
        <w:rPr>
          <w:noProof/>
        </w:rPr>
      </w:pPr>
      <w:r>
        <w:t>3.2.1.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няколко цели или се състои от няколко части и ако едната от целите или частите може да се определи като основна, докато другите са само акцесорни,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lastRenderedPageBreak/>
        <w:t>3.2.2.</w:t>
      </w:r>
      <w:r>
        <w:tab/>
      </w:r>
      <w:r>
        <w:rPr>
          <w:noProof/>
        </w:rPr>
        <w:t>Приложение в конкретния случай</w:t>
      </w:r>
    </w:p>
    <w:p>
      <w:pPr>
        <w:rPr>
          <w:noProof/>
        </w:rPr>
      </w:pPr>
      <w:r>
        <w:rPr>
          <w:noProof/>
        </w:rPr>
        <w:t>Основната цел и съдържанието на предвидения акт са свързани с общата политика в областта на рибарството.</w:t>
      </w:r>
    </w:p>
    <w:p>
      <w:pPr>
        <w:rPr>
          <w:noProof/>
        </w:rPr>
      </w:pPr>
      <w:r>
        <w:rPr>
          <w:noProof/>
        </w:rPr>
        <w:t>Поради това материалноправното основание за предложеното решение е член 43 от ДФЕС.</w:t>
      </w:r>
    </w:p>
    <w:p>
      <w:pPr>
        <w:pStyle w:val="ManualHeading2"/>
        <w:rPr>
          <w:noProof/>
        </w:rPr>
      </w:pPr>
      <w:r>
        <w:t>3.3.</w:t>
      </w:r>
      <w:r>
        <w:tab/>
      </w:r>
      <w:r>
        <w:rPr>
          <w:noProof/>
        </w:rPr>
        <w:t>Заключение</w:t>
      </w:r>
    </w:p>
    <w:p>
      <w:pPr>
        <w:rPr>
          <w:noProof/>
        </w:rPr>
      </w:pPr>
      <w:r>
        <w:rPr>
          <w:noProof/>
        </w:rPr>
        <w:t>Правното основание на предложеното решение следва да бъде член 43 от ДФЕС във връзка с член 218, параграф 9 от ДФЕС.</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2020/0243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Конвенцията за бъдещо многостранно сътрудничество в областта на риболова в североизточната част на Атлантическия океан по отношение на подаденото от Обединеното кралство заявление за присъединяване към посочената конвенция, и за отмяна на Решение (ЕС) 2019/510 на Съвета</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Конвенцията за бъдещо многостранно сътрудничество в областта на риболова в североизточната част на Атлантическия океан</w:t>
      </w:r>
      <w:r>
        <w:rPr>
          <w:rStyle w:val="FootnoteReference"/>
          <w:noProof/>
        </w:rPr>
        <w:footnoteReference w:id="11"/>
      </w:r>
      <w:r>
        <w:rPr>
          <w:noProof/>
        </w:rPr>
        <w:t xml:space="preserve"> (наричана по-долу за краткост „Конвенцията NEAFC“) беше одобрена с Решение 81/608/ЕИО на Съвета</w:t>
      </w:r>
      <w:r>
        <w:rPr>
          <w:rStyle w:val="FootnoteReference"/>
          <w:noProof/>
        </w:rPr>
        <w:footnoteReference w:id="12"/>
      </w:r>
      <w:r>
        <w:rPr>
          <w:noProof/>
        </w:rPr>
        <w:t xml:space="preserve"> и влезе в сила на 17 март 1982 г. </w:t>
      </w:r>
    </w:p>
    <w:p>
      <w:pPr>
        <w:pStyle w:val="ManualConsidrant"/>
        <w:rPr>
          <w:noProof/>
        </w:rPr>
      </w:pPr>
      <w:r>
        <w:t>(2)</w:t>
      </w:r>
      <w:r>
        <w:tab/>
      </w:r>
      <w:r>
        <w:rPr>
          <w:noProof/>
        </w:rPr>
        <w:t xml:space="preserve">Конвенцията NEAFC понастоящем се прилага по отношение на Обединеното кралство в резултат на това, че Съюзът е договаряща се страна по нея, докато член 20, параграф 4 от тази конвенция не допуска присъединяването на държави — членки на Съюза. </w:t>
      </w:r>
    </w:p>
    <w:p>
      <w:pPr>
        <w:pStyle w:val="ManualConsidrant"/>
        <w:rPr>
          <w:noProof/>
        </w:rPr>
      </w:pPr>
      <w:r>
        <w:t>(3)</w:t>
      </w:r>
      <w:r>
        <w:tab/>
      </w:r>
      <w:r>
        <w:rPr>
          <w:noProof/>
        </w:rPr>
        <w:t xml:space="preserve">По силата на член 20, параграф 4 от Конвенцията NEAFC всяка държава може да се присъедини към конвенцията, при условие че заявлението ѝ за присъединяване бъде одобрено от три четвърти от всички договарящи се страни по конвенцията в срок от 90 дни от датата на нотификацията от депозитаря за приемането на заявлението. </w:t>
      </w:r>
    </w:p>
    <w:p>
      <w:pPr>
        <w:pStyle w:val="ManualConsidrant"/>
        <w:rPr>
          <w:noProof/>
        </w:rPr>
      </w:pPr>
      <w:r>
        <w:t>(4)</w:t>
      </w:r>
      <w:r>
        <w:tab/>
      </w:r>
      <w:r>
        <w:rPr>
          <w:noProof/>
        </w:rPr>
        <w:t>На 8 януари 2019 г. Обединеното кралство подаде заявление за присъединяване към Конвенцията NEAFC като договаряща се страна. На същата дата депозитарят нотифицира за това Европейската комисия.</w:t>
      </w:r>
    </w:p>
    <w:p>
      <w:pPr>
        <w:pStyle w:val="ManualConsidrant"/>
        <w:rPr>
          <w:noProof/>
        </w:rPr>
      </w:pPr>
      <w:r>
        <w:t>(5)</w:t>
      </w:r>
      <w:r>
        <w:tab/>
      </w:r>
      <w:r>
        <w:rPr>
          <w:noProof/>
        </w:rPr>
        <w:t>На 25 март 2019 г. Съветът прие Решение (ЕС) 2019/510</w:t>
      </w:r>
      <w:r>
        <w:rPr>
          <w:rStyle w:val="FootnoteReference"/>
          <w:noProof/>
        </w:rPr>
        <w:footnoteReference w:id="13"/>
      </w:r>
      <w:r>
        <w:rPr>
          <w:noProof/>
        </w:rPr>
        <w:t xml:space="preserve"> относно позицията, която трябва да се заеме от името на Европейския съюз в рамките на Конвенцията NEAFC по отношение на подаденото от Обединеното кралство </w:t>
      </w:r>
      <w:r>
        <w:rPr>
          <w:noProof/>
        </w:rPr>
        <w:lastRenderedPageBreak/>
        <w:t>заявление за присъединяване към посочената конвенция. Посоченото решение беше в подкрепа на присъединяването на Обединеното кралство към Конвенцията NEAFC и беше прието, за да се предвиди ситуация, при която Обединеното кралство би напуснало Съюза без споразумение за оттегляне. Поради това с Решение (ЕС) 2019/510 Комисията беше упълномощена да нотифицира за позицията на Съюза само ако не бъде сключено споразумение за оттегляне.</w:t>
      </w:r>
    </w:p>
    <w:p>
      <w:pPr>
        <w:pStyle w:val="ManualConsidrant"/>
        <w:rPr>
          <w:noProof/>
        </w:rPr>
      </w:pPr>
      <w:r>
        <w:t>(6)</w:t>
      </w:r>
      <w:r>
        <w:tab/>
      </w:r>
      <w:r>
        <w:rPr>
          <w:noProof/>
        </w:rPr>
        <w:t xml:space="preserve">Освен това заявлението на Обединеното кралство за присъединяване не получи изискваното одобрение от три четвърти от всички договарящи се страни: кворумът от три четвърти от договарящите се страни, които трябва да нотифицират депозитаря за одобрението си на заявлението, не беше достигнат. </w:t>
      </w:r>
    </w:p>
    <w:p>
      <w:pPr>
        <w:pStyle w:val="ManualConsidrant"/>
        <w:rPr>
          <w:noProof/>
        </w:rPr>
      </w:pPr>
      <w:r>
        <w:t>(7)</w:t>
      </w:r>
      <w:r>
        <w:tab/>
      </w:r>
      <w:r>
        <w:rPr>
          <w:noProof/>
        </w:rPr>
        <w:t>Съгласно член 129, параграф 4 от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по време на преходния период Обединеното кралство може да договаря, подписва и ратифицира международни споразумения, сключени от него в негово собствено качество, в областите на изключителна компетентност на Съюза, при условие че тези споразумения не влизат в сила или не се прилагат по време на преходния период, освен ако това не е разрешено от Съюза. В Решение (ЕС) 2020/135 на Съвета</w:t>
      </w:r>
      <w:r>
        <w:rPr>
          <w:rStyle w:val="FootnoteReference"/>
          <w:noProof/>
        </w:rPr>
        <w:footnoteReference w:id="14"/>
      </w:r>
      <w:r>
        <w:rPr>
          <w:noProof/>
        </w:rPr>
        <w:t xml:space="preserve"> се определят условията и процедурата за предоставяне на такива разрешения.</w:t>
      </w:r>
    </w:p>
    <w:p>
      <w:pPr>
        <w:pStyle w:val="ManualConsidrant"/>
        <w:rPr>
          <w:noProof/>
        </w:rPr>
      </w:pPr>
      <w:r>
        <w:t>(8)</w:t>
      </w:r>
      <w:r>
        <w:tab/>
      </w:r>
      <w:r>
        <w:rPr>
          <w:noProof/>
        </w:rPr>
        <w:t xml:space="preserve">Със свое писмо от 3 април 2020 г. Обединеното кралство уведоми Европейската комисия за намерението си да изрази съгласие да се обвърже с Конвенцията NEAFC в собствено качество по време на преходния период. </w:t>
      </w:r>
    </w:p>
    <w:p>
      <w:pPr>
        <w:pStyle w:val="ManualConsidrant"/>
        <w:rPr>
          <w:noProof/>
        </w:rPr>
      </w:pPr>
      <w:r>
        <w:t>(9)</w:t>
      </w:r>
      <w:r>
        <w:tab/>
      </w:r>
      <w:r>
        <w:rPr>
          <w:noProof/>
        </w:rPr>
        <w:t>Тъй като условията, посочени в член 3, параграф 1 от Решение (ЕС) 2020/135, са изпълнени, с Решение за изпълнение (ЕС) ХХХ на Съвета</w:t>
      </w:r>
      <w:r>
        <w:rPr>
          <w:rStyle w:val="FootnoteReference"/>
          <w:noProof/>
        </w:rPr>
        <w:footnoteReference w:id="15"/>
      </w:r>
      <w:r>
        <w:rPr>
          <w:noProof/>
        </w:rPr>
        <w:t xml:space="preserve"> на Обединеното кралство се предоставя разрешение да изрази съгласие да се обвърже с Конвенцията NEAFC в собствено качество.</w:t>
      </w:r>
    </w:p>
    <w:p>
      <w:pPr>
        <w:pStyle w:val="ManualConsidrant"/>
        <w:rPr>
          <w:noProof/>
        </w:rPr>
      </w:pPr>
      <w:r>
        <w:t>(10)</w:t>
      </w:r>
      <w:r>
        <w:tab/>
      </w:r>
      <w:r>
        <w:rPr>
          <w:noProof/>
        </w:rPr>
        <w:t>Съгласно членове 56, 63 и 116 от Конвенцията на Организацията на обединените нации по морско право (наричана по-долу за краткост „Конвенцията на ООН по морско право“)</w:t>
      </w:r>
      <w:r>
        <w:rPr>
          <w:rStyle w:val="FootnoteReference"/>
          <w:noProof/>
        </w:rPr>
        <w:footnoteReference w:id="16"/>
      </w:r>
      <w:r>
        <w:rPr>
          <w:noProof/>
        </w:rPr>
        <w:t xml:space="preserve"> Обединеното кралство има законни риболовни интереси в зоната на Конвенцията NEAFC (в открито море) като крайбрежна държава, тъй като водите в неговата изключителна икономическа зона попадат в зоната на Конвенцията NEAFC. </w:t>
      </w:r>
    </w:p>
    <w:p>
      <w:pPr>
        <w:pStyle w:val="ManualConsidrant"/>
        <w:rPr>
          <w:noProof/>
        </w:rPr>
      </w:pPr>
      <w:r>
        <w:t>(11)</w:t>
      </w:r>
      <w:r>
        <w:tab/>
      </w:r>
      <w:r>
        <w:rPr>
          <w:noProof/>
        </w:rPr>
        <w:t xml:space="preserve">С цел да се избегне неустойчив риболов е в интерес на Съюза Обединеното кралство да сътрудничи в управлението на запасите от общ интерес в пълно съответствие с разпоредбите на Конвенцията на ООН по морско право и Споразумението на ООН относно прилагането на разпоредбите на Конвенцията на ООН по морско право от 10 декември 1982 г., свързани с опазването и управлението на трансгранично преминаващите и далекомигриращите рибни запаси от 4 август 1995 г. (наричано по-долу за краткост „Споразумението на </w:t>
      </w:r>
      <w:r>
        <w:rPr>
          <w:noProof/>
        </w:rPr>
        <w:lastRenderedPageBreak/>
        <w:t>ООН за рибните запаси“)</w:t>
      </w:r>
      <w:r>
        <w:rPr>
          <w:rStyle w:val="FootnoteReference"/>
          <w:noProof/>
        </w:rPr>
        <w:footnoteReference w:id="17"/>
      </w:r>
      <w:r>
        <w:rPr>
          <w:noProof/>
        </w:rPr>
        <w:t>, или каквито и да било други международни споразумения или норми на международното право.</w:t>
      </w:r>
    </w:p>
    <w:p>
      <w:pPr>
        <w:pStyle w:val="ManualConsidrant"/>
        <w:rPr>
          <w:noProof/>
        </w:rPr>
      </w:pPr>
      <w:r>
        <w:t>(12)</w:t>
      </w:r>
      <w:r>
        <w:tab/>
      </w:r>
      <w:r>
        <w:rPr>
          <w:noProof/>
        </w:rPr>
        <w:t xml:space="preserve">Както е предвидено в член 63, параграф 2 от Конвенцията на ООН по морско право и в член 8 от Споразумението на ООН за рибните запаси, когато един и същ запас или запаси от сходни видове се срещат както в изключителната икономическа зона, така и в район отвъд нея и прилежащ към зоната, крайбрежната държава и държавите, извършващи риболов от тези запаси в прилежащия район, са длъжни да си сътрудничат, за да се споразумеят за мерките, необходими за съхраняването на тези запаси в прилежащия район. Това сътрудничество може да се установи в рамките на регионални организации за управление на рибарството. Присъединяването на Обединеното кралство към Конвенцията NEAFC ще му даде възможност да сътрудничи във връзка с необходимите мерки за управление на рибарството, за да се гарантира, че риболовните дейности се извършват така, че съответните рибни запаси да се използват по устойчив начин. </w:t>
      </w:r>
    </w:p>
    <w:p>
      <w:pPr>
        <w:pStyle w:val="ManualConsidrant"/>
        <w:rPr>
          <w:noProof/>
        </w:rPr>
      </w:pPr>
      <w:r>
        <w:t>(13)</w:t>
      </w:r>
      <w:r>
        <w:tab/>
      </w:r>
      <w:r>
        <w:rPr>
          <w:noProof/>
        </w:rPr>
        <w:t>Присъединяването още преди изтичането на преходния период ще позволи на Обединеното кралство да осигури пълното действие на задълженията, произтичащи от Конвенцията на ООН по морско право</w:t>
      </w:r>
      <w:r>
        <w:rPr>
          <w:rStyle w:val="FootnoteReference"/>
          <w:noProof/>
          <w:vertAlign w:val="baseline"/>
        </w:rPr>
        <w:t xml:space="preserve"> </w:t>
      </w:r>
      <w:r>
        <w:rPr>
          <w:noProof/>
        </w:rPr>
        <w:t>по отношение на мерките за опазване и управление, които пораждат действие от момента, когато преходният период приключи и правото на Съюза престане да се прилага по отношение на тази държава. Поради това е в интерес на Съюза подаденото от Обединеното кралство заявление за присъединяване към Конвенцията NEAFC да се одобри преди изтичането на срока за нотифициране, посочен в член 20, параграф 4 от Конвенцията NEAFC.</w:t>
      </w:r>
    </w:p>
    <w:p>
      <w:pPr>
        <w:pStyle w:val="ManualConsidrant"/>
        <w:rPr>
          <w:noProof/>
        </w:rPr>
      </w:pPr>
      <w:r>
        <w:t>(14)</w:t>
      </w:r>
      <w:r>
        <w:tab/>
      </w:r>
      <w:r>
        <w:rPr>
          <w:noProof/>
        </w:rPr>
        <w:t xml:space="preserve">В интерес на яснотата и правната сигурност Решение (ЕС) 2019/510 следва да бъде отменено, </w:t>
      </w:r>
    </w:p>
    <w:p>
      <w:pPr>
        <w:pStyle w:val="Formuledadoption"/>
        <w:rPr>
          <w:noProof/>
        </w:rPr>
      </w:pPr>
      <w:r>
        <w:rPr>
          <w:noProof/>
        </w:rPr>
        <w:t>ПРИЕ НАСТОЯЩОТО РЕШЕНИЕ:</w:t>
      </w:r>
    </w:p>
    <w:p>
      <w:pPr>
        <w:pStyle w:val="Titrearticle"/>
        <w:rPr>
          <w:noProof/>
        </w:rPr>
      </w:pPr>
      <w:r>
        <w:rPr>
          <w:noProof/>
        </w:rPr>
        <w:t>Член 1</w:t>
      </w:r>
    </w:p>
    <w:p>
      <w:pPr>
        <w:pStyle w:val="ManualNumPar1"/>
        <w:rPr>
          <w:noProof/>
        </w:rPr>
      </w:pPr>
      <w:r>
        <w:t>1.</w:t>
      </w:r>
      <w:r>
        <w:tab/>
      </w:r>
      <w:r>
        <w:rPr>
          <w:noProof/>
        </w:rPr>
        <w:t xml:space="preserve">Позицията, която трябва да се заеме от името на Съюза в рамките на Конвенцията за бъдещо многостранно сътрудничество в областта на риболова в североизточната част на Атлантическия океан („Конвенцията NEAFC“), е да се одобри заявлението за присъединяване на Обединеното кралство към Конвенцията NEAFC. </w:t>
      </w:r>
    </w:p>
    <w:p>
      <w:pPr>
        <w:pStyle w:val="ManualNumPar1"/>
        <w:rPr>
          <w:noProof/>
        </w:rPr>
      </w:pPr>
      <w:r>
        <w:t>2.</w:t>
      </w:r>
      <w:r>
        <w:tab/>
      </w:r>
      <w:r>
        <w:rPr>
          <w:noProof/>
        </w:rPr>
        <w:t xml:space="preserve">Комисията се упълномощава да нотифицира за позицията на Съюза депозитаря на Конвенцията NEAFC преди изтичането на срока за нотифициране, посочен в член 20, параграф 4 от Конвенцията NEAFC. </w:t>
      </w:r>
    </w:p>
    <w:p>
      <w:pPr>
        <w:pStyle w:val="Titrearticle"/>
        <w:rPr>
          <w:noProof/>
        </w:rPr>
      </w:pPr>
      <w:r>
        <w:rPr>
          <w:noProof/>
        </w:rPr>
        <w:t>Член 2</w:t>
      </w:r>
    </w:p>
    <w:p>
      <w:pPr>
        <w:rPr>
          <w:noProof/>
        </w:rPr>
      </w:pPr>
      <w:r>
        <w:rPr>
          <w:noProof/>
        </w:rPr>
        <w:t xml:space="preserve">Решение (ЕС) 2019/510 се отменя. </w:t>
      </w:r>
    </w:p>
    <w:p>
      <w:pPr>
        <w:jc w:val="center"/>
        <w:rPr>
          <w:noProof/>
        </w:rPr>
      </w:pPr>
      <w:r>
        <w:rPr>
          <w:i/>
          <w:noProof/>
        </w:rPr>
        <w:t>Член 3</w:t>
      </w:r>
    </w:p>
    <w:p>
      <w:pPr>
        <w:keepNext/>
        <w:keepLines/>
        <w:rPr>
          <w:noProof/>
        </w:rPr>
      </w:pPr>
      <w:r>
        <w:rPr>
          <w:noProof/>
        </w:rPr>
        <w:lastRenderedPageBreak/>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Споразумение за оттеглянето на Обединеното кралство Великобритания и Северна Ирландия от Европейския съюз и Европейската общност за атомна енергия (ОВ C 384 I, 12.11.2019 г., стр. 1).</w:t>
      </w:r>
    </w:p>
  </w:footnote>
  <w:footnote w:id="2">
    <w:p>
      <w:pPr>
        <w:pStyle w:val="FootnoteText"/>
      </w:pPr>
      <w:r>
        <w:rPr>
          <w:rStyle w:val="FootnoteReference"/>
        </w:rPr>
        <w:footnoteRef/>
      </w:r>
      <w:r>
        <w:tab/>
        <w:t>OВ L 227, 12.8.1981 г., стр. 21.</w:t>
      </w:r>
    </w:p>
  </w:footnote>
  <w:footnote w:id="3">
    <w:p>
      <w:pPr>
        <w:pStyle w:val="FootnoteText"/>
      </w:pPr>
      <w:r>
        <w:rPr>
          <w:rStyle w:val="FootnoteReference"/>
        </w:rPr>
        <w:footnoteRef/>
      </w:r>
      <w:r>
        <w:tab/>
        <w:t>За заявлението на Обединеното кралство, което беше подадено на 8 януари 2019 г., 90-дневният срок изтича на 8 април 2019 г.</w:t>
      </w:r>
    </w:p>
  </w:footnote>
  <w:footnote w:id="4">
    <w:p>
      <w:pPr>
        <w:pStyle w:val="FootnoteText"/>
      </w:pPr>
      <w:r>
        <w:rPr>
          <w:rStyle w:val="FootnoteReference"/>
        </w:rPr>
        <w:footnoteRef/>
      </w:r>
      <w:r>
        <w:tab/>
        <w:t>Решение (ЕС) 2019/510 на Съвета от 25 март 2019 г. относно позицията, която трябва да се заеме от името на Европейския съюз в рамките на Конвенцията за бъдещо многостранно сътрудничество в областта на риболова в североизточната част на Атлантическия океан по отношение на подаденото от Обединеното кралство заявление за присъединяване към посочената конвенция (OВ L 85, 27.3.2019 г., стр. 22).</w:t>
      </w:r>
    </w:p>
  </w:footnote>
  <w:footnote w:id="5">
    <w:p>
      <w:pPr>
        <w:pStyle w:val="FootnoteText"/>
      </w:pPr>
      <w:r>
        <w:rPr>
          <w:rStyle w:val="FootnoteReference"/>
        </w:rPr>
        <w:footnoteRef/>
      </w:r>
      <w:r>
        <w:tab/>
        <w:t>Решение (ЕС) 2020/135 на Съвета от 30 януари 2020 г. относно сключването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(OВ L 29, 31.1.2020 г., стр. 1).</w:t>
      </w:r>
    </w:p>
  </w:footnote>
  <w:footnote w:id="6">
    <w:p>
      <w:pPr>
        <w:pStyle w:val="FootnoteText"/>
      </w:pPr>
      <w:r>
        <w:rPr>
          <w:rStyle w:val="FootnoteReference"/>
        </w:rPr>
        <w:footnoteRef/>
      </w:r>
      <w:r>
        <w:tab/>
        <w:t>OВ L xxx, xxx, стр. xxx.</w:t>
      </w:r>
    </w:p>
  </w:footnote>
  <w:footnote w:id="7">
    <w:p>
      <w:pPr>
        <w:pStyle w:val="FootnoteText"/>
      </w:pPr>
      <w:r>
        <w:rPr>
          <w:rStyle w:val="FootnoteReference"/>
        </w:rPr>
        <w:footnoteRef/>
      </w:r>
      <w:r>
        <w:tab/>
      </w:r>
      <w:r>
        <w:rPr>
          <w:rStyle w:val="Emphasis"/>
          <w:i w:val="0"/>
        </w:rPr>
        <w:t>OВ L 354, 28.12.2013 г., стр. 22</w:t>
      </w:r>
      <w:r>
        <w:rPr>
          <w:rStyle w:val="Emphasis"/>
        </w:rPr>
        <w:t>.</w:t>
      </w:r>
    </w:p>
  </w:footnote>
  <w:footnote w:id="8">
    <w:p>
      <w:pPr>
        <w:pStyle w:val="FootnoteText"/>
      </w:pPr>
      <w:r>
        <w:rPr>
          <w:rStyle w:val="FootnoteReference"/>
        </w:rPr>
        <w:footnoteRef/>
      </w:r>
      <w:r>
        <w:tab/>
        <w:t>Конвенция на Организацията на обединените нации по морско право (ОВ L 179, 23.6.1998 г., стр. 3).</w:t>
      </w:r>
    </w:p>
  </w:footnote>
  <w:footnote w:id="9">
    <w:p>
      <w:pPr>
        <w:pStyle w:val="FootnoteText"/>
      </w:pPr>
      <w:r>
        <w:rPr>
          <w:rStyle w:val="FootnoteReference"/>
        </w:rPr>
        <w:footnoteRef/>
      </w:r>
      <w:r>
        <w:tab/>
        <w:t>Споразумение относно прилагането на разпоредби на Конвенцията на ООН по морско право от 10 декември 1982 г., свързани с опазването и управлението на трансгранично преминаващите и далекомигриращите рибни запаси — Декларация относно компетентността на Европейската общност — Тълкувателни декларации (OВ L 189, 3.7.1998 г., стр. 17).</w:t>
      </w:r>
    </w:p>
  </w:footnote>
  <w:footnote w:id="10">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11">
    <w:p>
      <w:pPr>
        <w:pStyle w:val="FootnoteText"/>
      </w:pPr>
      <w:r>
        <w:rPr>
          <w:rStyle w:val="FootnoteReference"/>
        </w:rPr>
        <w:footnoteRef/>
      </w:r>
      <w:r>
        <w:tab/>
        <w:t>OВ L 227, 12.8.1981 г., стр. 22.</w:t>
      </w:r>
    </w:p>
  </w:footnote>
  <w:footnote w:id="12">
    <w:p>
      <w:pPr>
        <w:pStyle w:val="FootnoteText"/>
      </w:pPr>
      <w:r>
        <w:rPr>
          <w:rStyle w:val="FootnoteReference"/>
        </w:rPr>
        <w:footnoteRef/>
      </w:r>
      <w:r>
        <w:tab/>
        <w:t>Решение 81/608/ЕИО на Съвета от 13 юли 1981 г. относно подписването на Конвенция за бъдещо многостранно сътрудничество в областта на риболова в североизточната част на Атлантическия океан (ОВ L 227, 12.8.1981 г., стр. 21).</w:t>
      </w:r>
    </w:p>
  </w:footnote>
  <w:footnote w:id="13">
    <w:p>
      <w:pPr>
        <w:pStyle w:val="FootnoteText"/>
      </w:pPr>
      <w:r>
        <w:rPr>
          <w:rStyle w:val="FootnoteReference"/>
        </w:rPr>
        <w:footnoteRef/>
      </w:r>
      <w:r>
        <w:tab/>
        <w:t xml:space="preserve">Решение (ЕС) 2019/510 на Съвета от 25 март 2019 г. относно позицията, която трябва да се заеме от името на Европейския съюз в рамките на Конвенцията за бъдещо многостранно сътрудничество в областта на риболова в североизточната част на Атлантическия океан по отношение на подаденото от Обединеното кралство заявление за присъединяване към посочената конвенция (OВ L 85, 27.3.2019 г., стр. 22). </w:t>
      </w:r>
    </w:p>
  </w:footnote>
  <w:footnote w:id="14">
    <w:p>
      <w:pPr>
        <w:pStyle w:val="FootnoteText"/>
      </w:pPr>
      <w:r>
        <w:rPr>
          <w:rStyle w:val="FootnoteReference"/>
        </w:rPr>
        <w:footnoteRef/>
      </w:r>
      <w:r>
        <w:tab/>
        <w:t>Решение (ЕС) 2020/135 на Съвета от 30 януари 2020 г. относно сключването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(OВ L 29, 31.1.2020 г., стр. 1).</w:t>
      </w:r>
    </w:p>
  </w:footnote>
  <w:footnote w:id="15">
    <w:p>
      <w:pPr>
        <w:pStyle w:val="FootnoteText"/>
      </w:pPr>
      <w:r>
        <w:rPr>
          <w:rStyle w:val="FootnoteReference"/>
        </w:rPr>
        <w:footnoteRef/>
      </w:r>
      <w:r>
        <w:tab/>
        <w:t>Решение за изпълнение (ЕС) 2020/ХХХ на Съвета от [дата] за предоставяне на разрешение на Обединеното кралство да изрази съгласие да се обвърже, в собствено качество, с определени международни споразумения, които да се прилагат по време на преходния период, в сферата на общата политика на Съюза в областта на рибарството (OВ L xxx, xxx, стр. xxx).</w:t>
      </w:r>
    </w:p>
  </w:footnote>
  <w:footnote w:id="16">
    <w:p>
      <w:pPr>
        <w:pStyle w:val="FootnoteText"/>
      </w:pPr>
      <w:r>
        <w:rPr>
          <w:rStyle w:val="FootnoteReference"/>
        </w:rPr>
        <w:footnoteRef/>
      </w:r>
      <w:r>
        <w:tab/>
        <w:t>OВ L 179, 23.6.1998 г., стр. 3.</w:t>
      </w:r>
    </w:p>
  </w:footnote>
  <w:footnote w:id="17">
    <w:p>
      <w:pPr>
        <w:pStyle w:val="FootnoteText"/>
      </w:pPr>
      <w:r>
        <w:rPr>
          <w:rStyle w:val="FootnoteReference"/>
        </w:rPr>
        <w:footnoteRef/>
      </w:r>
      <w:r>
        <w:tab/>
        <w:t>OВ L 189, 3.7.1998 г., стр.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F88A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57C4A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8243A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A061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4E4E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14DD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AEF67A"/>
    <w:lvl w:ilvl="0">
      <w:start w:val="1"/>
      <w:numFmt w:val="decimal"/>
      <w:pStyle w:val="ListNumber"/>
      <w:lvlText w:val="%1."/>
      <w:lvlJc w:val="left"/>
      <w:pPr>
        <w:tabs>
          <w:tab w:val="num" w:pos="360"/>
        </w:tabs>
        <w:ind w:left="360" w:hanging="360"/>
      </w:pPr>
    </w:lvl>
  </w:abstractNum>
  <w:abstractNum w:abstractNumId="7">
    <w:nsid w:val="FFFFFF89"/>
    <w:multiLevelType w:val="singleLevel"/>
    <w:tmpl w:val="3CC0E4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attachedTemplate r:id="rId1"/>
  <w:revisionView w:markup="0"/>
  <w:defaultTabStop w:val="720"/>
  <w:hyphenationZone w:val="425"/>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10:00:4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9115E56-70E1-4761-8FA6-031CF7205ADE"/>
    <w:docVar w:name="LW_COVERPAGE_TYPE" w:val="1"/>
    <w:docVar w:name="LW_CROSSREFERENCE" w:val="&lt;UNUSED&gt;"/>
    <w:docVar w:name="LW_DocType" w:val="COM"/>
    <w:docVar w:name="LW_EMISSION" w:val="7.9.2020"/>
    <w:docVar w:name="LW_EMISSION_ISODATE" w:val="2020-09-07"/>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3"/>
    <w:docVar w:name="LW_REF.II.NEW.CP_YEAR" w:val="2020"/>
    <w:docVar w:name="LW_REF.INST.NEW" w:val="COM"/>
    <w:docVar w:name="LW_REF.INST.NEW_ADOPTED" w:val="final"/>
    <w:docVar w:name="LW_REF.INST.NEW_TEXT" w:val="(2020) 4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5?\u1074?\u1077?\u1085?\u1094?\u1080?\u1103?\u1090?\u1072? \u1079?\u1072? \u1073?\u1098?\u1076?\u1077?\u1097?\u1086? \u1084?\u1085?\u1086?\u1075?\u1086?\u1089?\u1090?\u1088?\u1072?\u1085?\u1085?\u1086? \u1089?\u1098?\u1090?\u1088?\u1091?\u1076?\u1085?\u1080?\u1095?\u1077?\u1089?\u1090?\u1074?\u1086? \u1074? \u1086?\u1073?\u1083?\u1072?\u1089?\u1090?\u1090?\u1072? \u1085?\u1072? \u1088?\u1080?\u1073?\u1086?\u1083?\u1086?\u1074?\u1072? \u1074? \u1089?\u1077?\u1074?\u1077?\u1088?\u1086?\u1080?\u1079?\u1090?\u1086?\u1095?\u1085?\u1072?\u1090?\u1072? \u1095?\u1072?\u1089?\u1090? \u1085?\u1072? \u1040?\u1090?\u1083?\u1072?\u1085?\u1090?\u1080?\u1095?\u1077?\u1089?\u1082?\u1080?\u1103? \u1086?\u1082?\u1077?\u1072?\u1085? \u1087?\u1086? \u1086?\u1090?\u1085?\u1086?\u1096?\u1077?\u1085?\u1080?\u1077? \u1085?\u1072? \u1087?\u1086?\u1076?\u1072?\u1076?\u1077?\u1085?\u1086?\u1090?\u1086? \u1086?\u1090? \u1054?\u1073?\u1077?\u1076?\u1080?\u1085?\u1077?\u1085?\u1086?\u1090?\u1086? \u1082?\u1088?\u1072?\u1083?\u1089?\u1090?\u1074?\u1086? \u1079?\u1072?\u1103?\u1074?\u1083?\u1077?\u1085?\u1080?\u1077? \u1079?\u1072? \u1087?\u1088?\u1080?\u1089?\u1098?\u1077?\u1076?\u1080?\u1085?\u1103?\u1074?\u1072?\u1085?\u1077? \u1082?\u1098?\u1084? \u1087?\u1086?\u1089?\u1086?\u1095?\u1077?\u1085?\u1072?\u1090?\u1072? \u1082?\u1086?\u1085?\u1074?\u1077?\u1085?\u1094?\u1080?\u1103?, \u1080? \u1079?\u1072? \u1086?\u1090?\u1084?\u1103?\u1085?\u1072? \u1085?\u1072? \u1056?\u1077?\u1096?\u1077?\u1085?\u1080?\u1077? (\u1045?\u1057?) 2019/510 \u1085?\u1072? \u1057?\u1098?\u1074?\u1077?\u1090?\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387956">
      <w:bodyDiv w:val="1"/>
      <w:marLeft w:val="0"/>
      <w:marRight w:val="0"/>
      <w:marTop w:val="0"/>
      <w:marBottom w:val="0"/>
      <w:divBdr>
        <w:top w:val="none" w:sz="0" w:space="0" w:color="auto"/>
        <w:left w:val="none" w:sz="0" w:space="0" w:color="auto"/>
        <w:bottom w:val="none" w:sz="0" w:space="0" w:color="auto"/>
        <w:right w:val="none" w:sz="0" w:space="0" w:color="auto"/>
      </w:divBdr>
    </w:div>
    <w:div w:id="12110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6F6D5F-FCF2-4218-B580-67BA4788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3283</Words>
  <Characters>18685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2020-08-25T09:00:00Z</cp:lastPrinted>
  <dcterms:created xsi:type="dcterms:W3CDTF">2020-09-04T12:28:00Z</dcterms:created>
  <dcterms:modified xsi:type="dcterms:W3CDTF">2020-09-08T08:00:00Z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