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041299D-D8B3-46C0-BD14-C593E2FE4DE6" style="width:451pt;height:334.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ДОКЛАД НА КОМИСИЯТА ДО ЕВРОПЕЙСКИЯ ПАРЛАМЕНТ И СЪВЕТА</w:t>
      </w:r>
    </w:p>
    <w:p>
      <w:pPr>
        <w:spacing w:line="240" w:lineRule="auto"/>
        <w:jc w:val="center"/>
        <w:rPr>
          <w:rFonts w:ascii="Times New Roman" w:hAnsi="Times New Roman" w:cs="Times New Roman"/>
          <w:b/>
          <w:noProof/>
          <w:sz w:val="24"/>
          <w:szCs w:val="24"/>
        </w:rPr>
      </w:pPr>
      <w:r>
        <w:rPr>
          <w:rFonts w:ascii="Times New Roman" w:hAnsi="Times New Roman"/>
          <w:b/>
          <w:noProof/>
          <w:sz w:val="24"/>
          <w:szCs w:val="24"/>
        </w:rPr>
        <w:t>относно упражняването на правомощието за приемане на делегирани актове, предоставено на Комисията по силата на Регламент (ЕО) № 184/2005 относно статистиката на Общността относно платежния баланс, международната търговия с услуги и преките чуждестранни инвестиции</w:t>
      </w:r>
    </w:p>
    <w:p>
      <w:pPr>
        <w:spacing w:line="240" w:lineRule="auto"/>
        <w:jc w:val="center"/>
        <w:rPr>
          <w:rFonts w:ascii="Times New Roman" w:hAnsi="Times New Roman" w:cs="Times New Roman"/>
          <w:b/>
          <w:noProof/>
          <w:sz w:val="24"/>
          <w:szCs w:val="24"/>
          <w:lang w:eastAsia="en-GB"/>
        </w:rPr>
      </w:pPr>
    </w:p>
    <w:p>
      <w:pPr>
        <w:spacing w:line="240" w:lineRule="auto"/>
        <w:jc w:val="center"/>
        <w:rPr>
          <w:rFonts w:ascii="Times New Roman" w:hAnsi="Times New Roman" w:cs="Times New Roman"/>
          <w:b/>
          <w:noProof/>
          <w:sz w:val="24"/>
          <w:szCs w:val="24"/>
          <w:lang w:eastAsia="en-GB"/>
        </w:rPr>
      </w:pPr>
    </w:p>
    <w:p>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b/>
          <w:noProof/>
          <w:sz w:val="24"/>
          <w:szCs w:val="24"/>
        </w:rPr>
        <w:t xml:space="preserve">ВЪВЕДЕНИЕ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С Регламент (ЕС) 2016/1013 на Европейския парламент и на Съвета</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правомощията, предоставени на Комисията по силата на Регламент (ЕО) № 184/2005</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бяха, </w:t>
      </w:r>
      <w:r>
        <w:rPr>
          <w:rFonts w:ascii="Times New Roman" w:hAnsi="Times New Roman"/>
          <w:i/>
          <w:iCs/>
          <w:noProof/>
          <w:sz w:val="24"/>
          <w:szCs w:val="24"/>
        </w:rPr>
        <w:t>inter alia</w:t>
      </w:r>
      <w:r>
        <w:rPr>
          <w:rFonts w:ascii="Times New Roman" w:hAnsi="Times New Roman"/>
          <w:noProof/>
          <w:sz w:val="24"/>
          <w:szCs w:val="24"/>
        </w:rPr>
        <w:t xml:space="preserve">, приведени в съответствие с Договора за функционирането на Европейския съюз (ДФЕС).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 изменения Регламент (ЕО) № 184/2005 Комисията се оправомощава да приема делегирани актове в съответствие с член 290 ДФЕС с цел: </w:t>
      </w:r>
    </w:p>
    <w:p>
      <w:pPr>
        <w:pStyle w:val="ListParagraph"/>
        <w:numPr>
          <w:ilvl w:val="0"/>
          <w:numId w:val="2"/>
        </w:numPr>
        <w:spacing w:after="240" w:line="240" w:lineRule="auto"/>
        <w:ind w:left="595" w:hanging="425"/>
        <w:contextualSpacing w:val="0"/>
        <w:jc w:val="both"/>
        <w:rPr>
          <w:rFonts w:ascii="Times New Roman" w:hAnsi="Times New Roman" w:cs="Times New Roman"/>
          <w:noProof/>
          <w:sz w:val="24"/>
          <w:szCs w:val="24"/>
        </w:rPr>
      </w:pPr>
      <w:r>
        <w:rPr>
          <w:rFonts w:ascii="Times New Roman" w:hAnsi="Times New Roman"/>
          <w:noProof/>
          <w:sz w:val="24"/>
          <w:szCs w:val="24"/>
        </w:rPr>
        <w:t xml:space="preserve">актуализиране на нивата на географска разбивка, нивата на разбивка по институционални сектори и нивата на разбивка по икономическа дейност, посочени в таблици 6, 7 и 8 от приложение I към него, с оглед отразяване на икономическите или техническите промени (член 2, параграф 3); </w:t>
      </w:r>
    </w:p>
    <w:p>
      <w:pPr>
        <w:pStyle w:val="ListParagraph"/>
        <w:numPr>
          <w:ilvl w:val="0"/>
          <w:numId w:val="2"/>
        </w:numPr>
        <w:spacing w:after="240" w:line="240" w:lineRule="auto"/>
        <w:ind w:left="595" w:hanging="425"/>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премахване или занижаване на някои изисквания относно потоците данни в приложение I към него, при условие че това премахване или занижаване не намалява качеството на статистическите данни, изготвяни в съответствие с регламента (член 2, параграф 3); и  </w:t>
      </w:r>
    </w:p>
    <w:p>
      <w:pPr>
        <w:pStyle w:val="ListParagraph"/>
        <w:numPr>
          <w:ilvl w:val="0"/>
          <w:numId w:val="2"/>
        </w:numPr>
        <w:spacing w:after="240" w:line="240" w:lineRule="auto"/>
        <w:ind w:left="595" w:hanging="425"/>
        <w:contextualSpacing w:val="0"/>
        <w:jc w:val="both"/>
        <w:rPr>
          <w:rFonts w:ascii="Times New Roman" w:hAnsi="Times New Roman" w:cs="Times New Roman"/>
          <w:noProof/>
          <w:sz w:val="24"/>
          <w:szCs w:val="24"/>
        </w:rPr>
      </w:pPr>
      <w:r>
        <w:rPr>
          <w:rFonts w:ascii="Times New Roman" w:hAnsi="Times New Roman"/>
          <w:noProof/>
          <w:sz w:val="24"/>
          <w:szCs w:val="24"/>
        </w:rPr>
        <w:t>удължаване на крайния срок за доклада по член 5, параграф 5 от регламента по отношение на констатациите от пилотните проучвания относно статистиката за преките чуждестранни инвестиции (ПЧИ) въз основа на концепцията за крайния собственик и статистиката за ПЧИ при разграничаване на ПЧИ „на зелено“ от придобиването на съществуващи предприятия (член 5, параграф 6).</w:t>
      </w: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szCs w:val="24"/>
        </w:rPr>
        <w:t>При упражняването на тези правомощия Комисията следва да гарантира, че тези делегирани актове не водят до налагането на съществена допълнителна тежест за държавите членки или за отделните респонденти, която надхвърля необходимото за целите на Регламент (ЕО) № 184/2005, и че те не променят приложимата базова концептуална рамка. Член 10, параграф 4 от регламента предвижда Комисията да провежда системни консултации с експерти от държавите членки по време на подготвителната си работа по делегираните актове в съответствие с Междуинституционалното споразумение от 13 април 2016 г. за по-добро законотворчество</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Съгласно член 10, параграф 5 от регламента от Комисията се изисква да уведоми Европейския парламент и Съвета, веднага след като приеме делегиран акт.</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p>
    <w:p>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b/>
          <w:noProof/>
          <w:sz w:val="24"/>
          <w:szCs w:val="24"/>
        </w:rPr>
        <w:t xml:space="preserve">ПРАВНО ОСНОВАНИЕ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Съгласно член 10, параграф 2 от Регламент (ЕО) № 184/2005 правомощието да приема делегирани актове се предоставя на Комисията за срок от 5 години, считано от 19 юли 2016 г. Делегирането на правомощия се продължава мълчаливо за срокове от 5 години, освен ако Европейският парламент или Съветът не възразят срещу подобно продължаване не по-късно от 3 месеца преди изтичането на всеки срок.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има задължението да изготви доклад относно делегирането на правомощия не по-късно от 9 месеца преди изтичането на петгодишния срок.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 настоящия доклад се изпълнява това задължение.</w:t>
      </w:r>
    </w:p>
    <w:p>
      <w:pPr>
        <w:spacing w:after="240" w:line="240" w:lineRule="auto"/>
        <w:jc w:val="both"/>
        <w:rPr>
          <w:rFonts w:ascii="Times New Roman" w:hAnsi="Times New Roman" w:cs="Times New Roman"/>
          <w:noProof/>
          <w:sz w:val="24"/>
          <w:szCs w:val="24"/>
        </w:rPr>
      </w:pPr>
    </w:p>
    <w:p>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b/>
          <w:noProof/>
          <w:sz w:val="24"/>
          <w:szCs w:val="24"/>
        </w:rPr>
        <w:t xml:space="preserve">УПРАЖНЯВАНЕ НА ДЕЛЕГИРАНЕТО ОТ СТРАНА НА КОМИСИЯТА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От влизането в сила на Регламент (ЕС) 2016/1013 Комисията е приела един делегиран акт — Делегиран регламент (ЕС) 2019/505 на Комисията</w:t>
      </w:r>
      <w:r>
        <w:rPr>
          <w:rStyle w:val="FootnoteReference"/>
          <w:rFonts w:ascii="Times New Roman" w:eastAsia="Times New Roman" w:hAnsi="Times New Roman" w:cs="Times New Roman"/>
          <w:noProof/>
          <w:sz w:val="24"/>
          <w:szCs w:val="24"/>
          <w:lang w:eastAsia="en-GB"/>
        </w:rPr>
        <w:footnoteReference w:id="4"/>
      </w:r>
      <w:r>
        <w:rPr>
          <w:rFonts w:ascii="Times New Roman" w:hAnsi="Times New Roman"/>
          <w:noProof/>
          <w:sz w:val="24"/>
          <w:szCs w:val="24"/>
        </w:rPr>
        <w:t xml:space="preserve">. Въз основа на член 2, параграф 3 от Регламент (ЕО) № 184/2005 с въпросния делегиран регламент бяха актуализирани нивата на географска разбивка, определени в приложение I към Регламент (ЕО) № 184/2005, за да бъдат отразени икономическите и техническите промени.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Комисията счете за необходимо да упражни предоставеното ѝ с Регламент (ЕО) № 184/2005 правомощие като необходима подготвителна стъпка за оттеглянето на Обединеното кралство от ЕС. След като (на 29 март 2017 г.) Обединеното кралство представи нотификацията за намерението си да се оттегли от Съюза съгласно член 50 от ДЕС, Комисията изготви различни мерки за готовност</w:t>
      </w:r>
      <w:r>
        <w:rPr>
          <w:rFonts w:ascii="Times New Roman" w:hAnsi="Times New Roman" w:cs="Times New Roman"/>
          <w:noProof/>
          <w:sz w:val="24"/>
          <w:szCs w:val="24"/>
          <w:vertAlign w:val="superscript"/>
        </w:rPr>
        <w:footnoteReference w:id="5"/>
      </w:r>
      <w:r>
        <w:rPr>
          <w:rFonts w:ascii="Times New Roman" w:hAnsi="Times New Roman"/>
          <w:noProof/>
          <w:sz w:val="24"/>
          <w:szCs w:val="24"/>
        </w:rPr>
        <w:t>, включително актуализиране на състава на съвкупните данни за ЕС в статистиката на ЕС относно платежния баланс, международната търговия с услуги и преките чуждестранни инвестиции. Делегиран регламент (ЕС) 2019/505 на Комисията беше част от пакет от мерки, приети от Комисията през декември 2018 г. в отговор на оттеглянето на Обединеното кралство от ЕС.</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 Делегиран регламент (ЕС) 2019/505 на Комисията бе актуализирана таблица 6 „Нива на географска разбивка“ от приложение I към Регламент (ЕО) № 184/2005, както следва:</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8"/>
        </w:numPr>
        <w:spacing w:after="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szCs w:val="24"/>
        </w:rPr>
        <w:t>Обединеното кралство беше включено като отделна държава партньор в колона „Ниво 4“</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за да се гарантира непрекъснатост на данните за държавите членки, предавани на Евростат с партньор Обединеното кралство след оттеглянето му от ЕС.</w:t>
      </w:r>
    </w:p>
    <w:p>
      <w:pPr>
        <w:pStyle w:val="ListParagraph"/>
        <w:spacing w:after="0" w:line="240" w:lineRule="auto"/>
        <w:ind w:left="425"/>
        <w:contextualSpacing w:val="0"/>
        <w:jc w:val="both"/>
        <w:rPr>
          <w:rFonts w:ascii="Times New Roman" w:hAnsi="Times New Roman" w:cs="Times New Roman"/>
          <w:noProof/>
          <w:sz w:val="24"/>
          <w:szCs w:val="24"/>
        </w:rPr>
      </w:pPr>
    </w:p>
    <w:p>
      <w:pPr>
        <w:pStyle w:val="ListParagraph"/>
        <w:numPr>
          <w:ilvl w:val="0"/>
          <w:numId w:val="8"/>
        </w:numPr>
        <w:spacing w:after="24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szCs w:val="24"/>
        </w:rPr>
        <w:t>Обединеното кралство беше преместено по географски агрегат „Други европейски държави“ в колони „Ниво 5“и „Ниво 6“</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Агрегат „Други европейски държави“ включва всички европейски държави, които не са членки нито на ЕС, нито на ЕАСТ. Тъй като се очаква, че след оттеглянето му от ЕС Обединеното кралство ще има статут на трета държава, неговата позиция в „Ниво 5“ и „Ниво 6“ трябва да бъде съответно изменена.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Тази актуализация не се отразява на тежестта, свързана с докладването, нито изменя съответната приложима концептуална рамка.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време на подготвителната работа по настоящия делегиран регламент Комисията проведе консултации, включително на експертно равнище. Сред участниците в консултациите бяха експертната група на Комисията за платежния баланс и експертната група на националните статистически институти в рамките на Европейската статистическа система. Консултациите бяха проведени чрез писмена процедура през октомври и ноември 2018 г. Проектът на делегирания акт бе подкрепен и от двете групи.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Европейският парламент и Съветът бяха надлежно информирани и получиха своевременно всички съответни документи.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прие делегирания регламент на 19 декември 2018 г. и съответно уведоми Европейския парламент и Съвета. Нито Европейският парламент, нито Съветът представиха възражения срещу делегирания акт в предвидения съгласно член 10, параграф 6 от Регламент (ЕО) № 184/2005 срок от три месеца. След изтичането на този срок Делегиран регламент (ЕС) 2019/505 на Комисията беше публикуван в </w:t>
      </w:r>
      <w:r>
        <w:rPr>
          <w:rFonts w:ascii="Times New Roman" w:hAnsi="Times New Roman"/>
          <w:i/>
          <w:iCs/>
          <w:noProof/>
          <w:sz w:val="24"/>
          <w:szCs w:val="24"/>
        </w:rPr>
        <w:t>Официален вестник на Европейския съюз</w:t>
      </w:r>
      <w:r>
        <w:rPr>
          <w:rFonts w:ascii="Times New Roman" w:hAnsi="Times New Roman"/>
          <w:noProof/>
          <w:sz w:val="24"/>
          <w:szCs w:val="24"/>
        </w:rPr>
        <w:t xml:space="preserve"> на 27 март 2019 г. Той влезе в сила на 28 март 2019 г.</w:t>
      </w:r>
    </w:p>
    <w:p>
      <w:pPr>
        <w:rPr>
          <w:rFonts w:ascii="Times New Roman" w:hAnsi="Times New Roman" w:cs="Times New Roman"/>
          <w:b/>
          <w:noProof/>
          <w:sz w:val="24"/>
          <w:szCs w:val="24"/>
        </w:rPr>
      </w:pPr>
    </w:p>
    <w:p>
      <w:pPr>
        <w:pStyle w:val="ListParagraph"/>
        <w:numPr>
          <w:ilvl w:val="0"/>
          <w:numId w:val="1"/>
        </w:numPr>
        <w:ind w:left="426" w:hanging="426"/>
        <w:rPr>
          <w:rFonts w:ascii="Times New Roman" w:hAnsi="Times New Roman" w:cs="Times New Roman"/>
          <w:b/>
          <w:noProof/>
          <w:sz w:val="24"/>
          <w:szCs w:val="24"/>
        </w:rPr>
      </w:pPr>
      <w:r>
        <w:rPr>
          <w:rFonts w:ascii="Times New Roman" w:hAnsi="Times New Roman"/>
          <w:b/>
          <w:noProof/>
          <w:sz w:val="24"/>
          <w:szCs w:val="24"/>
        </w:rPr>
        <w:t>ЗАКЛЮЧЕНИЕ</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е упражнила правомерно делегираните ѝ правомощия и приканва Европейския парламент и Съвета да вземат предвид настоящия доклад.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вярва, че следва да продължи да разполага с тези правомощия, тъй като в бъдеще може да бъде необходимо да приема делегирани актове съгласно член 2, параграф 3 от Регламент (ЕО) № 184/2005, когато в резултат на икономически или технически промени е необходимо да се актуализират нивата на географска разбивка, нивата на разбивка по институционални сектори и нивата на разбивка по икономическа дейност, посочени в приложението към него. </w:t>
      </w:r>
    </w:p>
    <w:p>
      <w:pPr>
        <w:jc w:val="cente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851" w:left="1440" w:header="708" w:footer="4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4539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120" w:afterAutospacing="0"/>
        <w:ind w:left="142" w:hanging="142"/>
        <w:jc w:val="both"/>
        <w:rPr>
          <w:i/>
          <w:sz w:val="20"/>
          <w:szCs w:val="20"/>
        </w:rPr>
      </w:pPr>
      <w:r>
        <w:rPr>
          <w:rStyle w:val="FootnoteReference"/>
          <w:sz w:val="20"/>
          <w:szCs w:val="20"/>
        </w:rPr>
        <w:footnoteRef/>
      </w:r>
      <w:r>
        <w:rPr>
          <w:sz w:val="20"/>
          <w:szCs w:val="20"/>
        </w:rPr>
        <w:t xml:space="preserve"> </w:t>
      </w:r>
      <w:hyperlink r:id="rId1" w:history="1">
        <w:r>
          <w:rPr>
            <w:rStyle w:val="Hyperlink"/>
            <w:sz w:val="20"/>
            <w:szCs w:val="20"/>
          </w:rPr>
          <w:t>Регламент (ЕС) 2016/1013</w:t>
        </w:r>
      </w:hyperlink>
      <w:r>
        <w:t xml:space="preserve"> на Европейския парламент и на Съвета от 8 юни 2016 г. за изменение на Регламент (ЕО) № 184/2005 относно статистиката на Общността относно платежния баланс, международната търговия с услуги и преките чуждестранни инвестиции (</w:t>
      </w:r>
      <w:r>
        <w:rPr>
          <w:rStyle w:val="Emphasis"/>
          <w:i w:val="0"/>
        </w:rPr>
        <w:t>OВ L 171, 29.6.2016 г., стр. 144).</w:t>
      </w:r>
    </w:p>
  </w:footnote>
  <w:footnote w:id="2">
    <w:p>
      <w:pPr>
        <w:pStyle w:val="NormalWeb"/>
        <w:spacing w:before="0" w:beforeAutospacing="0" w:after="120" w:afterAutospacing="0"/>
        <w:ind w:left="142" w:hanging="142"/>
        <w:jc w:val="both"/>
        <w:rPr>
          <w:sz w:val="20"/>
          <w:szCs w:val="20"/>
        </w:rPr>
      </w:pPr>
      <w:r>
        <w:rPr>
          <w:rStyle w:val="FootnoteReference"/>
          <w:sz w:val="20"/>
          <w:szCs w:val="20"/>
        </w:rPr>
        <w:footnoteRef/>
      </w:r>
      <w:r>
        <w:rPr>
          <w:sz w:val="20"/>
          <w:szCs w:val="20"/>
        </w:rPr>
        <w:t xml:space="preserve"> </w:t>
      </w:r>
      <w:hyperlink r:id="rId2" w:history="1">
        <w:r>
          <w:rPr>
            <w:rStyle w:val="Hyperlink"/>
            <w:sz w:val="20"/>
            <w:szCs w:val="20"/>
          </w:rPr>
          <w:t>Регламент (ЕО) № 184/2005</w:t>
        </w:r>
      </w:hyperlink>
      <w:r>
        <w:t xml:space="preserve"> на Европейския парламент и на Съвета от 12 януари 2005 г. относно статистиката на Общността относно платежния баланс, международната търговия с услуги и преките чуждестранни инвестиции (</w:t>
      </w:r>
      <w:r>
        <w:rPr>
          <w:rStyle w:val="Emphasis"/>
          <w:i w:val="0"/>
        </w:rPr>
        <w:t>ОВ L 35, 8.2.2005 г., стр. 23).</w:t>
      </w:r>
    </w:p>
  </w:footnote>
  <w:footnote w:id="3">
    <w:p>
      <w:pPr>
        <w:pStyle w:val="FootnoteText"/>
        <w:spacing w:after="120"/>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Междуинституционално споразумение</w:t>
        </w:r>
      </w:hyperlink>
      <w:r>
        <w:rPr>
          <w:rFonts w:ascii="Times New Roman" w:hAnsi="Times New Roman"/>
        </w:rPr>
        <w:t xml:space="preserve"> между Европейския парламент, Съвета на Европейския съюз и Европейската комисия от 13 април 2016 г. за по-добро законотворчество (OВ L 123/1).</w:t>
      </w:r>
    </w:p>
  </w:footnote>
  <w:footnote w:id="4">
    <w:p>
      <w:pPr>
        <w:pStyle w:val="NormalWeb"/>
        <w:spacing w:before="0" w:beforeAutospacing="0" w:after="120" w:afterAutospacing="0"/>
        <w:ind w:left="142" w:hanging="142"/>
        <w:jc w:val="both"/>
        <w:rPr>
          <w:rFonts w:eastAsiaTheme="minorHAnsi"/>
          <w:sz w:val="20"/>
          <w:szCs w:val="20"/>
        </w:rPr>
      </w:pPr>
      <w:r>
        <w:rPr>
          <w:rStyle w:val="FootnoteReference"/>
          <w:sz w:val="20"/>
          <w:szCs w:val="20"/>
        </w:rPr>
        <w:footnoteRef/>
      </w:r>
      <w:r>
        <w:rPr>
          <w:sz w:val="20"/>
          <w:szCs w:val="20"/>
        </w:rPr>
        <w:t xml:space="preserve"> </w:t>
      </w:r>
      <w:hyperlink r:id="rId4" w:history="1">
        <w:r>
          <w:rPr>
            <w:rStyle w:val="Hyperlink"/>
            <w:sz w:val="20"/>
            <w:szCs w:val="20"/>
          </w:rPr>
          <w:t>Делегиран регламент (ЕС) 2019/505 на Комисията (ЕС)</w:t>
        </w:r>
      </w:hyperlink>
      <w:r>
        <w:rPr>
          <w:sz w:val="20"/>
          <w:szCs w:val="20"/>
        </w:rPr>
        <w:t xml:space="preserve"> от 19 декември 2018 г. за изменение на приложение I към Регламент (ЕО) № 184/2005 на Европейския парламент и на Съвета по отношение на нивата на географска разбивка (ОВ L 85, 27.3.2019 г., стр. 1)</w:t>
      </w:r>
    </w:p>
  </w:footnote>
  <w:footnote w:id="5">
    <w:p>
      <w:pPr>
        <w:tabs>
          <w:tab w:val="left" w:pos="142"/>
        </w:tabs>
        <w:spacing w:after="120" w:line="240" w:lineRule="auto"/>
        <w:ind w:left="142" w:hanging="142"/>
        <w:jc w:val="both"/>
        <w:rPr>
          <w:rFonts w:ascii="Times New Roman" w:hAnsi="Times New Roman" w:cs="Times New Roman"/>
          <w:sz w:val="20"/>
          <w:szCs w:val="20"/>
          <w:vertAlign w:val="superscript"/>
        </w:rPr>
      </w:pPr>
      <w:r>
        <w:rPr>
          <w:rStyle w:val="FootnoteReference"/>
        </w:rPr>
        <w:footnoteRef/>
      </w:r>
      <w:r>
        <w:tab/>
      </w:r>
      <w:hyperlink r:id="rId5" w:history="1">
        <w:r>
          <w:rPr>
            <w:rStyle w:val="Hyperlink"/>
            <w:rFonts w:ascii="Times New Roman" w:hAnsi="Times New Roman"/>
            <w:sz w:val="20"/>
            <w:szCs w:val="20"/>
          </w:rPr>
          <w:t xml:space="preserve">Съобщение на Комисията </w:t>
        </w:r>
      </w:hyperlink>
      <w:r>
        <w:rPr>
          <w:rFonts w:ascii="Times New Roman" w:hAnsi="Times New Roman"/>
          <w:sz w:val="20"/>
          <w:szCs w:val="20"/>
        </w:rPr>
        <w:t xml:space="preserve"> „Готовност за оттеглянето на Обединеното кралство от Европейския съюз на 30 март 2019 г.: план за извънредни действия“ (COM (2018) 880 final, 13.11.2018 г.)</w:t>
      </w:r>
    </w:p>
  </w:footnote>
  <w:footnote w:id="6">
    <w:p>
      <w:pPr>
        <w:pStyle w:val="FootnoteText"/>
        <w:spacing w:after="120"/>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В „Ниво 4“ се съдържа нивото на географска разбивка, необходимо за някои елементи от тримесечните данни на платежния баланс и международната инвестиционна позиция на държавите членки, както и от разбивката по дейности на годишните операции за преки инвестиции и годишните позиции по преки инвестиции. Понастоящем в ниво 4 са включени следните области партньори: държави — членки на Съюза, извън еврозоната; Швейцария; Русия; Обединеното кралство; Канада; Съединени американски щати; Бразилия; Китай; Хонконг; Индия; Япония; в рамките на Съюза; извън Съюза; в рамките на еврозоната; извън еврозоната; институции на Съюза (с изключение на Европейската централна банка); Европейска инвестиционна банка; офшорни финансови центрове; международни организации (с изключение на институциите на Европейския съюз) и Международния валутен фонд.</w:t>
      </w:r>
    </w:p>
  </w:footnote>
  <w:footnote w:id="7">
    <w:p>
      <w:pPr>
        <w:pStyle w:val="FootnoteText"/>
        <w:spacing w:after="120"/>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„Ниво 5“ и „Ниво 6“, представляват нивата за географска разбивка за някои елементи от годишните данни на държавите членки за международната търговия с услуги, годишните операции за преки инвестиции (включително доход) и годишните позиции по преки инвестиции, представени на Евростат.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9608A5"/>
    <w:multiLevelType w:val="hybridMultilevel"/>
    <w:tmpl w:val="CC9AC3D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135E8"/>
    <w:multiLevelType w:val="multilevel"/>
    <w:tmpl w:val="7A1612E2"/>
    <w:lvl w:ilvl="0">
      <w:start w:val="1"/>
      <w:numFmt w:val="decimal"/>
      <w:lvlRestart w:val="0"/>
      <w:lvlText w:val="(%1)"/>
      <w:lvlJc w:val="left"/>
      <w:pPr>
        <w:tabs>
          <w:tab w:val="num" w:pos="850"/>
        </w:tabs>
        <w:ind w:left="850" w:hanging="850"/>
      </w:pPr>
    </w:lvl>
    <w:lvl w:ilvl="1">
      <w:start w:val="1"/>
      <w:numFmt w:val="bullet"/>
      <w:lvlText w:val=""/>
      <w:lvlJc w:val="left"/>
      <w:pPr>
        <w:tabs>
          <w:tab w:val="num" w:pos="850"/>
        </w:tabs>
        <w:ind w:left="850" w:hanging="850"/>
      </w:pPr>
      <w:rPr>
        <w:rFonts w:ascii="Symbol" w:hAnsi="Symbol" w:hint="default"/>
      </w:r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nsid w:val="4C3E2DA1"/>
    <w:multiLevelType w:val="hybridMultilevel"/>
    <w:tmpl w:val="68784A7A"/>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63612B"/>
    <w:multiLevelType w:val="hybridMultilevel"/>
    <w:tmpl w:val="B82C2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2A6268"/>
    <w:multiLevelType w:val="hybridMultilevel"/>
    <w:tmpl w:val="DD7A3086"/>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0F2A12"/>
    <w:multiLevelType w:val="hybridMultilevel"/>
    <w:tmpl w:val="550E743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041299D-D8B3-46C0-BD14-C593E2FE4DE6"/>
    <w:docVar w:name="LW_COVERPAGE_TYPE" w:val="1"/>
    <w:docVar w:name="LW_CROSSREFERENCE" w:val="&lt;UNUSED&gt;"/>
    <w:docVar w:name="LW_DocType" w:val="NORMAL"/>
    <w:docVar w:name="LW_EMISSION" w:val="10.9.2020"/>
    <w:docVar w:name="LW_EMISSION_ISODATE" w:val="2020-09-1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4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u1054?) \u8470? 184/2005 \u1086?\u1090?\u1085?\u1086?\u1089?\u1085?\u1086? \u1089?\u1090?\u1072?\u1090?\u1080?\u1089?\u1090?\u1080?\u1082?\u1072?\u1090?\u1072? \u1085?\u1072? \u1054?\u1073?\u1097?\u1085?\u1086?\u1089?\u1090?\u1090?\u1072? \u1086?\u1090?\u1085?\u1086?\u1089?\u1085?\u1086? \u1087?\u1083?\u1072?\u1090?\u1077?\u1078?\u1085?\u1080?\u1103? \u1073?\u1072?\u1083?\u1072?\u1085?\u1089?, \u1084?\u1077?\u1078?\u1076?\u1091?\u1085?\u1072?\u1088?\u1086?\u1076?\u1085?\u1072?\u1090?\u1072? \u1090?\u1098?\u1088?\u1075?\u1086?\u1074?\u1080?\u1103? \u1089? \u1091?\u1089?\u1083?\u1091?\u1075?\u1080? \u1080? \u1087?\u1088?\u1077?\u1082?\u1080?\u1090?\u1077? \u1095?\u1091?\u1078?\u1076?\u1077?\u1089?\u1090?\u1088?\u1072?\u1085?\u1085?\u1080? \u1080?\u1085?\u1074?\u1077?\u1089?\u1090?\u1080?\u1094?\u108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character" w:customStyle="1" w:styleId="superscript">
    <w:name w:val="superscript"/>
    <w:basedOn w:val="DefaultParagraphFont"/>
  </w:style>
  <w:style w:type="character" w:styleId="Strong">
    <w:name w:val="Strong"/>
    <w:basedOn w:val="DefaultParagraphFont"/>
    <w:uiPriority w:val="22"/>
    <w:qFormat/>
    <w:rPr>
      <w:b/>
      <w:bCs/>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character" w:customStyle="1" w:styleId="superscript">
    <w:name w:val="superscript"/>
    <w:basedOn w:val="DefaultParagraphFont"/>
  </w:style>
  <w:style w:type="character" w:styleId="Strong">
    <w:name w:val="Strong"/>
    <w:basedOn w:val="DefaultParagraphFont"/>
    <w:uiPriority w:val="22"/>
    <w:qFormat/>
    <w:rPr>
      <w:b/>
      <w:bCs/>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298">
      <w:bodyDiv w:val="1"/>
      <w:marLeft w:val="0"/>
      <w:marRight w:val="0"/>
      <w:marTop w:val="0"/>
      <w:marBottom w:val="0"/>
      <w:divBdr>
        <w:top w:val="none" w:sz="0" w:space="0" w:color="auto"/>
        <w:left w:val="none" w:sz="0" w:space="0" w:color="auto"/>
        <w:bottom w:val="none" w:sz="0" w:space="0" w:color="auto"/>
        <w:right w:val="none" w:sz="0" w:space="0" w:color="auto"/>
      </w:divBdr>
    </w:div>
    <w:div w:id="777066835">
      <w:bodyDiv w:val="1"/>
      <w:marLeft w:val="0"/>
      <w:marRight w:val="0"/>
      <w:marTop w:val="0"/>
      <w:marBottom w:val="0"/>
      <w:divBdr>
        <w:top w:val="none" w:sz="0" w:space="0" w:color="auto"/>
        <w:left w:val="none" w:sz="0" w:space="0" w:color="auto"/>
        <w:bottom w:val="none" w:sz="0" w:space="0" w:color="auto"/>
        <w:right w:val="none" w:sz="0" w:space="0" w:color="auto"/>
      </w:divBdr>
    </w:div>
    <w:div w:id="1011177879">
      <w:bodyDiv w:val="1"/>
      <w:marLeft w:val="0"/>
      <w:marRight w:val="0"/>
      <w:marTop w:val="0"/>
      <w:marBottom w:val="0"/>
      <w:divBdr>
        <w:top w:val="none" w:sz="0" w:space="0" w:color="auto"/>
        <w:left w:val="none" w:sz="0" w:space="0" w:color="auto"/>
        <w:bottom w:val="none" w:sz="0" w:space="0" w:color="auto"/>
        <w:right w:val="none" w:sz="0" w:space="0" w:color="auto"/>
      </w:divBdr>
    </w:div>
    <w:div w:id="1107504458">
      <w:bodyDiv w:val="1"/>
      <w:marLeft w:val="0"/>
      <w:marRight w:val="0"/>
      <w:marTop w:val="0"/>
      <w:marBottom w:val="0"/>
      <w:divBdr>
        <w:top w:val="none" w:sz="0" w:space="0" w:color="auto"/>
        <w:left w:val="none" w:sz="0" w:space="0" w:color="auto"/>
        <w:bottom w:val="none" w:sz="0" w:space="0" w:color="auto"/>
        <w:right w:val="none" w:sz="0" w:space="0" w:color="auto"/>
      </w:divBdr>
    </w:div>
    <w:div w:id="1160199228">
      <w:bodyDiv w:val="1"/>
      <w:marLeft w:val="0"/>
      <w:marRight w:val="0"/>
      <w:marTop w:val="0"/>
      <w:marBottom w:val="0"/>
      <w:divBdr>
        <w:top w:val="none" w:sz="0" w:space="0" w:color="auto"/>
        <w:left w:val="none" w:sz="0" w:space="0" w:color="auto"/>
        <w:bottom w:val="none" w:sz="0" w:space="0" w:color="auto"/>
        <w:right w:val="none" w:sz="0" w:space="0" w:color="auto"/>
      </w:divBdr>
    </w:div>
    <w:div w:id="1552380519">
      <w:bodyDiv w:val="1"/>
      <w:marLeft w:val="0"/>
      <w:marRight w:val="0"/>
      <w:marTop w:val="0"/>
      <w:marBottom w:val="0"/>
      <w:divBdr>
        <w:top w:val="none" w:sz="0" w:space="0" w:color="auto"/>
        <w:left w:val="none" w:sz="0" w:space="0" w:color="auto"/>
        <w:bottom w:val="none" w:sz="0" w:space="0" w:color="auto"/>
        <w:right w:val="none" w:sz="0" w:space="0" w:color="auto"/>
      </w:divBdr>
    </w:div>
    <w:div w:id="21332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uri=CELEX:32016Q0512(01)" TargetMode="External"/><Relationship Id="rId2" Type="http://schemas.openxmlformats.org/officeDocument/2006/relationships/hyperlink" Target="https://eur-lex.europa.eu/legal-content/BG/ALL/?uri=CELEX:32005R0184" TargetMode="External"/><Relationship Id="rId1" Type="http://schemas.openxmlformats.org/officeDocument/2006/relationships/hyperlink" Target="https://eur-lex.europa.eu/legal-content/BG/TXT/?uri=CELEX:32016R1013" TargetMode="External"/><Relationship Id="rId5" Type="http://schemas.openxmlformats.org/officeDocument/2006/relationships/hyperlink" Target="https://eur-lex.europa.eu/legal-content/BG/TXT/?uri=CELEX:52018DC0880" TargetMode="External"/><Relationship Id="rId4" Type="http://schemas.openxmlformats.org/officeDocument/2006/relationships/hyperlink" Target="https://eur-lex.europa.eu/legal-content/BG/TXT/?uri=celex:32019R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FB4B0A-E8B0-44AD-B9CF-9C4F4EB5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1000</Words>
  <Characters>5753</Characters>
  <Application>Microsoft Office Word</Application>
  <DocSecurity>0</DocSecurity>
  <Lines>119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2020-07-28T14:13:00Z</dcterms:created>
  <dcterms:modified xsi:type="dcterms:W3CDTF">2020-09-01T07:32:00Z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