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6DDCDE-8BF9-4FA4-AD80-2EE0E3440398" style="width:450.7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rPr>
          <w:noProof/>
        </w:rPr>
      </w:pPr>
      <w:r>
        <w:rPr>
          <w:noProof/>
        </w:rPr>
        <w:t>На 21 август 2020 г. комисар Хоган и търговският представител на САЩ Лайтхайзър заявиха намерението си да продължат работата по пакет за улесняване на търговията с цел премахване или намаляване на митата за малък брой тарифни линии, обхващащи 168 млн. EUR (приблизително 200 млн. USD) от износа на ЕС и САЩ</w:t>
      </w:r>
      <w:r>
        <w:rPr>
          <w:rStyle w:val="FootnoteReference"/>
          <w:noProof/>
        </w:rPr>
        <w:footnoteReference w:id="1"/>
      </w:r>
      <w:r>
        <w:rPr>
          <w:noProof/>
        </w:rPr>
        <w:t>.</w:t>
      </w:r>
    </w:p>
    <w:p>
      <w:pPr>
        <w:rPr>
          <w:noProof/>
        </w:rPr>
      </w:pPr>
      <w:r>
        <w:rPr>
          <w:noProof/>
        </w:rPr>
        <w:t>Комисията разглежда тази инициатива като първа стъпка към намаляване на двустранното напрежение в областта на търговията и уреждане на текущите спорове.</w:t>
      </w:r>
    </w:p>
    <w:p>
      <w:pPr>
        <w:rPr>
          <w:noProof/>
        </w:rPr>
      </w:pPr>
      <w:r>
        <w:rPr>
          <w:noProof/>
        </w:rPr>
        <w:t>По същество Комисията предлага да премахне някои митнически тарифи за омари, докато САЩ ще осигурят митническо освобождаване за сравнима икономическа стойност на продукти като готови ястия, определени стъклени изделия от кристал, материали за повърхностна обработка, барут, запалки и части за запалки. САЩ поискаха намаление на митата за омари с оглед на намаляващия износ на продукта за Европа и света.</w:t>
      </w:r>
    </w:p>
    <w:p>
      <w:pPr>
        <w:spacing w:before="100" w:beforeAutospacing="1" w:after="100" w:afterAutospacing="1"/>
        <w:rPr>
          <w:noProof/>
        </w:rPr>
      </w:pPr>
      <w:r>
        <w:rPr>
          <w:noProof/>
        </w:rPr>
        <w:t xml:space="preserve">Намаленията на митата следва да се прилагат по напълно съгласуван с правилата на СТО начин и да спазват принципа за най-облагодетелствана нация. </w:t>
      </w:r>
    </w:p>
    <w:p>
      <w:pPr>
        <w:pStyle w:val="ManualHeading2"/>
        <w:rPr>
          <w:noProof/>
        </w:rPr>
      </w:pPr>
      <w:r>
        <w:rPr>
          <w:noProof/>
        </w:rPr>
        <w:t>•</w:t>
      </w:r>
      <w:r>
        <w:rPr>
          <w:noProof/>
        </w:rPr>
        <w:tab/>
        <w:t xml:space="preserve">Съгласуваност с действащите разпоредби в тази област на политиката </w:t>
      </w:r>
    </w:p>
    <w:p>
      <w:pPr>
        <w:spacing w:after="240"/>
        <w:rPr>
          <w:noProof/>
        </w:rPr>
      </w:pPr>
      <w:r>
        <w:rPr>
          <w:noProof/>
        </w:rPr>
        <w:t>Целта на настоящото предложение е чрез премахване или намаляване на тарифите да се създадат допълнителни възможности за стопанските субекти от ЕС и САЩ. То следва също така да подобри търговските отношения със САЩ, да намали напрежението в областта на търговията и да подкрепи уреждането на текущи спорове със САЩ. То е напълно съгласувано с Договора за Европейския съюз (ДЕС), според който Европейският съюз следва да насърчава интеграцията на всички страни в световната икономика, включително чрез постепенно премахване на пречките пред международната търговия</w:t>
      </w:r>
      <w:r>
        <w:rPr>
          <w:rStyle w:val="FootnoteReference"/>
          <w:noProof/>
        </w:rPr>
        <w:footnoteReference w:id="2"/>
      </w:r>
      <w:r>
        <w:rPr>
          <w:noProof/>
        </w:rPr>
        <w:t>.</w:t>
      </w:r>
    </w:p>
    <w:p>
      <w:pPr>
        <w:pStyle w:val="ManualHeading2"/>
        <w:rPr>
          <w:noProof/>
        </w:rPr>
      </w:pPr>
      <w:r>
        <w:rPr>
          <w:noProof/>
        </w:rPr>
        <w:t>•</w:t>
      </w:r>
      <w:r>
        <w:rPr>
          <w:noProof/>
        </w:rPr>
        <w:tab/>
        <w:t>Съгласуваност с други политики на Съюза</w:t>
      </w:r>
    </w:p>
    <w:p>
      <w:pPr>
        <w:spacing w:before="0" w:after="240"/>
        <w:rPr>
          <w:noProof/>
        </w:rPr>
      </w:pPr>
      <w:r>
        <w:rPr>
          <w:noProof/>
        </w:rPr>
        <w:t>Предложението е съгласувано с други политики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spacing w:before="0" w:after="240"/>
        <w:rPr>
          <w:noProof/>
        </w:rPr>
      </w:pPr>
      <w:r>
        <w:rPr>
          <w:noProof/>
        </w:rPr>
        <w:t>Член 207 от Договора за функционирането на Европейския съюз (ДФЕС).</w:t>
      </w:r>
    </w:p>
    <w:p>
      <w:pPr>
        <w:pStyle w:val="ManualHeading2"/>
        <w:rPr>
          <w:noProof/>
        </w:rPr>
      </w:pPr>
      <w:r>
        <w:rPr>
          <w:noProof/>
        </w:rPr>
        <w:t>•</w:t>
      </w:r>
      <w:r>
        <w:rPr>
          <w:noProof/>
        </w:rPr>
        <w:tab/>
        <w:t xml:space="preserve">Субсидиарност (при неизключителна компетентност) </w:t>
      </w:r>
    </w:p>
    <w:p>
      <w:pPr>
        <w:spacing w:after="240"/>
        <w:rPr>
          <w:noProof/>
        </w:rPr>
      </w:pPr>
      <w:r>
        <w:rPr>
          <w:noProof/>
        </w:rPr>
        <w:t xml:space="preserve">Съгласно член 5, параграф 3 от ДЕС принципът на субсидиарност не се прилага в областите, които попадат в изключителната компетентност на ЕС. Митническият съюз и общата търговска политика са сред областите, изброени в член 3 от ДФЕС, в които Съюзът разполага с изключителна компетентност. Тази политика включва </w:t>
      </w:r>
      <w:r>
        <w:rPr>
          <w:noProof/>
        </w:rPr>
        <w:lastRenderedPageBreak/>
        <w:t xml:space="preserve">договарянето на търговски споразумения и приемането на мерки на търговската политика, включително намаления на митата, по реда на, </w:t>
      </w:r>
      <w:r>
        <w:rPr>
          <w:i/>
          <w:iCs/>
          <w:noProof/>
        </w:rPr>
        <w:t>inter alia</w:t>
      </w:r>
      <w:r>
        <w:rPr>
          <w:noProof/>
        </w:rPr>
        <w:t>, член 207 от ДФЕС.</w:t>
      </w:r>
    </w:p>
    <w:p>
      <w:pPr>
        <w:pStyle w:val="ManualHeading2"/>
        <w:rPr>
          <w:noProof/>
        </w:rPr>
      </w:pPr>
      <w:r>
        <w:rPr>
          <w:noProof/>
        </w:rPr>
        <w:t>•</w:t>
      </w:r>
      <w:r>
        <w:rPr>
          <w:noProof/>
        </w:rPr>
        <w:tab/>
        <w:t>Пропорционалност</w:t>
      </w:r>
    </w:p>
    <w:p>
      <w:pPr>
        <w:spacing w:before="0" w:after="240"/>
        <w:rPr>
          <w:noProof/>
        </w:rPr>
      </w:pPr>
      <w:r>
        <w:rPr>
          <w:noProof/>
        </w:rPr>
        <w:t xml:space="preserve">Предложението на Комисията е в съответствие с принципа на пропорционалност и е необходимо предвид целта ни за намаляване на напрежението в търговията със САЩ. </w:t>
      </w:r>
    </w:p>
    <w:p>
      <w:pPr>
        <w:pStyle w:val="ManualHeading2"/>
        <w:rPr>
          <w:noProof/>
        </w:rPr>
      </w:pPr>
      <w:r>
        <w:rPr>
          <w:noProof/>
        </w:rPr>
        <w:t>•</w:t>
      </w:r>
      <w:r>
        <w:rPr>
          <w:noProof/>
        </w:rPr>
        <w:tab/>
        <w:t>Избор на инструмент</w:t>
      </w:r>
    </w:p>
    <w:p>
      <w:pPr>
        <w:spacing w:before="0" w:after="240"/>
        <w:rPr>
          <w:noProof/>
        </w:rPr>
      </w:pPr>
      <w:r>
        <w:rPr>
          <w:noProof/>
        </w:rPr>
        <w:t>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spacing w:before="0" w:after="240"/>
        <w:rPr>
          <w:noProof/>
        </w:rPr>
      </w:pPr>
      <w:r>
        <w:rPr>
          <w:noProof/>
        </w:rPr>
        <w:t>Не е приложимо</w:t>
      </w:r>
    </w:p>
    <w:p>
      <w:pPr>
        <w:pStyle w:val="ManualHeading2"/>
        <w:rPr>
          <w:noProof/>
        </w:rPr>
      </w:pPr>
      <w:r>
        <w:rPr>
          <w:noProof/>
        </w:rPr>
        <w:t>•</w:t>
      </w:r>
      <w:r>
        <w:rPr>
          <w:noProof/>
        </w:rPr>
        <w:tab/>
        <w:t>Консултации със заинтересованите страни</w:t>
      </w:r>
    </w:p>
    <w:p>
      <w:pPr>
        <w:spacing w:before="0" w:after="240"/>
        <w:rPr>
          <w:noProof/>
        </w:rPr>
      </w:pPr>
      <w:r>
        <w:rPr>
          <w:noProof/>
        </w:rPr>
        <w:t>Не е приложимо</w:t>
      </w:r>
    </w:p>
    <w:p>
      <w:pPr>
        <w:pStyle w:val="ManualHeading2"/>
        <w:rPr>
          <w:noProof/>
        </w:rPr>
      </w:pPr>
      <w:r>
        <w:rPr>
          <w:noProof/>
        </w:rPr>
        <w:t>•</w:t>
      </w:r>
      <w:r>
        <w:rPr>
          <w:noProof/>
        </w:rPr>
        <w:tab/>
        <w:t>Събиране и използване на експертни становища</w:t>
      </w:r>
    </w:p>
    <w:p>
      <w:pPr>
        <w:spacing w:before="0" w:after="240"/>
        <w:rPr>
          <w:noProof/>
        </w:rPr>
      </w:pPr>
      <w:r>
        <w:rPr>
          <w:noProof/>
        </w:rPr>
        <w:t>Не е приложимо</w:t>
      </w:r>
    </w:p>
    <w:p>
      <w:pPr>
        <w:pStyle w:val="ManualHeading2"/>
        <w:rPr>
          <w:noProof/>
        </w:rPr>
      </w:pPr>
      <w:r>
        <w:rPr>
          <w:noProof/>
        </w:rPr>
        <w:t>•</w:t>
      </w:r>
      <w:r>
        <w:rPr>
          <w:noProof/>
        </w:rPr>
        <w:tab/>
        <w:t>Оценка на въздействието</w:t>
      </w:r>
    </w:p>
    <w:p>
      <w:pPr>
        <w:spacing w:before="0" w:after="240"/>
        <w:rPr>
          <w:noProof/>
        </w:rPr>
      </w:pPr>
      <w:r>
        <w:rPr>
          <w:noProof/>
        </w:rPr>
        <w:t>Не е приложимо. ЕС е нетен вносител на омари и съответно те не са чувствителен продукт за него. Миналата година ЕС-27 е внесъл от САЩ омари на стойност 42 милиона евро (15 % от общия внос от държави извън ЕС), докато пазарът се оценява на около 290 милиона евро. Производителите от ЕС доставят по-малко от 5 % от нашето потребление. Премахването на вносните мита ще подпомогне хранително-вкусовата промишленост и сектора на хотелиерството и ресторантьорството. В замяна САЩ се ангажираха чрез намаляване на митата с 50 % да облекчат достъпа до пазара за износ от ЕС-27 на стойност 143 милиона евро (160 милиона щатски долара) средно през последните три години (126 милиона евро през 2019 г.).</w:t>
      </w:r>
    </w:p>
    <w:p>
      <w:pPr>
        <w:pStyle w:val="ManualHeading2"/>
        <w:rPr>
          <w:noProof/>
        </w:rPr>
      </w:pPr>
      <w:r>
        <w:rPr>
          <w:noProof/>
        </w:rPr>
        <w:t>•</w:t>
      </w:r>
      <w:r>
        <w:rPr>
          <w:noProof/>
        </w:rPr>
        <w:tab/>
        <w:t>Пригодност и опростяване на законодателството</w:t>
      </w:r>
    </w:p>
    <w:p>
      <w:pPr>
        <w:spacing w:before="0" w:after="240"/>
        <w:rPr>
          <w:noProof/>
        </w:rPr>
      </w:pPr>
      <w:r>
        <w:rPr>
          <w:noProof/>
        </w:rPr>
        <w:t>Не е приложимо</w:t>
      </w:r>
    </w:p>
    <w:p>
      <w:pPr>
        <w:pStyle w:val="ManualHeading2"/>
        <w:rPr>
          <w:noProof/>
        </w:rPr>
      </w:pPr>
      <w:r>
        <w:rPr>
          <w:noProof/>
        </w:rPr>
        <w:t>•</w:t>
      </w:r>
      <w:r>
        <w:rPr>
          <w:noProof/>
        </w:rPr>
        <w:tab/>
        <w:t>Основни права</w:t>
      </w:r>
    </w:p>
    <w:p>
      <w:pPr>
        <w:spacing w:before="0" w:after="240"/>
        <w:rPr>
          <w:noProof/>
        </w:rPr>
      </w:pPr>
      <w:r>
        <w:rPr>
          <w:noProof/>
        </w:rPr>
        <w:t xml:space="preserve">Предложението е в съответствие с Договорите за ЕС и с Хартата на основните права на Европейския съюз. </w:t>
      </w:r>
    </w:p>
    <w:p>
      <w:pPr>
        <w:pStyle w:val="ManualHeading1"/>
        <w:rPr>
          <w:noProof/>
        </w:rPr>
      </w:pPr>
      <w:r>
        <w:rPr>
          <w:noProof/>
        </w:rPr>
        <w:t>4.</w:t>
      </w:r>
      <w:r>
        <w:rPr>
          <w:noProof/>
        </w:rPr>
        <w:tab/>
        <w:t>ОТРАЖЕНИЕ ВЪРХУ БЮДЖЕТА</w:t>
      </w:r>
    </w:p>
    <w:p>
      <w:pPr>
        <w:rPr>
          <w:noProof/>
        </w:rPr>
      </w:pPr>
      <w:r>
        <w:rPr>
          <w:noProof/>
        </w:rPr>
        <w:t xml:space="preserve">Споразумението за либерализиране на митата върху промишлени стоки ще има ограничено отрицателно въздействие върху бюджета на ЕС под формата на пропуснати мита вследствие на либерализирането на митата за продуктите, обхванати от посочените в приложението към настоящия регламент тарифни линии, съответстващи </w:t>
      </w:r>
      <w:r>
        <w:rPr>
          <w:noProof/>
        </w:rPr>
        <w:lastRenderedPageBreak/>
        <w:t>на около 5,3 милиона евро мита, събрани от САЩ (средна стойност за периода 2017—2019 г.)</w:t>
      </w:r>
      <w:r>
        <w:rPr>
          <w:rStyle w:val="FootnoteReference"/>
          <w:noProof/>
        </w:rPr>
        <w:footnoteReference w:id="3"/>
      </w:r>
      <w:r>
        <w:rPr>
          <w:noProof/>
        </w:rPr>
        <w:t>.</w:t>
      </w:r>
    </w:p>
    <w:p>
      <w:pPr>
        <w:spacing w:before="0" w:after="0"/>
        <w:jc w:val="left"/>
        <w:rPr>
          <w:noProof/>
        </w:rPr>
        <w:sectPr>
          <w:footerReference w:type="default" r:id="rId10"/>
          <w:footerReference w:type="first" r:id="rId11"/>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2020/0253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премахване на митата върху определени продукти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Двустранните търговски и инвестиционни отношения между Европейския съюз и Съединените американски щати (САЩ) са най-всеобхватните и задълбочените в световен мащаб, а икономиките им са силно интегрирани. Двустранната търговия със стоки и услуги между тях е на стойност над 1 трилиона евро годишно, което възлиза на 3 милиарда евро на ден. Това тясно сътрудничество в областта на търговията и инвестициите е от полза за потребителите, работниците, предприятията и инвеститорите. </w:t>
      </w:r>
    </w:p>
    <w:p>
      <w:pPr>
        <w:pStyle w:val="ManualConsidrant"/>
        <w:rPr>
          <w:noProof/>
        </w:rPr>
      </w:pPr>
      <w:r>
        <w:t>(2)</w:t>
      </w:r>
      <w:r>
        <w:tab/>
      </w:r>
      <w:r>
        <w:rPr>
          <w:noProof/>
        </w:rPr>
        <w:t xml:space="preserve">Европейският съюз се ангажира да подобри търговските и инвестиционните отношения със Съединените щати. Това включва използването на нови начини и средства за подобряване на двустранните търговски отношения, за премахване на пречките пред търговията и за разрешаване на текущи търговски спорове. За да се избегнат по-нататъшните смущения в тези търговски отношения, митата, прилагани от Европейския съюз при внос, следва да бъдат премахнати за ограничен брой продукти за период от пет години на база </w:t>
      </w:r>
      <w:r>
        <w:rPr>
          <w:i/>
          <w:iCs/>
          <w:noProof/>
        </w:rPr>
        <w:t>erga omnes</w:t>
      </w:r>
      <w:r>
        <w:rPr>
          <w:noProof/>
        </w:rPr>
        <w:t xml:space="preserve">. </w:t>
      </w:r>
    </w:p>
    <w:p>
      <w:pPr>
        <w:pStyle w:val="ManualConsidrant"/>
        <w:rPr>
          <w:noProof/>
        </w:rPr>
      </w:pPr>
      <w:r>
        <w:t>(3)</w:t>
      </w:r>
      <w:r>
        <w:tab/>
      </w:r>
      <w:r>
        <w:rPr>
          <w:noProof/>
        </w:rPr>
        <w:t xml:space="preserve">Премахването на митата следва да се прилага от същата дата, на която ефективно се прилага обявеното от САЩ намаляване на митата върху определен брой продукти, т.е. от 1 август 2020 г. </w:t>
      </w:r>
    </w:p>
    <w:p>
      <w:pPr>
        <w:pStyle w:val="ManualConsidrant"/>
        <w:rPr>
          <w:noProof/>
        </w:rPr>
      </w:pPr>
      <w:r>
        <w:t>(4)</w:t>
      </w:r>
      <w:r>
        <w:tab/>
      </w:r>
      <w:r>
        <w:rPr>
          <w:noProof/>
        </w:rPr>
        <w:t>Премахването на митата е обвързано с ефективното прилагане на обявеното от САЩ намаляване на митата върху определен брой продукти и въздържането от страна на САЩ от въвеждане на нови мерки, които биха подкопали целите, заложени в Съвместното изявление от 21 август 2020 г</w:t>
      </w:r>
      <w:r>
        <w:rPr>
          <w:rStyle w:val="FootnoteReference"/>
          <w:noProof/>
        </w:rPr>
        <w:footnoteReference w:id="4"/>
      </w:r>
      <w:r>
        <w:rPr>
          <w:noProof/>
        </w:rPr>
        <w:t xml:space="preserve">. </w:t>
      </w:r>
    </w:p>
    <w:p>
      <w:pPr>
        <w:pStyle w:val="ManualConsidrant"/>
        <w:rPr>
          <w:noProof/>
        </w:rPr>
      </w:pPr>
      <w:r>
        <w:t>(5)</w:t>
      </w:r>
      <w:r>
        <w:tab/>
      </w:r>
      <w:r>
        <w:rPr>
          <w:noProof/>
        </w:rPr>
        <w:t>На Комисията следва да бъдат предоставени изпълнителни правомощия да преустанови прилагането на настоящия регламент, ако не са спазени посочените по-горе условия.</w:t>
      </w:r>
    </w:p>
    <w:p>
      <w:pPr>
        <w:pStyle w:val="ManualConsidrant"/>
        <w:rPr>
          <w:noProof/>
        </w:rPr>
      </w:pPr>
      <w:r>
        <w:t>(6)</w:t>
      </w:r>
      <w:r>
        <w:tab/>
      </w:r>
      <w:r>
        <w:rPr>
          <w:noProof/>
        </w:rPr>
        <w:t xml:space="preserve">Предвид неотложността да бъдат избегнати по-нататъшни смущения в търговията е необходимо да се допусне изключение от осемседмичния срок, посочен в член 4 от Протокол № 1 относно ролята на националните парламенти в Европейския съюз, приложен към Договора за Европейския съюз и към </w:t>
      </w:r>
      <w:r>
        <w:rPr>
          <w:noProof/>
        </w:rPr>
        <w:lastRenderedPageBreak/>
        <w:t>Договора за функционирането на Европейския съюз. По същата причина настоящият регламент следва да влезе в сила незабавно,</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noProof/>
        </w:rPr>
      </w:pPr>
      <w:r>
        <w:rPr>
          <w:noProof/>
        </w:rPr>
        <w:t xml:space="preserve">Премахване на митата </w:t>
      </w:r>
    </w:p>
    <w:p>
      <w:pPr>
        <w:rPr>
          <w:noProof/>
        </w:rPr>
      </w:pPr>
      <w:r>
        <w:rPr>
          <w:noProof/>
        </w:rPr>
        <w:t>Приложимите вносни мита по Общата митническа тарифа за тарифните линии, изброени в раздел I от приложението, са 0 % (освободени от мита).</w:t>
      </w:r>
    </w:p>
    <w:p>
      <w:pPr>
        <w:pStyle w:val="Titrearticle"/>
        <w:rPr>
          <w:noProof/>
        </w:rPr>
      </w:pPr>
      <w:r>
        <w:rPr>
          <w:noProof/>
        </w:rPr>
        <w:t>Член 2</w:t>
      </w:r>
    </w:p>
    <w:p>
      <w:pPr>
        <w:jc w:val="center"/>
        <w:rPr>
          <w:noProof/>
        </w:rPr>
      </w:pPr>
      <w:r>
        <w:rPr>
          <w:noProof/>
        </w:rPr>
        <w:t>Условия за премахването на митата</w:t>
      </w:r>
    </w:p>
    <w:p>
      <w:pPr>
        <w:rPr>
          <w:noProof/>
        </w:rPr>
      </w:pPr>
      <w:r>
        <w:rPr>
          <w:noProof/>
        </w:rPr>
        <w:t>Премахването на митата за продуктите, класирани в тарифните линии, изброени в раздел I от приложението към настоящия регламент, е обвързано с:</w:t>
      </w:r>
    </w:p>
    <w:p>
      <w:pPr>
        <w:pStyle w:val="Point0"/>
        <w:rPr>
          <w:noProof/>
        </w:rPr>
      </w:pPr>
      <w:r>
        <w:rPr>
          <w:noProof/>
        </w:rPr>
        <w:t>а)</w:t>
      </w:r>
      <w:r>
        <w:rPr>
          <w:noProof/>
        </w:rPr>
        <w:tab/>
        <w:t xml:space="preserve">намаляването от страна на Съединените щати на митата на база </w:t>
      </w:r>
      <w:r>
        <w:rPr>
          <w:i/>
          <w:iCs/>
          <w:noProof/>
        </w:rPr>
        <w:t>erga omnes</w:t>
      </w:r>
      <w:r>
        <w:rPr>
          <w:noProof/>
        </w:rPr>
        <w:t xml:space="preserve"> за тарифните линии, изброени в раздел II от приложението към настоящия регламент; и</w:t>
      </w:r>
    </w:p>
    <w:p>
      <w:pPr>
        <w:pStyle w:val="Point0"/>
        <w:rPr>
          <w:noProof/>
        </w:rPr>
      </w:pPr>
      <w:r>
        <w:rPr>
          <w:noProof/>
        </w:rPr>
        <w:t>б)</w:t>
      </w:r>
      <w:r>
        <w:rPr>
          <w:noProof/>
        </w:rPr>
        <w:tab/>
        <w:t>въздържането от страна на САЩ от въвеждане на нови мерки срещу Европейския съюз, които подкопават целите, заложени в Съвместното изявление от 21 август 2020 г.</w:t>
      </w:r>
    </w:p>
    <w:p>
      <w:pPr>
        <w:pStyle w:val="Titrearticle"/>
        <w:rPr>
          <w:noProof/>
        </w:rPr>
      </w:pPr>
      <w:r>
        <w:rPr>
          <w:noProof/>
        </w:rPr>
        <w:t>Член 3</w:t>
      </w:r>
    </w:p>
    <w:p>
      <w:pPr>
        <w:jc w:val="center"/>
        <w:rPr>
          <w:noProof/>
        </w:rPr>
      </w:pPr>
      <w:r>
        <w:rPr>
          <w:noProof/>
        </w:rPr>
        <w:t>Временно спиране</w:t>
      </w:r>
    </w:p>
    <w:p>
      <w:pPr>
        <w:rPr>
          <w:noProof/>
        </w:rPr>
      </w:pPr>
      <w:r>
        <w:rPr>
          <w:noProof/>
        </w:rPr>
        <w:t>Ако Съединените щати не спазват условията, определени в член 2, или когато има достатъчно доказателства за бъдещо неспазване, Комисията може да приеме акт за изпълнение, за да спре премахването на митата, предвидено в настоящия регламент, до спазването на тези условия. Актът за изпълнение се приема в съответствие с процедурата по разглеждане, посочена в член 4, параграф 2.</w:t>
      </w:r>
    </w:p>
    <w:p>
      <w:pPr>
        <w:pStyle w:val="Titrearticle"/>
        <w:rPr>
          <w:noProof/>
        </w:rPr>
      </w:pPr>
      <w:r>
        <w:rPr>
          <w:noProof/>
        </w:rPr>
        <w:t>Член 4</w:t>
      </w:r>
    </w:p>
    <w:p>
      <w:pPr>
        <w:jc w:val="center"/>
        <w:rPr>
          <w:noProof/>
        </w:rPr>
      </w:pPr>
      <w:r>
        <w:rPr>
          <w:noProof/>
        </w:rPr>
        <w:t>Процедура на комитет</w:t>
      </w:r>
    </w:p>
    <w:p>
      <w:pPr>
        <w:pStyle w:val="ManualNumPar1"/>
        <w:rPr>
          <w:noProof/>
        </w:rPr>
      </w:pPr>
      <w:r>
        <w:t>1.</w:t>
      </w:r>
      <w:r>
        <w:tab/>
      </w:r>
      <w:r>
        <w:rPr>
          <w:noProof/>
        </w:rPr>
        <w:t>За прилагането на член 3 от настоящия регламент Комисията се подпомага от Комитета по Митническия кодекс, създаден с член 285 от Регламент (ЕС) № 952/2013.</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5</w:t>
      </w:r>
    </w:p>
    <w:p>
      <w:pPr>
        <w:jc w:val="center"/>
        <w:rPr>
          <w:noProof/>
        </w:rPr>
      </w:pPr>
      <w:r>
        <w:rPr>
          <w:noProof/>
        </w:rPr>
        <w:t xml:space="preserve">Влизане в сила и прилагане </w:t>
      </w:r>
    </w:p>
    <w:p>
      <w:pPr>
        <w:pStyle w:val="ManualNumPar1"/>
        <w:rPr>
          <w:noProof/>
        </w:rPr>
      </w:pPr>
      <w:r>
        <w:t>1.</w:t>
      </w:r>
      <w:r>
        <w:tab/>
      </w: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pStyle w:val="ManualNumPar1"/>
        <w:rPr>
          <w:noProof/>
        </w:rPr>
      </w:pPr>
      <w:r>
        <w:t>2.</w:t>
      </w:r>
      <w:r>
        <w:tab/>
      </w:r>
      <w:r>
        <w:rPr>
          <w:noProof/>
        </w:rPr>
        <w:t xml:space="preserve">Настоящият регламент се прилага от 1 август 2020 г. и прилагането му приключва на 31 юли 2025 г. </w:t>
      </w:r>
    </w:p>
    <w:p>
      <w:pPr>
        <w:pStyle w:val="ManualNumPar1"/>
        <w:rPr>
          <w:noProof/>
        </w:rPr>
      </w:pPr>
      <w:r>
        <w:lastRenderedPageBreak/>
        <w:t>3.</w:t>
      </w:r>
      <w:r>
        <w:tab/>
      </w:r>
      <w:r>
        <w:rPr>
          <w:noProof/>
        </w:rPr>
        <w:t xml:space="preserve">Комисията публикува в </w:t>
      </w:r>
      <w:r>
        <w:rPr>
          <w:i/>
          <w:iCs/>
          <w:noProof/>
        </w:rPr>
        <w:t>Официален вестник на Европейския съюз</w:t>
      </w:r>
      <w:r>
        <w:rPr>
          <w:noProof/>
        </w:rPr>
        <w:t xml:space="preserve"> уведомление за спиране, в случай че прилагането на настоящия регламент е било спряно съгласно член 3 или в случай че регламентът престане да се прилага преди 31 юли 2025 г. </w:t>
      </w:r>
    </w:p>
    <w:p>
      <w:pPr>
        <w:pStyle w:val="ManualNumPar1"/>
        <w:rPr>
          <w:noProof/>
        </w:rPr>
      </w:pPr>
      <w:r>
        <w:t>4.</w:t>
      </w:r>
      <w:r>
        <w:tab/>
      </w:r>
      <w:r>
        <w:rPr>
          <w:noProof/>
        </w:rPr>
        <w:t>По искане на стопанските субекти митническите органи на държавите членки възстановяват всички платени мита, които надхвърлят приложимите в съответствие с настоящия регламент, за внос между 1 август 2020 г. и влизането в сила на настоящия регламент.</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 „ПРИХОДИ“ — ЗА ПРЕДЛОЖЕНИЯ С ОТРАЖЕНИЕ ВЪРХУ ПРИХОДНАТА ЧАСТ НА БЮДЖЕТА</w:t>
      </w:r>
    </w:p>
    <w:p>
      <w:pPr>
        <w:pStyle w:val="ManualHeading1"/>
        <w:rPr>
          <w:noProof/>
        </w:rPr>
      </w:pPr>
      <w:r>
        <w:t>1.</w:t>
      </w:r>
      <w:r>
        <w:tab/>
      </w:r>
      <w:r>
        <w:rPr>
          <w:noProof/>
        </w:rPr>
        <w:t>НАИМЕНОВАНИЕ НА ПРЕДЛОЖЕНИЕТО:</w:t>
      </w:r>
    </w:p>
    <w:p>
      <w:pPr>
        <w:pStyle w:val="Text1"/>
        <w:rPr>
          <w:noProof/>
        </w:rPr>
      </w:pPr>
      <w:r>
        <w:rPr>
          <w:noProof/>
        </w:rPr>
        <w:t>Регламент на Европейския парламент и на Съвета за премахване на митата върху определени продукти</w:t>
      </w:r>
    </w:p>
    <w:p>
      <w:pPr>
        <w:pStyle w:val="ManualHeading1"/>
        <w:rPr>
          <w:noProof/>
        </w:rPr>
      </w:pPr>
      <w:r>
        <w:t>2.</w:t>
      </w:r>
      <w:r>
        <w:tab/>
      </w:r>
      <w:r>
        <w:rPr>
          <w:noProof/>
        </w:rPr>
        <w:t>БЮДЖЕТНИ РЕДОВЕ:</w:t>
      </w:r>
    </w:p>
    <w:p>
      <w:pPr>
        <w:pStyle w:val="Text1"/>
        <w:rPr>
          <w:noProof/>
        </w:rPr>
      </w:pPr>
      <w:r>
        <w:rPr>
          <w:noProof/>
        </w:rPr>
        <w:t xml:space="preserve">Приходен бюджетен ред (глава/статия/позиция): </w:t>
      </w:r>
    </w:p>
    <w:p>
      <w:pPr>
        <w:pStyle w:val="Text1"/>
        <w:rPr>
          <w:noProof/>
        </w:rPr>
      </w:pPr>
      <w:r>
        <w:rPr>
          <w:noProof/>
        </w:rPr>
        <w:t xml:space="preserve">Приходен бюджетен ред: глава 1 2, статия 1 2 0 </w:t>
      </w:r>
    </w:p>
    <w:p>
      <w:pPr>
        <w:pStyle w:val="Text1"/>
        <w:rPr>
          <w:noProof/>
        </w:rPr>
      </w:pPr>
      <w:r>
        <w:rPr>
          <w:noProof/>
        </w:rPr>
        <w:t xml:space="preserve">Вписана в бюджета сума за съответната година: EUR 22 156 900 000 </w:t>
      </w:r>
    </w:p>
    <w:p>
      <w:pPr>
        <w:pStyle w:val="Text1"/>
        <w:ind w:left="851"/>
        <w:rPr>
          <w:noProof/>
        </w:rPr>
      </w:pPr>
      <w:r>
        <w:rPr>
          <w:noProof/>
        </w:rPr>
        <w:t xml:space="preserve">(само в случай на целеви приходи): </w:t>
      </w:r>
    </w:p>
    <w:p>
      <w:pPr>
        <w:pStyle w:val="Text1"/>
        <w:ind w:left="851"/>
        <w:rPr>
          <w:noProof/>
        </w:rPr>
      </w:pPr>
      <w:r>
        <w:rPr>
          <w:noProof/>
        </w:rPr>
        <w:t>Приходите ще бъдат отнесени към следния разходен бюджетен ред (глава/статия/позиция): n/a</w:t>
      </w:r>
    </w:p>
    <w:p>
      <w:pPr>
        <w:pStyle w:val="ManualHeading1"/>
        <w:rPr>
          <w:noProof/>
        </w:rPr>
      </w:pPr>
      <w:r>
        <w:t>3.</w:t>
      </w:r>
      <w:r>
        <w:tab/>
      </w:r>
      <w:r>
        <w:rPr>
          <w:noProof/>
        </w:rPr>
        <w:t>ФИНАНСОВО ОТРАЖЕНИЕ</w:t>
      </w:r>
    </w:p>
    <w:p>
      <w:pPr>
        <w:pStyle w:val="Text1"/>
        <w:rPr>
          <w:noProof/>
        </w:rPr>
      </w:pPr>
      <w:r>
        <w:rPr>
          <w:noProof/>
        </w:rPr>
        <w:sym w:font="Wingdings" w:char="F0A8"/>
      </w:r>
      <w:r>
        <w:rPr>
          <w:noProof/>
        </w:rPr>
        <w:tab/>
        <w:t>Предложението няма финансово отражение</w:t>
      </w:r>
    </w:p>
    <w:p>
      <w:pPr>
        <w:pStyle w:val="Text1"/>
        <w:rPr>
          <w:noProof/>
        </w:rPr>
      </w:pPr>
      <w:r>
        <w:rPr>
          <w:noProof/>
        </w:rPr>
        <w:t>X</w:t>
      </w:r>
      <w:r>
        <w:rPr>
          <w:noProof/>
        </w:rPr>
        <w:tab/>
        <w:t>Предложението няма финансово въздействие върху разходите, но има такова върху приходите</w:t>
      </w:r>
    </w:p>
    <w:p>
      <w:pPr>
        <w:pStyle w:val="Text1"/>
        <w:rPr>
          <w:noProof/>
        </w:rPr>
      </w:pPr>
      <w:r>
        <w:rPr>
          <w:noProof/>
        </w:rPr>
        <w:sym w:font="Wingdings" w:char="F0A8"/>
      </w:r>
      <w:r>
        <w:rPr>
          <w:noProof/>
        </w:rPr>
        <w:tab/>
        <w:t>Предложението има финансово отражение върху целевите приходи</w:t>
      </w:r>
    </w:p>
    <w:p>
      <w:pPr>
        <w:pStyle w:val="Text1"/>
        <w:rPr>
          <w:noProof/>
        </w:rPr>
      </w:pPr>
      <w:r>
        <w:rPr>
          <w:noProof/>
        </w:rPr>
        <w:t xml:space="preserve">Отражението е следното: </w:t>
      </w:r>
    </w:p>
    <w:p>
      <w:pPr>
        <w:jc w:val="right"/>
        <w:rPr>
          <w:noProof/>
        </w:rPr>
      </w:pPr>
      <w:r>
        <w:rPr>
          <w:noProof/>
        </w:rPr>
        <w:t>в млн. евро (до първия знак след десетичната запетая)</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984"/>
        <w:gridCol w:w="2694"/>
        <w:gridCol w:w="1590"/>
      </w:tblGrid>
      <w:tr>
        <w:trPr>
          <w:cantSplit/>
        </w:trPr>
        <w:tc>
          <w:tcPr>
            <w:tcW w:w="2074" w:type="dxa"/>
          </w:tcPr>
          <w:p>
            <w:pPr>
              <w:rPr>
                <w:noProof/>
              </w:rPr>
            </w:pPr>
            <w:r>
              <w:rPr>
                <w:noProof/>
              </w:rPr>
              <w:t>Приходен бюджетен ред</w:t>
            </w:r>
          </w:p>
        </w:tc>
        <w:tc>
          <w:tcPr>
            <w:tcW w:w="1984" w:type="dxa"/>
          </w:tcPr>
          <w:p>
            <w:pPr>
              <w:jc w:val="center"/>
              <w:rPr>
                <w:noProof/>
              </w:rPr>
            </w:pPr>
            <w:r>
              <w:rPr>
                <w:noProof/>
              </w:rPr>
              <w:t>Отражение върху приходите</w:t>
            </w:r>
            <w:r>
              <w:rPr>
                <w:rStyle w:val="FootnoteReference"/>
                <w:noProof/>
              </w:rPr>
              <w:footnoteReference w:id="5"/>
            </w:r>
            <w:r>
              <w:rPr>
                <w:noProof/>
              </w:rPr>
              <w:t xml:space="preserve"> </w:t>
            </w:r>
            <w:r>
              <w:rPr>
                <w:rStyle w:val="FootnoteReference"/>
                <w:noProof/>
              </w:rPr>
              <w:footnoteReference w:id="6"/>
            </w:r>
          </w:p>
        </w:tc>
        <w:tc>
          <w:tcPr>
            <w:tcW w:w="2694" w:type="dxa"/>
          </w:tcPr>
          <w:p>
            <w:pPr>
              <w:jc w:val="center"/>
              <w:rPr>
                <w:noProof/>
              </w:rPr>
            </w:pPr>
            <w:r>
              <w:rPr>
                <w:noProof/>
              </w:rPr>
              <w:t>Период от XX месеца, започващ на дд/мм/гггг (ако е приложимо)</w:t>
            </w:r>
          </w:p>
        </w:tc>
        <w:tc>
          <w:tcPr>
            <w:tcW w:w="1590" w:type="dxa"/>
          </w:tcPr>
          <w:p>
            <w:pPr>
              <w:jc w:val="center"/>
              <w:rPr>
                <w:noProof/>
              </w:rPr>
            </w:pPr>
            <w:r>
              <w:rPr>
                <w:noProof/>
              </w:rPr>
              <w:t>Година N</w:t>
            </w:r>
          </w:p>
          <w:p>
            <w:pPr>
              <w:jc w:val="center"/>
              <w:rPr>
                <w:noProof/>
              </w:rPr>
            </w:pPr>
          </w:p>
        </w:tc>
      </w:tr>
      <w:tr>
        <w:trPr>
          <w:cantSplit/>
        </w:trPr>
        <w:tc>
          <w:tcPr>
            <w:tcW w:w="2074" w:type="dxa"/>
            <w:shd w:val="clear" w:color="auto" w:fill="auto"/>
          </w:tcPr>
          <w:p>
            <w:pPr>
              <w:jc w:val="left"/>
              <w:rPr>
                <w:noProof/>
              </w:rPr>
            </w:pPr>
            <w:r>
              <w:rPr>
                <w:noProof/>
              </w:rPr>
              <w:t>Глава 12, статия 120 — Мита и други задължения, посочени в член 2, параграф 1, буква а) от Решение 2014/335/ЕС, Евратом</w:t>
            </w:r>
          </w:p>
        </w:tc>
        <w:tc>
          <w:tcPr>
            <w:tcW w:w="1984" w:type="dxa"/>
          </w:tcPr>
          <w:p>
            <w:pPr>
              <w:spacing w:before="0" w:after="0"/>
              <w:jc w:val="center"/>
              <w:rPr>
                <w:noProof/>
              </w:rPr>
            </w:pPr>
            <w:r>
              <w:rPr>
                <w:noProof/>
              </w:rPr>
              <w:t xml:space="preserve">-2,2 </w:t>
            </w:r>
          </w:p>
        </w:tc>
        <w:tc>
          <w:tcPr>
            <w:tcW w:w="2694" w:type="dxa"/>
          </w:tcPr>
          <w:p>
            <w:pPr>
              <w:spacing w:before="0" w:after="0"/>
              <w:jc w:val="left"/>
              <w:rPr>
                <w:noProof/>
              </w:rPr>
            </w:pPr>
            <w:r>
              <w:rPr>
                <w:noProof/>
              </w:rPr>
              <w:t>Период от 5 месеца, започващ на 1.8.2020 г.</w:t>
            </w:r>
          </w:p>
        </w:tc>
        <w:tc>
          <w:tcPr>
            <w:tcW w:w="1590" w:type="dxa"/>
            <w:shd w:val="clear" w:color="auto" w:fill="auto"/>
          </w:tcPr>
          <w:p>
            <w:pPr>
              <w:spacing w:before="0" w:after="0"/>
              <w:jc w:val="center"/>
              <w:rPr>
                <w:noProof/>
              </w:rPr>
            </w:pPr>
            <w:r>
              <w:rPr>
                <w:noProof/>
              </w:rPr>
              <w:t>2020 г.</w:t>
            </w:r>
          </w:p>
        </w:tc>
      </w:tr>
    </w:tbl>
    <w:p>
      <w:pPr>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276"/>
        <w:gridCol w:w="1275"/>
        <w:gridCol w:w="1276"/>
        <w:gridCol w:w="1276"/>
        <w:gridCol w:w="1165"/>
      </w:tblGrid>
      <w:tr>
        <w:trPr>
          <w:cantSplit/>
        </w:trPr>
        <w:tc>
          <w:tcPr>
            <w:tcW w:w="8342" w:type="dxa"/>
            <w:gridSpan w:val="6"/>
          </w:tcPr>
          <w:p>
            <w:pPr>
              <w:jc w:val="center"/>
              <w:rPr>
                <w:noProof/>
              </w:rPr>
            </w:pPr>
            <w:r>
              <w:rPr>
                <w:noProof/>
              </w:rPr>
              <w:t>Положение след действието</w:t>
            </w:r>
          </w:p>
        </w:tc>
      </w:tr>
      <w:tr>
        <w:trPr>
          <w:cantSplit/>
        </w:trPr>
        <w:tc>
          <w:tcPr>
            <w:tcW w:w="2074" w:type="dxa"/>
          </w:tcPr>
          <w:p>
            <w:pPr>
              <w:jc w:val="center"/>
              <w:rPr>
                <w:noProof/>
              </w:rPr>
            </w:pPr>
            <w:r>
              <w:rPr>
                <w:noProof/>
              </w:rPr>
              <w:t>Приходен бюджетен ред</w:t>
            </w:r>
          </w:p>
        </w:tc>
        <w:tc>
          <w:tcPr>
            <w:tcW w:w="1276" w:type="dxa"/>
          </w:tcPr>
          <w:p>
            <w:pPr>
              <w:jc w:val="center"/>
              <w:rPr>
                <w:noProof/>
              </w:rPr>
            </w:pPr>
            <w:r>
              <w:rPr>
                <w:noProof/>
              </w:rPr>
              <w:t>2021 г.</w:t>
            </w:r>
          </w:p>
        </w:tc>
        <w:tc>
          <w:tcPr>
            <w:tcW w:w="1275" w:type="dxa"/>
          </w:tcPr>
          <w:p>
            <w:pPr>
              <w:jc w:val="center"/>
              <w:rPr>
                <w:noProof/>
              </w:rPr>
            </w:pPr>
            <w:r>
              <w:rPr>
                <w:noProof/>
              </w:rPr>
              <w:t>2022 г.</w:t>
            </w:r>
          </w:p>
        </w:tc>
        <w:tc>
          <w:tcPr>
            <w:tcW w:w="1276" w:type="dxa"/>
          </w:tcPr>
          <w:p>
            <w:pPr>
              <w:jc w:val="center"/>
              <w:rPr>
                <w:noProof/>
              </w:rPr>
            </w:pPr>
            <w:r>
              <w:rPr>
                <w:noProof/>
              </w:rPr>
              <w:t>2023 г.</w:t>
            </w:r>
          </w:p>
        </w:tc>
        <w:tc>
          <w:tcPr>
            <w:tcW w:w="1276" w:type="dxa"/>
          </w:tcPr>
          <w:p>
            <w:pPr>
              <w:jc w:val="center"/>
              <w:rPr>
                <w:noProof/>
              </w:rPr>
            </w:pPr>
            <w:r>
              <w:rPr>
                <w:noProof/>
              </w:rPr>
              <w:t>2024 г.</w:t>
            </w:r>
          </w:p>
        </w:tc>
        <w:tc>
          <w:tcPr>
            <w:tcW w:w="1165" w:type="dxa"/>
          </w:tcPr>
          <w:p>
            <w:pPr>
              <w:jc w:val="center"/>
              <w:rPr>
                <w:noProof/>
              </w:rPr>
            </w:pPr>
            <w:r>
              <w:rPr>
                <w:noProof/>
              </w:rPr>
              <w:t>2025 г.</w:t>
            </w:r>
          </w:p>
        </w:tc>
      </w:tr>
      <w:tr>
        <w:trPr>
          <w:cantSplit/>
        </w:trPr>
        <w:tc>
          <w:tcPr>
            <w:tcW w:w="2074" w:type="dxa"/>
          </w:tcPr>
          <w:p>
            <w:pPr>
              <w:rPr>
                <w:noProof/>
              </w:rPr>
            </w:pPr>
            <w:r>
              <w:rPr>
                <w:noProof/>
              </w:rPr>
              <w:t>Глава 12, статия 120</w:t>
            </w:r>
          </w:p>
        </w:tc>
        <w:tc>
          <w:tcPr>
            <w:tcW w:w="1276" w:type="dxa"/>
          </w:tcPr>
          <w:p>
            <w:pPr>
              <w:spacing w:before="0" w:after="0"/>
              <w:jc w:val="center"/>
              <w:rPr>
                <w:noProof/>
              </w:rPr>
            </w:pPr>
            <w:r>
              <w:rPr>
                <w:noProof/>
              </w:rPr>
              <w:t>-5,3 милиона евро</w:t>
            </w:r>
          </w:p>
        </w:tc>
        <w:tc>
          <w:tcPr>
            <w:tcW w:w="1275" w:type="dxa"/>
          </w:tcPr>
          <w:p>
            <w:pPr>
              <w:spacing w:before="0" w:after="0"/>
              <w:jc w:val="center"/>
              <w:rPr>
                <w:noProof/>
              </w:rPr>
            </w:pPr>
            <w:r>
              <w:rPr>
                <w:noProof/>
              </w:rPr>
              <w:t>-5,3 милиона евро</w:t>
            </w:r>
          </w:p>
        </w:tc>
        <w:tc>
          <w:tcPr>
            <w:tcW w:w="1276" w:type="dxa"/>
          </w:tcPr>
          <w:p>
            <w:pPr>
              <w:spacing w:before="0" w:after="0"/>
              <w:jc w:val="center"/>
              <w:rPr>
                <w:noProof/>
              </w:rPr>
            </w:pPr>
            <w:r>
              <w:rPr>
                <w:noProof/>
              </w:rPr>
              <w:t>-5,3 милиона евро</w:t>
            </w:r>
          </w:p>
        </w:tc>
        <w:tc>
          <w:tcPr>
            <w:tcW w:w="1276" w:type="dxa"/>
          </w:tcPr>
          <w:p>
            <w:pPr>
              <w:spacing w:before="0" w:after="0"/>
              <w:jc w:val="center"/>
              <w:rPr>
                <w:noProof/>
              </w:rPr>
            </w:pPr>
            <w:r>
              <w:rPr>
                <w:noProof/>
              </w:rPr>
              <w:t>-5,3 милиона евро</w:t>
            </w:r>
          </w:p>
        </w:tc>
        <w:tc>
          <w:tcPr>
            <w:tcW w:w="1165" w:type="dxa"/>
          </w:tcPr>
          <w:p>
            <w:pPr>
              <w:spacing w:before="0" w:after="0"/>
              <w:jc w:val="center"/>
              <w:rPr>
                <w:noProof/>
              </w:rPr>
            </w:pPr>
            <w:r>
              <w:rPr>
                <w:noProof/>
              </w:rPr>
              <w:t>-3,1 милиона евро</w:t>
            </w:r>
          </w:p>
        </w:tc>
      </w:tr>
    </w:tbl>
    <w:p>
      <w:pPr>
        <w:rPr>
          <w:noProof/>
        </w:rPr>
      </w:pPr>
    </w:p>
    <w:p>
      <w:pPr>
        <w:pStyle w:val="Text1"/>
        <w:rPr>
          <w:noProof/>
        </w:rPr>
      </w:pPr>
      <w:r>
        <w:rPr>
          <w:noProof/>
        </w:rPr>
        <w:t>(Само в случай на целеви приходи, при условие че бюджетният ред вече е известен)</w:t>
      </w:r>
    </w:p>
    <w:tbl>
      <w:tblPr>
        <w:tblW w:w="4654"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511"/>
        <w:gridCol w:w="3144"/>
        <w:gridCol w:w="2893"/>
      </w:tblGrid>
      <w:tr>
        <w:trPr>
          <w:cantSplit/>
        </w:trPr>
        <w:tc>
          <w:tcPr>
            <w:tcW w:w="1129" w:type="pct"/>
          </w:tcPr>
          <w:p>
            <w:pPr>
              <w:rPr>
                <w:noProof/>
              </w:rPr>
            </w:pPr>
            <w:r>
              <w:rPr>
                <w:noProof/>
              </w:rPr>
              <w:t>Разходен ред</w:t>
            </w:r>
            <w:r>
              <w:rPr>
                <w:rStyle w:val="FootnoteReference"/>
                <w:noProof/>
              </w:rPr>
              <w:footnoteReference w:id="7"/>
            </w:r>
          </w:p>
        </w:tc>
        <w:tc>
          <w:tcPr>
            <w:tcW w:w="2009" w:type="pct"/>
          </w:tcPr>
          <w:p>
            <w:pPr>
              <w:jc w:val="center"/>
              <w:rPr>
                <w:noProof/>
              </w:rPr>
            </w:pPr>
            <w:r>
              <w:rPr>
                <w:noProof/>
              </w:rPr>
              <w:t>Година N</w:t>
            </w:r>
          </w:p>
        </w:tc>
        <w:tc>
          <w:tcPr>
            <w:tcW w:w="1863" w:type="pct"/>
          </w:tcPr>
          <w:p>
            <w:pPr>
              <w:jc w:val="center"/>
              <w:rPr>
                <w:noProof/>
              </w:rPr>
            </w:pPr>
            <w:r>
              <w:rPr>
                <w:noProof/>
              </w:rPr>
              <w:t>Година N+1</w:t>
            </w:r>
          </w:p>
        </w:tc>
      </w:tr>
      <w:tr>
        <w:trPr>
          <w:cantSplit/>
        </w:trPr>
        <w:tc>
          <w:tcPr>
            <w:tcW w:w="1129" w:type="pct"/>
          </w:tcPr>
          <w:p>
            <w:pPr>
              <w:rPr>
                <w:noProof/>
              </w:rPr>
            </w:pPr>
            <w:r>
              <w:rPr>
                <w:noProof/>
              </w:rPr>
              <w:t>Глава/статия/позиция...</w:t>
            </w:r>
          </w:p>
        </w:tc>
        <w:tc>
          <w:tcPr>
            <w:tcW w:w="2009" w:type="pct"/>
          </w:tcPr>
          <w:p>
            <w:pPr>
              <w:jc w:val="center"/>
              <w:rPr>
                <w:noProof/>
              </w:rPr>
            </w:pPr>
          </w:p>
        </w:tc>
        <w:tc>
          <w:tcPr>
            <w:tcW w:w="1863" w:type="pct"/>
          </w:tcPr>
          <w:p>
            <w:pPr>
              <w:jc w:val="center"/>
              <w:rPr>
                <w:noProof/>
              </w:rPr>
            </w:pPr>
          </w:p>
        </w:tc>
      </w:tr>
      <w:tr>
        <w:trPr>
          <w:cantSplit/>
        </w:trPr>
        <w:tc>
          <w:tcPr>
            <w:tcW w:w="1129" w:type="pct"/>
          </w:tcPr>
          <w:p>
            <w:pPr>
              <w:rPr>
                <w:noProof/>
              </w:rPr>
            </w:pPr>
            <w:r>
              <w:rPr>
                <w:noProof/>
              </w:rPr>
              <w:t>Глава/статия/позиция...</w:t>
            </w:r>
          </w:p>
        </w:tc>
        <w:tc>
          <w:tcPr>
            <w:tcW w:w="2009" w:type="pct"/>
          </w:tcPr>
          <w:p>
            <w:pPr>
              <w:jc w:val="center"/>
              <w:rPr>
                <w:noProof/>
              </w:rPr>
            </w:pPr>
          </w:p>
        </w:tc>
        <w:tc>
          <w:tcPr>
            <w:tcW w:w="1863" w:type="pct"/>
          </w:tcPr>
          <w:p>
            <w:pPr>
              <w:jc w:val="center"/>
              <w:rPr>
                <w:noProof/>
              </w:rPr>
            </w:pPr>
          </w:p>
        </w:tc>
      </w:tr>
    </w:tbl>
    <w:p>
      <w:pPr>
        <w:pStyle w:val="Text1"/>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0"/>
        <w:gridCol w:w="972"/>
        <w:gridCol w:w="1440"/>
        <w:gridCol w:w="1260"/>
        <w:gridCol w:w="1440"/>
        <w:gridCol w:w="1440"/>
      </w:tblGrid>
      <w:tr>
        <w:trPr>
          <w:cantSplit/>
        </w:trPr>
        <w:tc>
          <w:tcPr>
            <w:tcW w:w="8342" w:type="dxa"/>
            <w:gridSpan w:val="6"/>
          </w:tcPr>
          <w:p>
            <w:pPr>
              <w:jc w:val="center"/>
              <w:rPr>
                <w:noProof/>
              </w:rPr>
            </w:pPr>
            <w:r>
              <w:rPr>
                <w:noProof/>
              </w:rPr>
              <w:t>Положение след действието</w:t>
            </w:r>
          </w:p>
        </w:tc>
      </w:tr>
      <w:tr>
        <w:trPr>
          <w:cantSplit/>
        </w:trPr>
        <w:tc>
          <w:tcPr>
            <w:tcW w:w="1790" w:type="dxa"/>
          </w:tcPr>
          <w:p>
            <w:pPr>
              <w:jc w:val="center"/>
              <w:rPr>
                <w:noProof/>
              </w:rPr>
            </w:pPr>
            <w:r>
              <w:rPr>
                <w:noProof/>
              </w:rPr>
              <w:t>Разходен ред</w:t>
            </w:r>
          </w:p>
        </w:tc>
        <w:tc>
          <w:tcPr>
            <w:tcW w:w="972" w:type="dxa"/>
          </w:tcPr>
          <w:p>
            <w:pPr>
              <w:jc w:val="center"/>
              <w:rPr>
                <w:noProof/>
              </w:rPr>
            </w:pPr>
            <w:r>
              <w:rPr>
                <w:noProof/>
              </w:rPr>
              <w:t>[N+1]</w:t>
            </w:r>
          </w:p>
        </w:tc>
        <w:tc>
          <w:tcPr>
            <w:tcW w:w="1440" w:type="dxa"/>
          </w:tcPr>
          <w:p>
            <w:pPr>
              <w:jc w:val="center"/>
              <w:rPr>
                <w:noProof/>
              </w:rPr>
            </w:pPr>
            <w:r>
              <w:rPr>
                <w:noProof/>
              </w:rPr>
              <w:t>[N+2]</w:t>
            </w:r>
          </w:p>
        </w:tc>
        <w:tc>
          <w:tcPr>
            <w:tcW w:w="1260" w:type="dxa"/>
          </w:tcPr>
          <w:p>
            <w:pPr>
              <w:jc w:val="center"/>
              <w:rPr>
                <w:noProof/>
              </w:rPr>
            </w:pPr>
            <w:r>
              <w:rPr>
                <w:noProof/>
              </w:rPr>
              <w:t>[N+3]</w:t>
            </w:r>
          </w:p>
        </w:tc>
        <w:tc>
          <w:tcPr>
            <w:tcW w:w="1440" w:type="dxa"/>
          </w:tcPr>
          <w:p>
            <w:pPr>
              <w:jc w:val="center"/>
              <w:rPr>
                <w:noProof/>
              </w:rPr>
            </w:pPr>
            <w:r>
              <w:rPr>
                <w:noProof/>
              </w:rPr>
              <w:t>[N+4]</w:t>
            </w:r>
          </w:p>
        </w:tc>
        <w:tc>
          <w:tcPr>
            <w:tcW w:w="1440" w:type="dxa"/>
          </w:tcPr>
          <w:p>
            <w:pPr>
              <w:jc w:val="center"/>
              <w:rPr>
                <w:noProof/>
              </w:rPr>
            </w:pPr>
            <w:r>
              <w:rPr>
                <w:noProof/>
              </w:rPr>
              <w:t>[N+5]</w:t>
            </w:r>
          </w:p>
        </w:tc>
      </w:tr>
      <w:tr>
        <w:trPr>
          <w:cantSplit/>
        </w:trPr>
        <w:tc>
          <w:tcPr>
            <w:tcW w:w="1790" w:type="dxa"/>
          </w:tcPr>
          <w:p>
            <w:pPr>
              <w:rPr>
                <w:noProof/>
              </w:rPr>
            </w:pPr>
            <w:r>
              <w:rPr>
                <w:noProof/>
              </w:rPr>
              <w:t>Глава/статия/позиция...</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r>
        <w:trPr>
          <w:cantSplit/>
        </w:trPr>
        <w:tc>
          <w:tcPr>
            <w:tcW w:w="1790" w:type="dxa"/>
          </w:tcPr>
          <w:p>
            <w:pPr>
              <w:rPr>
                <w:noProof/>
              </w:rPr>
            </w:pPr>
            <w:r>
              <w:rPr>
                <w:noProof/>
              </w:rPr>
              <w:t>Глава/статия/позиция...</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bl>
    <w:p>
      <w:pPr>
        <w:pStyle w:val="Text1"/>
        <w:rPr>
          <w:noProof/>
        </w:rPr>
      </w:pPr>
    </w:p>
    <w:p>
      <w:pPr>
        <w:pStyle w:val="ManualHeading1"/>
        <w:rPr>
          <w:noProof/>
        </w:rPr>
      </w:pPr>
      <w:r>
        <w:t>4.</w:t>
      </w:r>
      <w:r>
        <w:tab/>
      </w:r>
      <w:r>
        <w:rPr>
          <w:noProof/>
        </w:rPr>
        <w:t>МЕРКИ ЗА БОРБА С ИЗМАМИТЕ</w:t>
      </w:r>
    </w:p>
    <w:p>
      <w:pPr>
        <w:pStyle w:val="Text1"/>
        <w:rPr>
          <w:noProof/>
        </w:rPr>
      </w:pPr>
      <w:r>
        <w:rPr>
          <w:noProof/>
        </w:rPr>
        <w:t>[…]</w:t>
      </w:r>
    </w:p>
    <w:p>
      <w:pPr>
        <w:pStyle w:val="ManualHeading1"/>
        <w:rPr>
          <w:noProof/>
        </w:rPr>
      </w:pPr>
      <w:r>
        <w:t>5.</w:t>
      </w:r>
      <w:r>
        <w:tab/>
      </w:r>
      <w:r>
        <w:rPr>
          <w:noProof/>
        </w:rPr>
        <w:t>ДРУГИ ЗАБЕЛЕЖКИ</w:t>
      </w:r>
    </w:p>
    <w:p>
      <w:pPr>
        <w:pStyle w:val="Text1"/>
        <w:rPr>
          <w:noProof/>
        </w:rPr>
      </w:pPr>
      <w:r>
        <w:rPr>
          <w:noProof/>
        </w:rPr>
        <w:t xml:space="preserve">Изчисленията се основават на наличните статистически данни, според които пропуснатите мита вследствие на либерализирането на митата за продуктите, обхванати от посочените в приложението към настоящия регламент тарифни линии, съответстват на около 5,3 милиона евро на година, събрани от САЩ (средна стойност за периода 2017—2019 г.).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Тази стойност се състои от 42 милиона евро внос в ЕС-27 от САЩ и 126 милиона евро внос в САЩ от ЕС (данни за 2019 г.).</w:t>
      </w:r>
    </w:p>
  </w:footnote>
  <w:footnote w:id="2">
    <w:p>
      <w:pPr>
        <w:pStyle w:val="FootnoteText"/>
      </w:pPr>
      <w:r>
        <w:rPr>
          <w:rStyle w:val="FootnoteReference"/>
        </w:rPr>
        <w:footnoteRef/>
      </w:r>
      <w:r>
        <w:tab/>
        <w:t>Член 21, параграф 2, буква д) от ДЕС.</w:t>
      </w:r>
    </w:p>
  </w:footnote>
  <w:footnote w:id="3">
    <w:p>
      <w:pPr>
        <w:pStyle w:val="FootnoteText"/>
      </w:pPr>
      <w:r>
        <w:rPr>
          <w:rStyle w:val="FootnoteReference"/>
        </w:rPr>
        <w:footnoteRef/>
      </w:r>
      <w:r>
        <w:tab/>
        <w:t>Източник: Евростат.</w:t>
      </w:r>
    </w:p>
  </w:footnote>
  <w:footnote w:id="4">
    <w:p>
      <w:pPr>
        <w:pStyle w:val="FootnoteText"/>
      </w:pPr>
      <w:r>
        <w:rPr>
          <w:rStyle w:val="FootnoteReference"/>
        </w:rPr>
        <w:footnoteRef/>
      </w:r>
      <w:r>
        <w:tab/>
      </w:r>
      <w:hyperlink r:id="rId1" w:history="1">
        <w:r>
          <w:rPr>
            <w:rStyle w:val="Hyperlink"/>
          </w:rPr>
          <w:t>https://trade.ec.europa.eu/doclib/press/index.cfm?id=2178</w:t>
        </w:r>
      </w:hyperlink>
      <w:r>
        <w:t>.</w:t>
      </w:r>
    </w:p>
  </w:footnote>
  <w:footnote w:id="5">
    <w:p>
      <w:pPr>
        <w:pStyle w:val="FootnoteText"/>
      </w:pPr>
      <w:r>
        <w:rPr>
          <w:rStyle w:val="FootnoteReference"/>
        </w:rPr>
        <w:footnoteRef/>
      </w:r>
      <w:r>
        <w:tab/>
        <w:t>Годишните суми се прогнозират въз основа на формулата или метода, определени в раздел 5. За началната година годишната сума обикновено се изплаща, без да се прилага намаление или пропорционално плащане.</w:t>
      </w:r>
    </w:p>
  </w:footnote>
  <w:footnote w:id="6">
    <w:p>
      <w:pPr>
        <w:pStyle w:val="FootnoteText"/>
      </w:pPr>
      <w:r>
        <w:rPr>
          <w:rStyle w:val="FootnoteReference"/>
        </w:rPr>
        <w:footnoteRef/>
      </w:r>
      <w:r>
        <w:tab/>
        <w:t>По отношение на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 w:id="7">
    <w:p>
      <w:pPr>
        <w:pStyle w:val="FootnoteText"/>
      </w:pPr>
      <w:r>
        <w:rPr>
          <w:rStyle w:val="FootnoteReference"/>
        </w:rPr>
        <w:footnoteRef/>
      </w:r>
      <w:r>
        <w:tab/>
        <w:t>Да се използва само при необходимост.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11"/>
  </w:num>
  <w:num w:numId="24">
    <w:abstractNumId w:val="24"/>
  </w:num>
  <w:num w:numId="25">
    <w:abstractNumId w:val="6"/>
  </w:num>
  <w:num w:numId="26">
    <w:abstractNumId w:val="12"/>
  </w:num>
  <w:num w:numId="27">
    <w:abstractNumId w:val="4"/>
  </w:num>
  <w:num w:numId="28">
    <w:abstractNumId w:val="23"/>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28"/>
  </w:num>
  <w:num w:numId="36">
    <w:abstractNumId w:val="21"/>
  </w:num>
  <w:num w:numId="37">
    <w:abstractNumId w:val="11"/>
  </w:num>
  <w:num w:numId="38">
    <w:abstractNumId w:val="24"/>
  </w:num>
  <w:num w:numId="39">
    <w:abstractNumId w:val="6"/>
  </w:num>
  <w:num w:numId="40">
    <w:abstractNumId w:val="12"/>
  </w:num>
  <w:num w:numId="41">
    <w:abstractNumId w:val="4"/>
  </w:num>
  <w:num w:numId="42">
    <w:abstractNumId w:val="23"/>
  </w:num>
  <w:num w:numId="43">
    <w:abstractNumId w:val="3"/>
  </w:num>
  <w:num w:numId="44">
    <w:abstractNumId w:val="13"/>
  </w:num>
  <w:num w:numId="45">
    <w:abstractNumId w:val="19"/>
  </w:num>
  <w:num w:numId="46">
    <w:abstractNumId w:val="20"/>
  </w:num>
  <w:num w:numId="47">
    <w:abstractNumId w:val="5"/>
  </w:num>
  <w:num w:numId="48">
    <w:abstractNumId w:val="17"/>
  </w:num>
  <w:num w:numId="4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0 14:11: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66DDCDE-8BF9-4FA4-AD80-2EE0E3440398"/>
    <w:docVar w:name="LW_COVERPAGE_TYPE" w:val="1"/>
    <w:docVar w:name="LW_CROSSREFERENCE" w:val="&lt;UNUSED&gt;"/>
    <w:docVar w:name="LW_DocType" w:val="COM"/>
    <w:docVar w:name="LW_EMISSION" w:val="8.9.2020"/>
    <w:docVar w:name="LW_EMISSION_ISODATE" w:val="2020-09-0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3"/>
    <w:docVar w:name="LW_REF.II.NEW.CP_YEAR" w:val="2020"/>
    <w:docVar w:name="LW_REF.INST.NEW" w:val="COM"/>
    <w:docVar w:name="LW_REF.INST.NEW_ADOPTED" w:val="final"/>
    <w:docVar w:name="LW_REF.INST.NEW_TEXT" w:val="(2020)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84?\u1072?\u1093?\u1074?\u1072?\u1085?\u1077? \u1085?\u1072? \u1084?\u1080?\u1090?\u1072?\u1090?\u1072? \u1074?\u1098?\u1088?\u1093?\u1091? \u1086?\u1087?\u1088?\u1077?\u1076?\u1077?\u1083?\u1077?\u1085?\u1080? \u1087?\u1088?\u1086?\u1076?\u1091?\u1082?\u109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press/index.cfm?id=2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1672</Words>
  <Characters>9533</Characters>
  <Application>Microsoft Office Word</Application>
  <DocSecurity>0</DocSecurity>
  <Lines>280</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2020-09-09T11:18:00Z</dcterms:created>
  <dcterms:modified xsi:type="dcterms:W3CDTF">2020-09-10T12:11:00Z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