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C4EBD792-389B-4A93-8B3F-9A0107EBCB73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rPr>
          <w:noProof/>
        </w:rPr>
      </w:pPr>
      <w:r>
        <w:rPr>
          <w:noProof/>
        </w:rPr>
        <w:t>Section I (Nomenclature combinée de l’Union européenne)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95"/>
        <w:gridCol w:w="6927"/>
      </w:tblGrid>
      <w:tr>
        <w:trPr>
          <w:trHeight w:val="279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Code NC 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 w:line="276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Description </w:t>
            </w:r>
          </w:p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</w:p>
        </w:tc>
      </w:tr>
      <w:tr>
        <w:trPr>
          <w:trHeight w:val="52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0306 11 90 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 xml:space="preserve">Langoustes «Palinurus spp., Panulirus spp., Jasus spp», même fumées, même décortiquées, congelées, y compris les langoustes non décortiquées, cuites à l’eau ou à la vapeur (à l’exclusion des queues de langoustes) </w:t>
            </w:r>
          </w:p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</w:p>
        </w:tc>
      </w:tr>
      <w:tr>
        <w:trPr>
          <w:trHeight w:val="274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0306 12 10 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 xml:space="preserve">Homards «Homarus spp.», entiers, même fumés ou cuits à l’eau ou à la vapeur, congelés  </w:t>
            </w:r>
          </w:p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</w:p>
        </w:tc>
      </w:tr>
      <w:tr>
        <w:trPr>
          <w:trHeight w:val="4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030612 90 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 xml:space="preserve">Homards «Homarus spp.», même fumés, même décortiqués, congelés, y compris les homards non décortiqués, cuits à l’eau ou à la vapeur (à l’exclusion des homards entiers)  </w:t>
            </w:r>
          </w:p>
          <w:p>
            <w:pPr>
              <w:pStyle w:val="Default"/>
              <w:spacing w:line="276" w:lineRule="auto"/>
              <w:rPr>
                <w:noProof/>
                <w:sz w:val="20"/>
                <w:szCs w:val="20"/>
                <w:lang w:val="fr-FR"/>
              </w:rPr>
            </w:pPr>
          </w:p>
        </w:tc>
      </w:tr>
      <w:tr>
        <w:trPr>
          <w:trHeight w:val="1048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0306 32 10 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Default"/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Homards «Homarus spp.», vivants  </w:t>
            </w:r>
          </w:p>
        </w:tc>
      </w:tr>
    </w:tbl>
    <w:p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Section II (Tarif douanier des États-Unis)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</w:tblGrid>
      <w:tr>
        <w:trPr>
          <w:trHeight w:val="40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Code tarifaire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Description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Tarif NPF existant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Nouveau tarif NPF </w:t>
            </w:r>
          </w:p>
        </w:tc>
      </w:tr>
      <w:tr>
        <w:trPr>
          <w:trHeight w:val="27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1604 20 05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Produits contenant de la chair de crustacés, de mollusques ou d’autres invertébrés aquatiques, plats préparés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5 %</w:t>
            </w:r>
          </w:p>
        </w:tc>
      </w:tr>
      <w:tr>
        <w:trPr>
          <w:trHeight w:val="40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7013 41 50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Objets pour le service de la table ou pour la cuisine (autres que les verres à boire), en cristal au plomb, d’une valeur supérieure à 5 USD par pièce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3 %</w:t>
            </w:r>
          </w:p>
        </w:tc>
      </w:tr>
      <w:tr>
        <w:trPr>
          <w:trHeight w:val="27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3214 90 50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Enduits non réfractaires des types utilisés en maçonnerie, non à base de caoutchouc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6,5 %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3,25 % </w:t>
            </w:r>
          </w:p>
        </w:tc>
      </w:tr>
      <w:tr>
        <w:trPr>
          <w:trHeight w:val="14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3601 00 00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Poudres propulsives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6,5 %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3,25 %</w:t>
            </w:r>
          </w:p>
        </w:tc>
      </w:tr>
      <w:tr>
        <w:trPr>
          <w:trHeight w:val="27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9613 10 00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Briquets de poche, à gaz, non rechargeables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4 %</w:t>
            </w:r>
          </w:p>
        </w:tc>
      </w:tr>
      <w:tr>
        <w:trPr>
          <w:trHeight w:val="14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9613 90 80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Parties de briquets et allumeurs non électriques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8 %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4 %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DC2C2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932CA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8273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F627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E269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5CEC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D87F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6AB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0 14:15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4EBD792-389B-4A93-8B3F-9A0107EBCB73"/>
    <w:docVar w:name="LW_COVERPAGE_TYPE" w:val="1"/>
    <w:docVar w:name="LW_CROSSREFERENCE" w:val="&lt;UNUSED&gt;"/>
    <w:docVar w:name="LW_DocType" w:val="ANNEX"/>
    <w:docVar w:name="LW_EMISSION" w:val="8.9.2020"/>
    <w:docVar w:name="LW_EMISSION_ISODATE" w:val="2020-09-0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f à l\u8217?élimination des droits de douane sur certains produits"/>
    <w:docVar w:name="LW_OBJETACTEPRINCIPAL.CP" w:val="relatif à l\u8217?élimination des droits de douane sur certains produits"/>
    <w:docVar w:name="LW_PART_NBR" w:val="1"/>
    <w:docVar w:name="LW_PART_NBR_TOTAL" w:val="1"/>
    <w:docVar w:name="LW_REF.INST.NEW" w:val="COM"/>
    <w:docVar w:name="LW_REF.INST.NEW_ADOPTED" w:val="final"/>
    <w:docVar w:name="LW_REF.INST.NEW_TEXT" w:val="(2020) 4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236</Words>
  <Characters>1129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2020-09-09T10:07:00Z</dcterms:created>
  <dcterms:modified xsi:type="dcterms:W3CDTF">2020-09-10T12:15:00Z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