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1F136155-B9B9-4CB9-8096-2AE2496EF475" style="width:450.35pt;height:434.05pt">
            <v:imagedata r:id="rId8" o:title=""/>
          </v:shape>
        </w:pict>
      </w:r>
    </w:p>
    <w:bookmarkEnd w:id="0"/>
    <w:p>
      <w:pPr>
        <w:rPr>
          <w:caps/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Heading1"/>
        <w:numPr>
          <w:ilvl w:val="0"/>
          <w:numId w:val="0"/>
        </w:numPr>
        <w:spacing w:before="0" w:after="240"/>
        <w:jc w:val="center"/>
        <w:rPr>
          <w:rFonts w:asciiTheme="majorHAnsi" w:hAnsiTheme="majorHAnsi"/>
          <w:noProof/>
          <w:szCs w:val="24"/>
        </w:rPr>
      </w:pPr>
      <w:bookmarkStart w:id="1" w:name="_GoBack"/>
      <w:bookmarkEnd w:id="1"/>
      <w:r>
        <w:rPr>
          <w:noProof/>
        </w:rPr>
        <w:lastRenderedPageBreak/>
        <w:t xml:space="preserve">ПРИЛОЖЕНИЕ 1 </w:t>
      </w:r>
      <w:r>
        <w:rPr>
          <w:rFonts w:asciiTheme="majorHAnsi" w:hAnsiTheme="majorHAnsi"/>
          <w:noProof/>
          <w:szCs w:val="24"/>
        </w:rPr>
        <w:t>— Нередности, докладвани като измами през 2019 г.</w:t>
      </w:r>
    </w:p>
    <w:p>
      <w:pPr>
        <w:rPr>
          <w:rFonts w:ascii="Cambria" w:hAnsi="Cambria"/>
          <w:noProof/>
          <w:sz w:val="20"/>
        </w:rPr>
      </w:pPr>
      <w:r>
        <w:rPr>
          <w:rFonts w:ascii="Cambria" w:hAnsi="Cambria"/>
          <w:noProof/>
          <w:sz w:val="20"/>
        </w:rPr>
        <w:t>С броя на нередностите, докладвани като измами, се измерват резултатите от усилията на държавите членки да се справят с измамите и другите незаконни дейности, засягащи финансовите интереси на ЕС. Поради това стойностите не следва да се тълкуват като показващи равнището на измамите на територията на държавите членки. Таблицата по-долу не включва трети държави (предприсъединителна помощ) и преки разходи.</w:t>
      </w:r>
    </w:p>
    <w:p>
      <w:pPr>
        <w:jc w:val="center"/>
        <w:rPr>
          <w:b/>
          <w:noProof/>
        </w:rPr>
      </w:pPr>
      <w:r>
        <w:rPr>
          <w:noProof/>
          <w:lang w:val="en-GB" w:eastAsia="en-GB"/>
        </w:rPr>
        <w:drawing>
          <wp:inline distT="0" distB="0" distL="0" distR="0">
            <wp:extent cx="6986819" cy="4382219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043039" cy="4417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Cambria" w:hAnsi="Cambria"/>
          <w:noProof/>
        </w:rPr>
      </w:pPr>
      <w:r>
        <w:rPr>
          <w:rFonts w:ascii="Cambria" w:hAnsi="Cambria"/>
          <w:noProof/>
          <w:sz w:val="20"/>
        </w:rPr>
        <w:t>Високите стойности при Словакия до голяма степен произтичат от единичен случай с висока финансова стойност, което може да се дължи на политиката за докладване на обезпечителни мерки, прилагана в Словакия.</w:t>
      </w:r>
      <w:r>
        <w:rPr>
          <w:rFonts w:ascii="Cambria" w:hAnsi="Cambria"/>
          <w:noProof/>
        </w:rPr>
        <w:br w:type="page"/>
      </w:r>
    </w:p>
    <w:p>
      <w:pPr>
        <w:pStyle w:val="Heading1"/>
        <w:numPr>
          <w:ilvl w:val="0"/>
          <w:numId w:val="0"/>
        </w:numPr>
        <w:spacing w:before="0" w:after="240"/>
        <w:jc w:val="center"/>
        <w:rPr>
          <w:rFonts w:asciiTheme="majorHAnsi" w:hAnsiTheme="majorHAnsi"/>
          <w:noProof/>
          <w:szCs w:val="24"/>
        </w:rPr>
      </w:pPr>
      <w:r>
        <w:rPr>
          <w:noProof/>
        </w:rPr>
        <w:t xml:space="preserve">ПРИЛОЖЕНИЕ 2 </w:t>
      </w:r>
      <w:r>
        <w:rPr>
          <w:rFonts w:asciiTheme="majorHAnsi" w:hAnsiTheme="majorHAnsi"/>
          <w:noProof/>
          <w:szCs w:val="24"/>
        </w:rPr>
        <w:t>— Нередности, докладвани като несвързани с измами през 2019 г.</w:t>
      </w:r>
    </w:p>
    <w:p>
      <w:pPr>
        <w:rPr>
          <w:noProof/>
        </w:rPr>
      </w:pPr>
      <w:r>
        <w:rPr>
          <w:noProof/>
        </w:rPr>
        <w:t>Таблицата по-долу не включва трети държави (предприсъединителна помощ) и преки разходи.</w:t>
      </w:r>
    </w:p>
    <w:p>
      <w:pPr>
        <w:jc w:val="center"/>
        <w:rPr>
          <w:noProof/>
        </w:rPr>
      </w:pPr>
      <w:r>
        <w:rPr>
          <w:noProof/>
          <w:lang w:val="en-GB" w:eastAsia="en-GB"/>
        </w:rPr>
        <w:drawing>
          <wp:inline distT="0" distB="0" distL="0" distR="0">
            <wp:extent cx="8600536" cy="463682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612627" cy="464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Spacing"/>
        <w:rPr>
          <w:rFonts w:ascii="Cambria" w:hAnsi="Cambria"/>
          <w:noProof/>
          <w:sz w:val="20"/>
          <w:szCs w:val="20"/>
        </w:rPr>
      </w:pPr>
      <w:r>
        <w:rPr>
          <w:rFonts w:ascii="Cambria" w:hAnsi="Cambria"/>
          <w:noProof/>
          <w:sz w:val="20"/>
          <w:szCs w:val="20"/>
        </w:rPr>
        <w:t>Високите стойности при Словакия до голяма степен произтичат от няколко случая с висока финансова стойност, което може да се дължи на политиката за докладване на обезпечителни мерки, прилагана в Словакия.</w:t>
      </w:r>
    </w:p>
    <w:sectPr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tabs>
        <w:tab w:val="clear" w:pos="9921"/>
        <w:tab w:val="right" w:pos="13892"/>
      </w:tabs>
      <w:rPr>
        <w:rFonts w:ascii="Arial" w:hAnsi="Arial" w:cs="Arial"/>
        <w:b/>
        <w:sz w:val="48"/>
      </w:rPr>
    </w:pPr>
    <w:r>
      <w:rPr>
        <w:rFonts w:ascii="Arial" w:hAnsi="Arial"/>
        <w:b/>
        <w:sz w:val="48"/>
      </w:rPr>
      <w:t>BG</w:t>
    </w:r>
    <w:r>
      <w:tab/>
    </w:r>
    <w:r>
      <w:tab/>
    </w:r>
    <w:r>
      <w:tab/>
    </w:r>
    <w:r>
      <w:rPr>
        <w:rFonts w:ascii="Arial" w:hAnsi="Arial"/>
        <w:b/>
        <w:sz w:val="48"/>
      </w:rPr>
      <w:t>BG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3" type="#_x0000_t136" style="position:absolute;left:0;text-align:left;margin-left:0;margin-top:0;width:456.85pt;height:182.7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  <w:jc w:val="righ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1" type="#_x0000_t136" style="position:absolute;left:0;text-align:left;margin-left:0;margin-top:0;width:456.85pt;height:182.7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2E04"/>
    <w:multiLevelType w:val="multilevel"/>
    <w:tmpl w:val="D60ABDD2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1570"/>
        </w:tabs>
        <w:ind w:left="1570" w:hanging="85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991"/>
        </w:tabs>
        <w:ind w:left="991" w:hanging="85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10"/>
        </w:tabs>
        <w:ind w:left="1810" w:hanging="85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34851A68"/>
    <w:multiLevelType w:val="hybridMultilevel"/>
    <w:tmpl w:val="1DCEB440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627859"/>
    <w:multiLevelType w:val="hybridMultilevel"/>
    <w:tmpl w:val="EF54249E"/>
    <w:lvl w:ilvl="0" w:tplc="08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revisionView w:markup="0"/>
  <w:defaultTabStop w:val="720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cStatus" w:val="Green"/>
    <w:docVar w:name="LW_ACCOMPAGNANT.CP" w:val="\u1082?\u1098?\u1084?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1F136155-B9B9-4CB9-8096-2AE2496EF475"/>
    <w:docVar w:name="LW_COVERPAGE_TYPE" w:val="1"/>
    <w:docVar w:name="LW_CROSSREFERENCE" w:val="{SWD(2020) 156 final} - {SWD(2020) 157 final} - {SWD(2020) 158 final} - {SWD(2020) 159 final} - {SWD(2020) 160 final}"/>
    <w:docVar w:name="LW_DocType" w:val="NORMAL"/>
    <w:docVar w:name="LW_EMISSION" w:val="3.9.2020"/>
    <w:docVar w:name="LW_EMISSION_ISODATE" w:val="2020-09-03"/>
    <w:docVar w:name="LW_EMISSION_LOCATION" w:val="BRX"/>
    <w:docVar w:name="LW_EMISSION_PREFIX" w:val="Брюксел, "/>
    <w:docVar w:name="LW_EMISSION_SUFFIX" w:val=" \u1075?."/>
    <w:docVar w:name="LW_ID_DOCTYPE_NONLW" w:val="CP-039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&lt;FMT:Bold&gt;31-\u1074?\u1080? \u1075?\u1086?\u1076?\u1080?\u1096?\u1077?\u1085? \u1076?\u1086?\u1082?\u1083?\u1072?\u1076? \u1086?\u1090?\u1085?\u1086?\u1089?\u1085?\u1086? \u1079?\u1072?\u1097?\u1080?\u1090?\u1072?\u1090?\u1072? \u1085?\u1072? \u1092?\u1080?\u1085?\u1072?\u1085?\u1089?\u1086?\u1074?\u1080?\u1090?\u1077? \u1080?\u1085?\u1090?\u1077?\u1088?\u1077?\u1089?\u1080? \u1085?\u1072? \u1045?\u1074?\u1088?\u1086?\u1087?\u1077?\u1081?\u1089?\u1082?\u1080?\u1103? \u1089?\u1098?\u1102?\u1079? \u1080? \u1073?\u1086?\u1088?\u1073?\u1072?\u1090?\u1072? \u1089? \u1080?\u1079?\u1084?\u1072?\u1084?\u1080?\u1090?\u1077? \u8212? 2019 \u1075?.&lt;/FMT&gt;_x000d__x000d__x000d__x000d__x000b_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20) 363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.CP" w:val="\u1055?\u1056?\u1048?\u1051?\u1054?\u1046?\u1045?\u1053?\u1048?\u1071?_x000b_"/>
    <w:docVar w:name="LW_TYPEACTEPRINCIPAL.CP" w:val="\u1044?\u1054?\u1050?\u1051?\u1040?\u1044? \u1053?\u1040? \u1050?\u1054?\u1052?\u1048?\u1057?\u1048?\u1071?\u1058?\u1040? \u1044?\u1054? \u1045?\u1042?\u1056?\u1054?\u1055?\u1045?\u1049?\u1057?\u1050?\u1048?\u1071? \u1055?\u1040?\u1056?\u1051?\u1040?\u1052?\u1045?\u1053?\u1058? \u1048? \u1057?\u1066?\u1042?\u1045?\u1058?\u1040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3"/>
      </w:numPr>
      <w:spacing w:before="360"/>
      <w:outlineLvl w:val="0"/>
    </w:pPr>
    <w:rPr>
      <w:b/>
      <w:bCs/>
      <w:smallCaps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3"/>
      </w:numPr>
      <w:outlineLvl w:val="1"/>
    </w:pPr>
    <w:rPr>
      <w:rFonts w:eastAsia="Calibri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3"/>
      </w:numPr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Theme="minorHAnsi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Pagedecouverture">
    <w:name w:val="Page de couverture"/>
    <w:basedOn w:val="Normal"/>
    <w:next w:val="Normal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1">
    <w:name w:val="SubTitle 1"/>
    <w:basedOn w:val="Normal"/>
    <w:next w:val="Normal"/>
    <w:pPr>
      <w:spacing w:before="0" w:after="240"/>
      <w:jc w:val="center"/>
    </w:pPr>
    <w:rPr>
      <w:b/>
      <w:sz w:val="40"/>
      <w:szCs w:val="20"/>
      <w:lang w:eastAsia="en-GB"/>
    </w:rPr>
  </w:style>
  <w:style w:type="paragraph" w:styleId="Title">
    <w:name w:val="Title"/>
    <w:basedOn w:val="Normal"/>
    <w:next w:val="SubTitle1"/>
    <w:link w:val="TitleChar"/>
    <w:pPr>
      <w:spacing w:before="0" w:after="480"/>
      <w:jc w:val="center"/>
    </w:pPr>
    <w:rPr>
      <w:b/>
      <w:kern w:val="28"/>
      <w:sz w:val="48"/>
      <w:szCs w:val="20"/>
      <w:lang w:eastAsia="en-GB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kern w:val="28"/>
      <w:sz w:val="48"/>
      <w:szCs w:val="20"/>
      <w:lang w:eastAsia="en-GB"/>
    </w:rPr>
  </w:style>
  <w:style w:type="paragraph" w:customStyle="1" w:styleId="ZFlag">
    <w:name w:val="Z_Flag"/>
    <w:basedOn w:val="Normal"/>
    <w:next w:val="Normal"/>
    <w:uiPriority w:val="99"/>
    <w:semiHidden/>
    <w:pPr>
      <w:widowControl w:val="0"/>
      <w:spacing w:before="0" w:after="0"/>
      <w:ind w:right="85"/>
    </w:pPr>
    <w:rPr>
      <w:szCs w:val="20"/>
      <w:lang w:eastAsia="en-GB"/>
    </w:rPr>
  </w:style>
  <w:style w:type="paragraph" w:customStyle="1" w:styleId="ZCom">
    <w:name w:val="Z_Com"/>
    <w:basedOn w:val="Normal"/>
    <w:next w:val="Normal"/>
    <w:uiPriority w:val="99"/>
    <w:semiHidden/>
    <w:pPr>
      <w:widowControl w:val="0"/>
      <w:spacing w:before="90" w:after="0"/>
      <w:ind w:right="85"/>
    </w:pPr>
    <w:rPr>
      <w:szCs w:val="20"/>
      <w:lang w:eastAsia="en-GB"/>
    </w:rPr>
  </w:style>
  <w:style w:type="paragraph" w:customStyle="1" w:styleId="ZDGName">
    <w:name w:val="Z_DGName"/>
    <w:basedOn w:val="Normal"/>
    <w:uiPriority w:val="99"/>
    <w:semiHidden/>
    <w:pPr>
      <w:widowControl w:val="0"/>
      <w:spacing w:before="0" w:after="0"/>
      <w:ind w:right="85"/>
      <w:jc w:val="left"/>
    </w:pPr>
    <w:rPr>
      <w:sz w:val="16"/>
      <w:szCs w:val="20"/>
      <w:lang w:eastAsia="en-GB"/>
    </w:rPr>
  </w:style>
  <w:style w:type="table" w:customStyle="1" w:styleId="TableLetterhead">
    <w:name w:val="Table Letterhead"/>
    <w:basedOn w:val="TableNormal"/>
    <w:uiPriority w:val="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  <w:tblPr>
      <w:tblCellMar>
        <w:left w:w="0" w:type="dxa"/>
        <w:bottom w:w="34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28806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HeaderSensitivityRight">
    <w:name w:val="Header Sensitivity Right"/>
    <w:basedOn w:val="Normal"/>
    <w:link w:val="HeaderSensitivityRightChar"/>
    <w:pPr>
      <w:spacing w:before="0"/>
      <w:jc w:val="right"/>
    </w:pPr>
    <w:rPr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mall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Calibri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NoSpacing">
    <w:name w:val="No Spacing"/>
    <w:uiPriority w:val="1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numPr>
        <w:numId w:val="3"/>
      </w:numPr>
      <w:spacing w:before="360"/>
      <w:outlineLvl w:val="0"/>
    </w:pPr>
    <w:rPr>
      <w:b/>
      <w:bCs/>
      <w:smallCaps/>
      <w:szCs w:val="32"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ilvl w:val="1"/>
        <w:numId w:val="3"/>
      </w:numPr>
      <w:outlineLvl w:val="1"/>
    </w:pPr>
    <w:rPr>
      <w:rFonts w:eastAsia="Calibri"/>
      <w:b/>
      <w:bCs/>
      <w:iCs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numPr>
        <w:ilvl w:val="2"/>
        <w:numId w:val="3"/>
      </w:numPr>
      <w:outlineLvl w:val="2"/>
    </w:pPr>
    <w:rPr>
      <w:bCs/>
      <w:i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rFonts w:eastAsiaTheme="minorHAnsi"/>
      <w:szCs w:val="22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rFonts w:eastAsiaTheme="minorHAnsi"/>
      <w:szCs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</w:rPr>
  </w:style>
  <w:style w:type="paragraph" w:customStyle="1" w:styleId="Pagedecouverture">
    <w:name w:val="Page de couverture"/>
    <w:basedOn w:val="Normal"/>
    <w:next w:val="Normal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SubTitle1">
    <w:name w:val="SubTitle 1"/>
    <w:basedOn w:val="Normal"/>
    <w:next w:val="Normal"/>
    <w:pPr>
      <w:spacing w:before="0" w:after="240"/>
      <w:jc w:val="center"/>
    </w:pPr>
    <w:rPr>
      <w:b/>
      <w:sz w:val="40"/>
      <w:szCs w:val="20"/>
      <w:lang w:eastAsia="en-GB"/>
    </w:rPr>
  </w:style>
  <w:style w:type="paragraph" w:styleId="Title">
    <w:name w:val="Title"/>
    <w:basedOn w:val="Normal"/>
    <w:next w:val="SubTitle1"/>
    <w:link w:val="TitleChar"/>
    <w:pPr>
      <w:spacing w:before="0" w:after="480"/>
      <w:jc w:val="center"/>
    </w:pPr>
    <w:rPr>
      <w:b/>
      <w:kern w:val="28"/>
      <w:sz w:val="48"/>
      <w:szCs w:val="20"/>
      <w:lang w:eastAsia="en-GB"/>
    </w:rPr>
  </w:style>
  <w:style w:type="character" w:customStyle="1" w:styleId="TitleChar">
    <w:name w:val="Title Char"/>
    <w:basedOn w:val="DefaultParagraphFont"/>
    <w:link w:val="Title"/>
    <w:rPr>
      <w:rFonts w:ascii="Times New Roman" w:eastAsia="Times New Roman" w:hAnsi="Times New Roman" w:cs="Times New Roman"/>
      <w:b/>
      <w:kern w:val="28"/>
      <w:sz w:val="48"/>
      <w:szCs w:val="20"/>
      <w:lang w:eastAsia="en-GB"/>
    </w:rPr>
  </w:style>
  <w:style w:type="paragraph" w:customStyle="1" w:styleId="ZFlag">
    <w:name w:val="Z_Flag"/>
    <w:basedOn w:val="Normal"/>
    <w:next w:val="Normal"/>
    <w:uiPriority w:val="99"/>
    <w:semiHidden/>
    <w:pPr>
      <w:widowControl w:val="0"/>
      <w:spacing w:before="0" w:after="0"/>
      <w:ind w:right="85"/>
    </w:pPr>
    <w:rPr>
      <w:szCs w:val="20"/>
      <w:lang w:eastAsia="en-GB"/>
    </w:rPr>
  </w:style>
  <w:style w:type="paragraph" w:customStyle="1" w:styleId="ZCom">
    <w:name w:val="Z_Com"/>
    <w:basedOn w:val="Normal"/>
    <w:next w:val="Normal"/>
    <w:uiPriority w:val="99"/>
    <w:semiHidden/>
    <w:pPr>
      <w:widowControl w:val="0"/>
      <w:spacing w:before="90" w:after="0"/>
      <w:ind w:right="85"/>
    </w:pPr>
    <w:rPr>
      <w:szCs w:val="20"/>
      <w:lang w:eastAsia="en-GB"/>
    </w:rPr>
  </w:style>
  <w:style w:type="paragraph" w:customStyle="1" w:styleId="ZDGName">
    <w:name w:val="Z_DGName"/>
    <w:basedOn w:val="Normal"/>
    <w:uiPriority w:val="99"/>
    <w:semiHidden/>
    <w:pPr>
      <w:widowControl w:val="0"/>
      <w:spacing w:before="0" w:after="0"/>
      <w:ind w:right="85"/>
      <w:jc w:val="left"/>
    </w:pPr>
    <w:rPr>
      <w:sz w:val="16"/>
      <w:szCs w:val="20"/>
      <w:lang w:eastAsia="en-GB"/>
    </w:rPr>
  </w:style>
  <w:style w:type="table" w:customStyle="1" w:styleId="TableLetterhead">
    <w:name w:val="Table Letterhead"/>
    <w:basedOn w:val="TableNormal"/>
    <w:uiPriority w:val="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n-GB"/>
    </w:rPr>
    <w:tblPr>
      <w:tblCellMar>
        <w:left w:w="0" w:type="dxa"/>
        <w:bottom w:w="340" w:type="dxa"/>
        <w:right w:w="0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28806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FooterSensitivity">
    <w:name w:val="Footer Sensitivity"/>
    <w:basedOn w:val="Normal"/>
    <w:link w:val="Foot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character" w:customStyle="1" w:styleId="FooterSensitivityChar">
    <w:name w:val="Footer Sensitivity Char"/>
    <w:basedOn w:val="DefaultParagraphFont"/>
    <w:link w:val="FooterSensitivity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before="0"/>
    </w:p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Sensitivity">
    <w:name w:val="Header Sensitivity"/>
    <w:basedOn w:val="Normal"/>
    <w:link w:val="HeaderSensitivityChar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character" w:customStyle="1" w:styleId="HeaderSensitivityChar">
    <w:name w:val="Header Sensitivity Char"/>
    <w:basedOn w:val="DefaultParagraphFont"/>
    <w:link w:val="HeaderSensitivity"/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HeaderSensitivityRight">
    <w:name w:val="Header Sensitivity Right"/>
    <w:basedOn w:val="Normal"/>
    <w:link w:val="HeaderSensitivityRightChar"/>
    <w:pPr>
      <w:spacing w:before="0"/>
      <w:jc w:val="right"/>
    </w:pPr>
    <w:rPr>
      <w:sz w:val="28"/>
    </w:rPr>
  </w:style>
  <w:style w:type="character" w:customStyle="1" w:styleId="HeaderSensitivityRightChar">
    <w:name w:val="Header Sensitivity Right Char"/>
    <w:basedOn w:val="DefaultParagraphFont"/>
    <w:link w:val="HeaderSensitivityRight"/>
    <w:rPr>
      <w:rFonts w:ascii="Times New Roman" w:eastAsia="Times New Roman" w:hAnsi="Times New Roman" w:cs="Times New Roman"/>
      <w:sz w:val="28"/>
      <w:szCs w:val="24"/>
    </w:rPr>
  </w:style>
  <w:style w:type="character" w:customStyle="1" w:styleId="Heading1Char">
    <w:name w:val="Heading 1 Char"/>
    <w:basedOn w:val="DefaultParagraphFont"/>
    <w:link w:val="Heading1"/>
    <w:rPr>
      <w:rFonts w:ascii="Times New Roman" w:eastAsia="Times New Roman" w:hAnsi="Times New Roman" w:cs="Times New Roman"/>
      <w:b/>
      <w:bCs/>
      <w:smallCaps/>
      <w:sz w:val="24"/>
      <w:szCs w:val="32"/>
    </w:rPr>
  </w:style>
  <w:style w:type="character" w:customStyle="1" w:styleId="Heading2Char">
    <w:name w:val="Heading 2 Char"/>
    <w:basedOn w:val="DefaultParagraphFont"/>
    <w:link w:val="Heading2"/>
    <w:rPr>
      <w:rFonts w:ascii="Times New Roman" w:eastAsia="Calibri" w:hAnsi="Times New Roman" w:cs="Times New Roman"/>
      <w:b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Pr>
      <w:rFonts w:ascii="Times New Roman" w:eastAsia="Times New Roman" w:hAnsi="Times New Roman" w:cs="Times New Roman"/>
      <w:bCs/>
      <w:i/>
      <w:sz w:val="24"/>
      <w:szCs w:val="26"/>
    </w:rPr>
  </w:style>
  <w:style w:type="paragraph" w:styleId="NoSpacing">
    <w:name w:val="No Spacing"/>
    <w:uiPriority w:val="1"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microsoft.com/office/2007/relationships/stylesWithEffects" Target="stylesWithEffects.xml"/><Relationship Id="rId21" Type="http://schemas.openxmlformats.org/officeDocument/2006/relationships/header" Target="head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150</Words>
  <Characters>900</Characters>
  <Application>Microsoft Office Word</Application>
  <DocSecurity>0</DocSecurity>
  <Lines>14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document 
for the 
COCOLAF Reporting and Analysis meeting</vt:lpstr>
    </vt:vector>
  </TitlesOfParts>
  <Company>European Commission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document 
for the 
COCOLAF Reporting and Analysis meeting</dc:title>
  <dc:subject>Annexes to the Draft 31st Annual Report on the protection of the EU’s financial interests and the fight against fraud - 2019</dc:subject>
  <dc:creator>BORDONI Andrea (OLAF)</dc:creator>
  <cp:keywords/>
  <dc:description/>
  <cp:lastModifiedBy>WES PDFC Administrator</cp:lastModifiedBy>
  <cp:revision>18</cp:revision>
  <dcterms:created xsi:type="dcterms:W3CDTF">2020-06-18T16:31:00Z</dcterms:created>
  <dcterms:modified xsi:type="dcterms:W3CDTF">2020-09-10T13:35:00Z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evel of sensitivity">
    <vt:lpwstr>Standard treatment</vt:lpwstr>
  </property>
  <property fmtid="{D5CDD505-2E9C-101B-9397-08002B2CF9AE}" pid="3" name="First annex">
    <vt:lpwstr>1</vt:lpwstr>
  </property>
  <property fmtid="{D5CDD505-2E9C-101B-9397-08002B2CF9AE}" pid="4" name="Last annex">
    <vt:lpwstr>2</vt:lpwstr>
  </property>
  <property fmtid="{D5CDD505-2E9C-101B-9397-08002B2CF9AE}" pid="5" name="Unique annex">
    <vt:lpwstr>0</vt:lpwstr>
  </property>
  <property fmtid="{D5CDD505-2E9C-101B-9397-08002B2CF9AE}" pid="6" name="Part">
    <vt:lpwstr>&lt;UNUSED&gt;</vt:lpwstr>
  </property>
  <property fmtid="{D5CDD505-2E9C-101B-9397-08002B2CF9AE}" pid="7" name="Total parts">
    <vt:lpwstr>&lt;UNUSED&gt;</vt:lpwstr>
  </property>
  <property fmtid="{D5CDD505-2E9C-101B-9397-08002B2CF9AE}" pid="8" name="DocStatus">
    <vt:lpwstr>Green</vt:lpwstr>
  </property>
  <property fmtid="{D5CDD505-2E9C-101B-9397-08002B2CF9AE}" pid="9" name="CPTemplateID">
    <vt:lpwstr>CP-039</vt:lpwstr>
  </property>
  <property fmtid="{D5CDD505-2E9C-101B-9397-08002B2CF9AE}" pid="10" name="Last edited using">
    <vt:lpwstr>LW 7.0, Build 20190717</vt:lpwstr>
  </property>
  <property fmtid="{D5CDD505-2E9C-101B-9397-08002B2CF9AE}" pid="11" name="Created using">
    <vt:lpwstr>LW 7.0, Build 20190717</vt:lpwstr>
  </property>
</Properties>
</file>