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98" w:rsidRDefault="00493C98" w:rsidP="006A7D1F">
      <w:pPr>
        <w:pStyle w:val="Langue"/>
        <w:framePr w:wrap="around"/>
      </w:pPr>
      <w:bookmarkStart w:id="0" w:name="LW_BM_COVERPAGE"/>
      <w:r>
        <w:t>FR</w:t>
      </w:r>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493C98" w:rsidRPr="00776C1A" w:rsidTr="00CE6925">
        <w:trPr>
          <w:trHeight w:hRule="exact" w:val="2381"/>
        </w:trPr>
        <w:tc>
          <w:tcPr>
            <w:tcW w:w="2659" w:type="dxa"/>
            <w:vAlign w:val="bottom"/>
          </w:tcPr>
          <w:p w:rsidR="00493C98" w:rsidRPr="00776C1A" w:rsidRDefault="00493C98" w:rsidP="00560055">
            <w:pPr>
              <w:pStyle w:val="Nomdelinstitution"/>
              <w:spacing w:after="1080"/>
            </w:pPr>
            <w:bookmarkStart w:id="1" w:name="NOM_INST_LOGO"/>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pt;height:61.5pt">
                  <v:imagedata r:id="rId11" o:title=""/>
                </v:shape>
              </w:pict>
            </w:r>
            <w:bookmarkEnd w:id="1"/>
          </w:p>
        </w:tc>
        <w:tc>
          <w:tcPr>
            <w:tcW w:w="2625" w:type="dxa"/>
            <w:vAlign w:val="bottom"/>
          </w:tcPr>
          <w:p w:rsidR="00493C98" w:rsidRPr="009637B1" w:rsidRDefault="00493C98" w:rsidP="009637B1">
            <w:pPr>
              <w:pStyle w:val="Nomdelinstitution"/>
              <w:spacing w:after="1040"/>
              <w:rPr>
                <w:sz w:val="23"/>
                <w:szCs w:val="23"/>
              </w:rPr>
            </w:pPr>
            <w:bookmarkStart w:id="2" w:name="NOM_INST"/>
            <w:bookmarkEnd w:id="2"/>
            <w:r>
              <w:rPr>
                <w:sz w:val="23"/>
              </w:rPr>
              <w:t>COMMISSION</w:t>
            </w:r>
            <w:r>
              <w:br/>
            </w:r>
            <w:r>
              <w:rPr>
                <w:sz w:val="23"/>
              </w:rPr>
              <w:t>EUROPÉENNE</w:t>
            </w:r>
          </w:p>
        </w:tc>
        <w:tc>
          <w:tcPr>
            <w:tcW w:w="3686" w:type="dxa"/>
            <w:vAlign w:val="bottom"/>
          </w:tcPr>
          <w:p w:rsidR="00493C98" w:rsidRPr="009637B1" w:rsidRDefault="00493C98" w:rsidP="00560055">
            <w:pPr>
              <w:pStyle w:val="Nomdelinstitution"/>
              <w:spacing w:after="1040"/>
              <w:jc w:val="right"/>
              <w:rPr>
                <w:sz w:val="23"/>
                <w:szCs w:val="23"/>
              </w:rPr>
            </w:pPr>
            <w:bookmarkStart w:id="3" w:name="NOM_INST_JOINT"/>
            <w:bookmarkEnd w:id="3"/>
          </w:p>
        </w:tc>
      </w:tr>
    </w:tbl>
    <w:p w:rsidR="00493C98" w:rsidRDefault="00493C98" w:rsidP="00AD0DD9">
      <w:pPr>
        <w:pStyle w:val="Emission"/>
      </w:pPr>
      <w:bookmarkStart w:id="4" w:name="EMISSION"/>
      <w:bookmarkEnd w:id="4"/>
      <w:r>
        <w:t xml:space="preserve">Bruxelles, le 10.7.2020 </w:t>
      </w:r>
    </w:p>
    <w:p w:rsidR="00493C98" w:rsidRPr="00AD0DD9" w:rsidRDefault="00493C98" w:rsidP="00AD0DD9">
      <w:pPr>
        <w:pStyle w:val="Rfrenceinstitutionnelle"/>
      </w:pPr>
      <w:bookmarkStart w:id="5" w:name="REF_INST"/>
      <w:bookmarkEnd w:id="5"/>
      <w:r>
        <w:t>COM(2020) 306 final</w:t>
      </w:r>
    </w:p>
    <w:p w:rsidR="00493C98" w:rsidRDefault="00493C98" w:rsidP="00AD0DD9">
      <w:pPr>
        <w:pStyle w:val="Confidentialit"/>
      </w:pPr>
      <w:bookmarkStart w:id="6" w:name="MARKING"/>
      <w:bookmarkEnd w:id="6"/>
    </w:p>
    <w:p w:rsidR="00493C98" w:rsidRPr="00AD0DD9" w:rsidRDefault="00493C98" w:rsidP="00AD0DD9">
      <w:pPr>
        <w:pStyle w:val="TypedudocumentPagedecouverture"/>
      </w:pPr>
      <w:bookmarkStart w:id="7" w:name="TYPE_DU_DOCUMENT"/>
      <w:bookmarkEnd w:id="7"/>
      <w:r>
        <w:t>COMMUNICATION DE LA COMMISSION AU PARLEMENT EUROPÉEN, AU CONSEIL, À LA BANQUE CENTRALE EUROPÉENNE, AU COMITÉ ÉCONOMIQUE ET SOCIAL EUROPÉEN ET AU COMITÉ DES RÉGIONS</w:t>
      </w:r>
    </w:p>
    <w:p w:rsidR="00493C98" w:rsidRPr="00AD0DD9" w:rsidRDefault="00493C98" w:rsidP="00AD0DD9">
      <w:pPr>
        <w:pStyle w:val="TitreobjetPagedecouverture"/>
      </w:pPr>
      <w:bookmarkStart w:id="8" w:name="TITRE_OBJET"/>
      <w:bookmarkEnd w:id="8"/>
      <w:r>
        <w:t>Tableau de bord 2020 de la justice dans l’UE</w:t>
      </w:r>
    </w:p>
    <w:bookmarkEnd w:id="0"/>
    <w:p w:rsidR="00493C98" w:rsidRDefault="00493C98" w:rsidP="00493C98">
      <w:pPr>
        <w:rPr>
          <w:highlight w:val="yellow"/>
        </w:rPr>
        <w:sectPr w:rsidR="00493C98" w:rsidSect="00493C9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2"/>
          <w:cols w:space="708"/>
          <w:docGrid w:linePitch="360"/>
        </w:sectPr>
      </w:pPr>
    </w:p>
    <w:p w:rsidR="00D23207" w:rsidRDefault="00D23207">
      <w:pPr>
        <w:spacing w:after="120" w:line="240" w:lineRule="auto"/>
        <w:jc w:val="right"/>
        <w:rPr>
          <w:rFonts w:ascii="Times New Roman" w:eastAsia="Calibri" w:hAnsi="Times New Roman" w:cs="Times New Roman"/>
          <w:sz w:val="24"/>
          <w:highlight w:val="yellow"/>
        </w:rPr>
      </w:pPr>
      <w:bookmarkStart w:id="9" w:name="_GoBack"/>
      <w:bookmarkEnd w:id="9"/>
    </w:p>
    <w:p w:rsidR="00D23207" w:rsidRDefault="00D23207">
      <w:pPr>
        <w:spacing w:after="120" w:line="240" w:lineRule="auto"/>
        <w:jc w:val="right"/>
        <w:rPr>
          <w:rFonts w:ascii="Times New Roman" w:eastAsia="Calibri" w:hAnsi="Times New Roman" w:cs="Times New Roman"/>
          <w:sz w:val="24"/>
          <w:highlight w:val="yellow"/>
        </w:rPr>
      </w:pPr>
    </w:p>
    <w:p w:rsidR="00D23207" w:rsidRDefault="00493C98">
      <w:pPr>
        <w:keepNext/>
        <w:tabs>
          <w:tab w:val="left" w:pos="850"/>
        </w:tabs>
        <w:spacing w:before="120" w:after="120" w:line="240" w:lineRule="auto"/>
        <w:ind w:left="850" w:hanging="850"/>
        <w:jc w:val="both"/>
        <w:outlineLvl w:val="0"/>
        <w:rPr>
          <w:rFonts w:ascii="Times New Roman" w:eastAsia="Times New Roman" w:hAnsi="Times New Roman" w:cs="Times New Roman"/>
          <w:b/>
          <w:smallCaps/>
          <w:sz w:val="24"/>
          <w:szCs w:val="24"/>
        </w:rPr>
      </w:pPr>
      <w:r>
        <w:rPr>
          <w:rFonts w:ascii="Times New Roman" w:hAnsi="Times New Roman"/>
          <w:b/>
          <w:smallCaps/>
          <w:sz w:val="24"/>
          <w:szCs w:val="24"/>
        </w:rPr>
        <w:tab/>
        <w:t>1.</w:t>
      </w:r>
      <w:r>
        <w:rPr>
          <w:rFonts w:ascii="Times New Roman" w:hAnsi="Times New Roman"/>
          <w:b/>
          <w:smallCaps/>
          <w:sz w:val="24"/>
          <w:szCs w:val="24"/>
        </w:rPr>
        <w:tab/>
        <w:t>Introduction</w:t>
      </w:r>
    </w:p>
    <w:p w:rsidR="00D23207" w:rsidRDefault="00493C98">
      <w:pPr>
        <w:spacing w:after="120" w:line="240" w:lineRule="auto"/>
        <w:jc w:val="both"/>
        <w:rPr>
          <w:rFonts w:ascii="Times New Roman" w:eastAsia="Calibri" w:hAnsi="Times New Roman" w:cs="Times New Roman"/>
          <w:sz w:val="24"/>
          <w:szCs w:val="24"/>
        </w:rPr>
      </w:pPr>
      <w:r>
        <w:rPr>
          <w:rFonts w:ascii="Times New Roman" w:hAnsi="Times New Roman"/>
          <w:sz w:val="24"/>
          <w:szCs w:val="24"/>
        </w:rPr>
        <w:t xml:space="preserve">Des systèmes de justice efficaces sont essentiels à la mise en œuvre du droit de l’Union européenne (UE) et à la défense de </w:t>
      </w:r>
      <w:r>
        <w:rPr>
          <w:rFonts w:ascii="Times New Roman" w:hAnsi="Times New Roman"/>
          <w:sz w:val="24"/>
          <w:szCs w:val="24"/>
        </w:rPr>
        <w:t>l’état de droit et des valeurs sur lesquelles elle repose. Les juridictions nationales agissent en qualité de juridictions de l’UE lorsqu’il s’agit d’appliquer le droit de l’Union. Ce sont elles, en premier lieu, qui garantissent que les droits et obligati</w:t>
      </w:r>
      <w:r>
        <w:rPr>
          <w:rFonts w:ascii="Times New Roman" w:hAnsi="Times New Roman"/>
          <w:sz w:val="24"/>
          <w:szCs w:val="24"/>
        </w:rPr>
        <w:t>ons que celui-ci prévoit sont appliqués de manière effective [article 19 du traité sur l’Union européenne (TUE)].</w:t>
      </w:r>
    </w:p>
    <w:p w:rsidR="00D23207" w:rsidRDefault="00493C98">
      <w:pPr>
        <w:spacing w:after="120" w:line="240" w:lineRule="auto"/>
        <w:jc w:val="both"/>
        <w:rPr>
          <w:rFonts w:ascii="Times New Roman" w:eastAsia="Calibri" w:hAnsi="Times New Roman" w:cs="Times New Roman"/>
          <w:sz w:val="24"/>
          <w:szCs w:val="24"/>
        </w:rPr>
      </w:pPr>
      <w:r>
        <w:rPr>
          <w:rFonts w:ascii="Times New Roman" w:hAnsi="Times New Roman"/>
          <w:sz w:val="24"/>
          <w:szCs w:val="24"/>
        </w:rPr>
        <w:t>Des systèmes de justice efficaces sont également essentiels à la confiance mutuelle, au climat d’investissement et à la durabilité de la crois</w:t>
      </w:r>
      <w:r>
        <w:rPr>
          <w:rFonts w:ascii="Times New Roman" w:hAnsi="Times New Roman"/>
          <w:sz w:val="24"/>
          <w:szCs w:val="24"/>
        </w:rPr>
        <w:t>sance à long terme. C’est pourquoi l’amélioration de l’efficience, de la qualité et de l’indépendance des systèmes judiciaires nationaux continue de faire partie des priorités du Semestre européen, le cycle annuel de coordination des politiques économiques</w:t>
      </w:r>
      <w:r>
        <w:rPr>
          <w:rFonts w:ascii="Times New Roman" w:hAnsi="Times New Roman"/>
          <w:sz w:val="24"/>
          <w:szCs w:val="24"/>
        </w:rPr>
        <w:t xml:space="preserve"> de l’UE. La stratégie annuelle 2020 pour une croissance durable, qui définit la stratégie de l’UE en matière de politique économique et de l’emploi et place la durabilité et l’inclusion sociale au cœur de l’élaboration des politiques économiques de l’UE, </w:t>
      </w:r>
      <w:r>
        <w:rPr>
          <w:rFonts w:ascii="Times New Roman" w:hAnsi="Times New Roman"/>
          <w:sz w:val="24"/>
          <w:szCs w:val="24"/>
        </w:rPr>
        <w:t>réaffirme le lien entre des systèmes de justice efficaces et l’environnement des entreprises dans les États membres. Des systèmes de justice qui fonctionnent correctement et qui sont totalement indépendants peuvent avoir une incidence positive sur les inve</w:t>
      </w:r>
      <w:r>
        <w:rPr>
          <w:rFonts w:ascii="Times New Roman" w:hAnsi="Times New Roman"/>
          <w:sz w:val="24"/>
          <w:szCs w:val="24"/>
        </w:rPr>
        <w:t>stissements et peuvent dès lors contribuer à la productivité et à la compétitivité. Ils sont également importants afin de garantir l’exécution transfrontière efficace des contrats et des décisions administratives et de la résolution des litiges, qui sont e</w:t>
      </w:r>
      <w:r>
        <w:rPr>
          <w:rFonts w:ascii="Times New Roman" w:hAnsi="Times New Roman"/>
          <w:sz w:val="24"/>
          <w:szCs w:val="24"/>
        </w:rPr>
        <w:t>ssentiels au fonctionnement du marché intérieur (</w:t>
      </w:r>
      <w:r>
        <w:rPr>
          <w:rStyle w:val="FootnoteReference"/>
          <w:rFonts w:ascii="Times New Roman" w:eastAsia="Calibri" w:hAnsi="Times New Roman" w:cs="Times New Roman"/>
          <w:sz w:val="24"/>
          <w:szCs w:val="24"/>
        </w:rPr>
        <w:footnoteReference w:id="2"/>
      </w:r>
      <w:r>
        <w:rPr>
          <w:rFonts w:ascii="Times New Roman" w:hAnsi="Times New Roman"/>
          <w:sz w:val="24"/>
          <w:szCs w:val="24"/>
        </w:rPr>
        <w:t>).</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szCs w:val="24"/>
        </w:rPr>
        <w:t xml:space="preserve">Dans ce contexte, le tableau de bord de la justice dans l’UE présente une vue d’ensemble des indicateurs axés sur les paramètres essentiels de systèmes de justice efficaces: l’efficience, la qualité et l’indépendance. </w:t>
      </w:r>
      <w:r>
        <w:rPr>
          <w:rFonts w:ascii="Times New Roman" w:hAnsi="Times New Roman"/>
          <w:sz w:val="24"/>
        </w:rPr>
        <w:t xml:space="preserve">L’édition de 2020 développe davantage </w:t>
      </w:r>
      <w:r>
        <w:rPr>
          <w:rFonts w:ascii="Times New Roman" w:hAnsi="Times New Roman"/>
          <w:sz w:val="24"/>
        </w:rPr>
        <w:t>les indicateurs sur ces trois éléments. Elle ne reflète pas les conséquences de la crise de la COVID-19, dans la mesure où les données couvrent les années 2012 à 2019, mais pas l’année 2020.</w:t>
      </w:r>
    </w:p>
    <w:p w:rsidR="00D23207" w:rsidRDefault="00493C98">
      <w:pPr>
        <w:spacing w:before="240" w:after="120" w:line="240" w:lineRule="auto"/>
        <w:jc w:val="both"/>
        <w:rPr>
          <w:rFonts w:ascii="Times New Roman" w:eastAsia="Calibri" w:hAnsi="Times New Roman" w:cs="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Le mécanisme européen de protection de l’état de droit </w:t>
      </w:r>
      <w:r>
        <w:rPr>
          <w:rFonts w:ascii="Times New Roman" w:hAnsi="Times New Roman"/>
          <w:i/>
        </w:rPr>
        <w:t>–</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szCs w:val="24"/>
        </w:rPr>
        <w:t xml:space="preserve">Comme annoncé dans les orientations politiques de la Présidente von der Leyen, la Commission a mis en place un mécanisme européen complet de protection de l’état de droit afin d’approfondir son suivi de la situation dans les États membres. Le mécanisme de </w:t>
      </w:r>
      <w:r>
        <w:rPr>
          <w:rFonts w:ascii="Times New Roman" w:hAnsi="Times New Roman"/>
          <w:sz w:val="24"/>
          <w:szCs w:val="24"/>
        </w:rPr>
        <w:t>protection de l’état de droit fera office d’outil de prévention et permettra d’approfondir le dialogue et la sensibilisation conjointe aux questions relatives à l’état de droit. Ses caractéristiques principales sont détaillées dans la communication de la C</w:t>
      </w:r>
      <w:r>
        <w:rPr>
          <w:rFonts w:ascii="Times New Roman" w:hAnsi="Times New Roman"/>
          <w:sz w:val="24"/>
          <w:szCs w:val="24"/>
        </w:rPr>
        <w:t>ommission de 2019 «Renforcement de l’état de droit au sein de l’Union – Plan d’action». Le nouveau mécanisme se fondera sur un rapport annuel sur l’état de droit, qui fournira une synthèse des évolutions significatives – tant positives que négatives – inte</w:t>
      </w:r>
      <w:r>
        <w:rPr>
          <w:rFonts w:ascii="Times New Roman" w:hAnsi="Times New Roman"/>
          <w:sz w:val="24"/>
          <w:szCs w:val="24"/>
        </w:rPr>
        <w:t xml:space="preserve">rvenues dans tous les États membres. Le rapport s’appuiera sur différentes sources, dont le tableau de bord de la justice dans l’UE. </w:t>
      </w:r>
    </w:p>
    <w:p w:rsidR="00D23207" w:rsidRDefault="00493C98">
      <w:pPr>
        <w:spacing w:after="120" w:line="240" w:lineRule="auto"/>
        <w:jc w:val="both"/>
        <w:rPr>
          <w:rFonts w:ascii="Times New Roman" w:eastAsia="Calibri" w:hAnsi="Times New Roman" w:cs="Times New Roman"/>
          <w:sz w:val="24"/>
          <w:highlight w:val="yellow"/>
        </w:rPr>
      </w:pPr>
      <w:r>
        <w:br w:type="page"/>
      </w:r>
    </w:p>
    <w:p w:rsidR="00D23207" w:rsidRDefault="00493C98">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Calibri" w:hAnsi="Times New Roman" w:cs="Times New Roman"/>
          <w:b/>
          <w:i/>
        </w:rPr>
      </w:pPr>
      <w:r>
        <w:rPr>
          <w:rFonts w:ascii="Times New Roman" w:hAnsi="Times New Roman"/>
          <w:b/>
          <w:i/>
        </w:rPr>
        <w:t>Qu’est-ce que le tableau de bord de la justice dans l’UE?</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Le tableau de bord de la justice dans l’UE est un outil annuel</w:t>
      </w:r>
      <w:r>
        <w:rPr>
          <w:rFonts w:ascii="Times New Roman" w:hAnsi="Times New Roman"/>
        </w:rPr>
        <w:t xml:space="preserve"> d’information et de comparaison. Il vise à aider l’UE et ses États membres à améliorer l’efficacité de leurs systèmes de justice nationaux, en leur fournissant des données objectives, fiables et comparables sur un certain nombre d’indicateurs utiles pour </w:t>
      </w:r>
      <w:r>
        <w:rPr>
          <w:rFonts w:ascii="Times New Roman" w:hAnsi="Times New Roman"/>
        </w:rPr>
        <w:t xml:space="preserve">l’évaluation de l’efficience, de la qualité et de l’indépendance des systèmes de justice dans tous les États membres. Il ne présente pas un classement global unique, mais une vue d’ensemble du fonctionnement de tous les systèmes de justice, fondée sur des </w:t>
      </w:r>
      <w:r>
        <w:rPr>
          <w:rFonts w:ascii="Times New Roman" w:hAnsi="Times New Roman"/>
        </w:rPr>
        <w:t>indicateurs qui revêtent un intérêt commun pour tous les États membres.</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 xml:space="preserve">Le tableau de bord ne promeut pas un type de système judiciaire en particulier et traite tous les États membres sur un pied d’égalité. </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 xml:space="preserve">Quel que soit le modèle auquel obéit le système </w:t>
      </w:r>
      <w:r>
        <w:rPr>
          <w:rFonts w:ascii="Times New Roman" w:hAnsi="Times New Roman"/>
        </w:rPr>
        <w:t>judiciaire national ou la tradition juridique dans laquelle il s’inscrit, efficience, qualité et indépendance sont des paramètres essentiels qui font qu’un système judiciaire est efficace. Les graphiques concernant ces trois caractéristiques doivent être l</w:t>
      </w:r>
      <w:r>
        <w:rPr>
          <w:rFonts w:ascii="Times New Roman" w:hAnsi="Times New Roman"/>
        </w:rPr>
        <w:t xml:space="preserve">us ensemble, car ces dernières sont souvent interdépendantes (les initiatives visant à améliorer l’une d’entre elles peuvent avoir une influence sur les deux autres). </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Le tableau de bord se concentre principalement sur les affaires contentieuses en matière</w:t>
      </w:r>
      <w:r>
        <w:rPr>
          <w:rFonts w:ascii="Times New Roman" w:hAnsi="Times New Roman"/>
        </w:rPr>
        <w:t xml:space="preserve"> civile et commerciale, ainsi que sur les affaires administratives, afin d’assister les États membres dans leurs efforts visant à créer un environnement plus adapté aux besoins des citoyens et des entreprises et plus propice aux investissements. Le tableau</w:t>
      </w:r>
      <w:r>
        <w:rPr>
          <w:rFonts w:ascii="Times New Roman" w:hAnsi="Times New Roman"/>
        </w:rPr>
        <w:t xml:space="preserve"> de bord est un instrument comparatif qui résulte d’un dialogue avec les États membres et le Parlement européen (</w:t>
      </w:r>
      <w:r>
        <w:rPr>
          <w:rFonts w:ascii="Times New Roman" w:eastAsia="Calibri" w:hAnsi="Times New Roman" w:cs="Times New Roman"/>
          <w:vertAlign w:val="superscript"/>
        </w:rPr>
        <w:footnoteReference w:id="3"/>
      </w:r>
      <w:r>
        <w:rPr>
          <w:rFonts w:ascii="Times New Roman" w:hAnsi="Times New Roman"/>
        </w:rPr>
        <w:t>), son objectif étant de définir les paramètres essentiels d’un système de justice efficace et de fournir des données annuelles pertinentes.</w:t>
      </w:r>
    </w:p>
    <w:p w:rsidR="00D23207" w:rsidRDefault="00493C98">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Calibri" w:hAnsi="Times New Roman" w:cs="Times New Roman"/>
          <w:b/>
          <w:i/>
        </w:rPr>
      </w:pPr>
      <w:r>
        <w:rPr>
          <w:rFonts w:ascii="Times New Roman" w:hAnsi="Times New Roman"/>
          <w:b/>
          <w:i/>
        </w:rPr>
        <w:t>Q</w:t>
      </w:r>
      <w:r>
        <w:rPr>
          <w:rFonts w:ascii="Times New Roman" w:hAnsi="Times New Roman"/>
          <w:b/>
          <w:i/>
        </w:rPr>
        <w:t>uelle est la méthodologie utilisée pour le tableau de bord de la justice dans l’UE?</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highlight w:val="yellow"/>
        </w:rPr>
      </w:pPr>
      <w:r>
        <w:rPr>
          <w:rFonts w:ascii="Times New Roman" w:hAnsi="Times New Roman"/>
        </w:rPr>
        <w:t>Le tableau de bord s’appuie sur toute une série de sources d’information. Une grande partie des données quantitatives est fournie par la Commission européenne pour l’effica</w:t>
      </w:r>
      <w:r>
        <w:rPr>
          <w:rFonts w:ascii="Times New Roman" w:hAnsi="Times New Roman"/>
        </w:rPr>
        <w:t>cité de la justice (CEPEJ), qui relève du Conseil de l’Europe et avec laquelle la Commission a conclu un contrat pour la réalisation d’une étude annuelle spécifique. Ces données couvrent la période comprise entre 2012 et 2018 et ont été communiquées par le</w:t>
      </w:r>
      <w:r>
        <w:rPr>
          <w:rFonts w:ascii="Times New Roman" w:hAnsi="Times New Roman"/>
        </w:rPr>
        <w:t>s États membres conformément à la méthodologie de la CEPEJ (</w:t>
      </w:r>
      <w:r>
        <w:rPr>
          <w:rStyle w:val="FootnoteReference"/>
          <w:rFonts w:ascii="Times New Roman" w:eastAsia="Calibri" w:hAnsi="Times New Roman" w:cs="Times New Roman"/>
        </w:rPr>
        <w:footnoteReference w:id="4"/>
      </w:r>
      <w:r>
        <w:rPr>
          <w:rFonts w:ascii="Times New Roman" w:hAnsi="Times New Roman"/>
        </w:rPr>
        <w:t>). L’étude présente également des commentaires détaillés et des fiches d’information par pays qui donnent davantage d’éléments de contexte. Il convient de lire ceux-ci en même temps que les graph</w:t>
      </w:r>
      <w:r>
        <w:rPr>
          <w:rFonts w:ascii="Times New Roman" w:hAnsi="Times New Roman"/>
        </w:rPr>
        <w:t>iques (</w:t>
      </w:r>
      <w:r>
        <w:rPr>
          <w:rFonts w:ascii="Times New Roman" w:eastAsia="Calibri" w:hAnsi="Times New Roman" w:cs="Times New Roman"/>
          <w:vertAlign w:val="superscript"/>
        </w:rPr>
        <w:footnoteReference w:id="5"/>
      </w:r>
      <w:r>
        <w:rPr>
          <w:rFonts w:ascii="Times New Roman" w:hAnsi="Times New Roman"/>
        </w:rPr>
        <w:t>).</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 xml:space="preserve">Les données sur la durée des procédures collectées par la CEPEJ montrent la «durée estimée d’écoulement du stock d’affaires pendantes», qui est une valeur calculée (sur la base du rapport entre affaires pendantes et tranchées). Les données </w:t>
      </w:r>
      <w:r>
        <w:rPr>
          <w:rFonts w:ascii="Times New Roman" w:hAnsi="Times New Roman"/>
        </w:rPr>
        <w:t>relatives à l’efficacité des juridictions lorsqu’elles appliquent le droit de l’UE dans des domaines spécifiques montrent la durée moyenne des procédures obtenue à partir de la durée réelle des actions en justice. Il y a lieu de noter que la durée des proc</w:t>
      </w:r>
      <w:r>
        <w:rPr>
          <w:rFonts w:ascii="Times New Roman" w:hAnsi="Times New Roman"/>
        </w:rPr>
        <w:t>édures en justice peut varier sensiblement d’une région à l’autre au sein d’un même État membre, en particulier dans les centres urbains où l’activité commerciale peut donner lieu à un nombre plus élevé de dossiers.</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Les autres sources de données qui couvre</w:t>
      </w:r>
      <w:r>
        <w:rPr>
          <w:rFonts w:ascii="Times New Roman" w:hAnsi="Times New Roman"/>
        </w:rPr>
        <w:t>nt la période comprise entre 2010 et 2019 (</w:t>
      </w:r>
      <w:r>
        <w:rPr>
          <w:rStyle w:val="FootnoteReference"/>
          <w:rFonts w:ascii="Times New Roman" w:eastAsia="Calibri" w:hAnsi="Times New Roman" w:cs="Times New Roman"/>
        </w:rPr>
        <w:footnoteReference w:id="6"/>
      </w:r>
      <w:r>
        <w:rPr>
          <w:rFonts w:ascii="Times New Roman" w:hAnsi="Times New Roman"/>
        </w:rPr>
        <w:t>) sont: le groupe des personnes de contact sur les systèmes de justice nationaux (</w:t>
      </w:r>
      <w:r>
        <w:rPr>
          <w:rFonts w:ascii="Times New Roman" w:eastAsia="Calibri" w:hAnsi="Times New Roman" w:cs="Times New Roman"/>
          <w:vertAlign w:val="superscript"/>
        </w:rPr>
        <w:footnoteReference w:id="7"/>
      </w:r>
      <w:r>
        <w:rPr>
          <w:rFonts w:ascii="Times New Roman" w:hAnsi="Times New Roman"/>
        </w:rPr>
        <w:t>), le Réseau européen des conseils de la justice (RECJ) (</w:t>
      </w:r>
      <w:r>
        <w:rPr>
          <w:rFonts w:ascii="Times New Roman" w:eastAsia="Calibri" w:hAnsi="Times New Roman" w:cs="Times New Roman"/>
          <w:vertAlign w:val="superscript"/>
        </w:rPr>
        <w:footnoteReference w:id="8"/>
      </w:r>
      <w:r>
        <w:rPr>
          <w:rFonts w:ascii="Times New Roman" w:hAnsi="Times New Roman"/>
        </w:rPr>
        <w:t>), le Réseau des présidents des Cours suprêmes judiciaires des États me</w:t>
      </w:r>
      <w:r>
        <w:rPr>
          <w:rFonts w:ascii="Times New Roman" w:hAnsi="Times New Roman"/>
        </w:rPr>
        <w:t>mbres de l’UE (</w:t>
      </w:r>
      <w:r>
        <w:rPr>
          <w:rFonts w:ascii="Times New Roman" w:eastAsia="Calibri" w:hAnsi="Times New Roman" w:cs="Times New Roman"/>
          <w:vertAlign w:val="superscript"/>
        </w:rPr>
        <w:footnoteReference w:id="9"/>
      </w:r>
      <w:r>
        <w:rPr>
          <w:rFonts w:ascii="Times New Roman" w:hAnsi="Times New Roman"/>
        </w:rPr>
        <w:t>), l’Association des Conseils d’État et des juridictions administratives suprêmes de l’UE (ACA-Europe) (</w:t>
      </w:r>
      <w:r>
        <w:rPr>
          <w:rFonts w:ascii="Times New Roman" w:eastAsia="Calibri" w:hAnsi="Times New Roman" w:cs="Times New Roman"/>
          <w:vertAlign w:val="superscript"/>
        </w:rPr>
        <w:footnoteReference w:id="10"/>
      </w:r>
      <w:r>
        <w:rPr>
          <w:rFonts w:ascii="Times New Roman" w:hAnsi="Times New Roman"/>
        </w:rPr>
        <w:t>), le Réseau européen de la concurrence (REC) (</w:t>
      </w:r>
      <w:r>
        <w:rPr>
          <w:rFonts w:ascii="Times New Roman" w:eastAsia="Calibri" w:hAnsi="Times New Roman" w:cs="Times New Roman"/>
          <w:vertAlign w:val="superscript"/>
        </w:rPr>
        <w:footnoteReference w:id="11"/>
      </w:r>
      <w:r>
        <w:rPr>
          <w:rFonts w:ascii="Times New Roman" w:hAnsi="Times New Roman"/>
        </w:rPr>
        <w:t>), le Comité des communications (COCOM) (</w:t>
      </w:r>
      <w:r>
        <w:rPr>
          <w:rFonts w:ascii="Times New Roman" w:eastAsia="Calibri" w:hAnsi="Times New Roman" w:cs="Times New Roman"/>
          <w:vertAlign w:val="superscript"/>
        </w:rPr>
        <w:footnoteReference w:id="12"/>
      </w:r>
      <w:r>
        <w:rPr>
          <w:rFonts w:ascii="Times New Roman" w:hAnsi="Times New Roman"/>
        </w:rPr>
        <w:t xml:space="preserve">), l’Observatoire européen des atteintes aux </w:t>
      </w:r>
      <w:r>
        <w:rPr>
          <w:rFonts w:ascii="Times New Roman" w:hAnsi="Times New Roman"/>
        </w:rPr>
        <w:t>droits de propriété intellectuelle (</w:t>
      </w:r>
      <w:r>
        <w:rPr>
          <w:rFonts w:ascii="Times New Roman" w:eastAsia="Calibri" w:hAnsi="Times New Roman" w:cs="Times New Roman"/>
          <w:vertAlign w:val="superscript"/>
        </w:rPr>
        <w:footnoteReference w:id="13"/>
      </w:r>
      <w:r>
        <w:rPr>
          <w:rFonts w:ascii="Times New Roman" w:hAnsi="Times New Roman"/>
        </w:rPr>
        <w:t>), le Réseau de coopération en matière de protection des consommateurs (CPC) (</w:t>
      </w:r>
      <w:r>
        <w:rPr>
          <w:rFonts w:ascii="Times New Roman" w:eastAsia="Calibri" w:hAnsi="Times New Roman" w:cs="Times New Roman"/>
          <w:sz w:val="24"/>
          <w:szCs w:val="24"/>
          <w:vertAlign w:val="superscript"/>
        </w:rPr>
        <w:footnoteReference w:id="14"/>
      </w:r>
      <w:r>
        <w:rPr>
          <w:rFonts w:ascii="Times New Roman" w:hAnsi="Times New Roman"/>
        </w:rPr>
        <w:t>), le groupe d’experts en matière de blanchiment des capitaux et de financement du terrorisme (</w:t>
      </w:r>
      <w:r>
        <w:rPr>
          <w:rFonts w:ascii="Times New Roman" w:eastAsia="Calibri" w:hAnsi="Times New Roman" w:cs="Times New Roman"/>
          <w:vertAlign w:val="superscript"/>
        </w:rPr>
        <w:footnoteReference w:id="15"/>
      </w:r>
      <w:r>
        <w:rPr>
          <w:rFonts w:ascii="Times New Roman" w:hAnsi="Times New Roman"/>
        </w:rPr>
        <w:t>), Eurostat (</w:t>
      </w:r>
      <w:r>
        <w:rPr>
          <w:rFonts w:ascii="Times New Roman" w:eastAsia="Calibri" w:hAnsi="Times New Roman" w:cs="Times New Roman"/>
          <w:vertAlign w:val="superscript"/>
        </w:rPr>
        <w:footnoteReference w:id="16"/>
      </w:r>
      <w:r>
        <w:rPr>
          <w:rFonts w:ascii="Times New Roman" w:hAnsi="Times New Roman"/>
        </w:rPr>
        <w:t>), le Réseau européen de forma</w:t>
      </w:r>
      <w:r>
        <w:rPr>
          <w:rFonts w:ascii="Times New Roman" w:hAnsi="Times New Roman"/>
        </w:rPr>
        <w:t>tion judiciaire (REFJ) (</w:t>
      </w:r>
      <w:r>
        <w:rPr>
          <w:rFonts w:ascii="Times New Roman" w:eastAsia="Calibri" w:hAnsi="Times New Roman" w:cs="Times New Roman"/>
          <w:vertAlign w:val="superscript"/>
        </w:rPr>
        <w:footnoteReference w:id="17"/>
      </w:r>
      <w:r>
        <w:rPr>
          <w:rFonts w:ascii="Times New Roman" w:hAnsi="Times New Roman"/>
        </w:rPr>
        <w:t>) et le Forum économique mondial (FEM) (</w:t>
      </w:r>
      <w:r>
        <w:rPr>
          <w:rFonts w:ascii="Times New Roman" w:eastAsia="Calibri" w:hAnsi="Times New Roman" w:cs="Times New Roman"/>
          <w:vertAlign w:val="superscript"/>
        </w:rPr>
        <w:footnoteReference w:id="18"/>
      </w:r>
      <w:r>
        <w:rPr>
          <w:rFonts w:ascii="Times New Roman" w:hAnsi="Times New Roman"/>
        </w:rPr>
        <w:t>).</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Au fil des ans, la méthodologie utilisée pour le tableau de bord a été affinée et adaptée en étroite coopération avec le groupe des personnes de contact sur les systèmes de justice nation</w:t>
      </w:r>
      <w:r>
        <w:rPr>
          <w:rFonts w:ascii="Times New Roman" w:hAnsi="Times New Roman"/>
        </w:rPr>
        <w:t>aux, notamment au moyen d’un questionnaire (mis à jour chaque année) et de la collecte de données sur certains aspects du fonctionnement des systèmes judiciaires.</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i/>
        </w:rPr>
      </w:pPr>
      <w:r>
        <w:rPr>
          <w:rFonts w:ascii="Times New Roman" w:hAnsi="Times New Roman"/>
        </w:rPr>
        <w:t>La disponibilité des données, en particulier pour les indicateurs de l’efficience des système</w:t>
      </w:r>
      <w:r>
        <w:rPr>
          <w:rFonts w:ascii="Times New Roman" w:hAnsi="Times New Roman"/>
        </w:rPr>
        <w:t>s judiciaires, continue de s’améliorer, de nombreux États membres ayant investi dans leur capacité à produire de meilleures statistiques judiciaires. Lorsque des problèmes subsistent dans la collecte ou la mise à disposition de données, ceux-ci sont dus, s</w:t>
      </w:r>
      <w:r>
        <w:rPr>
          <w:rFonts w:ascii="Times New Roman" w:hAnsi="Times New Roman"/>
        </w:rPr>
        <w:t>oit à une capacité statistique insuffisante, soit au fait que les catégories nationales pour lesquelles des données sont collectées ne correspondent pas exactement à celles qui sont utilisées pour le tableau de bord. Dans de très rares cas seulement, les l</w:t>
      </w:r>
      <w:r>
        <w:rPr>
          <w:rFonts w:ascii="Times New Roman" w:hAnsi="Times New Roman"/>
        </w:rPr>
        <w:t>acunes dans la collecte de données résultent de l’absence de volonté de contribuer de certaines autorités nationales. La Commission continue d’encourager les États membres à combler les lacunes qui persistent.</w:t>
      </w:r>
    </w:p>
    <w:p w:rsidR="00D23207" w:rsidRDefault="00493C98">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Calibri" w:hAnsi="Times New Roman" w:cs="Times New Roman"/>
          <w:b/>
        </w:rPr>
      </w:pPr>
      <w:r>
        <w:rPr>
          <w:rFonts w:ascii="Times New Roman" w:hAnsi="Times New Roman"/>
          <w:b/>
          <w:i/>
        </w:rPr>
        <w:t xml:space="preserve">Comment le tableau de bord de la justice dans </w:t>
      </w:r>
      <w:r>
        <w:rPr>
          <w:rFonts w:ascii="Times New Roman" w:hAnsi="Times New Roman"/>
          <w:b/>
          <w:i/>
        </w:rPr>
        <w:t>l’UE contribue-t-il au Semestre européen?</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Le tableau de bord fournit des éléments pour évaluer l’efficience, la qualité et l’indépendance des systèmes judiciaires nationaux et aide ainsi les États membres à améliorer l’effectivité de leur système national.</w:t>
      </w:r>
      <w:r>
        <w:rPr>
          <w:rFonts w:ascii="Times New Roman" w:hAnsi="Times New Roman"/>
        </w:rPr>
        <w:t xml:space="preserve"> En comparant les informations relatives aux systèmes de justice, il facilite le recensement des lacunes et des bonnes pratiques ainsi que le suivi de l’évolution des problèmes et des progrès. Des évaluations par pays, reposant sur un dialogue bilatéral av</w:t>
      </w:r>
      <w:r>
        <w:rPr>
          <w:rFonts w:ascii="Times New Roman" w:hAnsi="Times New Roman"/>
        </w:rPr>
        <w:t>ec les autorités nationales concernées et les parties intéressées, sont réalisées dans le cadre du Semestre européen. Ces évaluations, intégrées aux rapports annuels par pays dans le cadre du Semestre européen, allient les informations fournies par le tabl</w:t>
      </w:r>
      <w:r>
        <w:rPr>
          <w:rFonts w:ascii="Times New Roman" w:hAnsi="Times New Roman"/>
        </w:rPr>
        <w:t xml:space="preserve">eau de bord à une analyse qualitative par pays, en tenant compte des caractéristiques des systèmes juridiques et de la situation plus globale des États membres concernés. Lorsque les lacunes détectées ont une importance macroéconomique, l’analyse réalisée </w:t>
      </w:r>
      <w:r>
        <w:rPr>
          <w:rFonts w:ascii="Times New Roman" w:hAnsi="Times New Roman"/>
        </w:rPr>
        <w:t>au titre du Semestre européen peut amener la Commission à proposer au Conseil d’adopter des recommandations par pays portant sur l’amélioration du système judiciaire national dans certains États membres (</w:t>
      </w:r>
      <w:r>
        <w:rPr>
          <w:rStyle w:val="FootnoteReference"/>
          <w:rFonts w:ascii="Times New Roman" w:eastAsia="Calibri" w:hAnsi="Times New Roman" w:cs="Times New Roman"/>
        </w:rPr>
        <w:footnoteReference w:id="19"/>
      </w:r>
      <w:r>
        <w:rPr>
          <w:rFonts w:ascii="Times New Roman" w:hAnsi="Times New Roman"/>
        </w:rPr>
        <w:t>).</w:t>
      </w:r>
    </w:p>
    <w:p w:rsidR="00D23207" w:rsidRDefault="00493C98">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Calibri" w:hAnsi="Times New Roman" w:cs="Times New Roman"/>
          <w:b/>
          <w:i/>
        </w:rPr>
      </w:pPr>
      <w:r>
        <w:rPr>
          <w:rFonts w:ascii="Times New Roman" w:hAnsi="Times New Roman"/>
          <w:b/>
          <w:i/>
        </w:rPr>
        <w:t>Pourquoi des systèmes judiciaires efficaces sont</w:t>
      </w:r>
      <w:r>
        <w:rPr>
          <w:rFonts w:ascii="Times New Roman" w:hAnsi="Times New Roman"/>
          <w:b/>
          <w:i/>
        </w:rPr>
        <w:t>-ils importants pour favoriser un environnement des entreprises propice aux investissements?</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Des systèmes judiciaires efficaces qui préservent l’état de droit sont considérés comme ayant une incidence économique positive. Lorsque les systèmes judiciaires g</w:t>
      </w:r>
      <w:r>
        <w:rPr>
          <w:rFonts w:ascii="Times New Roman" w:hAnsi="Times New Roman"/>
        </w:rPr>
        <w:t>arantissent l’application des droits, les créanciers sont plus enclins à prêter de l’argent, les entreprises sont dissuadées d’adopter des comportements opportunistes, les coûts des transactions sont réduits et les entreprises innovantes sont plus suscepti</w:t>
      </w:r>
      <w:r>
        <w:rPr>
          <w:rFonts w:ascii="Times New Roman" w:hAnsi="Times New Roman"/>
        </w:rPr>
        <w:t>bles d’investir. L’incidence favorable qu’ont sur l’économie des systèmes de justice nationaux pleinement opérationnels est mise en évidence dans la littérature et les études, notamment par le Fonds monétaire international (</w:t>
      </w:r>
      <w:r>
        <w:rPr>
          <w:rFonts w:ascii="Times New Roman" w:eastAsia="Calibri" w:hAnsi="Times New Roman" w:cs="Times New Roman"/>
          <w:vertAlign w:val="superscript"/>
        </w:rPr>
        <w:footnoteReference w:id="20"/>
      </w:r>
      <w:r>
        <w:rPr>
          <w:rFonts w:ascii="Times New Roman" w:hAnsi="Times New Roman"/>
        </w:rPr>
        <w:t>), la Banque centrale européenn</w:t>
      </w:r>
      <w:r>
        <w:rPr>
          <w:rFonts w:ascii="Times New Roman" w:hAnsi="Times New Roman"/>
        </w:rPr>
        <w:t>e (</w:t>
      </w:r>
      <w:r>
        <w:rPr>
          <w:rFonts w:ascii="Times New Roman" w:eastAsia="Calibri" w:hAnsi="Times New Roman" w:cs="Times New Roman"/>
          <w:vertAlign w:val="superscript"/>
        </w:rPr>
        <w:footnoteReference w:id="21"/>
      </w:r>
      <w:r>
        <w:rPr>
          <w:rFonts w:ascii="Times New Roman" w:hAnsi="Times New Roman"/>
        </w:rPr>
        <w:t>), l’OCDE (</w:t>
      </w:r>
      <w:r>
        <w:rPr>
          <w:rFonts w:ascii="Times New Roman" w:eastAsia="Calibri" w:hAnsi="Times New Roman" w:cs="Times New Roman"/>
          <w:vertAlign w:val="superscript"/>
        </w:rPr>
        <w:footnoteReference w:id="22"/>
      </w:r>
      <w:r>
        <w:rPr>
          <w:rFonts w:ascii="Times New Roman" w:hAnsi="Times New Roman"/>
        </w:rPr>
        <w:t>), le Forum économique mondial (</w:t>
      </w:r>
      <w:r>
        <w:rPr>
          <w:rFonts w:ascii="Times New Roman" w:eastAsia="Calibri" w:hAnsi="Times New Roman" w:cs="Times New Roman"/>
          <w:vertAlign w:val="superscript"/>
        </w:rPr>
        <w:footnoteReference w:id="23"/>
      </w:r>
      <w:r>
        <w:rPr>
          <w:rFonts w:ascii="Times New Roman" w:hAnsi="Times New Roman"/>
        </w:rPr>
        <w:t>) et la Banque mondiale (</w:t>
      </w:r>
      <w:r>
        <w:rPr>
          <w:rFonts w:ascii="Times New Roman" w:eastAsia="Calibri" w:hAnsi="Times New Roman" w:cs="Times New Roman"/>
          <w:vertAlign w:val="superscript"/>
        </w:rPr>
        <w:footnoteReference w:id="24"/>
      </w:r>
      <w:r>
        <w:rPr>
          <w:rFonts w:ascii="Times New Roman" w:hAnsi="Times New Roman"/>
        </w:rPr>
        <w:t>).</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Une étude a montré qu’une réduction de la durée des procédures en justice de 1 % [mesurée en durée d’écoulement du stock d’affaires pendantes (</w:t>
      </w:r>
      <w:r>
        <w:rPr>
          <w:rFonts w:ascii="Times New Roman" w:eastAsia="Calibri" w:hAnsi="Times New Roman" w:cs="Times New Roman"/>
          <w:vertAlign w:val="superscript"/>
        </w:rPr>
        <w:footnoteReference w:id="25"/>
      </w:r>
      <w:r>
        <w:rPr>
          <w:rFonts w:ascii="Times New Roman" w:hAnsi="Times New Roman"/>
        </w:rPr>
        <w:t>)] pouvait augmenter le taux de cr</w:t>
      </w:r>
      <w:r>
        <w:rPr>
          <w:rFonts w:ascii="Times New Roman" w:hAnsi="Times New Roman"/>
        </w:rPr>
        <w:t>oissance des entreprises (</w:t>
      </w:r>
      <w:r>
        <w:rPr>
          <w:rFonts w:ascii="Times New Roman" w:eastAsia="Calibri" w:hAnsi="Times New Roman" w:cs="Times New Roman"/>
          <w:vertAlign w:val="superscript"/>
        </w:rPr>
        <w:footnoteReference w:id="26"/>
      </w:r>
      <w:r>
        <w:rPr>
          <w:rFonts w:ascii="Times New Roman" w:hAnsi="Times New Roman"/>
        </w:rPr>
        <w:t>) et qu’une augmentation de 1 % du taux d’entreprises qui perçoivent le système judiciaire comme indépendant tend à être associée à des chiffres d’affaires plus élevés et à une croissance de la productivité (</w:t>
      </w:r>
      <w:r>
        <w:rPr>
          <w:rFonts w:ascii="Times New Roman" w:eastAsia="Calibri" w:hAnsi="Times New Roman" w:cs="Times New Roman"/>
          <w:vertAlign w:val="superscript"/>
        </w:rPr>
        <w:footnoteReference w:id="27"/>
      </w:r>
      <w:r>
        <w:rPr>
          <w:rFonts w:ascii="Times New Roman" w:hAnsi="Times New Roman"/>
        </w:rPr>
        <w:t>). Dans une autre ét</w:t>
      </w:r>
      <w:r>
        <w:rPr>
          <w:rFonts w:ascii="Times New Roman" w:hAnsi="Times New Roman"/>
        </w:rPr>
        <w:t>ude, une corrélation positive a été établie entre la perception de l’indépendance du système judiciaire et les flux d’investissements directs étrangers dans les pays d’Europe centrale et orientale (</w:t>
      </w:r>
      <w:r>
        <w:rPr>
          <w:rFonts w:ascii="Times New Roman" w:eastAsia="Calibri" w:hAnsi="Times New Roman" w:cs="Times New Roman"/>
          <w:vertAlign w:val="superscript"/>
        </w:rPr>
        <w:footnoteReference w:id="28"/>
      </w:r>
      <w:r>
        <w:rPr>
          <w:rFonts w:ascii="Times New Roman" w:hAnsi="Times New Roman"/>
        </w:rPr>
        <w:t>). </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En outre, plusieurs enquêtes ont souligné l’importanc</w:t>
      </w:r>
      <w:r>
        <w:rPr>
          <w:rFonts w:ascii="Times New Roman" w:hAnsi="Times New Roman"/>
        </w:rPr>
        <w:t xml:space="preserve">e de l’efficacité des systèmes judiciaires nationaux pour les entreprises. À titre d’exemple, dans une enquête, 93 % des grandes entreprises ont répondu qu’elles examinaient systématiquement, et en permanence, les conditions relatives à l’état de droit (y </w:t>
      </w:r>
      <w:r>
        <w:rPr>
          <w:rFonts w:ascii="Times New Roman" w:hAnsi="Times New Roman"/>
        </w:rPr>
        <w:t>compris l’indépendance des juridictions) dans les pays où elles investissaient (</w:t>
      </w:r>
      <w:r>
        <w:rPr>
          <w:rFonts w:ascii="Times New Roman" w:eastAsia="Calibri" w:hAnsi="Times New Roman" w:cs="Times New Roman"/>
          <w:vertAlign w:val="superscript"/>
        </w:rPr>
        <w:footnoteReference w:id="29"/>
      </w:r>
      <w:r>
        <w:rPr>
          <w:rFonts w:ascii="Times New Roman" w:hAnsi="Times New Roman"/>
        </w:rPr>
        <w:t>). Dans une autre enquête, plus de la moitié des petites et moyennes entreprises ont répondu que le coût et la durée excessive des procédures judiciaires, respectivement, figu</w:t>
      </w:r>
      <w:r>
        <w:rPr>
          <w:rFonts w:ascii="Times New Roman" w:hAnsi="Times New Roman"/>
        </w:rPr>
        <w:t>raient parmi les principaux freins à l’engagement d’une procédure devant les tribunaux en cas d’atteinte aux droits de propriété intellectuelle (DPI) (</w:t>
      </w:r>
      <w:r>
        <w:rPr>
          <w:rFonts w:ascii="Times New Roman" w:eastAsia="Calibri" w:hAnsi="Times New Roman" w:cs="Times New Roman"/>
          <w:vertAlign w:val="superscript"/>
        </w:rPr>
        <w:footnoteReference w:id="30"/>
      </w:r>
      <w:r>
        <w:rPr>
          <w:rFonts w:ascii="Times New Roman" w:hAnsi="Times New Roman"/>
        </w:rPr>
        <w:t>). La communication de la Commission «Recenser et identifier les obstacles au marché unique» (</w:t>
      </w:r>
      <w:r>
        <w:rPr>
          <w:rStyle w:val="FootnoteReference"/>
          <w:rFonts w:ascii="Times New Roman" w:eastAsia="Calibri" w:hAnsi="Times New Roman" w:cs="Times New Roman"/>
        </w:rPr>
        <w:footnoteReference w:id="31"/>
      </w:r>
      <w:r>
        <w:rPr>
          <w:rFonts w:ascii="Times New Roman" w:hAnsi="Times New Roman"/>
        </w:rPr>
        <w:t>) et le p</w:t>
      </w:r>
      <w:r>
        <w:rPr>
          <w:rFonts w:ascii="Times New Roman" w:hAnsi="Times New Roman"/>
        </w:rPr>
        <w:t>lan d’action visant à faire respecter les règles du marché unique (</w:t>
      </w:r>
      <w:r>
        <w:rPr>
          <w:rStyle w:val="FootnoteReference"/>
          <w:rFonts w:ascii="Times New Roman" w:eastAsia="Calibri" w:hAnsi="Times New Roman" w:cs="Times New Roman"/>
        </w:rPr>
        <w:footnoteReference w:id="32"/>
      </w:r>
      <w:r>
        <w:rPr>
          <w:rFonts w:ascii="Times New Roman" w:hAnsi="Times New Roman"/>
        </w:rPr>
        <w:t xml:space="preserve">) permettent de mieux comprendre l’importance de systèmes judiciaires efficaces pour le fonctionnement du marché intérieur, en particulier pour les entreprises. </w:t>
      </w:r>
    </w:p>
    <w:p w:rsidR="00D23207" w:rsidRDefault="00493C98">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Calibri" w:hAnsi="Times New Roman" w:cs="Times New Roman"/>
          <w:b/>
          <w:i/>
        </w:rPr>
      </w:pPr>
      <w:r>
        <w:rPr>
          <w:rFonts w:ascii="Times New Roman" w:hAnsi="Times New Roman"/>
          <w:b/>
          <w:i/>
        </w:rPr>
        <w:t>De quelle manière la Commi</w:t>
      </w:r>
      <w:r>
        <w:rPr>
          <w:rFonts w:ascii="Times New Roman" w:hAnsi="Times New Roman"/>
          <w:b/>
          <w:i/>
        </w:rPr>
        <w:t>ssion soutient-elle la mise en œuvre de bonnes réformes de la justice par le biais de l’assistance technique?</w:t>
      </w:r>
    </w:p>
    <w:p w:rsidR="00D23207" w:rsidRDefault="00493C98">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Calibri" w:hAnsi="Times New Roman" w:cs="Times New Roman"/>
        </w:rPr>
      </w:pPr>
      <w:r>
        <w:rPr>
          <w:rFonts w:ascii="Times New Roman" w:hAnsi="Times New Roman"/>
        </w:rPr>
        <w:t>Les États membres peuvent recourir à l’assistance technique de la Commission, fournie par l’intermédiaire de la direction générale REFORM au titre</w:t>
      </w:r>
      <w:r>
        <w:rPr>
          <w:rFonts w:ascii="Times New Roman" w:hAnsi="Times New Roman"/>
        </w:rPr>
        <w:t xml:space="preserve"> du programme d’appui aux réformes structurelles (</w:t>
      </w:r>
      <w:r>
        <w:rPr>
          <w:rFonts w:ascii="Times New Roman" w:eastAsia="Calibri" w:hAnsi="Times New Roman" w:cs="Times New Roman"/>
          <w:vertAlign w:val="superscript"/>
        </w:rPr>
        <w:footnoteReference w:id="33"/>
      </w:r>
      <w:r>
        <w:rPr>
          <w:rFonts w:ascii="Times New Roman" w:hAnsi="Times New Roman"/>
        </w:rPr>
        <w:t>), dont le budget total s’élève à 222,8 millions d’EUR pour la période 2017-2020. Depuis 2017, 16 États membres (</w:t>
      </w:r>
      <w:r>
        <w:rPr>
          <w:rFonts w:ascii="Times New Roman" w:eastAsia="Calibri" w:hAnsi="Times New Roman" w:cs="Times New Roman"/>
          <w:vertAlign w:val="superscript"/>
        </w:rPr>
        <w:footnoteReference w:id="34"/>
      </w:r>
      <w:r>
        <w:rPr>
          <w:rFonts w:ascii="Times New Roman" w:hAnsi="Times New Roman"/>
        </w:rPr>
        <w:t>) ont déjà bénéficié de l’assistance technique ou y ont fait appel dans de nombreux domaine</w:t>
      </w:r>
      <w:r>
        <w:rPr>
          <w:rFonts w:ascii="Times New Roman" w:hAnsi="Times New Roman"/>
        </w:rPr>
        <w:t>s. Cette assistance porte par exemple sur l’amélioration de l’efficience des systèmes judiciaires, la réforme de la carte judiciaire, l’organisation des juridictions, la conception ou la mise en œuvre de programmes de justice en ligne et de cyberjustice, l</w:t>
      </w:r>
      <w:r>
        <w:rPr>
          <w:rFonts w:ascii="Times New Roman" w:hAnsi="Times New Roman"/>
        </w:rPr>
        <w:t>es systèmes de gestion des affaires, le processus de sélection et de promotion des juges, la formation des juges et le règlement extrajudiciaire des litiges de consommation. En mai 2020, la Commission a également présenté ses propositions de plan de relanc</w:t>
      </w:r>
      <w:r>
        <w:rPr>
          <w:rFonts w:ascii="Times New Roman" w:hAnsi="Times New Roman"/>
        </w:rPr>
        <w:t>e (</w:t>
      </w:r>
      <w:r>
        <w:rPr>
          <w:rFonts w:ascii="Times New Roman" w:eastAsia="Calibri" w:hAnsi="Times New Roman" w:cs="Times New Roman"/>
          <w:vertAlign w:val="superscript"/>
        </w:rPr>
        <w:footnoteReference w:id="35"/>
      </w:r>
      <w:r>
        <w:rPr>
          <w:rFonts w:ascii="Times New Roman" w:hAnsi="Times New Roman"/>
        </w:rPr>
        <w:t xml:space="preserve">). Dans le cadre du plan de relance, un </w:t>
      </w:r>
      <w:r>
        <w:rPr>
          <w:rFonts w:ascii="Times New Roman" w:hAnsi="Times New Roman"/>
          <w:b/>
          <w:bCs/>
        </w:rPr>
        <w:t>instrument d’appui technique</w:t>
      </w:r>
      <w:r>
        <w:rPr>
          <w:rFonts w:ascii="Times New Roman" w:hAnsi="Times New Roman"/>
        </w:rPr>
        <w:t> (</w:t>
      </w:r>
      <w:r>
        <w:rPr>
          <w:rFonts w:ascii="Times New Roman" w:eastAsia="Calibri" w:hAnsi="Times New Roman" w:cs="Times New Roman"/>
          <w:vertAlign w:val="superscript"/>
        </w:rPr>
        <w:footnoteReference w:id="36"/>
      </w:r>
      <w:r>
        <w:rPr>
          <w:rFonts w:ascii="Times New Roman" w:hAnsi="Times New Roman"/>
        </w:rPr>
        <w:t>) a été proposé comme le prolongement du programme d’appui à la réforme structurelle (PARS). Il s’appuie sur le succès du PARS et permet à la Commission de contribuer au renforcemen</w:t>
      </w:r>
      <w:r>
        <w:rPr>
          <w:rFonts w:ascii="Times New Roman" w:hAnsi="Times New Roman"/>
        </w:rPr>
        <w:t xml:space="preserve">t des capacités institutionnelles et administratives des États membres de l’UE. L’instrument continuera de permettre aux États membres de demander un appui technique dans le domaine du système judiciaire, notamment. </w:t>
      </w:r>
    </w:p>
    <w:p w:rsidR="00D23207" w:rsidRDefault="00493C98">
      <w:pPr>
        <w:spacing w:after="0" w:line="240" w:lineRule="auto"/>
        <w:jc w:val="both"/>
        <w:rPr>
          <w:rFonts w:ascii="Times New Roman" w:eastAsia="Times New Roman" w:hAnsi="Times New Roman" w:cs="Times New Roman"/>
          <w:b/>
          <w:smallCaps/>
          <w:sz w:val="24"/>
          <w:szCs w:val="24"/>
          <w:highlight w:val="yellow"/>
        </w:rPr>
      </w:pPr>
      <w:bookmarkStart w:id="10" w:name="_Toc443484746"/>
      <w:bookmarkStart w:id="11" w:name="_Toc443509487"/>
      <w:bookmarkStart w:id="12" w:name="_Toc446014816"/>
      <w:r>
        <w:br w:type="page"/>
      </w:r>
    </w:p>
    <w:p w:rsidR="00D23207" w:rsidRDefault="00493C98">
      <w:pPr>
        <w:keepNext/>
        <w:tabs>
          <w:tab w:val="left" w:pos="850"/>
        </w:tabs>
        <w:spacing w:before="360" w:after="120" w:line="240" w:lineRule="auto"/>
        <w:ind w:left="850" w:hanging="850"/>
        <w:jc w:val="both"/>
        <w:outlineLvl w:val="0"/>
        <w:rPr>
          <w:rFonts w:ascii="Times New Roman" w:eastAsia="Times New Roman" w:hAnsi="Times New Roman" w:cs="Times New Roman"/>
          <w:b/>
          <w:smallCaps/>
          <w:sz w:val="24"/>
          <w:szCs w:val="24"/>
        </w:rPr>
      </w:pPr>
      <w:r>
        <w:rPr>
          <w:rFonts w:ascii="Times New Roman" w:hAnsi="Times New Roman"/>
          <w:b/>
          <w:smallCaps/>
          <w:sz w:val="24"/>
          <w:szCs w:val="24"/>
        </w:rPr>
        <w:t>2.</w:t>
      </w:r>
      <w:r>
        <w:rPr>
          <w:rFonts w:ascii="Times New Roman" w:hAnsi="Times New Roman"/>
          <w:b/>
          <w:smallCaps/>
          <w:sz w:val="24"/>
          <w:szCs w:val="24"/>
        </w:rPr>
        <w:tab/>
        <w:t xml:space="preserve">Contexte: </w:t>
      </w:r>
      <w:bookmarkEnd w:id="10"/>
      <w:bookmarkEnd w:id="11"/>
      <w:bookmarkEnd w:id="12"/>
      <w:r>
        <w:rPr>
          <w:rFonts w:ascii="Times New Roman" w:hAnsi="Times New Roman"/>
          <w:b/>
          <w:smallCaps/>
          <w:sz w:val="24"/>
          <w:szCs w:val="24"/>
        </w:rPr>
        <w:t xml:space="preserve">évolutions des réformes </w:t>
      </w:r>
      <w:r>
        <w:rPr>
          <w:rFonts w:ascii="Times New Roman" w:hAnsi="Times New Roman"/>
          <w:b/>
          <w:smallCaps/>
          <w:sz w:val="24"/>
          <w:szCs w:val="24"/>
        </w:rPr>
        <w:t>de la justice en 2019</w:t>
      </w:r>
    </w:p>
    <w:p w:rsidR="00D23207" w:rsidRDefault="00493C98">
      <w:pPr>
        <w:spacing w:before="240" w:after="120" w:line="240" w:lineRule="auto"/>
        <w:jc w:val="both"/>
        <w:rPr>
          <w:rFonts w:ascii="Times New Roman" w:eastAsia="Calibri" w:hAnsi="Times New Roman" w:cs="Times New Roman"/>
          <w:sz w:val="24"/>
        </w:rPr>
      </w:pPr>
      <w:r>
        <w:rPr>
          <w:rFonts w:ascii="Times New Roman" w:hAnsi="Times New Roman"/>
          <w:sz w:val="24"/>
        </w:rPr>
        <w:t xml:space="preserve">En 2019, un grand nombre d’États membres ont poursuivi leurs efforts pour renforcer encore l’efficacité de leur système judiciaire. Le graphique 1 donne un aperçu actualisé des mesures adoptées et prévues dans les différents domaines </w:t>
      </w:r>
      <w:r>
        <w:rPr>
          <w:rFonts w:ascii="Times New Roman" w:hAnsi="Times New Roman"/>
          <w:sz w:val="24"/>
        </w:rPr>
        <w:t>fonctionnels des systèmes judiciaires des États membres engagés dans des activités de réforme.</w:t>
      </w:r>
    </w:p>
    <w:p w:rsidR="00D23207" w:rsidRDefault="00493C98">
      <w:pPr>
        <w:keepNext/>
        <w:spacing w:before="240" w:after="120" w:line="240" w:lineRule="auto"/>
        <w:jc w:val="both"/>
        <w:rPr>
          <w:rFonts w:ascii="Times New Roman" w:eastAsia="Calibri" w:hAnsi="Times New Roman" w:cs="Times New Roman"/>
          <w:i/>
          <w:spacing w:val="-6"/>
          <w:sz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w:t>
      </w:r>
      <w:r>
        <w:fldChar w:fldCharType="end"/>
      </w:r>
      <w:r>
        <w:rPr>
          <w:rFonts w:ascii="Times New Roman" w:hAnsi="Times New Roman"/>
          <w:b/>
          <w:bCs/>
          <w:sz w:val="24"/>
          <w:szCs w:val="24"/>
        </w:rPr>
        <w:t xml:space="preserve">: activité législative et réglementaire concernant les systèmes de justice en 2019 </w:t>
      </w:r>
      <w:r>
        <w:rPr>
          <w:rFonts w:ascii="Times New Roman" w:hAnsi="Times New Roman"/>
          <w:i/>
          <w:iCs/>
          <w:sz w:val="24"/>
          <w:szCs w:val="24"/>
        </w:rPr>
        <w:t xml:space="preserve">(mesures adoptées/initiatives en cours de </w:t>
      </w:r>
      <w:r>
        <w:rPr>
          <w:rFonts w:ascii="Times New Roman" w:hAnsi="Times New Roman"/>
          <w:i/>
          <w:iCs/>
          <w:sz w:val="24"/>
          <w:szCs w:val="24"/>
        </w:rPr>
        <w:t>négociation par État membre)</w:t>
      </w:r>
      <w:r>
        <w:rPr>
          <w:rFonts w:ascii="Times New Roman" w:hAnsi="Times New Roman"/>
          <w:b/>
          <w:bCs/>
          <w:sz w:val="24"/>
          <w:szCs w:val="24"/>
        </w:rPr>
        <w:t xml:space="preserve"> </w:t>
      </w:r>
      <w:r>
        <w:rPr>
          <w:rFonts w:ascii="Times New Roman" w:hAnsi="Times New Roman"/>
          <w:i/>
          <w:iCs/>
          <w:sz w:val="24"/>
          <w:szCs w:val="24"/>
        </w:rPr>
        <w:t>[source: Commission européenne (</w:t>
      </w:r>
      <w:r>
        <w:rPr>
          <w:rFonts w:ascii="Times New Roman" w:eastAsia="Calibri" w:hAnsi="Times New Roman" w:cs="Times New Roman"/>
          <w:sz w:val="24"/>
          <w:szCs w:val="24"/>
          <w:vertAlign w:val="superscript"/>
        </w:rPr>
        <w:footnoteReference w:id="37"/>
      </w:r>
      <w:r>
        <w:rPr>
          <w:rFonts w:ascii="Times New Roman" w:hAnsi="Times New Roman"/>
          <w:i/>
          <w:iCs/>
          <w:sz w:val="24"/>
          <w:szCs w:val="24"/>
        </w:rPr>
        <w:t xml:space="preserve">)] </w:t>
      </w:r>
    </w:p>
    <w:p w:rsidR="00D23207" w:rsidRDefault="00493C98">
      <w:pPr>
        <w:keepNext/>
        <w:spacing w:after="0" w:line="240" w:lineRule="auto"/>
        <w:jc w:val="both"/>
        <w:rPr>
          <w:rFonts w:ascii="Times New Roman Bold" w:eastAsia="Calibri" w:hAnsi="Times New Roman Bold" w:cs="Times New Roman"/>
          <w:spacing w:val="-6"/>
          <w:sz w:val="24"/>
          <w:highlight w:val="yellow"/>
        </w:rPr>
      </w:pPr>
      <w:r>
        <w:rPr>
          <w:rFonts w:ascii="Times New Roman Bold" w:hAnsi="Times New Roman Bold"/>
          <w:sz w:val="24"/>
          <w:lang w:val="en-GB" w:eastAsia="en-GB"/>
        </w:rPr>
        <w:drawing>
          <wp:inline distT="0" distB="0" distL="0" distR="0">
            <wp:extent cx="5977255" cy="3371242"/>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7255" cy="3371242"/>
                    </a:xfrm>
                    <a:prstGeom prst="rect">
                      <a:avLst/>
                    </a:prstGeom>
                    <a:noFill/>
                    <a:ln>
                      <a:noFill/>
                    </a:ln>
                  </pic:spPr>
                </pic:pic>
              </a:graphicData>
            </a:graphic>
          </wp:inline>
        </w:drawing>
      </w:r>
    </w:p>
    <w:p w:rsidR="00D23207" w:rsidRDefault="00493C98">
      <w:pPr>
        <w:keepNext/>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En 2019, le droit procédural a continué de faire l’objet d’une grande attention dans un grand nombre d’États membres, de nombreuses activités législatives ayant été entreprises ou </w:t>
      </w:r>
      <w:r>
        <w:rPr>
          <w:rFonts w:ascii="Times New Roman" w:hAnsi="Times New Roman"/>
          <w:sz w:val="24"/>
          <w:szCs w:val="24"/>
        </w:rPr>
        <w:t>planifiées. L’activité a également été soutenue pour ce qui est des réformes concernant le statut des juges, les règles relatives aux praticiens du droit et aux procureurs. Par rapport à la dernière édition du tableau de bord de la justice dans l’UE, l’ado</w:t>
      </w:r>
      <w:r>
        <w:rPr>
          <w:rFonts w:ascii="Times New Roman" w:hAnsi="Times New Roman"/>
          <w:sz w:val="24"/>
          <w:szCs w:val="24"/>
        </w:rPr>
        <w:t>ption de mesures dans des domaines tels que l’administration des cours de justice et des conseils de la magistrature a continué à s’intensifier, les États membres donnant suite aux annonces faites antérieurement. L’activité dans d’autres domaines, tels que</w:t>
      </w:r>
      <w:r>
        <w:rPr>
          <w:rFonts w:ascii="Times New Roman" w:hAnsi="Times New Roman"/>
          <w:sz w:val="24"/>
          <w:szCs w:val="24"/>
        </w:rPr>
        <w:t xml:space="preserve"> le développement des technologies de l’information et de la communication (TIC) dans le système judiciaire ou la refonte des cartes judiciaires, s’est ralentie. Certains États membres utilisent déjà activement, ou du moins prévoient d’utiliser, l’intellig</w:t>
      </w:r>
      <w:r>
        <w:rPr>
          <w:rFonts w:ascii="Times New Roman" w:hAnsi="Times New Roman"/>
          <w:sz w:val="24"/>
          <w:szCs w:val="24"/>
        </w:rPr>
        <w:t>ence artificielle dans leur système judiciaire. Une fois de plus, la vue d’ensemble confirme le constat selon lequel les réformes de la justice prennent du temps – plusieurs années s’écoulent parfois entre l’annonce de nouvelles réformes et l’adoption de m</w:t>
      </w:r>
      <w:r>
        <w:rPr>
          <w:rFonts w:ascii="Times New Roman" w:hAnsi="Times New Roman"/>
          <w:sz w:val="24"/>
          <w:szCs w:val="24"/>
        </w:rPr>
        <w:t>esures législatives et réglementaires et leur mise en œuvre effective sur le terrain.</w:t>
      </w:r>
    </w:p>
    <w:p w:rsidR="00D23207" w:rsidRDefault="00D23207">
      <w:pPr>
        <w:keepNext/>
        <w:tabs>
          <w:tab w:val="left" w:pos="850"/>
        </w:tabs>
        <w:spacing w:after="120" w:line="240" w:lineRule="auto"/>
        <w:jc w:val="both"/>
        <w:rPr>
          <w:rFonts w:ascii="Times New Roman" w:eastAsia="Times New Roman" w:hAnsi="Times New Roman" w:cs="Times New Roman"/>
          <w:b/>
          <w:bCs/>
          <w:smallCaps/>
          <w:sz w:val="24"/>
          <w:szCs w:val="24"/>
        </w:rPr>
      </w:pPr>
      <w:bookmarkStart w:id="13" w:name="_Toc409512288"/>
      <w:bookmarkStart w:id="14" w:name="_Toc409530215"/>
      <w:bookmarkStart w:id="15" w:name="_Toc438545665"/>
      <w:bookmarkStart w:id="16" w:name="_Toc438548315"/>
      <w:bookmarkStart w:id="17" w:name="_Toc438548501"/>
      <w:bookmarkStart w:id="18" w:name="_Toc440017691"/>
      <w:bookmarkStart w:id="19" w:name="_Toc440018075"/>
      <w:bookmarkStart w:id="20" w:name="_Toc440033373"/>
      <w:bookmarkStart w:id="21" w:name="_Toc440035224"/>
      <w:bookmarkStart w:id="22" w:name="_Toc440036519"/>
      <w:bookmarkStart w:id="23" w:name="_Toc440042461"/>
      <w:bookmarkStart w:id="24" w:name="_Toc440291115"/>
      <w:bookmarkStart w:id="25" w:name="_Toc440294678"/>
      <w:bookmarkStart w:id="26" w:name="_Toc440295180"/>
      <w:bookmarkStart w:id="27" w:name="_Toc440296585"/>
      <w:bookmarkStart w:id="28" w:name="_Toc440625069"/>
      <w:bookmarkStart w:id="29" w:name="_Toc440626399"/>
      <w:bookmarkStart w:id="30" w:name="_Toc440628853"/>
      <w:bookmarkStart w:id="31" w:name="_Toc441571125"/>
      <w:bookmarkStart w:id="32" w:name="_Toc441581627"/>
      <w:bookmarkStart w:id="33" w:name="_Toc441585894"/>
      <w:bookmarkStart w:id="34" w:name="_Toc441595829"/>
      <w:bookmarkStart w:id="35" w:name="_Toc441596006"/>
      <w:bookmarkStart w:id="36" w:name="_Toc441748131"/>
      <w:bookmarkStart w:id="37" w:name="_Toc441755416"/>
      <w:bookmarkStart w:id="38" w:name="_Toc441756453"/>
      <w:bookmarkStart w:id="39" w:name="_Toc441757497"/>
      <w:bookmarkStart w:id="40" w:name="_Toc441766626"/>
      <w:bookmarkStart w:id="41" w:name="_Toc441766965"/>
      <w:bookmarkStart w:id="42" w:name="_Toc442187966"/>
      <w:bookmarkStart w:id="43" w:name="_Toc442262058"/>
      <w:bookmarkStart w:id="44" w:name="_Toc442362465"/>
      <w:bookmarkStart w:id="45" w:name="_Toc442374801"/>
      <w:bookmarkStart w:id="46" w:name="_Toc442425941"/>
      <w:bookmarkStart w:id="47" w:name="_Toc442453067"/>
      <w:bookmarkStart w:id="48" w:name="_Toc443484747"/>
      <w:bookmarkStart w:id="49" w:name="_Toc443509488"/>
      <w:bookmarkStart w:id="50" w:name="_Toc446014817"/>
    </w:p>
    <w:p w:rsidR="00D23207" w:rsidRDefault="00493C98">
      <w:pPr>
        <w:keepNext/>
        <w:tabs>
          <w:tab w:val="left" w:pos="850"/>
        </w:tabs>
        <w:spacing w:after="120" w:line="240" w:lineRule="auto"/>
        <w:jc w:val="both"/>
        <w:rPr>
          <w:rFonts w:ascii="Arial" w:eastAsia="Arial" w:hAnsi="Arial" w:cs="Arial"/>
          <w:sz w:val="24"/>
          <w:szCs w:val="24"/>
        </w:rPr>
      </w:pPr>
      <w:r>
        <w:rPr>
          <w:rFonts w:ascii="Times New Roman" w:hAnsi="Times New Roman"/>
          <w:color w:val="000000" w:themeColor="text1"/>
          <w:sz w:val="24"/>
          <w:szCs w:val="24"/>
        </w:rPr>
        <w:t xml:space="preserve"> </w:t>
      </w:r>
    </w:p>
    <w:p w:rsidR="00D23207" w:rsidRDefault="00493C98">
      <w:pPr>
        <w:jc w:val="both"/>
        <w:rPr>
          <w:rFonts w:ascii="Arial" w:eastAsia="Arial" w:hAnsi="Arial" w:cs="Arial"/>
          <w:sz w:val="24"/>
          <w:szCs w:val="24"/>
        </w:rPr>
      </w:pPr>
      <w:r>
        <w:br w:type="page"/>
      </w:r>
    </w:p>
    <w:p w:rsidR="00D23207" w:rsidRDefault="00493C98">
      <w:pPr>
        <w:keepNext/>
        <w:tabs>
          <w:tab w:val="left" w:pos="850"/>
        </w:tabs>
        <w:spacing w:after="120" w:line="240" w:lineRule="auto"/>
        <w:jc w:val="both"/>
        <w:rPr>
          <w:rFonts w:ascii="Times New Roman" w:eastAsia="Times New Roman" w:hAnsi="Times New Roman" w:cs="Times New Roman"/>
          <w:b/>
          <w:smallCaps/>
          <w:sz w:val="24"/>
          <w:szCs w:val="24"/>
        </w:rPr>
      </w:pPr>
      <w:r>
        <w:rPr>
          <w:rFonts w:ascii="Times New Roman" w:hAnsi="Times New Roman"/>
          <w:b/>
          <w:smallCaps/>
          <w:sz w:val="24"/>
          <w:szCs w:val="24"/>
        </w:rPr>
        <w:t>3.</w:t>
      </w:r>
      <w:r>
        <w:rPr>
          <w:rFonts w:ascii="Times New Roman" w:hAnsi="Times New Roman"/>
          <w:b/>
          <w:smallCaps/>
          <w:sz w:val="24"/>
          <w:szCs w:val="24"/>
        </w:rPr>
        <w:tab/>
        <w:t>Principales conclusions du tableau de bord 2020 de la justice dans l’UE</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 xml:space="preserve">L’efficacité, la qualité et l’indépendance sont les principaux paramètres d’un système de </w:t>
      </w:r>
      <w:r>
        <w:rPr>
          <w:rFonts w:ascii="Times New Roman" w:hAnsi="Times New Roman"/>
          <w:sz w:val="24"/>
        </w:rPr>
        <w:t>justice efficace, et le tableau de bord présente des indicateurs pour chacun de ces trois paramètres.</w:t>
      </w:r>
    </w:p>
    <w:p w:rsidR="00D23207" w:rsidRDefault="00493C98">
      <w:pPr>
        <w:keepNext/>
        <w:spacing w:before="240" w:after="120" w:line="240" w:lineRule="auto"/>
        <w:jc w:val="both"/>
        <w:outlineLvl w:val="1"/>
        <w:rPr>
          <w:rFonts w:ascii="Times New Roman" w:eastAsia="Times New Roman" w:hAnsi="Times New Roman" w:cs="Times New Roman"/>
          <w:b/>
          <w:sz w:val="24"/>
          <w:szCs w:val="28"/>
        </w:rPr>
      </w:pPr>
      <w:bookmarkStart w:id="51" w:name="_Toc409512289"/>
      <w:bookmarkStart w:id="52" w:name="_Toc409530217"/>
      <w:bookmarkStart w:id="53" w:name="_Toc438545667"/>
      <w:bookmarkStart w:id="54" w:name="_Toc438548317"/>
      <w:bookmarkStart w:id="55" w:name="_Toc438548503"/>
      <w:bookmarkStart w:id="56" w:name="_Toc440017693"/>
      <w:bookmarkStart w:id="57" w:name="_Toc440018077"/>
      <w:bookmarkStart w:id="58" w:name="_Toc440033375"/>
      <w:bookmarkStart w:id="59" w:name="_Toc440035226"/>
      <w:bookmarkStart w:id="60" w:name="_Toc440036521"/>
      <w:bookmarkStart w:id="61" w:name="_Toc440042463"/>
      <w:bookmarkStart w:id="62" w:name="_Toc440291116"/>
      <w:bookmarkStart w:id="63" w:name="_Toc440294679"/>
      <w:bookmarkStart w:id="64" w:name="_Toc440295181"/>
      <w:bookmarkStart w:id="65" w:name="_Toc440296586"/>
      <w:bookmarkStart w:id="66" w:name="_Toc440625070"/>
      <w:bookmarkStart w:id="67" w:name="_Toc440626400"/>
      <w:bookmarkStart w:id="68" w:name="_Toc440628854"/>
      <w:bookmarkStart w:id="69" w:name="_Toc441571126"/>
      <w:bookmarkStart w:id="70" w:name="_Toc441581628"/>
      <w:bookmarkStart w:id="71" w:name="_Toc441585895"/>
      <w:bookmarkStart w:id="72" w:name="_Toc441595830"/>
      <w:bookmarkStart w:id="73" w:name="_Toc441596007"/>
      <w:bookmarkStart w:id="74" w:name="_Toc441748132"/>
      <w:bookmarkStart w:id="75" w:name="_Toc441755417"/>
      <w:bookmarkStart w:id="76" w:name="_Toc441756454"/>
      <w:bookmarkStart w:id="77" w:name="_Toc441757498"/>
      <w:bookmarkStart w:id="78" w:name="_Toc441766627"/>
      <w:bookmarkStart w:id="79" w:name="_Toc441766966"/>
      <w:bookmarkStart w:id="80" w:name="_Toc442187967"/>
      <w:bookmarkStart w:id="81" w:name="_Toc442262059"/>
      <w:bookmarkStart w:id="82" w:name="_Toc442362466"/>
      <w:bookmarkStart w:id="83" w:name="_Toc442374802"/>
      <w:bookmarkStart w:id="84" w:name="_Toc442425942"/>
      <w:bookmarkStart w:id="85" w:name="_Toc442453068"/>
      <w:bookmarkStart w:id="86" w:name="_Toc443484748"/>
      <w:bookmarkStart w:id="87" w:name="_Toc443509489"/>
      <w:bookmarkStart w:id="88" w:name="_Toc446014818"/>
      <w:r>
        <w:rPr>
          <w:rFonts w:ascii="Times New Roman" w:hAnsi="Times New Roman"/>
          <w:b/>
          <w:sz w:val="24"/>
          <w:szCs w:val="28"/>
        </w:rPr>
        <w:t>3.1. Efficience des systèmes judiciaires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D23207" w:rsidRDefault="00493C98">
      <w:pPr>
        <w:spacing w:after="120" w:line="240" w:lineRule="auto"/>
        <w:jc w:val="both"/>
        <w:rPr>
          <w:rFonts w:ascii="Times New Roman" w:eastAsia="Times New Roman" w:hAnsi="Times New Roman" w:cs="Times New Roman"/>
          <w:sz w:val="24"/>
          <w:szCs w:val="24"/>
        </w:rPr>
      </w:pPr>
      <w:bookmarkStart w:id="89" w:name="_Toc409530218"/>
      <w:bookmarkStart w:id="90" w:name="_Toc438545668"/>
      <w:bookmarkStart w:id="91" w:name="_Toc438548318"/>
      <w:bookmarkStart w:id="92" w:name="_Toc438548504"/>
      <w:bookmarkStart w:id="93" w:name="_Toc440017694"/>
      <w:bookmarkStart w:id="94" w:name="_Toc440018078"/>
      <w:bookmarkStart w:id="95" w:name="_Toc440033376"/>
      <w:bookmarkStart w:id="96" w:name="_Toc440035227"/>
      <w:bookmarkStart w:id="97" w:name="_Toc440036522"/>
      <w:bookmarkStart w:id="98" w:name="_Toc440042464"/>
      <w:r>
        <w:rPr>
          <w:rFonts w:ascii="Times New Roman" w:hAnsi="Times New Roman"/>
          <w:sz w:val="24"/>
          <w:szCs w:val="24"/>
        </w:rPr>
        <w:t xml:space="preserve">Le tableau de bord présente des indicateurs de l’efficience des procédures pour les grands domaines que sont les </w:t>
      </w:r>
      <w:r>
        <w:rPr>
          <w:rFonts w:ascii="Times New Roman" w:hAnsi="Times New Roman"/>
          <w:sz w:val="24"/>
          <w:szCs w:val="24"/>
        </w:rPr>
        <w:t>affaires civiles, les affaires commerciales et les affaires administratives, ainsi que pour certains domaines spécifiques dans lesquels les autorités administratives et les juridictions appliquent le droit de l’UE (</w:t>
      </w:r>
      <w:r>
        <w:rPr>
          <w:rFonts w:ascii="Times New Roman" w:eastAsia="Times New Roman" w:hAnsi="Times New Roman" w:cs="Times New Roman"/>
          <w:sz w:val="24"/>
          <w:szCs w:val="24"/>
          <w:vertAlign w:val="superscript"/>
        </w:rPr>
        <w:footnoteReference w:id="38"/>
      </w:r>
      <w:r>
        <w:rPr>
          <w:rFonts w:ascii="Times New Roman" w:hAnsi="Times New Roman"/>
          <w:sz w:val="24"/>
          <w:szCs w:val="24"/>
        </w:rPr>
        <w:t>).</w:t>
      </w:r>
    </w:p>
    <w:p w:rsidR="00D23207" w:rsidRDefault="00493C98">
      <w:pPr>
        <w:keepNext/>
        <w:spacing w:before="240" w:after="120" w:line="240" w:lineRule="auto"/>
        <w:jc w:val="both"/>
        <w:outlineLvl w:val="2"/>
        <w:rPr>
          <w:rFonts w:ascii="Times New Roman" w:eastAsia="Calibri" w:hAnsi="Times New Roman" w:cs="Times New Roman"/>
          <w:b/>
          <w:sz w:val="24"/>
          <w:szCs w:val="24"/>
        </w:rPr>
      </w:pPr>
      <w:r>
        <w:rPr>
          <w:rFonts w:ascii="Times New Roman" w:hAnsi="Times New Roman"/>
          <w:b/>
          <w:sz w:val="24"/>
          <w:szCs w:val="24"/>
        </w:rPr>
        <w:t>3.1.1. Évolution du nombre de dossier</w:t>
      </w:r>
      <w:r>
        <w:rPr>
          <w:rFonts w:ascii="Times New Roman" w:hAnsi="Times New Roman"/>
          <w:b/>
          <w:sz w:val="24"/>
          <w:szCs w:val="24"/>
        </w:rPr>
        <w:t>s</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 xml:space="preserve">Le nombre de dossiers traités par les systèmes judiciaires nationaux a diminué dans une majorité d’États membres et reste largement inférieur aux niveaux de 2012, même s’il continue de varier considérablement d’un État membre à l’autre (graphique 2), ce </w:t>
      </w:r>
      <w:r>
        <w:rPr>
          <w:rFonts w:ascii="Times New Roman" w:hAnsi="Times New Roman"/>
          <w:sz w:val="24"/>
        </w:rPr>
        <w:t>qui montre l’importance de rester attentif à garantir l’efficacité des systèmes de justice.</w:t>
      </w:r>
    </w:p>
    <w:p w:rsidR="00D23207" w:rsidRDefault="00493C98">
      <w:pPr>
        <w:keepNext/>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2</w:t>
      </w:r>
      <w:r>
        <w:fldChar w:fldCharType="end"/>
      </w:r>
      <w:r>
        <w:rPr>
          <w:rFonts w:ascii="Times New Roman" w:hAnsi="Times New Roman"/>
          <w:b/>
          <w:bCs/>
        </w:rPr>
        <w:t>:</w:t>
      </w:r>
      <w:r>
        <w:rPr>
          <w:rFonts w:ascii="Times New Roman" w:hAnsi="Times New Roman"/>
          <w:b/>
          <w:bCs/>
          <w:sz w:val="24"/>
          <w:szCs w:val="24"/>
        </w:rPr>
        <w:t xml:space="preserve"> nombre de nouvelles affaires </w:t>
      </w:r>
      <w:r>
        <w:rPr>
          <w:rFonts w:ascii="Times New Roman" w:hAnsi="Times New Roman"/>
          <w:b/>
          <w:bCs/>
          <w:sz w:val="24"/>
          <w:szCs w:val="24"/>
          <w:u w:val="single"/>
        </w:rPr>
        <w:t>civiles, commerciales, administratives et autres, 2012-2018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xml:space="preserve"> instance, pour </w:t>
      </w:r>
      <w:r>
        <w:rPr>
          <w:rFonts w:ascii="Times New Roman" w:hAnsi="Times New Roman"/>
          <w:i/>
          <w:iCs/>
          <w:sz w:val="24"/>
          <w:szCs w:val="24"/>
        </w:rPr>
        <w:t>100 habitants) [source: étude de la CEPEJ (</w:t>
      </w:r>
      <w:r>
        <w:rPr>
          <w:rFonts w:ascii="Times New Roman" w:eastAsia="Calibri" w:hAnsi="Times New Roman" w:cs="Times New Roman"/>
          <w:vertAlign w:val="superscript"/>
        </w:rPr>
        <w:footnoteReference w:id="39"/>
      </w:r>
      <w:r>
        <w:rPr>
          <w:rFonts w:ascii="Times New Roman" w:hAnsi="Times New Roman"/>
          <w:i/>
          <w:iCs/>
          <w:sz w:val="24"/>
          <w:szCs w:val="24"/>
        </w:rPr>
        <w:t>)]</w:t>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5976000" cy="2608571"/>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6000" cy="2608571"/>
                    </a:xfrm>
                    <a:prstGeom prst="rect">
                      <a:avLst/>
                    </a:prstGeom>
                    <a:noFill/>
                  </pic:spPr>
                </pic:pic>
              </a:graphicData>
            </a:graphic>
          </wp:inline>
        </w:drawing>
      </w:r>
    </w:p>
    <w:p w:rsidR="00D23207" w:rsidRDefault="00493C98">
      <w:pPr>
        <w:spacing w:after="0" w:line="240" w:lineRule="auto"/>
        <w:jc w:val="both"/>
        <w:rPr>
          <w:rFonts w:ascii="Times New Roman" w:eastAsia="Calibri" w:hAnsi="Times New Roman" w:cs="Times New Roman"/>
          <w:i/>
          <w:sz w:val="20"/>
          <w:highlight w:val="yellow"/>
        </w:rPr>
      </w:pPr>
      <w:r>
        <w:rPr>
          <w:rFonts w:ascii="Times New Roman" w:hAnsi="Times New Roman"/>
          <w:i/>
          <w:sz w:val="20"/>
        </w:rPr>
        <w:t>(*) Selon la méthodologie de la CEPEJ, cette catégorie comprend toutes les affaires civiles et commerciales contentieuses et non contentieuses, les affaires non contentieuses ayant trait au registre foncier ou au registre des entreprises, les autres affair</w:t>
      </w:r>
      <w:r>
        <w:rPr>
          <w:rFonts w:ascii="Times New Roman" w:hAnsi="Times New Roman"/>
          <w:i/>
          <w:sz w:val="20"/>
        </w:rPr>
        <w:t xml:space="preserve">es en matière de registre, les autres affaires non contentieuses, les affaires de droit administratif et les autres affaires non pénales. Changements méthodologiques en </w:t>
      </w:r>
      <w:r>
        <w:rPr>
          <w:rFonts w:ascii="Times New Roman" w:hAnsi="Times New Roman"/>
          <w:b/>
          <w:bCs/>
          <w:i/>
          <w:sz w:val="20"/>
        </w:rPr>
        <w:t>LV</w:t>
      </w:r>
      <w:r>
        <w:rPr>
          <w:rFonts w:ascii="Times New Roman" w:hAnsi="Times New Roman"/>
          <w:i/>
          <w:sz w:val="20"/>
        </w:rPr>
        <w:t xml:space="preserve"> (appliqués rétroactivement à 2016 et également 2017), </w:t>
      </w:r>
      <w:r>
        <w:rPr>
          <w:rFonts w:ascii="Times New Roman" w:hAnsi="Times New Roman"/>
          <w:b/>
          <w:bCs/>
          <w:i/>
          <w:sz w:val="20"/>
        </w:rPr>
        <w:t>SK</w:t>
      </w:r>
      <w:r>
        <w:rPr>
          <w:rFonts w:ascii="Times New Roman" w:hAnsi="Times New Roman"/>
          <w:i/>
          <w:sz w:val="20"/>
        </w:rPr>
        <w:t xml:space="preserve"> et </w:t>
      </w:r>
      <w:r>
        <w:rPr>
          <w:rFonts w:ascii="Times New Roman" w:hAnsi="Times New Roman"/>
          <w:b/>
          <w:bCs/>
          <w:i/>
          <w:sz w:val="20"/>
        </w:rPr>
        <w:t>SE</w:t>
      </w:r>
      <w:r>
        <w:rPr>
          <w:rFonts w:ascii="Times New Roman" w:hAnsi="Times New Roman"/>
          <w:i/>
          <w:sz w:val="20"/>
        </w:rPr>
        <w:t xml:space="preserve"> (les données pour 201</w:t>
      </w:r>
      <w:r>
        <w:rPr>
          <w:rFonts w:ascii="Times New Roman" w:hAnsi="Times New Roman"/>
          <w:i/>
          <w:sz w:val="20"/>
        </w:rPr>
        <w:t xml:space="preserve">6 et 2017 ont été adaptées afin d’inclure les affaires liées au droit de la migration en tant qu’affaires administratives, conformément à la méthodologie de la CEPEJ). </w:t>
      </w:r>
    </w:p>
    <w:p w:rsidR="00D23207" w:rsidRDefault="00D23207">
      <w:pPr>
        <w:spacing w:after="0" w:line="240" w:lineRule="auto"/>
        <w:jc w:val="both"/>
        <w:rPr>
          <w:rFonts w:ascii="Times New Roman" w:eastAsia="Calibri" w:hAnsi="Times New Roman" w:cs="Times New Roman"/>
          <w:i/>
          <w:sz w:val="20"/>
          <w:lang w:val="fr-BE"/>
        </w:rPr>
      </w:pPr>
    </w:p>
    <w:p w:rsidR="00D23207" w:rsidRDefault="00493C98">
      <w:pPr>
        <w:keepNext/>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3</w:t>
      </w:r>
      <w:r>
        <w:fldChar w:fldCharType="end"/>
      </w:r>
      <w:r>
        <w:rPr>
          <w:rFonts w:ascii="Times New Roman" w:hAnsi="Times New Roman"/>
          <w:b/>
          <w:bCs/>
        </w:rPr>
        <w:t>:</w:t>
      </w:r>
      <w:r>
        <w:rPr>
          <w:rFonts w:ascii="Times New Roman" w:hAnsi="Times New Roman"/>
          <w:b/>
          <w:bCs/>
          <w:sz w:val="24"/>
          <w:szCs w:val="24"/>
        </w:rPr>
        <w:t xml:space="preserve"> nombre de nouvelles </w:t>
      </w:r>
      <w:r>
        <w:rPr>
          <w:rFonts w:ascii="Times New Roman" w:hAnsi="Times New Roman"/>
          <w:b/>
          <w:bCs/>
          <w:sz w:val="24"/>
          <w:szCs w:val="24"/>
          <w:u w:val="single"/>
        </w:rPr>
        <w:t xml:space="preserve">affaires civiles et </w:t>
      </w:r>
      <w:r>
        <w:rPr>
          <w:rFonts w:ascii="Times New Roman" w:hAnsi="Times New Roman"/>
          <w:b/>
          <w:bCs/>
          <w:sz w:val="24"/>
          <w:szCs w:val="24"/>
          <w:u w:val="single"/>
        </w:rPr>
        <w:t>commerciales contentieuses, 2012-2018</w:t>
      </w:r>
      <w:r>
        <w:rPr>
          <w:rFonts w:ascii="Times New Roman" w:hAnsi="Times New Roman"/>
          <w:sz w:val="24"/>
          <w:szCs w:val="24"/>
        </w:rPr>
        <w:t> (</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xml:space="preserve"> instance, pour 100 habitants) (source: étude de la CEPEJ)</w:t>
      </w:r>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461686"/>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7255" cy="2461686"/>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 Selon la méthodologie de la CEPEJ, les affaires civiles/commerciales contentieuses portent sur un litige entre des parties, par exemple un litige</w:t>
      </w:r>
      <w:r>
        <w:rPr>
          <w:rFonts w:ascii="Times New Roman" w:hAnsi="Times New Roman"/>
          <w:i/>
          <w:sz w:val="20"/>
        </w:rPr>
        <w:t xml:space="preserve"> relatif à un contrat. Les affaires civiles/commerciales non contentieuses portent sur une procédure gracieuse, par exemple un ordre de recouvrement non contesté.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xml:space="preserve">. Les données concernant les </w:t>
      </w:r>
      <w:r>
        <w:rPr>
          <w:rFonts w:ascii="Times New Roman" w:hAnsi="Times New Roman"/>
          <w:b/>
          <w:bCs/>
          <w:i/>
          <w:sz w:val="20"/>
        </w:rPr>
        <w:t>NL</w:t>
      </w:r>
      <w:r>
        <w:rPr>
          <w:rFonts w:ascii="Times New Roman" w:hAnsi="Times New Roman"/>
          <w:i/>
          <w:sz w:val="20"/>
        </w:rPr>
        <w:t xml:space="preserve"> englobent les affaires</w:t>
      </w:r>
      <w:r>
        <w:rPr>
          <w:rFonts w:ascii="Times New Roman" w:hAnsi="Times New Roman"/>
          <w:i/>
          <w:sz w:val="20"/>
        </w:rPr>
        <w:t xml:space="preserve"> non contentieuses.</w:t>
      </w:r>
    </w:p>
    <w:p w:rsidR="00D23207" w:rsidRDefault="00493C98">
      <w:pPr>
        <w:keepNext/>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4</w:t>
      </w:r>
      <w:r>
        <w:fldChar w:fldCharType="end"/>
      </w:r>
      <w:r>
        <w:rPr>
          <w:rFonts w:ascii="Times New Roman" w:hAnsi="Times New Roman"/>
          <w:b/>
          <w:bCs/>
        </w:rPr>
        <w:t>:</w:t>
      </w:r>
      <w:r>
        <w:rPr>
          <w:rFonts w:ascii="Times New Roman" w:hAnsi="Times New Roman"/>
          <w:b/>
          <w:bCs/>
          <w:sz w:val="24"/>
          <w:szCs w:val="24"/>
        </w:rPr>
        <w:t xml:space="preserve"> nombre de nouvelles </w:t>
      </w:r>
      <w:r>
        <w:rPr>
          <w:rFonts w:ascii="Times New Roman" w:hAnsi="Times New Roman"/>
          <w:b/>
          <w:bCs/>
          <w:sz w:val="24"/>
          <w:szCs w:val="24"/>
          <w:u w:val="single"/>
        </w:rPr>
        <w:t>affaires administratives, 2012-2018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xml:space="preserve"> instance, pour 100 habitants) (source: étude de la CEPEJ) </w:t>
      </w:r>
    </w:p>
    <w:p w:rsidR="00D23207" w:rsidRDefault="00493C98">
      <w:pPr>
        <w:keepNext/>
        <w:spacing w:after="0" w:line="240" w:lineRule="auto"/>
        <w:jc w:val="both"/>
        <w:rPr>
          <w:rFonts w:ascii="Times New Roman" w:eastAsia="Calibri" w:hAnsi="Times New Roman" w:cs="Times New Roman"/>
          <w:i/>
          <w:iCs/>
          <w:sz w:val="20"/>
          <w:szCs w:val="20"/>
        </w:rPr>
      </w:pPr>
      <w:r>
        <w:rPr>
          <w:rFonts w:ascii="Times New Roman" w:hAnsi="Times New Roman"/>
          <w:i/>
          <w:iCs/>
          <w:sz w:val="20"/>
          <w:szCs w:val="20"/>
          <w:lang w:val="en-GB" w:eastAsia="en-GB"/>
        </w:rPr>
        <w:drawing>
          <wp:inline distT="0" distB="0" distL="0" distR="0">
            <wp:extent cx="6021022" cy="2454394"/>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3754" cy="2463661"/>
                    </a:xfrm>
                    <a:prstGeom prst="rect">
                      <a:avLst/>
                    </a:prstGeom>
                    <a:noFill/>
                    <a:ln>
                      <a:noFill/>
                    </a:ln>
                  </pic:spPr>
                </pic:pic>
              </a:graphicData>
            </a:graphic>
          </wp:inline>
        </w:drawing>
      </w:r>
      <w:r>
        <w:rPr>
          <w:rFonts w:ascii="Times New Roman" w:hAnsi="Times New Roman"/>
          <w:i/>
          <w:iCs/>
          <w:sz w:val="20"/>
          <w:szCs w:val="20"/>
        </w:rPr>
        <w:t xml:space="preserve"> (*) Selon la méthodologie de la CEPEJ, les affaires de droit administratif concernent des litiges entre des particuliers et des autorités locales, régionales ou nationales. Le </w:t>
      </w:r>
      <w:r>
        <w:rPr>
          <w:rFonts w:ascii="Times New Roman" w:hAnsi="Times New Roman"/>
          <w:b/>
          <w:bCs/>
          <w:i/>
          <w:iCs/>
          <w:sz w:val="20"/>
          <w:szCs w:val="20"/>
        </w:rPr>
        <w:t>DK</w:t>
      </w:r>
      <w:r>
        <w:rPr>
          <w:rFonts w:ascii="Times New Roman" w:hAnsi="Times New Roman"/>
          <w:i/>
          <w:iCs/>
          <w:sz w:val="20"/>
          <w:szCs w:val="20"/>
        </w:rPr>
        <w:t xml:space="preserve"> et l’</w:t>
      </w:r>
      <w:r>
        <w:rPr>
          <w:rFonts w:ascii="Times New Roman" w:hAnsi="Times New Roman"/>
          <w:b/>
          <w:bCs/>
          <w:i/>
          <w:iCs/>
          <w:sz w:val="20"/>
          <w:szCs w:val="20"/>
        </w:rPr>
        <w:t>IE</w:t>
      </w:r>
      <w:r>
        <w:rPr>
          <w:rFonts w:ascii="Times New Roman" w:hAnsi="Times New Roman"/>
          <w:i/>
          <w:iCs/>
          <w:sz w:val="20"/>
          <w:szCs w:val="20"/>
        </w:rPr>
        <w:t xml:space="preserve"> n’enregistrent pas les affaires administratives séparément.</w:t>
      </w:r>
      <w:bookmarkStart w:id="99" w:name="_Toc440291117"/>
      <w:bookmarkStart w:id="100" w:name="_Toc440294680"/>
      <w:bookmarkStart w:id="101" w:name="_Toc440295182"/>
      <w:bookmarkStart w:id="102" w:name="_Toc440296587"/>
      <w:bookmarkStart w:id="103" w:name="_Toc440625071"/>
      <w:bookmarkStart w:id="104" w:name="_Toc440626401"/>
      <w:bookmarkStart w:id="105" w:name="_Toc440628855"/>
      <w:bookmarkStart w:id="106" w:name="_Toc441571127"/>
      <w:bookmarkStart w:id="107" w:name="_Toc441581629"/>
      <w:bookmarkStart w:id="108" w:name="_Toc441585896"/>
      <w:bookmarkStart w:id="109" w:name="_Toc441595831"/>
      <w:bookmarkStart w:id="110" w:name="_Toc441596008"/>
      <w:bookmarkStart w:id="111" w:name="_Toc441748133"/>
      <w:bookmarkStart w:id="112" w:name="_Toc441755418"/>
      <w:bookmarkStart w:id="113" w:name="_Toc441756455"/>
      <w:bookmarkStart w:id="114" w:name="_Toc441757499"/>
      <w:bookmarkStart w:id="115" w:name="_Toc441766628"/>
      <w:bookmarkStart w:id="116" w:name="_Toc441766967"/>
      <w:bookmarkStart w:id="117" w:name="_Toc442187968"/>
      <w:bookmarkStart w:id="118" w:name="_Toc442262060"/>
      <w:bookmarkStart w:id="119" w:name="_Toc442362467"/>
      <w:bookmarkStart w:id="120" w:name="_Toc442374803"/>
      <w:bookmarkStart w:id="121" w:name="_Toc442425943"/>
      <w:bookmarkStart w:id="122" w:name="_Toc442453069"/>
      <w:bookmarkStart w:id="123" w:name="_Toc443484749"/>
      <w:bookmarkStart w:id="124" w:name="_Toc443509490"/>
      <w:bookmarkStart w:id="125" w:name="_Toc446014819"/>
      <w:bookmarkEnd w:id="89"/>
      <w:bookmarkEnd w:id="90"/>
      <w:bookmarkEnd w:id="91"/>
      <w:bookmarkEnd w:id="92"/>
      <w:bookmarkEnd w:id="93"/>
      <w:bookmarkEnd w:id="94"/>
      <w:bookmarkEnd w:id="95"/>
      <w:bookmarkEnd w:id="96"/>
      <w:bookmarkEnd w:id="97"/>
      <w:bookmarkEnd w:id="98"/>
      <w:r>
        <w:rPr>
          <w:rFonts w:ascii="Times New Roman" w:hAnsi="Times New Roman"/>
          <w:i/>
          <w:iCs/>
          <w:sz w:val="20"/>
          <w:szCs w:val="20"/>
        </w:rPr>
        <w:t xml:space="preserve"> La déjud</w:t>
      </w:r>
      <w:r>
        <w:rPr>
          <w:rFonts w:ascii="Times New Roman" w:hAnsi="Times New Roman"/>
          <w:i/>
          <w:iCs/>
          <w:sz w:val="20"/>
          <w:szCs w:val="20"/>
        </w:rPr>
        <w:t xml:space="preserve">iciarisation de certaines procédures administratives est intervenue en </w:t>
      </w:r>
      <w:r>
        <w:rPr>
          <w:rFonts w:ascii="Times New Roman" w:hAnsi="Times New Roman"/>
          <w:b/>
          <w:bCs/>
          <w:i/>
          <w:iCs/>
          <w:sz w:val="20"/>
          <w:szCs w:val="20"/>
        </w:rPr>
        <w:t>RO</w:t>
      </w:r>
      <w:r>
        <w:rPr>
          <w:rFonts w:ascii="Times New Roman" w:hAnsi="Times New Roman"/>
          <w:i/>
          <w:iCs/>
          <w:sz w:val="20"/>
          <w:szCs w:val="20"/>
        </w:rPr>
        <w:t xml:space="preserve"> en 2018. Changements méthodologiques en </w:t>
      </w:r>
      <w:r>
        <w:rPr>
          <w:rFonts w:ascii="Times New Roman" w:hAnsi="Times New Roman"/>
          <w:b/>
          <w:bCs/>
          <w:i/>
          <w:iCs/>
          <w:sz w:val="20"/>
          <w:szCs w:val="20"/>
        </w:rPr>
        <w:t>EL</w:t>
      </w:r>
      <w:r>
        <w:rPr>
          <w:rFonts w:ascii="Times New Roman" w:hAnsi="Times New Roman"/>
          <w:i/>
          <w:iCs/>
          <w:sz w:val="20"/>
          <w:szCs w:val="20"/>
        </w:rPr>
        <w:t xml:space="preserve">, </w:t>
      </w:r>
      <w:r>
        <w:rPr>
          <w:rFonts w:ascii="Times New Roman" w:hAnsi="Times New Roman"/>
          <w:b/>
          <w:bCs/>
          <w:i/>
          <w:iCs/>
          <w:sz w:val="20"/>
          <w:szCs w:val="20"/>
        </w:rPr>
        <w:t>SK</w:t>
      </w:r>
      <w:r>
        <w:rPr>
          <w:rFonts w:ascii="Times New Roman" w:hAnsi="Times New Roman"/>
          <w:i/>
          <w:iCs/>
          <w:sz w:val="20"/>
          <w:szCs w:val="20"/>
        </w:rPr>
        <w:t xml:space="preserve"> et </w:t>
      </w:r>
      <w:r>
        <w:rPr>
          <w:rFonts w:ascii="Times New Roman" w:hAnsi="Times New Roman"/>
          <w:b/>
          <w:bCs/>
          <w:i/>
          <w:iCs/>
          <w:sz w:val="20"/>
          <w:szCs w:val="20"/>
        </w:rPr>
        <w:t>SE</w:t>
      </w:r>
      <w:r>
        <w:rPr>
          <w:rFonts w:ascii="Times New Roman" w:hAnsi="Times New Roman"/>
          <w:i/>
          <w:iCs/>
          <w:sz w:val="20"/>
          <w:szCs w:val="20"/>
        </w:rPr>
        <w:t>. En SE, des affaires de migration ont été incluses dans les affaires administratives (application rétroactive pour 2016 et égalem</w:t>
      </w:r>
      <w:r>
        <w:rPr>
          <w:rFonts w:ascii="Times New Roman" w:hAnsi="Times New Roman"/>
          <w:i/>
          <w:iCs/>
          <w:sz w:val="20"/>
          <w:szCs w:val="20"/>
        </w:rPr>
        <w:t>ent 2017).</w:t>
      </w:r>
    </w:p>
    <w:p w:rsidR="00D23207" w:rsidRDefault="00493C98">
      <w:pPr>
        <w:keepNext/>
        <w:spacing w:after="0" w:line="240" w:lineRule="auto"/>
        <w:jc w:val="both"/>
        <w:rPr>
          <w:rFonts w:ascii="Times New Roman" w:eastAsia="Calibri" w:hAnsi="Times New Roman" w:cs="Times New Roman"/>
          <w:i/>
          <w:sz w:val="20"/>
          <w:szCs w:val="20"/>
        </w:rPr>
      </w:pPr>
      <w:r>
        <w:rPr>
          <w:rFonts w:ascii="Times New Roman" w:hAnsi="Times New Roman"/>
          <w:i/>
          <w:iCs/>
          <w:sz w:val="20"/>
          <w:szCs w:val="20"/>
        </w:rPr>
        <w:t xml:space="preserve"> </w:t>
      </w:r>
      <w:r>
        <w:rPr>
          <w:rFonts w:ascii="Times New Roman" w:hAnsi="Times New Roman"/>
          <w:i/>
          <w:iCs/>
        </w:rPr>
        <w:br w:type="page"/>
      </w:r>
    </w:p>
    <w:p w:rsidR="00D23207" w:rsidRDefault="00493C98">
      <w:pPr>
        <w:keepNext/>
        <w:spacing w:before="240" w:after="120" w:line="240" w:lineRule="auto"/>
        <w:jc w:val="both"/>
        <w:outlineLvl w:val="2"/>
        <w:rPr>
          <w:rFonts w:ascii="Times New Roman" w:eastAsia="Calibri" w:hAnsi="Times New Roman" w:cs="Times New Roman"/>
          <w:b/>
          <w:sz w:val="24"/>
          <w:szCs w:val="24"/>
        </w:rPr>
      </w:pPr>
      <w:r>
        <w:rPr>
          <w:rFonts w:ascii="Times New Roman" w:hAnsi="Times New Roman"/>
          <w:b/>
          <w:sz w:val="24"/>
          <w:szCs w:val="24"/>
        </w:rPr>
        <w:t xml:space="preserve">3.1.2.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Times New Roman" w:hAnsi="Times New Roman"/>
          <w:b/>
          <w:sz w:val="24"/>
          <w:szCs w:val="24"/>
        </w:rPr>
        <w:t>Données générales sur l’efficience</w:t>
      </w:r>
    </w:p>
    <w:p w:rsidR="00D23207" w:rsidRDefault="00493C98">
      <w:pPr>
        <w:spacing w:after="120" w:line="240" w:lineRule="auto"/>
        <w:jc w:val="both"/>
        <w:rPr>
          <w:rFonts w:ascii="Times New Roman" w:eastAsia="Calibri" w:hAnsi="Times New Roman" w:cs="Times New Roman"/>
          <w:i/>
          <w:iCs/>
          <w:sz w:val="24"/>
          <w:szCs w:val="24"/>
        </w:rPr>
      </w:pPr>
      <w:r>
        <w:rPr>
          <w:rFonts w:ascii="Times New Roman" w:hAnsi="Times New Roman"/>
          <w:sz w:val="24"/>
          <w:szCs w:val="24"/>
        </w:rPr>
        <w:t>Les indicateurs de l’efficience des procédures dans les grands domaines des affaires civiles, commerciales et administratives sont: la durée estimée des procédures (durée estimée d’écoulement du stock</w:t>
      </w:r>
      <w:r>
        <w:rPr>
          <w:rFonts w:ascii="Times New Roman" w:hAnsi="Times New Roman"/>
          <w:sz w:val="24"/>
          <w:szCs w:val="24"/>
        </w:rPr>
        <w:t xml:space="preserve"> d’affaires pendantes), le taux de variation du stock d’affaires pendantes, et le nombre d’affaires pendantes.</w:t>
      </w:r>
    </w:p>
    <w:p w:rsidR="00D23207" w:rsidRDefault="00493C98">
      <w:pPr>
        <w:keepNext/>
        <w:tabs>
          <w:tab w:val="left" w:pos="850"/>
        </w:tabs>
        <w:spacing w:before="240" w:after="120" w:line="240" w:lineRule="auto"/>
        <w:ind w:left="720" w:hanging="720"/>
        <w:jc w:val="both"/>
        <w:outlineLvl w:val="2"/>
        <w:rPr>
          <w:rFonts w:ascii="Times New Roman" w:eastAsia="Times New Roman" w:hAnsi="Times New Roman" w:cs="Times New Roman"/>
          <w:i/>
          <w:iCs/>
          <w:sz w:val="24"/>
          <w:szCs w:val="24"/>
        </w:rPr>
      </w:pPr>
      <w:r>
        <w:rPr>
          <w:rFonts w:ascii="Times New Roman" w:hAnsi="Times New Roman"/>
          <w:i/>
          <w:sz w:val="24"/>
          <w:szCs w:val="24"/>
        </w:rPr>
        <w:sym w:font="Symbol" w:char="F02D"/>
      </w:r>
      <w:r>
        <w:rPr>
          <w:rFonts w:ascii="Times New Roman" w:hAnsi="Times New Roman"/>
          <w:i/>
          <w:iCs/>
          <w:sz w:val="24"/>
          <w:szCs w:val="24"/>
        </w:rPr>
        <w:t xml:space="preserve"> Durée estimée des procédures </w:t>
      </w:r>
      <w:r>
        <w:rPr>
          <w:rFonts w:ascii="Times New Roman" w:hAnsi="Times New Roman"/>
          <w:sz w:val="24"/>
          <w:szCs w:val="24"/>
        </w:rPr>
        <w:t>–</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La durée d’une procédure est le temps estimé (exprimé en jours) nécessaire pour que la justice tranche une affai</w:t>
      </w:r>
      <w:r>
        <w:rPr>
          <w:rFonts w:ascii="Times New Roman" w:hAnsi="Times New Roman"/>
          <w:sz w:val="24"/>
          <w:szCs w:val="24"/>
        </w:rPr>
        <w:t>re, c’est-à-dire le temps qu’il faut à la juridiction compétente pour parvenir à une décision en première instance. L’indicateur de la «durée d’écoulement du stock d’affaires pendantes» («disposition time») correspond au nombre d’affaires non jugées divisé</w:t>
      </w:r>
      <w:r>
        <w:rPr>
          <w:rFonts w:ascii="Times New Roman" w:hAnsi="Times New Roman"/>
          <w:sz w:val="24"/>
          <w:szCs w:val="24"/>
        </w:rPr>
        <w:t xml:space="preserve"> par le nombre d’affaires tranchées à la fin d’une année, multiplié par 365 (jours) (</w:t>
      </w:r>
      <w:r>
        <w:rPr>
          <w:rFonts w:ascii="Times New Roman" w:eastAsia="Times New Roman" w:hAnsi="Times New Roman" w:cs="Times New Roman"/>
          <w:sz w:val="24"/>
          <w:szCs w:val="24"/>
          <w:vertAlign w:val="superscript"/>
        </w:rPr>
        <w:footnoteReference w:id="40"/>
      </w:r>
      <w:r>
        <w:rPr>
          <w:rFonts w:ascii="Times New Roman" w:hAnsi="Times New Roman"/>
          <w:sz w:val="24"/>
          <w:szCs w:val="24"/>
        </w:rPr>
        <w:t>). Il s’agit d’une quantité calculée qui indique le temps minimal estimé dont une juridiction aurait besoin pour résoudre une affaire en maintenant les conditions de trav</w:t>
      </w:r>
      <w:r>
        <w:rPr>
          <w:rFonts w:ascii="Times New Roman" w:hAnsi="Times New Roman"/>
          <w:sz w:val="24"/>
          <w:szCs w:val="24"/>
        </w:rPr>
        <w:t>ail actuelles. Plus la valeur est élevée, plus la probabilité que la juridiction prenne du temps à rendre une décision est grande. Les graphiques concernent principalement les procédures en première instance et comparent, lorsqu’elles sont disponibles, les</w:t>
      </w:r>
      <w:r>
        <w:rPr>
          <w:rFonts w:ascii="Times New Roman" w:hAnsi="Times New Roman"/>
          <w:sz w:val="24"/>
          <w:szCs w:val="24"/>
        </w:rPr>
        <w:t xml:space="preserve"> données de 2012, 2016, 2017 et 2018 (</w:t>
      </w:r>
      <w:r>
        <w:rPr>
          <w:rFonts w:ascii="Times New Roman" w:eastAsia="Times New Roman" w:hAnsi="Times New Roman" w:cs="Times New Roman"/>
          <w:sz w:val="24"/>
          <w:szCs w:val="24"/>
          <w:vertAlign w:val="superscript"/>
        </w:rPr>
        <w:footnoteReference w:id="41"/>
      </w:r>
      <w:r>
        <w:rPr>
          <w:rFonts w:ascii="Times New Roman" w:hAnsi="Times New Roman"/>
          <w:sz w:val="24"/>
          <w:szCs w:val="24"/>
        </w:rPr>
        <w:t xml:space="preserve">). Deux graphiques montrent la durée d’écoulement du stock d’affaires pendantes en 2018 dans les affaires civiles et commerciales contentieuses et dans les affaires administratives à tous les degrés d’instance, et un </w:t>
      </w:r>
      <w:r>
        <w:rPr>
          <w:rFonts w:ascii="Times New Roman" w:hAnsi="Times New Roman"/>
          <w:sz w:val="24"/>
          <w:szCs w:val="24"/>
        </w:rPr>
        <w:t>graphique montre la durée moyenne des procédures portant sur des affaires de blanchiment de capitaux en première et deuxième instances.</w:t>
      </w:r>
    </w:p>
    <w:p w:rsidR="00D23207" w:rsidRDefault="00493C98">
      <w:pPr>
        <w:keepNext/>
        <w:spacing w:before="240" w:after="0" w:line="240" w:lineRule="auto"/>
        <w:jc w:val="both"/>
        <w:rPr>
          <w:rFonts w:ascii="Times New Roman" w:eastAsia="Times New Roman" w:hAnsi="Times New Roman" w:cs="Times New Roman"/>
          <w:i/>
          <w:sz w:val="24"/>
          <w:szCs w:val="24"/>
        </w:rPr>
      </w:pPr>
      <w:bookmarkStart w:id="126" w:name="_Ref440892401"/>
      <w:r>
        <w:rPr>
          <w:rFonts w:ascii="Times New Roman" w:hAnsi="Times New Roman"/>
          <w:b/>
          <w:bCs/>
          <w:sz w:val="24"/>
          <w:szCs w:val="24"/>
        </w:rPr>
        <w:t>Graphique </w:t>
      </w:r>
      <w:r>
        <w:fldChar w:fldCharType="begin"/>
      </w:r>
      <w:r>
        <w:rPr>
          <w:rFonts w:ascii="Times New Roman" w:eastAsia="Times New Roman" w:hAnsi="Times New Roman" w:cs="Times New Roman"/>
          <w:b/>
          <w:sz w:val="24"/>
          <w:szCs w:val="24"/>
        </w:rPr>
        <w:instrText xml:space="preserve"> SEQ Figure \* ARABIC </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bCs/>
          <w:sz w:val="24"/>
          <w:szCs w:val="24"/>
        </w:rPr>
        <w:t>5</w:t>
      </w:r>
      <w:r>
        <w:fldChar w:fldCharType="end"/>
      </w:r>
      <w:bookmarkEnd w:id="126"/>
      <w:r>
        <w:rPr>
          <w:rFonts w:ascii="Times New Roman" w:hAnsi="Times New Roman"/>
          <w:b/>
          <w:bCs/>
          <w:sz w:val="24"/>
          <w:szCs w:val="24"/>
        </w:rPr>
        <w:t xml:space="preserve">: estimation du temps nécessaire pour trancher les </w:t>
      </w:r>
      <w:r>
        <w:rPr>
          <w:rFonts w:ascii="Times New Roman" w:hAnsi="Times New Roman"/>
          <w:b/>
          <w:bCs/>
          <w:sz w:val="24"/>
          <w:szCs w:val="24"/>
          <w:u w:val="single"/>
        </w:rPr>
        <w:t>affaires civiles, commerciales, a</w:t>
      </w:r>
      <w:r>
        <w:rPr>
          <w:rFonts w:ascii="Times New Roman" w:hAnsi="Times New Roman"/>
          <w:b/>
          <w:bCs/>
          <w:sz w:val="24"/>
          <w:szCs w:val="24"/>
          <w:u w:val="single"/>
        </w:rPr>
        <w:t>dministratives et autres, 2012-2018</w:t>
      </w:r>
      <w:r>
        <w:rPr>
          <w:rFonts w:ascii="Times New Roman" w:hAnsi="Times New Roman"/>
          <w:sz w:val="24"/>
          <w:szCs w:val="24"/>
        </w:rPr>
        <w:t> (</w:t>
      </w:r>
      <w:r>
        <w:rPr>
          <w:sz w:val="24"/>
          <w:szCs w:val="24"/>
        </w:rPr>
        <w:t>*</w:t>
      </w:r>
      <w:r>
        <w:rPr>
          <w:rFonts w:ascii="Times New Roman" w:hAnsi="Times New Roman"/>
          <w:sz w:val="24"/>
          <w:szCs w:val="24"/>
        </w:rPr>
        <w:t>)</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en jours) (source: étude de la CEPEJ)</w:t>
      </w:r>
    </w:p>
    <w:p w:rsidR="00D23207" w:rsidRDefault="00493C98">
      <w:pPr>
        <w:spacing w:after="0" w:line="240" w:lineRule="auto"/>
        <w:jc w:val="both"/>
        <w:rPr>
          <w:rFonts w:ascii="Times New Roman" w:eastAsia="Calibri" w:hAnsi="Times New Roman" w:cs="Times New Roman"/>
          <w:b/>
          <w:sz w:val="24"/>
        </w:rPr>
      </w:pPr>
      <w:r>
        <w:rPr>
          <w:rFonts w:ascii="Times New Roman" w:hAnsi="Times New Roman"/>
          <w:i/>
          <w:sz w:val="20"/>
          <w:lang w:val="en-GB" w:eastAsia="en-GB"/>
        </w:rPr>
        <w:drawing>
          <wp:inline distT="0" distB="0" distL="0" distR="0">
            <wp:extent cx="6049206" cy="2551884"/>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8796" cy="2555930"/>
                    </a:xfrm>
                    <a:prstGeom prst="rect">
                      <a:avLst/>
                    </a:prstGeom>
                    <a:noFill/>
                    <a:ln>
                      <a:noFill/>
                    </a:ln>
                  </pic:spPr>
                </pic:pic>
              </a:graphicData>
            </a:graphic>
          </wp:inline>
        </w:drawing>
      </w:r>
      <w:r>
        <w:rPr>
          <w:rFonts w:ascii="Times New Roman" w:hAnsi="Times New Roman"/>
          <w:i/>
          <w:sz w:val="20"/>
        </w:rPr>
        <w:t xml:space="preserve"> (*) Selon la méthodologie de la CEPEJ, cette catégorie comprend toutes les affaires civiles et commerciales contentieuses et non contentieuses, les affaires non contentieuses ayant trait au registre foncier ou au registre des entreprises, les autres affai</w:t>
      </w:r>
      <w:r>
        <w:rPr>
          <w:rFonts w:ascii="Times New Roman" w:hAnsi="Times New Roman"/>
          <w:i/>
          <w:sz w:val="20"/>
        </w:rPr>
        <w:t xml:space="preserve">res en matière de registre, les autres affaires non contentieuses, les affaires de droit administratif et les autres affaires non pénales. Changements méthodologiques en </w:t>
      </w:r>
      <w:r>
        <w:rPr>
          <w:rFonts w:ascii="Times New Roman" w:hAnsi="Times New Roman"/>
          <w:b/>
          <w:bCs/>
          <w:i/>
          <w:sz w:val="20"/>
        </w:rPr>
        <w:t>SK</w:t>
      </w:r>
      <w:r>
        <w:rPr>
          <w:rFonts w:ascii="Times New Roman" w:hAnsi="Times New Roman"/>
          <w:i/>
          <w:sz w:val="20"/>
        </w:rPr>
        <w:t xml:space="preserve">. Affaires pendantes couvrant tous les degrés d’instance en </w:t>
      </w:r>
      <w:r>
        <w:rPr>
          <w:rFonts w:ascii="Times New Roman" w:hAnsi="Times New Roman"/>
          <w:b/>
          <w:bCs/>
          <w:i/>
          <w:sz w:val="20"/>
        </w:rPr>
        <w:t>CZ</w:t>
      </w:r>
      <w:r>
        <w:rPr>
          <w:rFonts w:ascii="Times New Roman" w:hAnsi="Times New Roman"/>
          <w:i/>
          <w:sz w:val="20"/>
        </w:rPr>
        <w:t xml:space="preserve"> et</w:t>
      </w:r>
      <w:bookmarkStart w:id="127" w:name="_Ref442281958"/>
      <w:r>
        <w:rPr>
          <w:rFonts w:ascii="Times New Roman" w:hAnsi="Times New Roman"/>
          <w:i/>
          <w:sz w:val="20"/>
        </w:rPr>
        <w:t>, jusqu’en 2016, en</w:t>
      </w:r>
      <w:r>
        <w:rPr>
          <w:rFonts w:ascii="Times New Roman" w:hAnsi="Times New Roman"/>
          <w:i/>
          <w:sz w:val="20"/>
        </w:rPr>
        <w:t xml:space="preserve"> </w:t>
      </w:r>
      <w:r>
        <w:rPr>
          <w:rFonts w:ascii="Times New Roman" w:hAnsi="Times New Roman"/>
          <w:b/>
          <w:bCs/>
          <w:i/>
          <w:sz w:val="20"/>
        </w:rPr>
        <w:t>SK</w:t>
      </w:r>
      <w:r>
        <w:rPr>
          <w:rFonts w:ascii="Times New Roman" w:hAnsi="Times New Roman"/>
          <w:i/>
          <w:sz w:val="20"/>
        </w:rPr>
        <w:t xml:space="preserve">. </w:t>
      </w:r>
      <w:r>
        <w:rPr>
          <w:rFonts w:ascii="Times New Roman" w:hAnsi="Times New Roman"/>
          <w:b/>
          <w:bCs/>
          <w:i/>
          <w:sz w:val="20"/>
        </w:rPr>
        <w:t>LV</w:t>
      </w:r>
      <w:r>
        <w:rPr>
          <w:rFonts w:ascii="Times New Roman" w:hAnsi="Times New Roman"/>
          <w:i/>
          <w:sz w:val="20"/>
        </w:rPr>
        <w:t>: la forte baisse est due à la réforme du système judiciaire, aux contrôles d’erreurs et au nettoyage des données dans le système d’information de la Cour.</w:t>
      </w:r>
    </w:p>
    <w:p w:rsidR="00D23207" w:rsidRDefault="00493C98">
      <w:pPr>
        <w:keepNext/>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6</w:t>
      </w:r>
      <w:r>
        <w:fldChar w:fldCharType="end"/>
      </w:r>
      <w:bookmarkEnd w:id="127"/>
      <w:r>
        <w:rPr>
          <w:rFonts w:ascii="Times New Roman" w:hAnsi="Times New Roman"/>
          <w:b/>
          <w:bCs/>
        </w:rPr>
        <w:t>:</w:t>
      </w:r>
      <w:r>
        <w:rPr>
          <w:rFonts w:ascii="Times New Roman" w:hAnsi="Times New Roman"/>
          <w:b/>
          <w:bCs/>
          <w:sz w:val="24"/>
          <w:szCs w:val="24"/>
        </w:rPr>
        <w:t xml:space="preserve"> estimation du temps nécessaire pour trancher les </w:t>
      </w:r>
      <w:r>
        <w:rPr>
          <w:rFonts w:ascii="Times New Roman" w:hAnsi="Times New Roman"/>
          <w:b/>
          <w:bCs/>
          <w:sz w:val="24"/>
          <w:szCs w:val="24"/>
          <w:u w:val="single"/>
        </w:rPr>
        <w:t>affair</w:t>
      </w:r>
      <w:r>
        <w:rPr>
          <w:rFonts w:ascii="Times New Roman" w:hAnsi="Times New Roman"/>
          <w:b/>
          <w:bCs/>
          <w:sz w:val="24"/>
          <w:szCs w:val="24"/>
          <w:u w:val="single"/>
        </w:rPr>
        <w:t>es civiles et commerciales contentieuses, 2012-2018</w:t>
      </w:r>
      <w:r>
        <w:rPr>
          <w:rFonts w:ascii="Times New Roman" w:hAnsi="Times New Roman"/>
          <w:b/>
          <w:bCs/>
          <w:sz w:val="24"/>
          <w:szCs w:val="24"/>
        </w:rPr>
        <w:t>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en jours) (source: étude de la CEPEJ)</w:t>
      </w:r>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475566"/>
            <wp:effectExtent l="0" t="0" r="444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7255" cy="2475566"/>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w:t>
      </w:r>
      <w:r>
        <w:rPr>
          <w:rFonts w:ascii="Times New Roman" w:hAnsi="Times New Roman"/>
          <w:b/>
          <w:sz w:val="20"/>
        </w:rPr>
        <w:t xml:space="preserve"> </w:t>
      </w:r>
      <w:r>
        <w:rPr>
          <w:rFonts w:ascii="Times New Roman" w:hAnsi="Times New Roman"/>
          <w:i/>
          <w:iCs/>
          <w:sz w:val="20"/>
        </w:rPr>
        <w:t xml:space="preserve">Selon la méthodologie de la CEPEJ, les affaires civiles/commerciales contentieuses portent sur un litige entre des parties, par exemple un </w:t>
      </w:r>
      <w:r>
        <w:rPr>
          <w:rFonts w:ascii="Times New Roman" w:hAnsi="Times New Roman"/>
          <w:i/>
          <w:iCs/>
          <w:sz w:val="20"/>
        </w:rPr>
        <w:t>litige relatif à un contrat.</w:t>
      </w:r>
      <w:r>
        <w:rPr>
          <w:rFonts w:ascii="Times New Roman" w:hAnsi="Times New Roman"/>
          <w:i/>
          <w:sz w:val="20"/>
        </w:rPr>
        <w:t xml:space="preserve"> Les affaires civiles/commerciales non contentieuses portent sur une procédure gracieuse, par exemple un ordre de recouvrement non contesté.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Les données relatives aux affaires pendantes c</w:t>
      </w:r>
      <w:r>
        <w:rPr>
          <w:rFonts w:ascii="Times New Roman" w:hAnsi="Times New Roman"/>
          <w:i/>
          <w:sz w:val="20"/>
        </w:rPr>
        <w:t xml:space="preserve">ouvrent tous les degrés d’instance en </w:t>
      </w:r>
      <w:r>
        <w:rPr>
          <w:rFonts w:ascii="Times New Roman" w:hAnsi="Times New Roman"/>
          <w:b/>
          <w:bCs/>
          <w:i/>
          <w:sz w:val="20"/>
        </w:rPr>
        <w:t>CZ</w:t>
      </w:r>
      <w:r>
        <w:rPr>
          <w:rFonts w:ascii="Times New Roman" w:hAnsi="Times New Roman"/>
          <w:i/>
          <w:sz w:val="20"/>
        </w:rPr>
        <w:t xml:space="preserve"> et, jusqu’en 2016, en </w:t>
      </w:r>
      <w:r>
        <w:rPr>
          <w:rFonts w:ascii="Times New Roman" w:hAnsi="Times New Roman"/>
          <w:b/>
          <w:bCs/>
          <w:i/>
          <w:sz w:val="20"/>
        </w:rPr>
        <w:t>SK</w:t>
      </w:r>
      <w:r>
        <w:rPr>
          <w:rFonts w:ascii="Times New Roman" w:hAnsi="Times New Roman"/>
          <w:i/>
          <w:sz w:val="20"/>
        </w:rPr>
        <w:t xml:space="preserve">. Les données pour les </w:t>
      </w:r>
      <w:bookmarkStart w:id="128" w:name="_Ref440892386"/>
      <w:bookmarkStart w:id="129" w:name="_Ref440892375"/>
      <w:r>
        <w:rPr>
          <w:rFonts w:ascii="Times New Roman" w:hAnsi="Times New Roman"/>
          <w:b/>
          <w:bCs/>
          <w:i/>
          <w:sz w:val="20"/>
        </w:rPr>
        <w:t>NL</w:t>
      </w:r>
      <w:r>
        <w:rPr>
          <w:rFonts w:ascii="Times New Roman" w:hAnsi="Times New Roman"/>
          <w:i/>
          <w:sz w:val="20"/>
        </w:rPr>
        <w:t xml:space="preserve"> englobent les affaires non contentieuses.</w:t>
      </w:r>
    </w:p>
    <w:p w:rsidR="00D23207" w:rsidRDefault="00493C98">
      <w:pPr>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7</w:t>
      </w:r>
      <w:r>
        <w:fldChar w:fldCharType="end"/>
      </w:r>
      <w:r>
        <w:rPr>
          <w:rFonts w:ascii="Times New Roman" w:hAnsi="Times New Roman"/>
          <w:b/>
          <w:bCs/>
          <w:sz w:val="24"/>
          <w:szCs w:val="24"/>
        </w:rPr>
        <w:t xml:space="preserve">: </w:t>
      </w:r>
      <w:r>
        <w:rPr>
          <w:rFonts w:ascii="Times New Roman" w:hAnsi="Times New Roman"/>
          <w:b/>
          <w:bCs/>
        </w:rPr>
        <w:t xml:space="preserve">estimation du temps nécessaire pour trancher les </w:t>
      </w:r>
      <w:r>
        <w:rPr>
          <w:rFonts w:ascii="Times New Roman" w:hAnsi="Times New Roman"/>
          <w:b/>
          <w:bCs/>
          <w:u w:val="single"/>
        </w:rPr>
        <w:t xml:space="preserve">affaires civiles et commerciales </w:t>
      </w:r>
      <w:r>
        <w:rPr>
          <w:rFonts w:ascii="Times New Roman" w:hAnsi="Times New Roman"/>
          <w:b/>
          <w:bCs/>
          <w:u w:val="single"/>
        </w:rPr>
        <w:t>contentieuses</w:t>
      </w:r>
      <w:r>
        <w:rPr>
          <w:rFonts w:ascii="Times New Roman" w:hAnsi="Times New Roman"/>
          <w:b/>
          <w:bCs/>
        </w:rPr>
        <w:t xml:space="preserve"> (*) à </w:t>
      </w:r>
      <w:r>
        <w:rPr>
          <w:rFonts w:ascii="Times New Roman" w:hAnsi="Times New Roman"/>
          <w:b/>
          <w:bCs/>
          <w:u w:val="single"/>
        </w:rPr>
        <w:t>tous</w:t>
      </w:r>
      <w:r>
        <w:rPr>
          <w:rFonts w:ascii="Times New Roman" w:hAnsi="Times New Roman"/>
          <w:b/>
          <w:bCs/>
        </w:rPr>
        <w:t xml:space="preserve"> les degrés d’instances en 2018</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2</w:t>
      </w:r>
      <w:r>
        <w:rPr>
          <w:rFonts w:ascii="Times New Roman" w:hAnsi="Times New Roman"/>
          <w:i/>
          <w:iCs/>
          <w:sz w:val="24"/>
          <w:szCs w:val="24"/>
          <w:vertAlign w:val="superscript"/>
        </w:rPr>
        <w:t>e</w:t>
      </w:r>
      <w:r>
        <w:rPr>
          <w:rFonts w:ascii="Times New Roman" w:hAnsi="Times New Roman"/>
          <w:i/>
          <w:iCs/>
          <w:sz w:val="24"/>
          <w:szCs w:val="24"/>
        </w:rPr>
        <w:t xml:space="preserve"> et 3</w:t>
      </w:r>
      <w:r>
        <w:rPr>
          <w:rFonts w:ascii="Times New Roman" w:hAnsi="Times New Roman"/>
          <w:i/>
          <w:iCs/>
          <w:sz w:val="24"/>
          <w:szCs w:val="24"/>
          <w:vertAlign w:val="superscript"/>
        </w:rPr>
        <w:t>e</w:t>
      </w:r>
      <w:r>
        <w:rPr>
          <w:rFonts w:ascii="Times New Roman" w:hAnsi="Times New Roman"/>
          <w:i/>
          <w:iCs/>
          <w:sz w:val="24"/>
          <w:szCs w:val="24"/>
        </w:rPr>
        <w:t> instance, en jours) (source: étude de la CEPEJ)</w:t>
      </w:r>
    </w:p>
    <w:p w:rsidR="00D23207" w:rsidRDefault="00493C98">
      <w:pPr>
        <w:spacing w:after="0" w:line="240" w:lineRule="auto"/>
        <w:jc w:val="both"/>
        <w:rPr>
          <w:rFonts w:ascii="Times New Roman" w:eastAsia="Calibri" w:hAnsi="Times New Roman" w:cs="Times New Roman"/>
          <w:i/>
          <w:sz w:val="20"/>
          <w:szCs w:val="20"/>
        </w:rPr>
      </w:pPr>
      <w:r>
        <w:rPr>
          <w:rFonts w:ascii="Times New Roman" w:hAnsi="Times New Roman"/>
          <w:i/>
          <w:sz w:val="20"/>
          <w:szCs w:val="20"/>
          <w:lang w:val="en-GB" w:eastAsia="en-GB"/>
        </w:rPr>
        <w:drawing>
          <wp:inline distT="0" distB="0" distL="0" distR="0">
            <wp:extent cx="6091458" cy="2494403"/>
            <wp:effectExtent l="0" t="0" r="5080" b="127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3459" cy="2499317"/>
                    </a:xfrm>
                    <a:prstGeom prst="rect">
                      <a:avLst/>
                    </a:prstGeom>
                    <a:noFill/>
                    <a:ln>
                      <a:noFill/>
                    </a:ln>
                  </pic:spPr>
                </pic:pic>
              </a:graphicData>
            </a:graphic>
          </wp:inline>
        </w:drawing>
      </w:r>
      <w:r>
        <w:rPr>
          <w:rFonts w:ascii="Times New Roman" w:hAnsi="Times New Roman"/>
          <w:i/>
          <w:sz w:val="20"/>
          <w:szCs w:val="20"/>
        </w:rPr>
        <w:t xml:space="preserve"> (*) L’ordre est déterminé par le degré d’instance affichant les procédures les plus longues dans chaque État membre. </w:t>
      </w:r>
      <w:r>
        <w:rPr>
          <w:rFonts w:ascii="Times New Roman" w:hAnsi="Times New Roman"/>
          <w:i/>
          <w:sz w:val="20"/>
        </w:rPr>
        <w:t xml:space="preserve">Aucune donnée n’est disponible pour les juridictions de première et deuxième instances en </w:t>
      </w:r>
      <w:r>
        <w:rPr>
          <w:rFonts w:ascii="Times New Roman" w:hAnsi="Times New Roman"/>
          <w:b/>
          <w:bCs/>
          <w:i/>
          <w:sz w:val="20"/>
        </w:rPr>
        <w:t>BE</w:t>
      </w:r>
      <w:r>
        <w:rPr>
          <w:rFonts w:ascii="Times New Roman" w:hAnsi="Times New Roman"/>
          <w:i/>
          <w:sz w:val="20"/>
        </w:rPr>
        <w:t xml:space="preserve">, </w:t>
      </w:r>
      <w:r>
        <w:rPr>
          <w:rFonts w:ascii="Times New Roman" w:hAnsi="Times New Roman"/>
          <w:b/>
          <w:bCs/>
          <w:i/>
          <w:sz w:val="20"/>
        </w:rPr>
        <w:t>BG</w:t>
      </w:r>
      <w:r>
        <w:rPr>
          <w:rFonts w:ascii="Times New Roman" w:hAnsi="Times New Roman"/>
          <w:i/>
          <w:sz w:val="20"/>
        </w:rPr>
        <w:t xml:space="preserve"> et </w:t>
      </w:r>
      <w:r>
        <w:rPr>
          <w:rFonts w:ascii="Times New Roman" w:hAnsi="Times New Roman"/>
          <w:b/>
          <w:bCs/>
          <w:i/>
          <w:sz w:val="20"/>
        </w:rPr>
        <w:t>IE</w:t>
      </w:r>
      <w:r>
        <w:rPr>
          <w:rFonts w:ascii="Times New Roman" w:hAnsi="Times New Roman"/>
          <w:i/>
          <w:sz w:val="20"/>
        </w:rPr>
        <w:t xml:space="preserve">, pour les juridictions de deuxième instance aux </w:t>
      </w:r>
      <w:r>
        <w:rPr>
          <w:rFonts w:ascii="Times New Roman" w:hAnsi="Times New Roman"/>
          <w:b/>
          <w:bCs/>
          <w:i/>
          <w:sz w:val="20"/>
        </w:rPr>
        <w:t>NL</w:t>
      </w:r>
      <w:r>
        <w:rPr>
          <w:rFonts w:ascii="Times New Roman" w:hAnsi="Times New Roman"/>
          <w:i/>
          <w:sz w:val="20"/>
        </w:rPr>
        <w:t xml:space="preserve">, pour les juridictions de deuxième et troisième instances aux </w:t>
      </w:r>
      <w:r>
        <w:rPr>
          <w:rFonts w:ascii="Times New Roman" w:hAnsi="Times New Roman"/>
          <w:b/>
          <w:bCs/>
          <w:i/>
          <w:sz w:val="20"/>
        </w:rPr>
        <w:t>NL</w:t>
      </w:r>
      <w:r>
        <w:rPr>
          <w:rFonts w:ascii="Times New Roman" w:hAnsi="Times New Roman"/>
          <w:i/>
          <w:sz w:val="20"/>
        </w:rPr>
        <w:t xml:space="preserve"> et en </w:t>
      </w:r>
      <w:r>
        <w:rPr>
          <w:rFonts w:ascii="Times New Roman" w:hAnsi="Times New Roman"/>
          <w:b/>
          <w:bCs/>
          <w:i/>
          <w:sz w:val="20"/>
        </w:rPr>
        <w:t>AT</w:t>
      </w:r>
      <w:r>
        <w:rPr>
          <w:rFonts w:ascii="Times New Roman" w:hAnsi="Times New Roman"/>
          <w:i/>
          <w:sz w:val="20"/>
        </w:rPr>
        <w:t xml:space="preserve"> ou pour les juridictions de </w:t>
      </w:r>
      <w:r>
        <w:rPr>
          <w:rFonts w:ascii="Times New Roman" w:hAnsi="Times New Roman"/>
          <w:i/>
          <w:sz w:val="20"/>
        </w:rPr>
        <w:t xml:space="preserve">deuxième instance en </w:t>
      </w:r>
      <w:r>
        <w:rPr>
          <w:rFonts w:ascii="Times New Roman" w:hAnsi="Times New Roman"/>
          <w:b/>
          <w:bCs/>
          <w:i/>
          <w:sz w:val="20"/>
        </w:rPr>
        <w:t>DE</w:t>
      </w:r>
      <w:r>
        <w:rPr>
          <w:rFonts w:ascii="Times New Roman" w:hAnsi="Times New Roman"/>
          <w:i/>
          <w:sz w:val="20"/>
        </w:rPr>
        <w:t xml:space="preserve"> et </w:t>
      </w:r>
      <w:r>
        <w:rPr>
          <w:rFonts w:ascii="Times New Roman" w:hAnsi="Times New Roman"/>
          <w:b/>
          <w:bCs/>
          <w:i/>
          <w:sz w:val="20"/>
        </w:rPr>
        <w:t>HR</w:t>
      </w:r>
      <w:r>
        <w:rPr>
          <w:rFonts w:ascii="Times New Roman" w:hAnsi="Times New Roman"/>
          <w:i/>
          <w:sz w:val="20"/>
        </w:rPr>
        <w:t xml:space="preserve">. Aucune juridiction de troisième instance à </w:t>
      </w:r>
      <w:r>
        <w:rPr>
          <w:rFonts w:ascii="Times New Roman" w:hAnsi="Times New Roman"/>
          <w:b/>
          <w:bCs/>
          <w:i/>
          <w:sz w:val="20"/>
        </w:rPr>
        <w:t>MT</w:t>
      </w:r>
      <w:r>
        <w:rPr>
          <w:rFonts w:ascii="Times New Roman" w:hAnsi="Times New Roman"/>
          <w:i/>
          <w:sz w:val="20"/>
        </w:rPr>
        <w:t>. L’accès à la juridiction de troisième instance peut être limité dans certains États membres.</w:t>
      </w:r>
      <w:r>
        <w:rPr>
          <w:rFonts w:ascii="Times New Roman" w:hAnsi="Times New Roman"/>
          <w:i/>
          <w:sz w:val="20"/>
          <w:szCs w:val="20"/>
        </w:rPr>
        <w:t xml:space="preserve"> </w:t>
      </w:r>
    </w:p>
    <w:p w:rsidR="00D23207" w:rsidRDefault="00D23207">
      <w:pPr>
        <w:spacing w:after="0" w:line="240" w:lineRule="auto"/>
        <w:jc w:val="both"/>
        <w:rPr>
          <w:rFonts w:ascii="Times New Roman" w:eastAsia="Calibri" w:hAnsi="Times New Roman" w:cs="Times New Roman"/>
          <w:i/>
          <w:sz w:val="20"/>
          <w:szCs w:val="20"/>
        </w:rPr>
      </w:pPr>
    </w:p>
    <w:p w:rsidR="00D23207" w:rsidRDefault="00493C98">
      <w:pPr>
        <w:keepNext/>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8</w:t>
      </w:r>
      <w:r>
        <w:fldChar w:fldCharType="end"/>
      </w:r>
      <w:bookmarkEnd w:id="128"/>
      <w:bookmarkEnd w:id="129"/>
      <w:r>
        <w:rPr>
          <w:rFonts w:ascii="Times New Roman" w:hAnsi="Times New Roman"/>
          <w:b/>
          <w:bCs/>
          <w:sz w:val="24"/>
          <w:szCs w:val="24"/>
        </w:rPr>
        <w:t xml:space="preserve">: estimation du temps nécessaire pour trancher </w:t>
      </w:r>
      <w:r>
        <w:rPr>
          <w:rFonts w:ascii="Times New Roman" w:hAnsi="Times New Roman"/>
          <w:b/>
          <w:bCs/>
          <w:sz w:val="24"/>
          <w:szCs w:val="24"/>
        </w:rPr>
        <w:t xml:space="preserve">les </w:t>
      </w:r>
      <w:r>
        <w:rPr>
          <w:rFonts w:ascii="Times New Roman" w:hAnsi="Times New Roman"/>
          <w:b/>
          <w:bCs/>
          <w:sz w:val="24"/>
          <w:szCs w:val="24"/>
          <w:u w:val="single"/>
        </w:rPr>
        <w:t>affaires administratives, 2012-2018</w:t>
      </w:r>
      <w:r>
        <w:rPr>
          <w:rFonts w:ascii="Times New Roman" w:hAnsi="Times New Roman"/>
        </w:rPr>
        <w:t> (</w:t>
      </w:r>
      <w:r>
        <w:t>*</w:t>
      </w:r>
      <w:r>
        <w:rPr>
          <w:rFonts w:ascii="Times New Roman" w:hAnsi="Times New Roman"/>
        </w:rPr>
        <w:t>)</w:t>
      </w:r>
      <w: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en jours) (source: étude de la CEPEJ)</w:t>
      </w:r>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456598"/>
            <wp:effectExtent l="0" t="0" r="4445" b="127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7255" cy="2456598"/>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w:t>
      </w:r>
      <w:r>
        <w:rPr>
          <w:rFonts w:ascii="Times New Roman" w:hAnsi="Times New Roman"/>
          <w:b/>
          <w:sz w:val="20"/>
        </w:rPr>
        <w:t xml:space="preserve"> </w:t>
      </w:r>
      <w:r>
        <w:rPr>
          <w:rFonts w:ascii="Times New Roman" w:hAnsi="Times New Roman"/>
          <w:i/>
          <w:iCs/>
          <w:sz w:val="20"/>
        </w:rPr>
        <w:t>Selon la méthodologie de la CEPEJ, les affaires de droit administratif concernent des litiges entre des particuliers et des autorités locales, régionales</w:t>
      </w:r>
      <w:r>
        <w:rPr>
          <w:rFonts w:ascii="Times New Roman" w:hAnsi="Times New Roman"/>
          <w:i/>
          <w:iCs/>
          <w:sz w:val="20"/>
        </w:rPr>
        <w:t xml:space="preserve"> ou nationales.</w:t>
      </w:r>
      <w:r>
        <w:rPr>
          <w:rFonts w:ascii="Times New Roman" w:hAnsi="Times New Roman"/>
          <w:i/>
          <w:sz w:val="20"/>
        </w:rPr>
        <w:t xml:space="preserve">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xml:space="preserve">. En </w:t>
      </w:r>
      <w:r>
        <w:rPr>
          <w:rFonts w:ascii="Times New Roman" w:hAnsi="Times New Roman"/>
          <w:b/>
          <w:bCs/>
          <w:i/>
          <w:sz w:val="20"/>
        </w:rPr>
        <w:t>CZ</w:t>
      </w:r>
      <w:r>
        <w:rPr>
          <w:rFonts w:ascii="Times New Roman" w:hAnsi="Times New Roman"/>
          <w:i/>
          <w:sz w:val="20"/>
        </w:rPr>
        <w:t xml:space="preserve"> et, jusqu’en 2016, en </w:t>
      </w:r>
      <w:r>
        <w:rPr>
          <w:rFonts w:ascii="Times New Roman" w:hAnsi="Times New Roman"/>
          <w:b/>
          <w:bCs/>
          <w:i/>
          <w:sz w:val="20"/>
        </w:rPr>
        <w:t>SK</w:t>
      </w:r>
      <w:r>
        <w:rPr>
          <w:rFonts w:ascii="Times New Roman" w:hAnsi="Times New Roman"/>
          <w:i/>
          <w:sz w:val="20"/>
        </w:rPr>
        <w:t xml:space="preserve">, les données relatives aux affaires pendantes couvrent tous les degrés d’instance. Le </w:t>
      </w:r>
      <w:r>
        <w:rPr>
          <w:rFonts w:ascii="Times New Roman" w:hAnsi="Times New Roman"/>
          <w:b/>
          <w:bCs/>
          <w:i/>
          <w:sz w:val="20"/>
        </w:rPr>
        <w:t>DK</w:t>
      </w:r>
      <w:r>
        <w:rPr>
          <w:rFonts w:ascii="Times New Roman" w:hAnsi="Times New Roman"/>
          <w:i/>
          <w:sz w:val="20"/>
        </w:rPr>
        <w:t xml:space="preserve"> et l’</w:t>
      </w:r>
      <w:r>
        <w:rPr>
          <w:rFonts w:ascii="Times New Roman" w:hAnsi="Times New Roman"/>
          <w:b/>
          <w:bCs/>
          <w:i/>
          <w:sz w:val="20"/>
        </w:rPr>
        <w:t>IE</w:t>
      </w:r>
      <w:r>
        <w:rPr>
          <w:rFonts w:ascii="Times New Roman" w:hAnsi="Times New Roman"/>
          <w:i/>
          <w:sz w:val="20"/>
        </w:rPr>
        <w:t xml:space="preserve"> n’enregistrent pas séparément les affaires administratives. </w:t>
      </w:r>
      <w:r>
        <w:rPr>
          <w:rFonts w:ascii="Times New Roman" w:hAnsi="Times New Roman"/>
          <w:b/>
          <w:i/>
          <w:sz w:val="20"/>
        </w:rPr>
        <w:t>CY</w:t>
      </w:r>
      <w:r>
        <w:rPr>
          <w:rFonts w:ascii="Times New Roman" w:hAnsi="Times New Roman"/>
          <w:i/>
          <w:sz w:val="20"/>
        </w:rPr>
        <w:t>: en 2018</w:t>
      </w:r>
      <w:r>
        <w:rPr>
          <w:rFonts w:ascii="Times New Roman" w:hAnsi="Times New Roman"/>
          <w:i/>
          <w:sz w:val="20"/>
        </w:rPr>
        <w:t>, le nombre d’affaires tranchées a augmenté en conséquence de la jonction d’affaires, du retrait de 2 724 affaires consolidées et de la création d’un tribunal administratif il y a deux ans.</w:t>
      </w:r>
    </w:p>
    <w:p w:rsidR="00D23207" w:rsidRDefault="00493C98">
      <w:pPr>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9</w:t>
      </w:r>
      <w:r>
        <w:fldChar w:fldCharType="end"/>
      </w:r>
      <w:r>
        <w:rPr>
          <w:rFonts w:ascii="Times New Roman" w:hAnsi="Times New Roman"/>
          <w:b/>
          <w:bCs/>
          <w:sz w:val="24"/>
          <w:szCs w:val="24"/>
        </w:rPr>
        <w:t xml:space="preserve">: estimation du temps nécessaire pour trancher les </w:t>
      </w:r>
      <w:r>
        <w:rPr>
          <w:rFonts w:ascii="Times New Roman" w:hAnsi="Times New Roman"/>
          <w:b/>
          <w:bCs/>
          <w:sz w:val="24"/>
          <w:szCs w:val="24"/>
          <w:u w:val="single"/>
        </w:rPr>
        <w:t>affaires administratives</w:t>
      </w:r>
      <w:r>
        <w:rPr>
          <w:rFonts w:ascii="Times New Roman" w:hAnsi="Times New Roman"/>
        </w:rPr>
        <w:t> (</w:t>
      </w:r>
      <w:r>
        <w:t>*</w:t>
      </w:r>
      <w:r>
        <w:rPr>
          <w:rFonts w:ascii="Times New Roman" w:hAnsi="Times New Roman"/>
        </w:rPr>
        <w:t>)</w:t>
      </w:r>
      <w:r>
        <w:rPr>
          <w:b/>
          <w:bCs/>
          <w:sz w:val="24"/>
          <w:szCs w:val="24"/>
        </w:rPr>
        <w:t xml:space="preserve"> </w:t>
      </w:r>
      <w:r>
        <w:rPr>
          <w:rFonts w:ascii="Times New Roman" w:hAnsi="Times New Roman"/>
          <w:b/>
          <w:bCs/>
          <w:sz w:val="24"/>
          <w:szCs w:val="24"/>
        </w:rPr>
        <w:t xml:space="preserve">à </w:t>
      </w:r>
      <w:r>
        <w:rPr>
          <w:rFonts w:ascii="Times New Roman" w:hAnsi="Times New Roman"/>
          <w:b/>
          <w:bCs/>
          <w:sz w:val="24"/>
          <w:szCs w:val="24"/>
          <w:u w:val="single"/>
        </w:rPr>
        <w:t>tous</w:t>
      </w:r>
      <w:r>
        <w:rPr>
          <w:rFonts w:ascii="Times New Roman" w:hAnsi="Times New Roman"/>
          <w:b/>
          <w:bCs/>
          <w:sz w:val="24"/>
          <w:szCs w:val="24"/>
        </w:rPr>
        <w:t xml:space="preserve"> les degrés d’instances en 2018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et, le cas échéant, 2</w:t>
      </w:r>
      <w:r>
        <w:rPr>
          <w:rFonts w:ascii="Times New Roman" w:hAnsi="Times New Roman"/>
          <w:i/>
          <w:iCs/>
          <w:sz w:val="24"/>
          <w:szCs w:val="24"/>
          <w:vertAlign w:val="superscript"/>
        </w:rPr>
        <w:t>e</w:t>
      </w:r>
      <w:r>
        <w:rPr>
          <w:rFonts w:ascii="Times New Roman" w:hAnsi="Times New Roman"/>
          <w:i/>
          <w:iCs/>
          <w:sz w:val="24"/>
          <w:szCs w:val="24"/>
        </w:rPr>
        <w:t xml:space="preserve"> et 3</w:t>
      </w:r>
      <w:r>
        <w:rPr>
          <w:rFonts w:ascii="Times New Roman" w:hAnsi="Times New Roman"/>
          <w:i/>
          <w:iCs/>
          <w:sz w:val="24"/>
          <w:szCs w:val="24"/>
          <w:vertAlign w:val="superscript"/>
        </w:rPr>
        <w:t>e</w:t>
      </w:r>
      <w:r>
        <w:rPr>
          <w:rFonts w:ascii="Times New Roman" w:hAnsi="Times New Roman"/>
          <w:i/>
          <w:iCs/>
          <w:sz w:val="24"/>
          <w:szCs w:val="24"/>
        </w:rPr>
        <w:t> instances, en jours) (source: étude de la CEPEJ)</w:t>
      </w:r>
      <w:bookmarkStart w:id="130" w:name="_Toc409530219"/>
      <w:bookmarkStart w:id="131" w:name="_Toc438545669"/>
      <w:bookmarkStart w:id="132" w:name="_Toc438548319"/>
      <w:bookmarkStart w:id="133" w:name="_Toc438548505"/>
      <w:bookmarkStart w:id="134" w:name="_Toc440017695"/>
      <w:bookmarkStart w:id="135" w:name="_Toc440018079"/>
      <w:bookmarkStart w:id="136" w:name="_Toc440033377"/>
      <w:bookmarkStart w:id="137" w:name="_Toc440035228"/>
      <w:bookmarkStart w:id="138" w:name="_Toc440036523"/>
      <w:bookmarkStart w:id="139" w:name="_Toc440042465"/>
      <w:bookmarkStart w:id="140" w:name="_Toc440291118"/>
      <w:bookmarkStart w:id="141" w:name="_Toc440294681"/>
      <w:bookmarkStart w:id="142" w:name="_Toc440295183"/>
      <w:bookmarkStart w:id="143" w:name="_Toc440296588"/>
      <w:bookmarkStart w:id="144" w:name="_Toc440625072"/>
      <w:bookmarkStart w:id="145" w:name="_Toc440626402"/>
      <w:bookmarkStart w:id="146" w:name="_Toc440628856"/>
      <w:bookmarkStart w:id="147" w:name="_Toc441571128"/>
      <w:bookmarkStart w:id="148" w:name="_Toc441581630"/>
      <w:bookmarkStart w:id="149" w:name="_Toc441585897"/>
      <w:bookmarkStart w:id="150" w:name="_Toc441595832"/>
      <w:bookmarkStart w:id="151" w:name="_Toc441596009"/>
      <w:bookmarkStart w:id="152" w:name="_Toc441748134"/>
      <w:bookmarkStart w:id="153" w:name="_Toc441755419"/>
      <w:bookmarkStart w:id="154" w:name="_Toc441756456"/>
      <w:bookmarkStart w:id="155" w:name="_Toc441757500"/>
      <w:bookmarkStart w:id="156" w:name="_Toc441766629"/>
      <w:bookmarkStart w:id="157" w:name="_Toc441766968"/>
      <w:bookmarkStart w:id="158" w:name="_Toc442187969"/>
      <w:bookmarkStart w:id="159" w:name="_Toc442262061"/>
      <w:bookmarkStart w:id="160" w:name="_Toc442362468"/>
      <w:bookmarkStart w:id="161" w:name="_Toc442374804"/>
      <w:bookmarkStart w:id="162" w:name="_Toc442425944"/>
      <w:bookmarkStart w:id="163" w:name="_Toc442453070"/>
      <w:bookmarkStart w:id="164" w:name="_Toc443484528"/>
      <w:bookmarkStart w:id="165" w:name="_Toc443484750"/>
      <w:bookmarkStart w:id="166" w:name="_Toc443509491"/>
      <w:bookmarkStart w:id="167" w:name="_Toc446014820"/>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szCs w:val="20"/>
          <w:lang w:val="en-GB" w:eastAsia="en-GB"/>
        </w:rPr>
        <w:drawing>
          <wp:inline distT="0" distB="0" distL="0" distR="0">
            <wp:extent cx="5963367" cy="2489981"/>
            <wp:effectExtent l="0" t="0" r="0" b="571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4726" cy="2498900"/>
                    </a:xfrm>
                    <a:prstGeom prst="rect">
                      <a:avLst/>
                    </a:prstGeom>
                    <a:noFill/>
                    <a:ln>
                      <a:noFill/>
                    </a:ln>
                  </pic:spPr>
                </pic:pic>
              </a:graphicData>
            </a:graphic>
          </wp:inline>
        </w:drawing>
      </w:r>
      <w:r>
        <w:rPr>
          <w:rFonts w:ascii="Times New Roman" w:hAnsi="Times New Roman"/>
          <w:i/>
          <w:sz w:val="20"/>
          <w:szCs w:val="20"/>
        </w:rPr>
        <w:t xml:space="preserve"> (*)</w:t>
      </w:r>
      <w:r>
        <w:rPr>
          <w:rFonts w:ascii="Times New Roman" w:hAnsi="Times New Roman"/>
          <w:b/>
          <w:sz w:val="20"/>
          <w:szCs w:val="20"/>
        </w:rPr>
        <w:t xml:space="preserve"> </w:t>
      </w:r>
      <w:r>
        <w:rPr>
          <w:rFonts w:ascii="Times New Roman" w:hAnsi="Times New Roman"/>
          <w:i/>
          <w:sz w:val="20"/>
          <w:szCs w:val="20"/>
        </w:rPr>
        <w:t>L’ordre est déterminé par le degré d’instance af</w:t>
      </w:r>
      <w:r>
        <w:rPr>
          <w:rFonts w:ascii="Times New Roman" w:hAnsi="Times New Roman"/>
          <w:i/>
          <w:sz w:val="20"/>
          <w:szCs w:val="20"/>
        </w:rPr>
        <w:t xml:space="preserve">fichant les procédures les plus longues dans chaque État membre. Pas de données disponibles: </w:t>
      </w:r>
      <w:r>
        <w:rPr>
          <w:rFonts w:ascii="Times New Roman" w:hAnsi="Times New Roman"/>
          <w:i/>
          <w:iCs/>
          <w:sz w:val="20"/>
        </w:rPr>
        <w:t xml:space="preserve">pour la juridiction de première instance au </w:t>
      </w:r>
      <w:r>
        <w:rPr>
          <w:rFonts w:ascii="Times New Roman" w:hAnsi="Times New Roman"/>
          <w:b/>
          <w:bCs/>
          <w:i/>
          <w:iCs/>
          <w:sz w:val="20"/>
        </w:rPr>
        <w:t>LU</w:t>
      </w:r>
      <w:r>
        <w:rPr>
          <w:rFonts w:ascii="Times New Roman" w:hAnsi="Times New Roman"/>
          <w:i/>
          <w:iCs/>
          <w:sz w:val="20"/>
        </w:rPr>
        <w:t xml:space="preserve">, pour les juridictions de deuxième instance à </w:t>
      </w:r>
      <w:r>
        <w:rPr>
          <w:rFonts w:ascii="Times New Roman" w:hAnsi="Times New Roman"/>
          <w:b/>
          <w:bCs/>
          <w:i/>
          <w:iCs/>
          <w:sz w:val="20"/>
        </w:rPr>
        <w:t>MT</w:t>
      </w:r>
      <w:r>
        <w:rPr>
          <w:rFonts w:ascii="Times New Roman" w:hAnsi="Times New Roman"/>
          <w:i/>
          <w:iCs/>
          <w:sz w:val="20"/>
        </w:rPr>
        <w:t xml:space="preserve"> et en </w:t>
      </w:r>
      <w:r>
        <w:rPr>
          <w:rFonts w:ascii="Times New Roman" w:hAnsi="Times New Roman"/>
          <w:b/>
          <w:bCs/>
          <w:i/>
          <w:iCs/>
          <w:sz w:val="20"/>
        </w:rPr>
        <w:t>RO</w:t>
      </w:r>
      <w:r>
        <w:rPr>
          <w:rFonts w:ascii="Times New Roman" w:hAnsi="Times New Roman"/>
          <w:i/>
          <w:iCs/>
          <w:sz w:val="20"/>
        </w:rPr>
        <w:t xml:space="preserve">, et pour la juridiction de troisième instance aux </w:t>
      </w:r>
      <w:r>
        <w:rPr>
          <w:rFonts w:ascii="Times New Roman" w:hAnsi="Times New Roman"/>
          <w:b/>
          <w:bCs/>
          <w:i/>
          <w:iCs/>
          <w:sz w:val="20"/>
        </w:rPr>
        <w:t>NL</w:t>
      </w:r>
      <w:r>
        <w:rPr>
          <w:rFonts w:ascii="Times New Roman" w:hAnsi="Times New Roman"/>
          <w:i/>
          <w:iCs/>
          <w:sz w:val="20"/>
        </w:rPr>
        <w:t>. La C</w:t>
      </w:r>
      <w:r>
        <w:rPr>
          <w:rFonts w:ascii="Times New Roman" w:hAnsi="Times New Roman"/>
          <w:i/>
          <w:iCs/>
          <w:sz w:val="20"/>
        </w:rPr>
        <w:t xml:space="preserve">our suprême ou toute autre juridiction la plus élevée de l’ordre judiciaire sont les seules instances d’appel en </w:t>
      </w:r>
      <w:r>
        <w:rPr>
          <w:rFonts w:ascii="Times New Roman" w:hAnsi="Times New Roman"/>
          <w:b/>
          <w:bCs/>
          <w:i/>
          <w:iCs/>
          <w:sz w:val="20"/>
        </w:rPr>
        <w:t>CZ</w:t>
      </w:r>
      <w:r>
        <w:rPr>
          <w:rFonts w:ascii="Times New Roman" w:hAnsi="Times New Roman"/>
          <w:i/>
          <w:iCs/>
          <w:sz w:val="20"/>
        </w:rPr>
        <w:t xml:space="preserve">, </w:t>
      </w:r>
      <w:r>
        <w:rPr>
          <w:rFonts w:ascii="Times New Roman" w:hAnsi="Times New Roman"/>
          <w:b/>
          <w:bCs/>
          <w:i/>
          <w:iCs/>
          <w:sz w:val="20"/>
        </w:rPr>
        <w:t>IT</w:t>
      </w:r>
      <w:r>
        <w:rPr>
          <w:rFonts w:ascii="Times New Roman" w:hAnsi="Times New Roman"/>
          <w:i/>
          <w:iCs/>
          <w:sz w:val="20"/>
        </w:rPr>
        <w:t xml:space="preserve">, à </w:t>
      </w:r>
      <w:r>
        <w:rPr>
          <w:rFonts w:ascii="Times New Roman" w:hAnsi="Times New Roman"/>
          <w:b/>
          <w:bCs/>
          <w:i/>
          <w:iCs/>
          <w:sz w:val="20"/>
        </w:rPr>
        <w:t>CY</w:t>
      </w:r>
      <w:r>
        <w:rPr>
          <w:rFonts w:ascii="Times New Roman" w:hAnsi="Times New Roman"/>
          <w:i/>
          <w:iCs/>
          <w:sz w:val="20"/>
        </w:rPr>
        <w:t xml:space="preserve">, en </w:t>
      </w:r>
      <w:r>
        <w:rPr>
          <w:rFonts w:ascii="Times New Roman" w:hAnsi="Times New Roman"/>
          <w:b/>
          <w:bCs/>
          <w:i/>
          <w:iCs/>
          <w:sz w:val="20"/>
        </w:rPr>
        <w:t>AT</w:t>
      </w:r>
      <w:r>
        <w:rPr>
          <w:rFonts w:ascii="Times New Roman" w:hAnsi="Times New Roman"/>
          <w:i/>
          <w:iCs/>
          <w:sz w:val="20"/>
        </w:rPr>
        <w:t xml:space="preserve">, </w:t>
      </w:r>
      <w:r>
        <w:rPr>
          <w:rFonts w:ascii="Times New Roman" w:hAnsi="Times New Roman"/>
          <w:b/>
          <w:bCs/>
          <w:i/>
          <w:iCs/>
          <w:sz w:val="20"/>
        </w:rPr>
        <w:t>SI</w:t>
      </w:r>
      <w:r>
        <w:rPr>
          <w:rFonts w:ascii="Times New Roman" w:hAnsi="Times New Roman"/>
          <w:i/>
          <w:iCs/>
          <w:sz w:val="20"/>
        </w:rPr>
        <w:t xml:space="preserve"> et </w:t>
      </w:r>
      <w:r>
        <w:rPr>
          <w:rFonts w:ascii="Times New Roman" w:hAnsi="Times New Roman"/>
          <w:b/>
          <w:bCs/>
          <w:i/>
          <w:iCs/>
          <w:sz w:val="20"/>
        </w:rPr>
        <w:t>FI</w:t>
      </w:r>
      <w:r>
        <w:rPr>
          <w:rFonts w:ascii="Times New Roman" w:hAnsi="Times New Roman"/>
          <w:i/>
          <w:iCs/>
          <w:sz w:val="20"/>
        </w:rPr>
        <w:t xml:space="preserve">. Aucune juridiction de troisième instance pour ce type d’affaires en </w:t>
      </w:r>
      <w:r>
        <w:rPr>
          <w:rFonts w:ascii="Times New Roman" w:hAnsi="Times New Roman"/>
          <w:b/>
          <w:bCs/>
          <w:i/>
          <w:iCs/>
          <w:sz w:val="20"/>
        </w:rPr>
        <w:t>HR</w:t>
      </w:r>
      <w:r>
        <w:rPr>
          <w:rFonts w:ascii="Times New Roman" w:hAnsi="Times New Roman"/>
          <w:i/>
          <w:iCs/>
          <w:sz w:val="20"/>
        </w:rPr>
        <w:t xml:space="preserve">, </w:t>
      </w:r>
      <w:r>
        <w:rPr>
          <w:rFonts w:ascii="Times New Roman" w:hAnsi="Times New Roman"/>
          <w:b/>
          <w:bCs/>
          <w:i/>
          <w:iCs/>
          <w:sz w:val="20"/>
        </w:rPr>
        <w:t>LT</w:t>
      </w:r>
      <w:r>
        <w:rPr>
          <w:rFonts w:ascii="Times New Roman" w:hAnsi="Times New Roman"/>
          <w:i/>
          <w:iCs/>
          <w:sz w:val="20"/>
        </w:rPr>
        <w:t xml:space="preserve">, au </w:t>
      </w:r>
      <w:r>
        <w:rPr>
          <w:rFonts w:ascii="Times New Roman" w:hAnsi="Times New Roman"/>
          <w:b/>
          <w:bCs/>
          <w:i/>
          <w:iCs/>
          <w:sz w:val="20"/>
        </w:rPr>
        <w:t>LU</w:t>
      </w:r>
      <w:r>
        <w:rPr>
          <w:rFonts w:ascii="Times New Roman" w:hAnsi="Times New Roman"/>
          <w:i/>
          <w:iCs/>
          <w:sz w:val="20"/>
        </w:rPr>
        <w:t xml:space="preserve"> et à </w:t>
      </w:r>
      <w:r>
        <w:rPr>
          <w:rFonts w:ascii="Times New Roman" w:hAnsi="Times New Roman"/>
          <w:b/>
          <w:bCs/>
          <w:i/>
          <w:iCs/>
          <w:sz w:val="20"/>
        </w:rPr>
        <w:t>MT</w:t>
      </w:r>
      <w:r>
        <w:rPr>
          <w:rFonts w:ascii="Times New Roman" w:hAnsi="Times New Roman"/>
          <w:i/>
          <w:iCs/>
          <w:sz w:val="20"/>
        </w:rPr>
        <w:t xml:space="preserve">. La juridiction administrative la plus élevée est la juridiction de première et unique instance pour certaines affaires en </w:t>
      </w:r>
      <w:r>
        <w:rPr>
          <w:rFonts w:ascii="Times New Roman" w:hAnsi="Times New Roman"/>
          <w:b/>
          <w:bCs/>
          <w:i/>
          <w:iCs/>
          <w:sz w:val="20"/>
        </w:rPr>
        <w:t>BE</w:t>
      </w:r>
      <w:r>
        <w:rPr>
          <w:rFonts w:ascii="Times New Roman" w:hAnsi="Times New Roman"/>
          <w:i/>
          <w:iCs/>
          <w:sz w:val="20"/>
        </w:rPr>
        <w:t>.</w:t>
      </w:r>
      <w:r>
        <w:rPr>
          <w:rFonts w:ascii="Times New Roman" w:hAnsi="Times New Roman"/>
          <w:i/>
          <w:sz w:val="20"/>
          <w:szCs w:val="20"/>
        </w:rPr>
        <w:t xml:space="preserve"> L’accès à la juridiction de troisième instance peut être limité dans certains États membres. Le </w:t>
      </w:r>
      <w:r>
        <w:rPr>
          <w:rFonts w:ascii="Times New Roman" w:hAnsi="Times New Roman"/>
          <w:b/>
          <w:bCs/>
          <w:i/>
          <w:sz w:val="20"/>
          <w:szCs w:val="20"/>
        </w:rPr>
        <w:t>DK</w:t>
      </w:r>
      <w:r>
        <w:rPr>
          <w:rFonts w:ascii="Times New Roman" w:hAnsi="Times New Roman"/>
          <w:i/>
          <w:sz w:val="20"/>
          <w:szCs w:val="20"/>
        </w:rPr>
        <w:t xml:space="preserve"> et l’</w:t>
      </w:r>
      <w:r>
        <w:rPr>
          <w:rFonts w:ascii="Times New Roman" w:hAnsi="Times New Roman"/>
          <w:b/>
          <w:bCs/>
          <w:i/>
          <w:sz w:val="20"/>
          <w:szCs w:val="20"/>
        </w:rPr>
        <w:t>IE</w:t>
      </w:r>
      <w:r>
        <w:rPr>
          <w:rFonts w:ascii="Times New Roman" w:hAnsi="Times New Roman"/>
          <w:i/>
          <w:sz w:val="20"/>
          <w:szCs w:val="20"/>
        </w:rPr>
        <w:t xml:space="preserve"> n’enregistrent pas le</w:t>
      </w:r>
      <w:r>
        <w:rPr>
          <w:rFonts w:ascii="Times New Roman" w:hAnsi="Times New Roman"/>
          <w:i/>
          <w:sz w:val="20"/>
          <w:szCs w:val="20"/>
        </w:rPr>
        <w:t>s affaires administratives séparément.</w:t>
      </w:r>
    </w:p>
    <w:p w:rsidR="00D23207" w:rsidRDefault="00493C98">
      <w:pPr>
        <w:keepNext/>
        <w:tabs>
          <w:tab w:val="left" w:pos="850"/>
        </w:tabs>
        <w:spacing w:before="240" w:after="120" w:line="240" w:lineRule="auto"/>
        <w:ind w:left="850" w:hanging="850"/>
        <w:jc w:val="both"/>
        <w:outlineLvl w:val="2"/>
        <w:rPr>
          <w:rFonts w:ascii="Times New Roman" w:eastAsia="Times New Roman" w:hAnsi="Times New Roman" w:cs="Times New Roman"/>
          <w:i/>
          <w:sz w:val="24"/>
          <w:szCs w:val="24"/>
        </w:rPr>
      </w:pPr>
      <w:r>
        <w:rPr>
          <w:rFonts w:ascii="Times New Roman" w:hAnsi="Times New Roman"/>
          <w:i/>
          <w:sz w:val="24"/>
          <w:szCs w:val="24"/>
        </w:rPr>
        <w:sym w:font="Symbol" w:char="F02D"/>
      </w:r>
      <w:r>
        <w:rPr>
          <w:rFonts w:ascii="Times New Roman" w:hAnsi="Times New Roman"/>
          <w:i/>
          <w:sz w:val="24"/>
          <w:szCs w:val="24"/>
        </w:rPr>
        <w:t xml:space="preserve"> Taux de variation du stock d’affaires pendantes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Times New Roman" w:hAnsi="Times New Roman"/>
          <w:i/>
          <w:sz w:val="24"/>
          <w:szCs w:val="24"/>
        </w:rPr>
        <w:t xml:space="preserve"> </w:t>
      </w:r>
      <w:r>
        <w:rPr>
          <w:rFonts w:ascii="Times New Roman" w:hAnsi="Times New Roman"/>
          <w:sz w:val="24"/>
          <w:szCs w:val="24"/>
        </w:rPr>
        <w:t>–</w:t>
      </w:r>
    </w:p>
    <w:p w:rsidR="00D23207" w:rsidRDefault="00493C98">
      <w:pPr>
        <w:spacing w:after="120" w:line="240" w:lineRule="auto"/>
        <w:jc w:val="both"/>
        <w:rPr>
          <w:rFonts w:ascii="Times New Roman" w:eastAsia="Times New Roman" w:hAnsi="Times New Roman" w:cs="Times New Roman"/>
          <w:b/>
          <w:sz w:val="24"/>
          <w:szCs w:val="24"/>
        </w:rPr>
      </w:pPr>
      <w:r>
        <w:rPr>
          <w:rFonts w:ascii="Times New Roman" w:hAnsi="Times New Roman"/>
          <w:sz w:val="24"/>
          <w:szCs w:val="24"/>
        </w:rPr>
        <w:t>Le taux de variation du stock d’affaires pendantes correspond au rapport entre le nombre d’affaires tranchées et le nombre d’affaires nouvelles («entrantes»). Cet in</w:t>
      </w:r>
      <w:r>
        <w:rPr>
          <w:rFonts w:ascii="Times New Roman" w:hAnsi="Times New Roman"/>
          <w:sz w:val="24"/>
          <w:szCs w:val="24"/>
        </w:rPr>
        <w:t>dicateur mesure si une juridiction ne se laisse pas déborder par les affaires nouvelles dont elle est saisie. Un taux de variation du stock d’affaires pendantes d’environ 100 %, ou supérieur, signifie que les juridictions sont en mesure de statuer sur au m</w:t>
      </w:r>
      <w:r>
        <w:rPr>
          <w:rFonts w:ascii="Times New Roman" w:hAnsi="Times New Roman"/>
          <w:sz w:val="24"/>
          <w:szCs w:val="24"/>
        </w:rPr>
        <w:t>oins autant d’affaires que le nombre d’affaires entrantes. Un taux inférieur à 100 % signifie qu’elles en jugent moins que le nombre d’affaires nouvelles.</w:t>
      </w:r>
    </w:p>
    <w:p w:rsidR="00D23207" w:rsidRDefault="00493C98">
      <w:pPr>
        <w:keepNext/>
        <w:spacing w:before="240" w:after="0" w:line="240" w:lineRule="auto"/>
        <w:jc w:val="both"/>
        <w:rPr>
          <w:rFonts w:ascii="Times New Roman" w:eastAsia="Calibri" w:hAnsi="Times New Roman" w:cs="Times New Roman"/>
          <w:i/>
          <w:sz w:val="24"/>
          <w:szCs w:val="24"/>
        </w:rPr>
      </w:pPr>
      <w:bookmarkStart w:id="168" w:name="_Ref442281972"/>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10</w:t>
      </w:r>
      <w:r>
        <w:fldChar w:fldCharType="end"/>
      </w:r>
      <w:bookmarkEnd w:id="168"/>
      <w:r>
        <w:rPr>
          <w:rFonts w:ascii="Times New Roman" w:hAnsi="Times New Roman"/>
          <w:b/>
          <w:bCs/>
          <w:sz w:val="24"/>
          <w:szCs w:val="24"/>
        </w:rPr>
        <w:t>: taux d’</w:t>
      </w:r>
      <w:r>
        <w:rPr>
          <w:rFonts w:ascii="Times New Roman" w:hAnsi="Times New Roman"/>
          <w:b/>
          <w:bCs/>
          <w:sz w:val="24"/>
          <w:szCs w:val="24"/>
          <w:u w:val="single"/>
        </w:rPr>
        <w:t xml:space="preserve">affaires civiles, commerciales, administratives et </w:t>
      </w:r>
      <w:r>
        <w:rPr>
          <w:rFonts w:ascii="Times New Roman" w:hAnsi="Times New Roman"/>
          <w:b/>
          <w:bCs/>
          <w:sz w:val="24"/>
          <w:szCs w:val="24"/>
          <w:u w:val="single"/>
        </w:rPr>
        <w:t>autres</w:t>
      </w:r>
      <w:r>
        <w:rPr>
          <w:rFonts w:ascii="Times New Roman" w:hAnsi="Times New Roman"/>
          <w:b/>
          <w:bCs/>
          <w:sz w:val="24"/>
          <w:szCs w:val="24"/>
        </w:rPr>
        <w:t xml:space="preserve"> tranchées, 2012-2018 </w:t>
      </w:r>
      <w:r>
        <w:rPr>
          <w:rFonts w:ascii="Times New Roman" w:hAnsi="Times New Roman"/>
        </w:rPr>
        <w:t>(</w:t>
      </w:r>
      <w:r>
        <w:t>*</w:t>
      </w:r>
      <w:r>
        <w:rPr>
          <w:rFonts w:ascii="Times New Roman" w:hAnsi="Times New Roman"/>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en % – des valeurs supérieures à 100 % indiquent que plus d’affaires sont tranchées qu’il n’en arrive de nouvelles, tandis que des valeurs inférieures à 100 % indiquent le contraire) (source: étude de la CEPEJ</w:t>
      </w:r>
      <w:r>
        <w:rPr>
          <w:rFonts w:ascii="Times New Roman" w:hAnsi="Times New Roman"/>
          <w:i/>
          <w:iCs/>
          <w:sz w:val="24"/>
          <w:szCs w:val="24"/>
        </w:rPr>
        <w:t>)</w:t>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6175766" cy="253818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85641" cy="2542243"/>
                    </a:xfrm>
                    <a:prstGeom prst="rect">
                      <a:avLst/>
                    </a:prstGeom>
                    <a:noFill/>
                    <a:ln>
                      <a:noFill/>
                    </a:ln>
                  </pic:spPr>
                </pic:pic>
              </a:graphicData>
            </a:graphic>
          </wp:inline>
        </w:drawing>
      </w:r>
      <w:r>
        <w:rPr>
          <w:rFonts w:ascii="Times New Roman" w:hAnsi="Times New Roman"/>
          <w:i/>
          <w:sz w:val="20"/>
        </w:rPr>
        <w:t xml:space="preserve"> (*) Changements méthodologiques en </w:t>
      </w:r>
      <w:r>
        <w:rPr>
          <w:rFonts w:ascii="Times New Roman" w:hAnsi="Times New Roman"/>
          <w:b/>
          <w:bCs/>
          <w:i/>
          <w:sz w:val="20"/>
        </w:rPr>
        <w:t>SK</w:t>
      </w:r>
      <w:r>
        <w:rPr>
          <w:rFonts w:ascii="Times New Roman" w:hAnsi="Times New Roman"/>
          <w:i/>
          <w:sz w:val="20"/>
        </w:rPr>
        <w:t xml:space="preserve">. </w:t>
      </w:r>
      <w:r>
        <w:rPr>
          <w:rFonts w:ascii="Times New Roman" w:hAnsi="Times New Roman"/>
          <w:b/>
          <w:bCs/>
          <w:i/>
          <w:sz w:val="20"/>
        </w:rPr>
        <w:t>IE</w:t>
      </w:r>
      <w:r>
        <w:rPr>
          <w:rFonts w:ascii="Times New Roman" w:hAnsi="Times New Roman"/>
          <w:i/>
          <w:sz w:val="20"/>
        </w:rPr>
        <w:t xml:space="preserve">: en raison de la méthode utilisée, le nombre d’affaires tranchées est probablement sous-estimé. </w:t>
      </w:r>
      <w:r>
        <w:rPr>
          <w:rFonts w:ascii="Times New Roman" w:hAnsi="Times New Roman"/>
          <w:b/>
          <w:i/>
          <w:sz w:val="20"/>
        </w:rPr>
        <w:t>IT</w:t>
      </w:r>
      <w:r>
        <w:rPr>
          <w:rFonts w:ascii="Times New Roman" w:hAnsi="Times New Roman"/>
          <w:i/>
          <w:sz w:val="20"/>
        </w:rPr>
        <w:t>: classification différente des affaires civiles introduite en 2013.</w:t>
      </w:r>
    </w:p>
    <w:p w:rsidR="00D23207" w:rsidRDefault="00493C98">
      <w:pPr>
        <w:keepNext/>
        <w:spacing w:before="240" w:after="0" w:line="240" w:lineRule="auto"/>
        <w:jc w:val="both"/>
        <w:rPr>
          <w:rFonts w:ascii="Times New Roman" w:eastAsia="Calibri" w:hAnsi="Times New Roman" w:cs="Times New Roman"/>
          <w:i/>
          <w:sz w:val="24"/>
          <w:szCs w:val="24"/>
        </w:rPr>
      </w:pPr>
      <w:bookmarkStart w:id="169" w:name="_Ref442281977"/>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11</w:t>
      </w:r>
      <w:r>
        <w:fldChar w:fldCharType="end"/>
      </w:r>
      <w:bookmarkEnd w:id="169"/>
      <w:r>
        <w:rPr>
          <w:rFonts w:ascii="Times New Roman" w:hAnsi="Times New Roman"/>
          <w:b/>
          <w:bCs/>
          <w:sz w:val="24"/>
          <w:szCs w:val="24"/>
        </w:rPr>
        <w:t>: taux</w:t>
      </w:r>
      <w:r>
        <w:rPr>
          <w:rFonts w:ascii="Times New Roman" w:hAnsi="Times New Roman"/>
          <w:b/>
          <w:bCs/>
          <w:sz w:val="24"/>
          <w:szCs w:val="24"/>
        </w:rPr>
        <w:t xml:space="preserve"> d’affaires </w:t>
      </w:r>
      <w:r>
        <w:rPr>
          <w:rFonts w:ascii="Times New Roman" w:hAnsi="Times New Roman"/>
          <w:b/>
          <w:bCs/>
          <w:sz w:val="24"/>
          <w:szCs w:val="24"/>
          <w:u w:val="single"/>
        </w:rPr>
        <w:t>civiles et commerciales contentieuses tranchées, 2012-2018</w:t>
      </w:r>
      <w:r>
        <w:rPr>
          <w:rFonts w:ascii="Times New Roman" w:hAnsi="Times New Roman"/>
        </w:rPr>
        <w:t> (</w:t>
      </w:r>
      <w:r>
        <w:t>*</w:t>
      </w:r>
      <w:r>
        <w:rPr>
          <w:rFonts w:ascii="Times New Roman" w:hAnsi="Times New Roman"/>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en %) (source: étude de la CEPEJ)</w:t>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6014232" cy="2490880"/>
            <wp:effectExtent l="0" t="0" r="5715" b="508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20677" cy="2493549"/>
                    </a:xfrm>
                    <a:prstGeom prst="rect">
                      <a:avLst/>
                    </a:prstGeom>
                    <a:noFill/>
                    <a:ln>
                      <a:noFill/>
                    </a:ln>
                  </pic:spPr>
                </pic:pic>
              </a:graphicData>
            </a:graphic>
          </wp:inline>
        </w:drawing>
      </w:r>
      <w:r>
        <w:rPr>
          <w:rFonts w:ascii="Times New Roman" w:hAnsi="Times New Roman"/>
          <w:i/>
          <w:sz w:val="20"/>
        </w:rPr>
        <w:t xml:space="preserve"> (*)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xml:space="preserve">. </w:t>
      </w:r>
      <w:r>
        <w:rPr>
          <w:rFonts w:ascii="Times New Roman" w:hAnsi="Times New Roman"/>
          <w:b/>
          <w:bCs/>
          <w:i/>
          <w:sz w:val="20"/>
        </w:rPr>
        <w:t>IE</w:t>
      </w:r>
      <w:r>
        <w:rPr>
          <w:rFonts w:ascii="Times New Roman" w:hAnsi="Times New Roman"/>
          <w:i/>
          <w:sz w:val="20"/>
        </w:rPr>
        <w:t xml:space="preserve">: en raison de la méthode utilisée, le nombre d’affaires tranchées est probablement sous-estimé. </w:t>
      </w:r>
      <w:r>
        <w:rPr>
          <w:rFonts w:ascii="Times New Roman" w:hAnsi="Times New Roman"/>
          <w:b/>
          <w:i/>
          <w:sz w:val="20"/>
        </w:rPr>
        <w:t>IT</w:t>
      </w:r>
      <w:r>
        <w:rPr>
          <w:rFonts w:ascii="Times New Roman" w:hAnsi="Times New Roman"/>
          <w:i/>
          <w:sz w:val="20"/>
        </w:rPr>
        <w:t xml:space="preserve">: classification différente des affaires civiles introduite en 2013. Les données concernant les </w:t>
      </w:r>
      <w:r>
        <w:rPr>
          <w:rFonts w:ascii="Times New Roman" w:hAnsi="Times New Roman"/>
          <w:b/>
          <w:bCs/>
          <w:i/>
          <w:sz w:val="20"/>
        </w:rPr>
        <w:t>NL</w:t>
      </w:r>
      <w:r>
        <w:rPr>
          <w:rFonts w:ascii="Times New Roman" w:hAnsi="Times New Roman"/>
          <w:i/>
          <w:sz w:val="20"/>
        </w:rPr>
        <w:t xml:space="preserve"> englobent les affaires non contentieuses.</w:t>
      </w:r>
    </w:p>
    <w:p w:rsidR="00D23207" w:rsidRDefault="00493C98">
      <w:pPr>
        <w:keepNext/>
        <w:spacing w:before="240" w:after="0" w:line="240" w:lineRule="auto"/>
        <w:jc w:val="both"/>
        <w:rPr>
          <w:rFonts w:ascii="Times New Roman" w:eastAsia="Calibri" w:hAnsi="Times New Roman" w:cs="Times New Roman"/>
          <w:i/>
          <w:sz w:val="24"/>
          <w:szCs w:val="24"/>
        </w:rPr>
      </w:pPr>
      <w:bookmarkStart w:id="170" w:name="_Ref442281982"/>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w:instrText>
      </w:r>
      <w:r>
        <w:rPr>
          <w:rFonts w:ascii="Times New Roman" w:eastAsia="Calibri" w:hAnsi="Times New Roman" w:cs="Times New Roman"/>
          <w:b/>
          <w:sz w:val="24"/>
        </w:rPr>
        <w:instrText xml:space="preserve">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12</w:t>
      </w:r>
      <w:r>
        <w:fldChar w:fldCharType="end"/>
      </w:r>
      <w:bookmarkEnd w:id="170"/>
      <w:r>
        <w:rPr>
          <w:rFonts w:ascii="Times New Roman" w:hAnsi="Times New Roman"/>
          <w:b/>
          <w:bCs/>
          <w:sz w:val="24"/>
          <w:szCs w:val="24"/>
        </w:rPr>
        <w:t>: taux d’</w:t>
      </w:r>
      <w:r>
        <w:rPr>
          <w:rFonts w:ascii="Times New Roman" w:hAnsi="Times New Roman"/>
          <w:b/>
          <w:bCs/>
          <w:sz w:val="24"/>
          <w:szCs w:val="24"/>
          <w:u w:val="single"/>
        </w:rPr>
        <w:t>affaires administratives tranchées, 2012-2018</w:t>
      </w:r>
      <w:r>
        <w:rPr>
          <w:rFonts w:ascii="Times New Roman" w:hAnsi="Times New Roman"/>
          <w:b/>
          <w:bCs/>
          <w:u w:val="single"/>
        </w:rPr>
        <w:t> </w:t>
      </w:r>
      <w:r>
        <w:rPr>
          <w:rFonts w:ascii="Times New Roman" w:hAnsi="Times New Roman"/>
        </w:rPr>
        <w:t>(</w:t>
      </w:r>
      <w:r>
        <w:t>*</w:t>
      </w:r>
      <w:r>
        <w:rPr>
          <w:rFonts w:ascii="Times New Roman" w:hAnsi="Times New Roman"/>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en %) (source: étude de la CEPEJ)</w:t>
      </w:r>
    </w:p>
    <w:p w:rsidR="00D23207" w:rsidRDefault="00493C98">
      <w:pPr>
        <w:keepNext/>
        <w:spacing w:after="0" w:line="240" w:lineRule="auto"/>
        <w:jc w:val="both"/>
        <w:rPr>
          <w:rFonts w:ascii="Times New Roman" w:eastAsia="Calibri" w:hAnsi="Times New Roman" w:cs="Times New Roman"/>
          <w:i/>
          <w:sz w:val="20"/>
        </w:rPr>
      </w:pPr>
      <w:r>
        <w:rPr>
          <w:i/>
          <w:lang w:val="en-GB" w:eastAsia="en-GB"/>
        </w:rPr>
        <w:drawing>
          <wp:inline distT="0" distB="0" distL="0" distR="0">
            <wp:extent cx="6007003" cy="2446523"/>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9005" cy="2451411"/>
                    </a:xfrm>
                    <a:prstGeom prst="rect">
                      <a:avLst/>
                    </a:prstGeom>
                    <a:noFill/>
                    <a:ln>
                      <a:noFill/>
                    </a:ln>
                  </pic:spPr>
                </pic:pic>
              </a:graphicData>
            </a:graphic>
          </wp:inline>
        </w:drawing>
      </w:r>
      <w:r>
        <w:rPr>
          <w:i/>
        </w:rPr>
        <w:t xml:space="preserve"> (*)</w:t>
      </w:r>
      <w:r>
        <w:rPr>
          <w:rFonts w:ascii="Times New Roman" w:hAnsi="Times New Roman"/>
          <w:sz w:val="20"/>
        </w:rPr>
        <w:t xml:space="preserve"> </w:t>
      </w:r>
      <w:r>
        <w:rPr>
          <w:rFonts w:ascii="Times New Roman" w:hAnsi="Times New Roman"/>
          <w:i/>
          <w:iCs/>
          <w:sz w:val="20"/>
        </w:rPr>
        <w:t>Les valeurs passées pour certains États membres ont été réduites à des fins de présentation (</w:t>
      </w:r>
      <w:r>
        <w:rPr>
          <w:rFonts w:ascii="Times New Roman" w:hAnsi="Times New Roman"/>
          <w:b/>
          <w:bCs/>
          <w:i/>
          <w:iCs/>
          <w:sz w:val="20"/>
        </w:rPr>
        <w:t>CY</w:t>
      </w:r>
      <w:r>
        <w:rPr>
          <w:rFonts w:ascii="Times New Roman" w:hAnsi="Times New Roman"/>
          <w:i/>
          <w:iCs/>
          <w:sz w:val="20"/>
        </w:rPr>
        <w:t xml:space="preserve"> en 2018 = 219 %;</w:t>
      </w:r>
      <w:r>
        <w:rPr>
          <w:rFonts w:ascii="Times New Roman" w:hAnsi="Times New Roman"/>
          <w:i/>
          <w:sz w:val="20"/>
        </w:rPr>
        <w:t xml:space="preserve"> </w:t>
      </w:r>
      <w:r>
        <w:rPr>
          <w:rFonts w:ascii="Times New Roman" w:hAnsi="Times New Roman"/>
          <w:b/>
          <w:bCs/>
          <w:i/>
          <w:sz w:val="20"/>
        </w:rPr>
        <w:t>IT</w:t>
      </w:r>
      <w:r>
        <w:rPr>
          <w:rFonts w:ascii="Times New Roman" w:hAnsi="Times New Roman"/>
          <w:i/>
          <w:sz w:val="20"/>
        </w:rPr>
        <w:t xml:space="preserve"> en 2012 = 279,8 %).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xml:space="preserve">. Le </w:t>
      </w:r>
      <w:r>
        <w:rPr>
          <w:rFonts w:ascii="Times New Roman" w:hAnsi="Times New Roman"/>
          <w:b/>
          <w:bCs/>
          <w:i/>
          <w:sz w:val="20"/>
        </w:rPr>
        <w:t>DK</w:t>
      </w:r>
      <w:r>
        <w:rPr>
          <w:rFonts w:ascii="Times New Roman" w:hAnsi="Times New Roman"/>
          <w:i/>
          <w:sz w:val="20"/>
        </w:rPr>
        <w:t xml:space="preserve"> et l’</w:t>
      </w:r>
      <w:r>
        <w:rPr>
          <w:rFonts w:ascii="Times New Roman" w:hAnsi="Times New Roman"/>
          <w:b/>
          <w:bCs/>
          <w:i/>
          <w:sz w:val="20"/>
        </w:rPr>
        <w:t>IE</w:t>
      </w:r>
      <w:r>
        <w:rPr>
          <w:rFonts w:ascii="Times New Roman" w:hAnsi="Times New Roman"/>
          <w:i/>
          <w:sz w:val="20"/>
        </w:rPr>
        <w:t xml:space="preserve"> n’enregistrent pas séparément les affaires administratives. À </w:t>
      </w:r>
      <w:r>
        <w:rPr>
          <w:rFonts w:ascii="Times New Roman" w:hAnsi="Times New Roman"/>
          <w:b/>
          <w:bCs/>
          <w:i/>
          <w:sz w:val="20"/>
        </w:rPr>
        <w:t>CY</w:t>
      </w:r>
      <w:r>
        <w:rPr>
          <w:rFonts w:ascii="Times New Roman" w:hAnsi="Times New Roman"/>
          <w:i/>
          <w:sz w:val="20"/>
        </w:rPr>
        <w:t>, le nombre d’affaires tranchées a augmenté en conséquence de la jonction d’affaires, du retrait de 2 724 affaires c</w:t>
      </w:r>
      <w:r>
        <w:rPr>
          <w:rFonts w:ascii="Times New Roman" w:hAnsi="Times New Roman"/>
          <w:i/>
          <w:sz w:val="20"/>
        </w:rPr>
        <w:t>onsolidées et de la création d’un tribunal administratif il y a deux ans.</w:t>
      </w:r>
    </w:p>
    <w:p w:rsidR="00D23207" w:rsidRDefault="00493C98">
      <w:pPr>
        <w:keepNext/>
        <w:tabs>
          <w:tab w:val="left" w:pos="850"/>
        </w:tabs>
        <w:spacing w:before="240" w:after="120" w:line="240" w:lineRule="auto"/>
        <w:ind w:left="850" w:hanging="850"/>
        <w:jc w:val="both"/>
        <w:outlineLvl w:val="2"/>
        <w:rPr>
          <w:rFonts w:ascii="Times New Roman" w:eastAsia="Times New Roman" w:hAnsi="Times New Roman" w:cs="Times New Roman"/>
          <w:i/>
          <w:sz w:val="24"/>
          <w:szCs w:val="24"/>
        </w:rPr>
      </w:pPr>
      <w:bookmarkStart w:id="171" w:name="_Toc438545670"/>
      <w:bookmarkStart w:id="172" w:name="_Toc438548320"/>
      <w:bookmarkStart w:id="173" w:name="_Toc438548506"/>
      <w:bookmarkStart w:id="174" w:name="_Toc440017696"/>
      <w:bookmarkStart w:id="175" w:name="_Toc440018080"/>
      <w:bookmarkStart w:id="176" w:name="_Toc440033378"/>
      <w:bookmarkStart w:id="177" w:name="_Toc440035229"/>
      <w:bookmarkStart w:id="178" w:name="_Toc440036524"/>
      <w:bookmarkStart w:id="179" w:name="_Toc440042466"/>
      <w:bookmarkStart w:id="180" w:name="_Toc440291119"/>
      <w:bookmarkStart w:id="181" w:name="_Toc440294682"/>
      <w:bookmarkStart w:id="182" w:name="_Toc440295184"/>
      <w:bookmarkStart w:id="183" w:name="_Toc440296589"/>
      <w:bookmarkStart w:id="184" w:name="_Toc440625073"/>
      <w:bookmarkStart w:id="185" w:name="_Toc440626403"/>
      <w:bookmarkStart w:id="186" w:name="_Toc440628857"/>
      <w:bookmarkStart w:id="187" w:name="_Toc441571129"/>
      <w:bookmarkStart w:id="188" w:name="_Toc441581631"/>
      <w:bookmarkStart w:id="189" w:name="_Toc441585898"/>
      <w:bookmarkStart w:id="190" w:name="_Toc441595833"/>
      <w:bookmarkStart w:id="191" w:name="_Toc441596010"/>
      <w:bookmarkStart w:id="192" w:name="_Toc441748135"/>
      <w:bookmarkStart w:id="193" w:name="_Toc441755420"/>
      <w:bookmarkStart w:id="194" w:name="_Toc441756457"/>
      <w:bookmarkStart w:id="195" w:name="_Toc441757501"/>
      <w:bookmarkStart w:id="196" w:name="_Toc441766630"/>
      <w:bookmarkStart w:id="197" w:name="_Toc441766969"/>
      <w:bookmarkStart w:id="198" w:name="_Toc442187970"/>
      <w:bookmarkStart w:id="199" w:name="_Toc442262062"/>
      <w:bookmarkStart w:id="200" w:name="_Toc442362469"/>
      <w:bookmarkStart w:id="201" w:name="_Toc442374805"/>
      <w:bookmarkStart w:id="202" w:name="_Toc442425945"/>
      <w:bookmarkStart w:id="203" w:name="_Toc442453071"/>
      <w:bookmarkStart w:id="204" w:name="_Toc443484529"/>
      <w:bookmarkStart w:id="205" w:name="_Toc443484751"/>
      <w:bookmarkStart w:id="206" w:name="_Toc443509492"/>
      <w:bookmarkStart w:id="207" w:name="_Toc446014821"/>
      <w:r>
        <w:rPr>
          <w:rFonts w:ascii="Times New Roman" w:hAnsi="Times New Roman"/>
          <w:i/>
          <w:sz w:val="24"/>
          <w:szCs w:val="24"/>
        </w:rPr>
        <w:sym w:font="Symbol" w:char="F02D"/>
      </w:r>
      <w:r>
        <w:rPr>
          <w:rFonts w:ascii="Times New Roman" w:hAnsi="Times New Roman"/>
          <w:i/>
          <w:sz w:val="24"/>
          <w:szCs w:val="24"/>
        </w:rPr>
        <w:t xml:space="preserve"> </w:t>
      </w:r>
      <w:bookmarkStart w:id="208" w:name="_Toc409530220"/>
      <w:r>
        <w:rPr>
          <w:rFonts w:ascii="Times New Roman" w:hAnsi="Times New Roman"/>
          <w:i/>
          <w:sz w:val="24"/>
          <w:szCs w:val="24"/>
        </w:rPr>
        <w:t>Affaires pendantes</w:t>
      </w:r>
      <w:bookmarkEnd w:id="20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Times New Roman" w:hAnsi="Times New Roman"/>
          <w:i/>
          <w:sz w:val="24"/>
          <w:szCs w:val="24"/>
        </w:rPr>
        <w:t xml:space="preserve"> </w:t>
      </w:r>
      <w:r>
        <w:rPr>
          <w:rFonts w:ascii="Times New Roman" w:hAnsi="Times New Roman"/>
          <w:sz w:val="24"/>
          <w:szCs w:val="24"/>
        </w:rPr>
        <w:t>–</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Le nombre d’affaires pendantes correspond au nombre d’affaires restant à traiter à la fin de l’année en question. Il influence également la durée estimée d’éco</w:t>
      </w:r>
      <w:r>
        <w:rPr>
          <w:rFonts w:ascii="Times New Roman" w:hAnsi="Times New Roman"/>
          <w:sz w:val="24"/>
          <w:szCs w:val="24"/>
        </w:rPr>
        <w:t>ulement du stock d’affaires pendantes.</w:t>
      </w:r>
      <w:bookmarkStart w:id="209" w:name="_Ref442281988"/>
    </w:p>
    <w:p w:rsidR="00D23207" w:rsidRDefault="00493C98">
      <w:pPr>
        <w:spacing w:after="0" w:line="240" w:lineRule="auto"/>
        <w:jc w:val="both"/>
        <w:rPr>
          <w:rFonts w:ascii="Times New Roman" w:eastAsia="Times New Roman" w:hAnsi="Times New Roman" w:cs="Times New Roman"/>
          <w:i/>
          <w:iCs/>
          <w:sz w:val="24"/>
          <w:szCs w:val="24"/>
        </w:rPr>
      </w:pPr>
      <w:r>
        <w:rPr>
          <w:rFonts w:ascii="Times New Roman" w:hAnsi="Times New Roman"/>
          <w:b/>
          <w:bCs/>
          <w:sz w:val="24"/>
          <w:szCs w:val="24"/>
        </w:rPr>
        <w:t>Graphique </w:t>
      </w:r>
      <w:r>
        <w:fldChar w:fldCharType="begin"/>
      </w:r>
      <w:r>
        <w:rPr>
          <w:rFonts w:ascii="Times New Roman" w:eastAsia="Times New Roman" w:hAnsi="Times New Roman" w:cs="Times New Roman"/>
          <w:b/>
          <w:sz w:val="24"/>
          <w:szCs w:val="24"/>
        </w:rPr>
        <w:instrText xml:space="preserve"> SEQ Figure \* ARABIC </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bCs/>
          <w:sz w:val="24"/>
          <w:szCs w:val="24"/>
        </w:rPr>
        <w:t>13</w:t>
      </w:r>
      <w:r>
        <w:fldChar w:fldCharType="end"/>
      </w:r>
      <w:bookmarkEnd w:id="209"/>
      <w:r>
        <w:rPr>
          <w:rFonts w:ascii="Times New Roman" w:hAnsi="Times New Roman"/>
          <w:b/>
          <w:bCs/>
        </w:rPr>
        <w:t>:</w:t>
      </w:r>
      <w:r>
        <w:rPr>
          <w:rFonts w:ascii="Times New Roman" w:hAnsi="Times New Roman"/>
          <w:b/>
          <w:bCs/>
          <w:sz w:val="24"/>
          <w:szCs w:val="24"/>
        </w:rPr>
        <w:t xml:space="preserve"> nombre d’</w:t>
      </w:r>
      <w:r>
        <w:rPr>
          <w:rFonts w:ascii="Times New Roman" w:hAnsi="Times New Roman"/>
          <w:b/>
          <w:bCs/>
          <w:sz w:val="24"/>
          <w:szCs w:val="24"/>
          <w:u w:val="single"/>
        </w:rPr>
        <w:t>affaires civiles, commerciales, administratives et autres pendantes, 2012-2018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pour 100 habitants) (source: étude de la CEPEJ)</w:t>
      </w:r>
    </w:p>
    <w:p w:rsidR="00D23207" w:rsidRDefault="00493C98">
      <w:pPr>
        <w:spacing w:after="0" w:line="240" w:lineRule="auto"/>
        <w:jc w:val="both"/>
        <w:rPr>
          <w:rFonts w:ascii="Times New Roman" w:eastAsia="Times New Roman" w:hAnsi="Times New Roman" w:cs="Times New Roman"/>
          <w:i/>
          <w:sz w:val="20"/>
          <w:szCs w:val="24"/>
        </w:rPr>
      </w:pPr>
      <w:r>
        <w:rPr>
          <w:rFonts w:ascii="Times New Roman" w:hAnsi="Times New Roman"/>
          <w:i/>
          <w:sz w:val="20"/>
          <w:szCs w:val="24"/>
          <w:lang w:val="en-GB" w:eastAsia="en-GB"/>
        </w:rPr>
        <w:drawing>
          <wp:inline distT="0" distB="0" distL="0" distR="0">
            <wp:extent cx="6049352" cy="2351606"/>
            <wp:effectExtent l="0" t="0" r="889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62529" cy="2356728"/>
                    </a:xfrm>
                    <a:prstGeom prst="rect">
                      <a:avLst/>
                    </a:prstGeom>
                    <a:noFill/>
                    <a:ln>
                      <a:noFill/>
                    </a:ln>
                  </pic:spPr>
                </pic:pic>
              </a:graphicData>
            </a:graphic>
          </wp:inline>
        </w:drawing>
      </w:r>
      <w:r>
        <w:rPr>
          <w:rFonts w:ascii="Times New Roman" w:hAnsi="Times New Roman"/>
          <w:i/>
          <w:sz w:val="20"/>
          <w:szCs w:val="24"/>
        </w:rPr>
        <w:t xml:space="preserve"> (*) Changements méthodologiques en </w:t>
      </w:r>
      <w:r>
        <w:rPr>
          <w:rFonts w:ascii="Times New Roman" w:hAnsi="Times New Roman"/>
          <w:b/>
          <w:bCs/>
          <w:i/>
          <w:sz w:val="20"/>
          <w:szCs w:val="24"/>
        </w:rPr>
        <w:t>SK</w:t>
      </w:r>
      <w:r>
        <w:rPr>
          <w:rFonts w:ascii="Times New Roman" w:hAnsi="Times New Roman"/>
          <w:i/>
          <w:sz w:val="20"/>
          <w:szCs w:val="24"/>
        </w:rPr>
        <w:t xml:space="preserve">. Les affaires pendantes couvrent tous les degrés d’instance en </w:t>
      </w:r>
      <w:r>
        <w:rPr>
          <w:rFonts w:ascii="Times New Roman" w:hAnsi="Times New Roman"/>
          <w:b/>
          <w:bCs/>
          <w:i/>
          <w:sz w:val="20"/>
          <w:szCs w:val="24"/>
        </w:rPr>
        <w:t>CZ</w:t>
      </w:r>
      <w:r>
        <w:rPr>
          <w:rFonts w:ascii="Times New Roman" w:hAnsi="Times New Roman"/>
          <w:i/>
          <w:sz w:val="20"/>
          <w:szCs w:val="24"/>
        </w:rPr>
        <w:t xml:space="preserve"> et, jusqu’en 2016, en </w:t>
      </w:r>
      <w:r>
        <w:rPr>
          <w:rFonts w:ascii="Times New Roman" w:hAnsi="Times New Roman"/>
          <w:b/>
          <w:bCs/>
          <w:i/>
          <w:sz w:val="20"/>
          <w:szCs w:val="24"/>
        </w:rPr>
        <w:t>SK</w:t>
      </w:r>
      <w:r>
        <w:rPr>
          <w:rFonts w:ascii="Times New Roman" w:hAnsi="Times New Roman"/>
          <w:i/>
          <w:sz w:val="20"/>
          <w:szCs w:val="24"/>
        </w:rPr>
        <w:t xml:space="preserve">. </w:t>
      </w:r>
      <w:r>
        <w:rPr>
          <w:rFonts w:ascii="Times New Roman" w:hAnsi="Times New Roman"/>
          <w:b/>
          <w:bCs/>
          <w:i/>
          <w:sz w:val="20"/>
          <w:szCs w:val="24"/>
        </w:rPr>
        <w:t>IT</w:t>
      </w:r>
      <w:r>
        <w:rPr>
          <w:rFonts w:ascii="Times New Roman" w:hAnsi="Times New Roman"/>
          <w:i/>
          <w:sz w:val="20"/>
          <w:szCs w:val="24"/>
        </w:rPr>
        <w:t>:</w:t>
      </w:r>
      <w:r>
        <w:rPr>
          <w:rFonts w:ascii="Times New Roman" w:hAnsi="Times New Roman"/>
          <w:i/>
          <w:sz w:val="20"/>
        </w:rPr>
        <w:t xml:space="preserve"> classification différente des affaires civiles introduite en 2013.</w:t>
      </w:r>
    </w:p>
    <w:p w:rsidR="00D23207" w:rsidRDefault="00493C98">
      <w:pPr>
        <w:keepNext/>
        <w:spacing w:before="240" w:after="0" w:line="240" w:lineRule="auto"/>
        <w:jc w:val="both"/>
        <w:rPr>
          <w:rFonts w:ascii="Times New Roman" w:eastAsia="Times New Roman"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14</w:t>
      </w:r>
      <w:r>
        <w:fldChar w:fldCharType="end"/>
      </w:r>
      <w:r>
        <w:rPr>
          <w:rFonts w:ascii="Times New Roman" w:hAnsi="Times New Roman"/>
          <w:b/>
          <w:bCs/>
          <w:sz w:val="24"/>
          <w:szCs w:val="24"/>
        </w:rPr>
        <w:t>: nombre d’</w:t>
      </w:r>
      <w:r>
        <w:rPr>
          <w:rFonts w:ascii="Times New Roman" w:hAnsi="Times New Roman"/>
          <w:b/>
          <w:bCs/>
          <w:sz w:val="24"/>
          <w:szCs w:val="24"/>
          <w:u w:val="single"/>
        </w:rPr>
        <w:t>affaires civiles et commerciales contentieuses pendantes, 2012-2018 </w:t>
      </w:r>
      <w:r>
        <w:rPr>
          <w:rFonts w:ascii="Times New Roman" w:hAnsi="Times New Roman"/>
        </w:rPr>
        <w:t>(</w:t>
      </w:r>
      <w:r>
        <w:t>*</w:t>
      </w:r>
      <w:r>
        <w:rPr>
          <w:rFonts w:ascii="Times New Roman" w:hAnsi="Times New Roman"/>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pour 100 habitants) (source: étude de la CEPEJ)</w:t>
      </w:r>
    </w:p>
    <w:p w:rsidR="00D23207" w:rsidRDefault="00493C98">
      <w:pPr>
        <w:keepNext/>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6070405" cy="2306596"/>
            <wp:effectExtent l="0" t="0" r="6985"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298" cy="2308835"/>
                    </a:xfrm>
                    <a:prstGeom prst="rect">
                      <a:avLst/>
                    </a:prstGeom>
                    <a:noFill/>
                    <a:ln>
                      <a:noFill/>
                    </a:ln>
                  </pic:spPr>
                </pic:pic>
              </a:graphicData>
            </a:graphic>
          </wp:inline>
        </w:drawing>
      </w:r>
      <w:r>
        <w:rPr>
          <w:rFonts w:ascii="Times New Roman" w:hAnsi="Times New Roman"/>
          <w:i/>
          <w:sz w:val="20"/>
        </w:rPr>
        <w:t xml:space="preserve"> (*)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xml:space="preserve">. Les affaires pendantes couvrent tous les degrés d’instance en </w:t>
      </w:r>
      <w:r>
        <w:rPr>
          <w:rFonts w:ascii="Times New Roman" w:hAnsi="Times New Roman"/>
          <w:b/>
          <w:bCs/>
          <w:i/>
          <w:sz w:val="20"/>
        </w:rPr>
        <w:t>CZ</w:t>
      </w:r>
      <w:r>
        <w:rPr>
          <w:rFonts w:ascii="Times New Roman" w:hAnsi="Times New Roman"/>
          <w:i/>
          <w:sz w:val="20"/>
        </w:rPr>
        <w:t xml:space="preserve"> et, jusqu</w:t>
      </w:r>
      <w:r>
        <w:rPr>
          <w:rFonts w:ascii="Times New Roman" w:hAnsi="Times New Roman"/>
          <w:i/>
          <w:sz w:val="20"/>
        </w:rPr>
        <w:t xml:space="preserve">’en 2016, en </w:t>
      </w:r>
      <w:r>
        <w:rPr>
          <w:rFonts w:ascii="Times New Roman" w:hAnsi="Times New Roman"/>
          <w:b/>
          <w:bCs/>
          <w:i/>
          <w:sz w:val="20"/>
        </w:rPr>
        <w:t>SK</w:t>
      </w:r>
      <w:r>
        <w:rPr>
          <w:rFonts w:ascii="Times New Roman" w:hAnsi="Times New Roman"/>
          <w:i/>
          <w:sz w:val="20"/>
        </w:rPr>
        <w:t xml:space="preserve">. </w:t>
      </w:r>
      <w:r>
        <w:rPr>
          <w:rFonts w:ascii="Times New Roman" w:hAnsi="Times New Roman"/>
          <w:b/>
          <w:bCs/>
          <w:i/>
          <w:sz w:val="20"/>
        </w:rPr>
        <w:t>IT</w:t>
      </w:r>
      <w:r>
        <w:rPr>
          <w:rFonts w:ascii="Times New Roman" w:hAnsi="Times New Roman"/>
          <w:i/>
          <w:sz w:val="20"/>
        </w:rPr>
        <w:t xml:space="preserve">: classification différente des affaires civiles introduite en 2013. Les données concernant les </w:t>
      </w:r>
      <w:r>
        <w:rPr>
          <w:rFonts w:ascii="Times New Roman" w:hAnsi="Times New Roman"/>
          <w:b/>
          <w:bCs/>
          <w:i/>
          <w:sz w:val="20"/>
        </w:rPr>
        <w:t>NL</w:t>
      </w:r>
      <w:r>
        <w:rPr>
          <w:rFonts w:ascii="Times New Roman" w:hAnsi="Times New Roman"/>
          <w:i/>
          <w:sz w:val="20"/>
        </w:rPr>
        <w:t xml:space="preserve"> englobent les affaires non contentieuses.</w:t>
      </w:r>
    </w:p>
    <w:p w:rsidR="00D23207" w:rsidRDefault="00493C98">
      <w:pPr>
        <w:keepNext/>
        <w:spacing w:before="240" w:after="0" w:line="240" w:lineRule="auto"/>
        <w:jc w:val="both"/>
        <w:rPr>
          <w:rFonts w:ascii="Times New Roman" w:eastAsia="Calibri" w:hAnsi="Times New Roman" w:cs="Times New Roman"/>
          <w:i/>
          <w:sz w:val="24"/>
        </w:rPr>
      </w:pPr>
      <w:bookmarkStart w:id="210" w:name="_Ref442281992"/>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15</w:t>
      </w:r>
      <w:r>
        <w:fldChar w:fldCharType="end"/>
      </w:r>
      <w:bookmarkEnd w:id="210"/>
      <w:r>
        <w:rPr>
          <w:rFonts w:ascii="Times New Roman" w:hAnsi="Times New Roman"/>
          <w:b/>
          <w:bCs/>
          <w:sz w:val="24"/>
          <w:szCs w:val="24"/>
        </w:rPr>
        <w:t>: nombre d’</w:t>
      </w:r>
      <w:r>
        <w:rPr>
          <w:rFonts w:ascii="Times New Roman" w:hAnsi="Times New Roman"/>
          <w:b/>
          <w:bCs/>
          <w:sz w:val="24"/>
          <w:szCs w:val="24"/>
          <w:u w:val="single"/>
        </w:rPr>
        <w:t>affaires administratives pendantes, 2012-2018</w:t>
      </w:r>
      <w:r>
        <w:rPr>
          <w:rFonts w:ascii="Times New Roman" w:hAnsi="Times New Roman"/>
        </w:rPr>
        <w:t> (</w:t>
      </w:r>
      <w:r>
        <w:t>*</w:t>
      </w:r>
      <w:r>
        <w:rPr>
          <w:rFonts w:ascii="Times New Roman" w:hAnsi="Times New Roman"/>
        </w:rPr>
        <w:t>)</w:t>
      </w:r>
      <w:r>
        <w:rPr>
          <w:rFonts w:ascii="Times New Roman" w:hAnsi="Times New Roman"/>
          <w:b/>
          <w:bCs/>
          <w:sz w:val="24"/>
          <w:szCs w:val="24"/>
        </w:rPr>
        <w:t xml:space="preserve"> </w:t>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instance, pour 100 habitants) (source: étude de la CEPEJ)</w:t>
      </w:r>
      <w:bookmarkStart w:id="211" w:name="_Toc409530221"/>
      <w:bookmarkStart w:id="212" w:name="_Toc438545671"/>
      <w:bookmarkStart w:id="213" w:name="_Toc438548321"/>
      <w:bookmarkStart w:id="214" w:name="_Toc438548507"/>
      <w:bookmarkStart w:id="215" w:name="_Toc440017697"/>
      <w:bookmarkStart w:id="216" w:name="_Toc440018081"/>
      <w:bookmarkStart w:id="217" w:name="_Toc440033379"/>
      <w:bookmarkStart w:id="218" w:name="_Toc440035230"/>
      <w:bookmarkStart w:id="219" w:name="_Toc440036525"/>
      <w:bookmarkStart w:id="220" w:name="_Toc440042467"/>
      <w:bookmarkStart w:id="221" w:name="_Toc440291120"/>
      <w:bookmarkStart w:id="222" w:name="_Toc440294683"/>
      <w:bookmarkStart w:id="223" w:name="_Toc440295185"/>
      <w:bookmarkStart w:id="224" w:name="_Toc440296590"/>
      <w:bookmarkStart w:id="225" w:name="_Toc440625074"/>
      <w:bookmarkStart w:id="226" w:name="_Toc440626404"/>
      <w:bookmarkStart w:id="227" w:name="_Toc440628858"/>
      <w:bookmarkStart w:id="228" w:name="_Toc441571130"/>
      <w:bookmarkStart w:id="229" w:name="_Toc441581632"/>
      <w:bookmarkStart w:id="230" w:name="_Toc441585899"/>
      <w:bookmarkStart w:id="231" w:name="_Toc441595834"/>
      <w:bookmarkStart w:id="232" w:name="_Toc441596011"/>
      <w:bookmarkStart w:id="233" w:name="_Toc441748136"/>
      <w:bookmarkStart w:id="234" w:name="_Toc441755421"/>
      <w:bookmarkStart w:id="235" w:name="_Toc441756458"/>
      <w:bookmarkStart w:id="236" w:name="_Toc441757502"/>
      <w:bookmarkStart w:id="237" w:name="_Toc441766631"/>
      <w:bookmarkStart w:id="238" w:name="_Toc441766970"/>
      <w:bookmarkStart w:id="239" w:name="_Toc442187971"/>
      <w:bookmarkStart w:id="240" w:name="_Toc442262063"/>
      <w:bookmarkStart w:id="241" w:name="_Toc442362470"/>
      <w:bookmarkStart w:id="242" w:name="_Toc442374806"/>
      <w:bookmarkStart w:id="243" w:name="_Toc442425946"/>
      <w:bookmarkStart w:id="244" w:name="_Toc442453072"/>
      <w:bookmarkStart w:id="245" w:name="_Toc443484530"/>
      <w:bookmarkStart w:id="246" w:name="_Toc443484752"/>
      <w:bookmarkStart w:id="247" w:name="_Toc443509493"/>
      <w:bookmarkStart w:id="248" w:name="_Toc446014822"/>
    </w:p>
    <w:p w:rsidR="00D23207" w:rsidRDefault="00493C98">
      <w:pPr>
        <w:keepNext/>
        <w:spacing w:after="0" w:line="240" w:lineRule="auto"/>
        <w:jc w:val="both"/>
        <w:rPr>
          <w:rFonts w:ascii="Times New Roman" w:eastAsia="Calibri" w:hAnsi="Times New Roman" w:cs="Times New Roman"/>
          <w:i/>
          <w:sz w:val="20"/>
        </w:rPr>
      </w:pPr>
      <w:r>
        <w:rPr>
          <w:i/>
          <w:sz w:val="20"/>
          <w:lang w:val="en-GB" w:eastAsia="en-GB"/>
        </w:rPr>
        <w:drawing>
          <wp:inline distT="0" distB="0" distL="0" distR="0">
            <wp:extent cx="6077048" cy="2327453"/>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4956" cy="2334312"/>
                    </a:xfrm>
                    <a:prstGeom prst="rect">
                      <a:avLst/>
                    </a:prstGeom>
                    <a:noFill/>
                    <a:ln>
                      <a:noFill/>
                    </a:ln>
                  </pic:spPr>
                </pic:pic>
              </a:graphicData>
            </a:graphic>
          </wp:inline>
        </w:drawing>
      </w:r>
      <w:r>
        <w:rPr>
          <w:i/>
          <w:sz w:val="20"/>
        </w:rPr>
        <w:t xml:space="preserve"> (*)</w:t>
      </w:r>
      <w:r>
        <w:rPr>
          <w:rFonts w:ascii="Times New Roman" w:hAnsi="Times New Roman"/>
        </w:rPr>
        <w:t xml:space="preserve"> </w:t>
      </w:r>
      <w:r>
        <w:rPr>
          <w:rFonts w:ascii="Times New Roman" w:hAnsi="Times New Roman"/>
          <w:i/>
          <w:sz w:val="20"/>
        </w:rPr>
        <w:t>Les valeurs passées pour certains États membres ont été réduites à des fins de présentation (</w:t>
      </w:r>
      <w:r>
        <w:rPr>
          <w:rFonts w:ascii="Times New Roman" w:hAnsi="Times New Roman"/>
          <w:b/>
          <w:bCs/>
          <w:i/>
          <w:sz w:val="20"/>
        </w:rPr>
        <w:t>EL</w:t>
      </w:r>
      <w:r>
        <w:rPr>
          <w:rFonts w:ascii="Times New Roman" w:hAnsi="Times New Roman"/>
          <w:i/>
          <w:sz w:val="20"/>
        </w:rPr>
        <w:t xml:space="preserve"> en 2012 = 3,5 %). Changements méthodologiques en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SK</w:t>
      </w:r>
      <w:r>
        <w:rPr>
          <w:rFonts w:ascii="Times New Roman" w:hAnsi="Times New Roman"/>
          <w:i/>
          <w:sz w:val="20"/>
        </w:rPr>
        <w:t xml:space="preserve">. En </w:t>
      </w:r>
      <w:r>
        <w:rPr>
          <w:rFonts w:ascii="Times New Roman" w:hAnsi="Times New Roman"/>
          <w:b/>
          <w:bCs/>
          <w:i/>
          <w:sz w:val="20"/>
        </w:rPr>
        <w:t>CZ</w:t>
      </w:r>
      <w:r>
        <w:rPr>
          <w:rFonts w:ascii="Times New Roman" w:hAnsi="Times New Roman"/>
          <w:i/>
          <w:sz w:val="20"/>
        </w:rPr>
        <w:t xml:space="preserve"> et, jusqu’en 2016, en </w:t>
      </w:r>
      <w:r>
        <w:rPr>
          <w:rFonts w:ascii="Times New Roman" w:hAnsi="Times New Roman"/>
          <w:b/>
          <w:bCs/>
          <w:i/>
          <w:sz w:val="20"/>
        </w:rPr>
        <w:t>SK</w:t>
      </w:r>
      <w:r>
        <w:rPr>
          <w:rFonts w:ascii="Times New Roman" w:hAnsi="Times New Roman"/>
          <w:i/>
          <w:sz w:val="20"/>
        </w:rPr>
        <w:t xml:space="preserve">, les données relatives aux affaires pendantes couvrent tous les degrés d’instance. Le </w:t>
      </w:r>
      <w:r>
        <w:rPr>
          <w:rFonts w:ascii="Times New Roman" w:hAnsi="Times New Roman"/>
          <w:b/>
          <w:bCs/>
          <w:i/>
          <w:sz w:val="20"/>
        </w:rPr>
        <w:t>DK</w:t>
      </w:r>
      <w:r>
        <w:rPr>
          <w:rFonts w:ascii="Times New Roman" w:hAnsi="Times New Roman"/>
          <w:i/>
          <w:sz w:val="20"/>
        </w:rPr>
        <w:t xml:space="preserve"> et l’</w:t>
      </w:r>
      <w:r>
        <w:rPr>
          <w:rFonts w:ascii="Times New Roman" w:hAnsi="Times New Roman"/>
          <w:b/>
          <w:i/>
          <w:sz w:val="20"/>
        </w:rPr>
        <w:t xml:space="preserve">IE </w:t>
      </w:r>
      <w:r>
        <w:rPr>
          <w:rFonts w:ascii="Times New Roman" w:hAnsi="Times New Roman"/>
          <w:i/>
          <w:sz w:val="20"/>
        </w:rPr>
        <w:t>n’enregistrent pas séparément les affaires administratives.</w:t>
      </w:r>
    </w:p>
    <w:p w:rsidR="00D23207" w:rsidRDefault="00493C98">
      <w:pPr>
        <w:spacing w:after="0" w:line="240" w:lineRule="auto"/>
        <w:jc w:val="both"/>
        <w:rPr>
          <w:rFonts w:ascii="Times New Roman" w:eastAsia="Times New Roman" w:hAnsi="Times New Roman" w:cs="Times New Roman"/>
          <w:b/>
          <w:sz w:val="24"/>
          <w:szCs w:val="24"/>
          <w:highlight w:val="yellow"/>
        </w:rPr>
      </w:pPr>
      <w:r>
        <w:br w:type="page"/>
      </w:r>
    </w:p>
    <w:p w:rsidR="00D23207" w:rsidRDefault="00493C98">
      <w:pPr>
        <w:keepNext/>
        <w:spacing w:before="240" w:after="120" w:line="240" w:lineRule="auto"/>
        <w:jc w:val="both"/>
        <w:outlineLvl w:val="2"/>
        <w:rPr>
          <w:rFonts w:ascii="Times New Roman" w:eastAsia="Times New Roman" w:hAnsi="Times New Roman" w:cs="Times New Roman"/>
          <w:b/>
          <w:sz w:val="24"/>
          <w:szCs w:val="24"/>
        </w:rPr>
      </w:pPr>
      <w:r>
        <w:rPr>
          <w:rFonts w:ascii="Times New Roman" w:hAnsi="Times New Roman"/>
          <w:b/>
          <w:sz w:val="24"/>
          <w:szCs w:val="24"/>
        </w:rPr>
        <w:t>3.1.3. Efficience dans des domaines spécifiques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ascii="Times New Roman" w:hAnsi="Times New Roman"/>
          <w:b/>
          <w:sz w:val="24"/>
          <w:szCs w:val="24"/>
        </w:rPr>
        <w:t xml:space="preserve"> du droit de l’Union</w:t>
      </w:r>
    </w:p>
    <w:p w:rsidR="00D23207" w:rsidRDefault="00493C98">
      <w:pPr>
        <w:spacing w:after="0" w:line="240" w:lineRule="auto"/>
        <w:jc w:val="both"/>
        <w:rPr>
          <w:rFonts w:ascii="Times New Roman" w:eastAsia="Calibri" w:hAnsi="Times New Roman" w:cs="Times New Roman"/>
          <w:sz w:val="24"/>
          <w:szCs w:val="24"/>
          <w:highlight w:val="yellow"/>
        </w:rPr>
      </w:pPr>
      <w:r>
        <w:rPr>
          <w:rFonts w:ascii="Times New Roman" w:hAnsi="Times New Roman"/>
          <w:sz w:val="24"/>
          <w:szCs w:val="24"/>
        </w:rPr>
        <w:t>La présente section complète</w:t>
      </w:r>
      <w:r>
        <w:rPr>
          <w:rFonts w:ascii="Times New Roman" w:hAnsi="Times New Roman"/>
          <w:sz w:val="24"/>
          <w:szCs w:val="24"/>
        </w:rPr>
        <w:t xml:space="preserve"> les données générales sur l’efficacité des systèmes de justice et indique la durée moyenne des procédures (</w:t>
      </w:r>
      <w:r>
        <w:rPr>
          <w:rFonts w:ascii="Times New Roman" w:eastAsia="Calibri" w:hAnsi="Times New Roman" w:cs="Times New Roman"/>
          <w:sz w:val="24"/>
          <w:szCs w:val="24"/>
          <w:vertAlign w:val="superscript"/>
        </w:rPr>
        <w:footnoteReference w:id="42"/>
      </w:r>
      <w:r>
        <w:rPr>
          <w:rFonts w:ascii="Times New Roman" w:hAnsi="Times New Roman"/>
          <w:sz w:val="24"/>
          <w:szCs w:val="24"/>
        </w:rPr>
        <w:t xml:space="preserve">) dans des domaines spécifiques concernés par le droit de l’UE. Le tableau de bord 2020 s’appuie sur les données collectées précédemment dans les </w:t>
      </w:r>
      <w:r>
        <w:rPr>
          <w:rFonts w:ascii="Times New Roman" w:hAnsi="Times New Roman"/>
          <w:sz w:val="24"/>
          <w:szCs w:val="24"/>
        </w:rPr>
        <w:t>domaines de la concurrence, des communications électroniques, de la marque de l’Union européenne, du droit des consommateurs et de la lutte contre le blanchiment de capitaux. Les domaines sont sélectionnés en raison de l’intérêt qu’ils présentent pour le m</w:t>
      </w:r>
      <w:r>
        <w:rPr>
          <w:rFonts w:ascii="Times New Roman" w:hAnsi="Times New Roman"/>
          <w:sz w:val="24"/>
          <w:szCs w:val="24"/>
        </w:rPr>
        <w:t>arché intérieur et l’environnement des entreprises. En règle générale, des retards importants dans les procédures en justice peuvent avoir des conséquences négatives sur les droits découlant du droit de l’UE, par exemple lorsqu’il n’est plus possible d’exe</w:t>
      </w:r>
      <w:r>
        <w:rPr>
          <w:rFonts w:ascii="Times New Roman" w:hAnsi="Times New Roman"/>
          <w:sz w:val="24"/>
          <w:szCs w:val="24"/>
        </w:rPr>
        <w:t>rcer des recours appropriés ou que de graves dommages financiers ne peuvent plus être compensés.</w:t>
      </w:r>
    </w:p>
    <w:p w:rsidR="00D23207" w:rsidRDefault="00493C98">
      <w:pPr>
        <w:spacing w:before="240" w:after="120" w:line="240" w:lineRule="auto"/>
        <w:jc w:val="both"/>
        <w:rPr>
          <w:rFonts w:ascii="Times New Roman" w:eastAsia="Times New Roman" w:hAnsi="Times New Roman" w:cs="Times New Roman"/>
          <w:i/>
          <w:sz w:val="24"/>
          <w:szCs w:val="24"/>
        </w:rPr>
      </w:pPr>
      <w:r>
        <w:rPr>
          <w:rFonts w:ascii="Times New Roman" w:hAnsi="Times New Roman"/>
          <w:i/>
          <w:sz w:val="24"/>
          <w:szCs w:val="24"/>
        </w:rPr>
        <w:t>– Concurrence –</w:t>
      </w:r>
    </w:p>
    <w:p w:rsidR="00D23207" w:rsidRDefault="00493C98">
      <w:pPr>
        <w:spacing w:after="0" w:line="240" w:lineRule="auto"/>
        <w:jc w:val="both"/>
        <w:rPr>
          <w:rFonts w:ascii="Times New Roman" w:eastAsia="Calibri" w:hAnsi="Times New Roman" w:cs="Times New Roman"/>
          <w:sz w:val="24"/>
          <w:szCs w:val="24"/>
        </w:rPr>
      </w:pPr>
      <w:r>
        <w:rPr>
          <w:rFonts w:ascii="Times New Roman" w:hAnsi="Times New Roman"/>
          <w:sz w:val="24"/>
          <w:szCs w:val="24"/>
        </w:rPr>
        <w:t>L’application effective du droit de la concurrence garantit des conditions équitables aux entreprises et est donc essentielle en vue de créer u</w:t>
      </w:r>
      <w:r>
        <w:rPr>
          <w:rFonts w:ascii="Times New Roman" w:hAnsi="Times New Roman"/>
          <w:sz w:val="24"/>
          <w:szCs w:val="24"/>
        </w:rPr>
        <w:t>n environnement attrayant pour celles-ci. Le graphique 16 indique la durée moyenne des recours formés contre les décisions prises par les autorités nationales de concurrence au titre des articles 101 et 102 du TFUE (</w:t>
      </w:r>
      <w:r>
        <w:rPr>
          <w:rFonts w:ascii="Times New Roman" w:eastAsia="Calibri" w:hAnsi="Times New Roman" w:cs="Times New Roman"/>
          <w:sz w:val="24"/>
          <w:szCs w:val="24"/>
          <w:vertAlign w:val="superscript"/>
        </w:rPr>
        <w:footnoteReference w:id="43"/>
      </w:r>
      <w:r>
        <w:rPr>
          <w:rFonts w:ascii="Times New Roman" w:hAnsi="Times New Roman"/>
          <w:sz w:val="24"/>
          <w:szCs w:val="24"/>
        </w:rPr>
        <w:t>).</w:t>
      </w:r>
    </w:p>
    <w:p w:rsidR="00D23207" w:rsidRDefault="00493C98">
      <w:pPr>
        <w:keepNext/>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16</w:t>
      </w:r>
      <w:r>
        <w:fldChar w:fldCharType="end"/>
      </w:r>
      <w:r>
        <w:rPr>
          <w:rFonts w:ascii="Times New Roman" w:hAnsi="Times New Roman"/>
          <w:b/>
          <w:bCs/>
          <w:sz w:val="24"/>
          <w:szCs w:val="24"/>
        </w:rPr>
        <w:t>: concurrence – durée moyenne des affaires de contrôle juridictionnel, 2013-2018</w:t>
      </w:r>
      <w:r>
        <w:rPr>
          <w:rFonts w:ascii="Times New Roman" w:hAnsi="Times New Roman"/>
        </w:rPr>
        <w:t> (</w:t>
      </w:r>
      <w:r>
        <w:t>*</w:t>
      </w:r>
      <w:r>
        <w:rPr>
          <w:rFonts w:ascii="Times New Roman" w:hAnsi="Times New Roman"/>
        </w:rPr>
        <w:t>)</w:t>
      </w:r>
      <w:r>
        <w:rPr>
          <w:rFonts w:ascii="Times New Roman" w:hAnsi="Times New Roman"/>
          <w:i/>
          <w:iCs/>
          <w:sz w:val="24"/>
          <w:szCs w:val="24"/>
        </w:rPr>
        <w:t xml:space="preserve"> (1</w:t>
      </w:r>
      <w:r>
        <w:rPr>
          <w:rFonts w:ascii="Times New Roman" w:hAnsi="Times New Roman"/>
          <w:i/>
          <w:iCs/>
          <w:sz w:val="24"/>
          <w:szCs w:val="24"/>
          <w:vertAlign w:val="superscript"/>
        </w:rPr>
        <w:t>re</w:t>
      </w:r>
      <w:r>
        <w:rPr>
          <w:rFonts w:ascii="Times New Roman" w:hAnsi="Times New Roman"/>
          <w:i/>
          <w:iCs/>
          <w:sz w:val="24"/>
          <w:szCs w:val="24"/>
        </w:rPr>
        <w:t> instance/en jours) (source: Commission européenne avec le Réseau européen de la concurrence)</w:t>
      </w:r>
    </w:p>
    <w:p w:rsidR="00D23207" w:rsidRDefault="00493C98">
      <w:pPr>
        <w:keepNext/>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528665"/>
            <wp:effectExtent l="0" t="0" r="4445" b="508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2528665"/>
                    </a:xfrm>
                    <a:prstGeom prst="rect">
                      <a:avLst/>
                    </a:prstGeom>
                    <a:noFill/>
                    <a:ln>
                      <a:noFill/>
                    </a:ln>
                  </pic:spPr>
                </pic:pic>
              </a:graphicData>
            </a:graphic>
          </wp:inline>
        </w:drawing>
      </w:r>
    </w:p>
    <w:p w:rsidR="00D23207" w:rsidRDefault="00493C98">
      <w:pPr>
        <w:keepNext/>
        <w:spacing w:after="0" w:line="240" w:lineRule="auto"/>
        <w:jc w:val="both"/>
        <w:rPr>
          <w:rFonts w:ascii="Times New Roman" w:eastAsia="Calibri" w:hAnsi="Times New Roman" w:cs="Times New Roman"/>
          <w:i/>
          <w:sz w:val="20"/>
        </w:rPr>
      </w:pPr>
      <w:r>
        <w:rPr>
          <w:rFonts w:ascii="Times New Roman" w:hAnsi="Times New Roman"/>
          <w:i/>
          <w:sz w:val="20"/>
        </w:rPr>
        <w:t xml:space="preserve">(*) </w:t>
      </w:r>
      <w:r>
        <w:rPr>
          <w:rFonts w:ascii="Times New Roman" w:hAnsi="Times New Roman"/>
          <w:b/>
          <w:bCs/>
          <w:i/>
          <w:sz w:val="20"/>
        </w:rPr>
        <w:t>EE</w:t>
      </w:r>
      <w:r>
        <w:rPr>
          <w:rFonts w:ascii="Times New Roman" w:hAnsi="Times New Roman"/>
          <w:i/>
          <w:sz w:val="20"/>
        </w:rPr>
        <w:t xml:space="preserve">: aucune affaire. </w:t>
      </w:r>
      <w:r>
        <w:rPr>
          <w:rFonts w:ascii="Times New Roman" w:hAnsi="Times New Roman"/>
          <w:b/>
          <w:bCs/>
          <w:i/>
          <w:sz w:val="20"/>
        </w:rPr>
        <w:t>IE</w:t>
      </w:r>
      <w:r>
        <w:rPr>
          <w:rFonts w:ascii="Times New Roman" w:hAnsi="Times New Roman"/>
          <w:i/>
          <w:sz w:val="20"/>
        </w:rPr>
        <w:t xml:space="preserve"> et </w:t>
      </w:r>
      <w:r>
        <w:rPr>
          <w:rFonts w:ascii="Times New Roman" w:hAnsi="Times New Roman"/>
          <w:b/>
          <w:bCs/>
          <w:i/>
          <w:sz w:val="20"/>
        </w:rPr>
        <w:t>AT</w:t>
      </w:r>
      <w:r>
        <w:rPr>
          <w:rFonts w:ascii="Times New Roman" w:hAnsi="Times New Roman"/>
          <w:i/>
          <w:sz w:val="20"/>
        </w:rPr>
        <w:t xml:space="preserve">: ce scénario n’est pas applicable, car les autorités n’ont pas le pouvoir de prendre ce type de décisions. </w:t>
      </w:r>
      <w:r>
        <w:rPr>
          <w:rFonts w:ascii="Times New Roman" w:hAnsi="Times New Roman"/>
          <w:b/>
          <w:i/>
          <w:sz w:val="20"/>
        </w:rPr>
        <w:t>AT:</w:t>
      </w:r>
      <w:r>
        <w:rPr>
          <w:rFonts w:ascii="Times New Roman" w:hAnsi="Times New Roman"/>
          <w:i/>
          <w:sz w:val="20"/>
        </w:rPr>
        <w:t xml:space="preserve"> les données incluent les affaires tranchées par le Kartellgericht (juridiction en matière de concurrence) concernant les violations des articles</w:t>
      </w:r>
      <w:r>
        <w:rPr>
          <w:rFonts w:ascii="Times New Roman" w:hAnsi="Times New Roman"/>
          <w:i/>
          <w:sz w:val="20"/>
        </w:rPr>
        <w:t xml:space="preserve"> 101 et 102 du TFUE, mais qui ne reposent pas sur des recours formés contre l’autorité nationale de concurrence. Une estimation de la durée a été utilisée en </w:t>
      </w:r>
      <w:r>
        <w:rPr>
          <w:rFonts w:ascii="Times New Roman" w:hAnsi="Times New Roman"/>
          <w:b/>
          <w:bCs/>
          <w:i/>
          <w:sz w:val="20"/>
        </w:rPr>
        <w:t>BG</w:t>
      </w:r>
      <w:r>
        <w:rPr>
          <w:rFonts w:ascii="Times New Roman" w:hAnsi="Times New Roman"/>
          <w:i/>
          <w:sz w:val="20"/>
        </w:rPr>
        <w:t xml:space="preserve"> et </w:t>
      </w:r>
      <w:r>
        <w:rPr>
          <w:rFonts w:ascii="Times New Roman" w:hAnsi="Times New Roman"/>
          <w:b/>
          <w:bCs/>
          <w:i/>
          <w:sz w:val="20"/>
        </w:rPr>
        <w:t>IT</w:t>
      </w:r>
      <w:r>
        <w:rPr>
          <w:rFonts w:ascii="Times New Roman" w:hAnsi="Times New Roman"/>
          <w:i/>
          <w:sz w:val="20"/>
        </w:rPr>
        <w:t>. Une colonne vide peut indiquer que l’État membre n’a signalé aucune affaire pour l’année</w:t>
      </w:r>
      <w:r>
        <w:rPr>
          <w:rFonts w:ascii="Times New Roman" w:hAnsi="Times New Roman"/>
          <w:i/>
          <w:sz w:val="20"/>
        </w:rPr>
        <w:t xml:space="preserve"> en question. Le nombre d’affaires est faible (moins de 5 par an) dans de nombreux États membres. Par conséquent, les données annuelles peuvent dépendre d’une affaire exceptionnellement longue ou courte. Parmi les affaires les plus longues figurant dans l’</w:t>
      </w:r>
      <w:r>
        <w:rPr>
          <w:rFonts w:ascii="Times New Roman" w:hAnsi="Times New Roman"/>
          <w:i/>
          <w:sz w:val="20"/>
        </w:rPr>
        <w:t xml:space="preserve">ensemble de données, certaines intégraient le temps nécessaire pour saisir la Cour de justice de l’Union européenne (par ex., </w:t>
      </w:r>
      <w:r>
        <w:rPr>
          <w:rFonts w:ascii="Times New Roman" w:hAnsi="Times New Roman"/>
          <w:b/>
          <w:bCs/>
          <w:i/>
          <w:sz w:val="20"/>
        </w:rPr>
        <w:t>LT</w:t>
      </w:r>
      <w:r>
        <w:rPr>
          <w:rFonts w:ascii="Times New Roman" w:hAnsi="Times New Roman"/>
          <w:i/>
          <w:sz w:val="20"/>
        </w:rPr>
        <w:t xml:space="preserve">), pour un contrôle de la constitutionnalité (par ex., </w:t>
      </w:r>
      <w:r>
        <w:rPr>
          <w:rFonts w:ascii="Times New Roman" w:hAnsi="Times New Roman"/>
          <w:b/>
          <w:bCs/>
          <w:i/>
          <w:sz w:val="20"/>
        </w:rPr>
        <w:t>SK</w:t>
      </w:r>
      <w:r>
        <w:rPr>
          <w:rFonts w:ascii="Times New Roman" w:hAnsi="Times New Roman"/>
          <w:i/>
          <w:sz w:val="20"/>
        </w:rPr>
        <w:t xml:space="preserve">) ou pour des délais procéduraux bien précis (par ex., </w:t>
      </w:r>
      <w:r>
        <w:rPr>
          <w:rFonts w:ascii="Times New Roman" w:hAnsi="Times New Roman"/>
          <w:b/>
          <w:bCs/>
          <w:i/>
          <w:sz w:val="20"/>
        </w:rPr>
        <w:t>CZ</w:t>
      </w:r>
      <w:r>
        <w:rPr>
          <w:rFonts w:ascii="Times New Roman" w:hAnsi="Times New Roman"/>
          <w:i/>
          <w:sz w:val="20"/>
        </w:rPr>
        <w:t xml:space="preserve">, </w:t>
      </w:r>
      <w:r>
        <w:rPr>
          <w:rFonts w:ascii="Times New Roman" w:hAnsi="Times New Roman"/>
          <w:b/>
          <w:bCs/>
          <w:i/>
          <w:sz w:val="20"/>
        </w:rPr>
        <w:t>EL</w:t>
      </w:r>
      <w:r>
        <w:rPr>
          <w:rFonts w:ascii="Times New Roman" w:hAnsi="Times New Roman"/>
          <w:i/>
          <w:sz w:val="20"/>
        </w:rPr>
        <w:t xml:space="preserve">, </w:t>
      </w:r>
      <w:r>
        <w:rPr>
          <w:rFonts w:ascii="Times New Roman" w:hAnsi="Times New Roman"/>
          <w:b/>
          <w:bCs/>
          <w:i/>
          <w:sz w:val="20"/>
        </w:rPr>
        <w:t>HU</w:t>
      </w:r>
      <w:r>
        <w:rPr>
          <w:rFonts w:ascii="Times New Roman" w:hAnsi="Times New Roman"/>
          <w:i/>
          <w:sz w:val="20"/>
        </w:rPr>
        <w:t xml:space="preserve">). </w:t>
      </w:r>
    </w:p>
    <w:p w:rsidR="00D23207" w:rsidRDefault="00493C98">
      <w:pPr>
        <w:spacing w:before="240" w:after="120" w:line="240" w:lineRule="auto"/>
        <w:jc w:val="both"/>
        <w:rPr>
          <w:rFonts w:ascii="Times New Roman" w:eastAsia="Times New Roman" w:hAnsi="Times New Roman" w:cs="Times New Roman"/>
          <w:i/>
          <w:sz w:val="24"/>
          <w:szCs w:val="24"/>
        </w:rPr>
      </w:pPr>
      <w:r>
        <w:rPr>
          <w:rFonts w:ascii="Times New Roman" w:hAnsi="Times New Roman"/>
          <w:i/>
          <w:sz w:val="24"/>
          <w:szCs w:val="24"/>
        </w:rPr>
        <w:t xml:space="preserve">– </w:t>
      </w:r>
      <w:r>
        <w:rPr>
          <w:rFonts w:ascii="Times New Roman" w:hAnsi="Times New Roman"/>
          <w:i/>
          <w:sz w:val="24"/>
          <w:szCs w:val="24"/>
        </w:rPr>
        <w:t>Communications électroniques –</w:t>
      </w:r>
    </w:p>
    <w:p w:rsidR="00D23207" w:rsidRDefault="00493C98">
      <w:pPr>
        <w:spacing w:after="0" w:line="240" w:lineRule="auto"/>
        <w:jc w:val="both"/>
        <w:rPr>
          <w:rFonts w:ascii="Times New Roman" w:eastAsia="Calibri" w:hAnsi="Times New Roman" w:cs="Times New Roman"/>
          <w:sz w:val="24"/>
          <w:szCs w:val="24"/>
        </w:rPr>
      </w:pPr>
      <w:r>
        <w:rPr>
          <w:rFonts w:ascii="Times New Roman" w:hAnsi="Times New Roman"/>
          <w:sz w:val="24"/>
          <w:szCs w:val="24"/>
        </w:rPr>
        <w:t>La législation de l’UE relative aux communications électroniques vise à renforcer la concurrence, à contribuer au développement du marché intérieur et à générer investissements, innovation et croissance. Les effets positifs p</w:t>
      </w:r>
      <w:r>
        <w:rPr>
          <w:rFonts w:ascii="Times New Roman" w:hAnsi="Times New Roman"/>
          <w:sz w:val="24"/>
          <w:szCs w:val="24"/>
        </w:rPr>
        <w:t>our les consommateurs peuvent être atteints grâce à l’application effective de cette législation, qui peut faire baisser les prix pour l’utilisateur final et améliorer la qualité des services. Le graphique 17 indique la durée moyenne des affaires de contrô</w:t>
      </w:r>
      <w:r>
        <w:rPr>
          <w:rFonts w:ascii="Times New Roman" w:hAnsi="Times New Roman"/>
          <w:sz w:val="24"/>
          <w:szCs w:val="24"/>
        </w:rPr>
        <w:t>le juridictionnel de décisions prises par des autorités nationales de régulation appliquant le droit de l’UE relatif aux communications électroniques (</w:t>
      </w:r>
      <w:r>
        <w:rPr>
          <w:rFonts w:ascii="Times New Roman" w:eastAsia="Calibri" w:hAnsi="Times New Roman" w:cs="Times New Roman"/>
          <w:sz w:val="24"/>
          <w:szCs w:val="24"/>
          <w:vertAlign w:val="superscript"/>
        </w:rPr>
        <w:footnoteReference w:id="44"/>
      </w:r>
      <w:r>
        <w:rPr>
          <w:rFonts w:ascii="Times New Roman" w:hAnsi="Times New Roman"/>
          <w:sz w:val="24"/>
          <w:szCs w:val="24"/>
        </w:rPr>
        <w:t xml:space="preserve">). Il couvre un large spectre d’affaires, allant des examens plus complexes du type «analyse de marché» </w:t>
      </w:r>
      <w:r>
        <w:rPr>
          <w:rFonts w:ascii="Times New Roman" w:hAnsi="Times New Roman"/>
          <w:sz w:val="24"/>
          <w:szCs w:val="24"/>
        </w:rPr>
        <w:t>aux questions axées sur les consommateurs.</w:t>
      </w:r>
    </w:p>
    <w:p w:rsidR="00D23207" w:rsidRDefault="00493C98">
      <w:pPr>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17</w:t>
      </w:r>
      <w:r>
        <w:fldChar w:fldCharType="end"/>
      </w:r>
      <w:r>
        <w:rPr>
          <w:rFonts w:ascii="Times New Roman" w:hAnsi="Times New Roman"/>
          <w:b/>
          <w:bCs/>
          <w:sz w:val="24"/>
          <w:szCs w:val="24"/>
        </w:rPr>
        <w:t>: communications électroniques – durée moyenne des affaires de contrôle juridictionnel, 2013-2018</w:t>
      </w:r>
      <w:r>
        <w:rPr>
          <w:rFonts w:ascii="Times New Roman" w:hAnsi="Times New Roman"/>
        </w:rPr>
        <w:t> (</w:t>
      </w:r>
      <w:r>
        <w:t>*)</w:t>
      </w:r>
      <w:r>
        <w:rPr>
          <w:rFonts w:ascii="Times New Roman" w:hAnsi="Times New Roman"/>
          <w:i/>
          <w:iCs/>
          <w:sz w:val="24"/>
          <w:szCs w:val="24"/>
        </w:rPr>
        <w:t xml:space="preserve"> (1</w:t>
      </w:r>
      <w:r>
        <w:rPr>
          <w:rFonts w:ascii="Times New Roman" w:hAnsi="Times New Roman"/>
          <w:i/>
          <w:iCs/>
          <w:sz w:val="24"/>
          <w:szCs w:val="24"/>
          <w:vertAlign w:val="superscript"/>
        </w:rPr>
        <w:t>re</w:t>
      </w:r>
      <w:r>
        <w:rPr>
          <w:rFonts w:ascii="Times New Roman" w:hAnsi="Times New Roman"/>
          <w:i/>
          <w:iCs/>
          <w:sz w:val="24"/>
          <w:szCs w:val="24"/>
        </w:rPr>
        <w:t xml:space="preserve"> instance/en jours) (source: Commission européenne avec le Comité des </w:t>
      </w:r>
      <w:r>
        <w:rPr>
          <w:rFonts w:ascii="Times New Roman" w:hAnsi="Times New Roman"/>
          <w:i/>
          <w:iCs/>
          <w:sz w:val="24"/>
          <w:szCs w:val="24"/>
        </w:rPr>
        <w:t>communications)</w:t>
      </w:r>
    </w:p>
    <w:p w:rsidR="00D23207" w:rsidRDefault="00493C9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lang w:val="en-GB" w:eastAsia="en-GB"/>
        </w:rPr>
        <w:drawing>
          <wp:inline distT="0" distB="0" distL="0" distR="0">
            <wp:extent cx="5977255" cy="2241402"/>
            <wp:effectExtent l="0" t="0" r="4445" b="698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2241402"/>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iCs/>
          <w:sz w:val="24"/>
          <w:szCs w:val="24"/>
        </w:rPr>
      </w:pPr>
      <w:r>
        <w:rPr>
          <w:rFonts w:ascii="Times New Roman" w:hAnsi="Times New Roman"/>
          <w:sz w:val="20"/>
          <w:szCs w:val="20"/>
        </w:rPr>
        <w:t>(*)</w:t>
      </w:r>
      <w:r>
        <w:rPr>
          <w:rFonts w:ascii="Times New Roman" w:hAnsi="Times New Roman"/>
        </w:rPr>
        <w:t xml:space="preserve"> </w:t>
      </w:r>
      <w:r>
        <w:rPr>
          <w:rFonts w:ascii="Times New Roman" w:hAnsi="Times New Roman"/>
          <w:i/>
          <w:iCs/>
        </w:rPr>
        <w:t>Le nombre d’affaires varie d’un État membre à l’autre.</w:t>
      </w:r>
      <w:r>
        <w:rPr>
          <w:rFonts w:ascii="Times New Roman" w:hAnsi="Times New Roman"/>
          <w:i/>
          <w:sz w:val="20"/>
        </w:rPr>
        <w:t xml:space="preserve"> Une colonne vide indique que l’État membre n’a signalé aucune affaire pour l’année en question (sauf concernant le </w:t>
      </w:r>
      <w:r>
        <w:rPr>
          <w:rFonts w:ascii="Times New Roman" w:hAnsi="Times New Roman"/>
          <w:b/>
          <w:bCs/>
          <w:i/>
          <w:sz w:val="20"/>
        </w:rPr>
        <w:t>PT</w:t>
      </w:r>
      <w:r>
        <w:rPr>
          <w:rFonts w:ascii="Times New Roman" w:hAnsi="Times New Roman"/>
          <w:i/>
          <w:sz w:val="20"/>
        </w:rPr>
        <w:t xml:space="preserve"> en 2017 et 2018 et la </w:t>
      </w:r>
      <w:r>
        <w:rPr>
          <w:rFonts w:ascii="Times New Roman" w:hAnsi="Times New Roman"/>
          <w:b/>
          <w:bCs/>
          <w:i/>
          <w:sz w:val="20"/>
        </w:rPr>
        <w:t>RO</w:t>
      </w:r>
      <w:r>
        <w:rPr>
          <w:rFonts w:ascii="Times New Roman" w:hAnsi="Times New Roman"/>
          <w:i/>
          <w:sz w:val="20"/>
        </w:rPr>
        <w:t xml:space="preserve"> en 2018: pas de données). </w:t>
      </w:r>
      <w:r>
        <w:rPr>
          <w:rFonts w:ascii="Times New Roman" w:hAnsi="Times New Roman"/>
          <w:b/>
          <w:i/>
          <w:sz w:val="20"/>
        </w:rPr>
        <w:t>LU</w:t>
      </w:r>
      <w:r>
        <w:rPr>
          <w:rFonts w:ascii="Times New Roman" w:hAnsi="Times New Roman"/>
          <w:i/>
          <w:sz w:val="20"/>
        </w:rPr>
        <w:t>: aucune</w:t>
      </w:r>
      <w:r>
        <w:rPr>
          <w:rFonts w:ascii="Times New Roman" w:hAnsi="Times New Roman"/>
          <w:i/>
          <w:sz w:val="20"/>
        </w:rPr>
        <w:t xml:space="preserve"> affaire. À certains degrés d’instance, le faible nombre d’affaires pertinentes (</w:t>
      </w:r>
      <w:r>
        <w:rPr>
          <w:rFonts w:ascii="Times New Roman" w:hAnsi="Times New Roman"/>
          <w:b/>
          <w:bCs/>
          <w:i/>
          <w:sz w:val="20"/>
        </w:rPr>
        <w:t>LV</w:t>
      </w:r>
      <w:r>
        <w:rPr>
          <w:rFonts w:ascii="Times New Roman" w:hAnsi="Times New Roman"/>
          <w:i/>
          <w:sz w:val="20"/>
        </w:rPr>
        <w:t xml:space="preserve">, </w:t>
      </w:r>
      <w:r>
        <w:rPr>
          <w:rFonts w:ascii="Times New Roman" w:hAnsi="Times New Roman"/>
          <w:b/>
          <w:bCs/>
          <w:i/>
          <w:sz w:val="20"/>
        </w:rPr>
        <w:t>LT</w:t>
      </w:r>
      <w:r>
        <w:rPr>
          <w:rFonts w:ascii="Times New Roman" w:hAnsi="Times New Roman"/>
          <w:i/>
          <w:sz w:val="20"/>
        </w:rPr>
        <w:t xml:space="preserve">, </w:t>
      </w:r>
      <w:r>
        <w:rPr>
          <w:rFonts w:ascii="Times New Roman" w:hAnsi="Times New Roman"/>
          <w:b/>
          <w:bCs/>
          <w:i/>
          <w:sz w:val="20"/>
        </w:rPr>
        <w:t>MT</w:t>
      </w:r>
      <w:r>
        <w:rPr>
          <w:rFonts w:ascii="Times New Roman" w:hAnsi="Times New Roman"/>
          <w:i/>
          <w:sz w:val="20"/>
        </w:rPr>
        <w:t xml:space="preserve">, </w:t>
      </w:r>
      <w:r>
        <w:rPr>
          <w:rFonts w:ascii="Times New Roman" w:hAnsi="Times New Roman"/>
          <w:b/>
          <w:bCs/>
          <w:i/>
          <w:sz w:val="20"/>
        </w:rPr>
        <w:t>SK</w:t>
      </w:r>
      <w:r>
        <w:rPr>
          <w:rFonts w:ascii="Times New Roman" w:hAnsi="Times New Roman"/>
          <w:i/>
          <w:sz w:val="20"/>
        </w:rPr>
        <w:t xml:space="preserve"> et </w:t>
      </w:r>
      <w:r>
        <w:rPr>
          <w:rFonts w:ascii="Times New Roman" w:hAnsi="Times New Roman"/>
          <w:b/>
          <w:bCs/>
          <w:i/>
          <w:sz w:val="20"/>
        </w:rPr>
        <w:t>SE</w:t>
      </w:r>
      <w:r>
        <w:rPr>
          <w:rFonts w:ascii="Times New Roman" w:hAnsi="Times New Roman"/>
          <w:i/>
          <w:sz w:val="20"/>
        </w:rPr>
        <w:t xml:space="preserve">) fait que les données annuelles peuvent dépendre d’une affaire exceptionnellement longue ou courte et qu’il en résulte d’importantes variations d’une </w:t>
      </w:r>
      <w:r>
        <w:rPr>
          <w:rFonts w:ascii="Times New Roman" w:hAnsi="Times New Roman"/>
          <w:i/>
          <w:sz w:val="20"/>
        </w:rPr>
        <w:t>année à l’autre.</w:t>
      </w:r>
      <w:r>
        <w:rPr>
          <w:rFonts w:ascii="Times New Roman" w:hAnsi="Times New Roman"/>
          <w:i/>
          <w:sz w:val="20"/>
          <w:szCs w:val="20"/>
        </w:rPr>
        <w:t xml:space="preserve"> </w:t>
      </w:r>
      <w:r>
        <w:rPr>
          <w:rFonts w:ascii="Times New Roman" w:hAnsi="Times New Roman"/>
          <w:b/>
          <w:i/>
          <w:sz w:val="20"/>
        </w:rPr>
        <w:t>DK:</w:t>
      </w:r>
      <w:r>
        <w:rPr>
          <w:rFonts w:ascii="Times New Roman" w:hAnsi="Times New Roman"/>
          <w:i/>
          <w:sz w:val="20"/>
        </w:rPr>
        <w:t xml:space="preserve"> un organisme quasi judiciaire est chargé des recours en première instance. </w:t>
      </w:r>
      <w:r>
        <w:rPr>
          <w:rFonts w:ascii="Times New Roman" w:hAnsi="Times New Roman"/>
          <w:b/>
          <w:bCs/>
          <w:i/>
          <w:sz w:val="20"/>
        </w:rPr>
        <w:t>ES</w:t>
      </w:r>
      <w:r>
        <w:rPr>
          <w:rFonts w:ascii="Times New Roman" w:hAnsi="Times New Roman"/>
          <w:i/>
          <w:sz w:val="20"/>
        </w:rPr>
        <w:t xml:space="preserve">, </w:t>
      </w:r>
      <w:r>
        <w:rPr>
          <w:rFonts w:ascii="Times New Roman" w:hAnsi="Times New Roman"/>
          <w:b/>
          <w:bCs/>
          <w:i/>
          <w:sz w:val="20"/>
        </w:rPr>
        <w:t>AT</w:t>
      </w:r>
      <w:r>
        <w:rPr>
          <w:rFonts w:ascii="Times New Roman" w:hAnsi="Times New Roman"/>
          <w:i/>
          <w:sz w:val="20"/>
        </w:rPr>
        <w:t xml:space="preserve"> et </w:t>
      </w:r>
      <w:r>
        <w:rPr>
          <w:rFonts w:ascii="Times New Roman" w:hAnsi="Times New Roman"/>
          <w:b/>
          <w:bCs/>
          <w:i/>
          <w:sz w:val="20"/>
        </w:rPr>
        <w:t>PL</w:t>
      </w:r>
      <w:r>
        <w:rPr>
          <w:rFonts w:ascii="Times New Roman" w:hAnsi="Times New Roman"/>
          <w:i/>
          <w:sz w:val="20"/>
        </w:rPr>
        <w:t xml:space="preserve">: différentes juridictions sont responsables en fonction de l’objet de l’affaire. </w:t>
      </w:r>
      <w:r>
        <w:rPr>
          <w:rFonts w:ascii="Times New Roman" w:hAnsi="Times New Roman"/>
          <w:b/>
          <w:i/>
          <w:sz w:val="20"/>
        </w:rPr>
        <w:t>MT:</w:t>
      </w:r>
      <w:r>
        <w:rPr>
          <w:rFonts w:ascii="Times New Roman" w:hAnsi="Times New Roman"/>
          <w:i/>
          <w:sz w:val="20"/>
        </w:rPr>
        <w:t xml:space="preserve"> une affaire exceptionnellement longue, d’une durée de 2 500 jo</w:t>
      </w:r>
      <w:r>
        <w:rPr>
          <w:rFonts w:ascii="Times New Roman" w:hAnsi="Times New Roman"/>
          <w:i/>
          <w:sz w:val="20"/>
        </w:rPr>
        <w:t>urs a été signalée en 2016; elle concernait une question complexe, une autorité locale, soutenue par plusieurs résidents, ayant engagé des poursuites au sujet des émissions prétendument nocives de stations radio de base de téléphonie mobile.</w:t>
      </w:r>
    </w:p>
    <w:p w:rsidR="00D23207" w:rsidRDefault="00493C98">
      <w:pPr>
        <w:spacing w:before="240" w:after="120" w:line="240" w:lineRule="auto"/>
        <w:jc w:val="both"/>
        <w:rPr>
          <w:rFonts w:ascii="Times New Roman" w:eastAsia="Times New Roman" w:hAnsi="Times New Roman" w:cs="Times New Roman"/>
          <w:i/>
          <w:sz w:val="24"/>
          <w:szCs w:val="24"/>
        </w:rPr>
      </w:pPr>
      <w:bookmarkStart w:id="249" w:name="_Ref441766145"/>
      <w:r>
        <w:rPr>
          <w:rFonts w:ascii="Times New Roman" w:hAnsi="Times New Roman"/>
          <w:i/>
          <w:sz w:val="24"/>
          <w:szCs w:val="24"/>
        </w:rPr>
        <w:t>– Marque de l’</w:t>
      </w:r>
      <w:r>
        <w:rPr>
          <w:rFonts w:ascii="Times New Roman" w:hAnsi="Times New Roman"/>
          <w:i/>
          <w:sz w:val="24"/>
          <w:szCs w:val="24"/>
        </w:rPr>
        <w:t>Union européenne –</w:t>
      </w:r>
    </w:p>
    <w:bookmarkEnd w:id="249"/>
    <w:p w:rsidR="00D23207" w:rsidRDefault="00493C98">
      <w:pPr>
        <w:spacing w:after="0" w:line="240" w:lineRule="auto"/>
        <w:jc w:val="both"/>
        <w:rPr>
          <w:rFonts w:ascii="Times New Roman" w:eastAsia="Calibri" w:hAnsi="Times New Roman" w:cs="Times New Roman"/>
          <w:b/>
          <w:sz w:val="24"/>
          <w:highlight w:val="yellow"/>
        </w:rPr>
      </w:pPr>
      <w:r>
        <w:rPr>
          <w:rFonts w:ascii="Times New Roman" w:hAnsi="Times New Roman"/>
          <w:sz w:val="24"/>
          <w:szCs w:val="24"/>
        </w:rPr>
        <w:t>Le respect des droits de propriété intellectuelle est indispensable pour stimuler les investissements dans l’innovation. La législation de l’UE relative aux marques de l’Union européenne (</w:t>
      </w:r>
      <w:r>
        <w:rPr>
          <w:rFonts w:ascii="Times New Roman" w:eastAsia="Calibri" w:hAnsi="Times New Roman" w:cs="Times New Roman"/>
          <w:sz w:val="24"/>
          <w:szCs w:val="24"/>
          <w:vertAlign w:val="superscript"/>
        </w:rPr>
        <w:footnoteReference w:id="45"/>
      </w:r>
      <w:r>
        <w:rPr>
          <w:rFonts w:ascii="Times New Roman" w:hAnsi="Times New Roman"/>
          <w:sz w:val="24"/>
          <w:szCs w:val="24"/>
        </w:rPr>
        <w:t>) accorde un rôle important aux juridictions nat</w:t>
      </w:r>
      <w:r>
        <w:rPr>
          <w:rFonts w:ascii="Times New Roman" w:hAnsi="Times New Roman"/>
          <w:sz w:val="24"/>
          <w:szCs w:val="24"/>
        </w:rPr>
        <w:t>ionales, qui agissent en qualité de juridictions de l’UE et prennent des décisions qui concernent le marché intérieur. Le graphique 18 indique la durée moyenne des affaires d’atteinte à la marque de l’Union européenne (litiges entre parties privées).</w:t>
      </w:r>
    </w:p>
    <w:p w:rsidR="00D23207" w:rsidRDefault="00493C98">
      <w:pPr>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w:t>
      </w:r>
      <w:r>
        <w:rPr>
          <w:rFonts w:ascii="Times New Roman" w:hAnsi="Times New Roman"/>
          <w:b/>
          <w:bCs/>
          <w:sz w:val="24"/>
          <w:szCs w:val="24"/>
        </w:rPr>
        <w:t>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18</w:t>
      </w:r>
      <w:r>
        <w:fldChar w:fldCharType="end"/>
      </w:r>
      <w:r>
        <w:rPr>
          <w:rFonts w:ascii="Times New Roman" w:hAnsi="Times New Roman"/>
          <w:b/>
          <w:bCs/>
          <w:sz w:val="24"/>
          <w:szCs w:val="24"/>
        </w:rPr>
        <w:t>: marque de l’Union européenne – durée moyenne des affaires d’atteinte à la marque de l’Union européenne, 2013-2018</w:t>
      </w:r>
      <w:r>
        <w:rPr>
          <w:rFonts w:ascii="Times New Roman" w:hAnsi="Times New Roman"/>
        </w:rPr>
        <w:t> (</w:t>
      </w:r>
      <w:r>
        <w:t>*)</w:t>
      </w:r>
      <w:r>
        <w:rPr>
          <w:rFonts w:ascii="Times New Roman" w:hAnsi="Times New Roman"/>
          <w:i/>
          <w:iCs/>
          <w:sz w:val="24"/>
          <w:szCs w:val="24"/>
        </w:rPr>
        <w:t xml:space="preserve"> (1</w:t>
      </w:r>
      <w:r>
        <w:rPr>
          <w:rFonts w:ascii="Times New Roman" w:hAnsi="Times New Roman"/>
          <w:i/>
          <w:iCs/>
          <w:sz w:val="24"/>
          <w:szCs w:val="24"/>
          <w:vertAlign w:val="superscript"/>
        </w:rPr>
        <w:t>re</w:t>
      </w:r>
      <w:r>
        <w:rPr>
          <w:rFonts w:ascii="Times New Roman" w:hAnsi="Times New Roman"/>
          <w:i/>
          <w:iCs/>
          <w:sz w:val="24"/>
          <w:szCs w:val="24"/>
        </w:rPr>
        <w:t xml:space="preserve"> instance/en jours) (source: Commission européenne avec l’Observatoire européen des atteintes aux </w:t>
      </w:r>
      <w:r>
        <w:rPr>
          <w:rFonts w:ascii="Times New Roman" w:hAnsi="Times New Roman"/>
          <w:i/>
          <w:iCs/>
          <w:sz w:val="24"/>
          <w:szCs w:val="24"/>
        </w:rPr>
        <w:t>droits de propriété intellectuelle)</w:t>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5977194" cy="2433711"/>
            <wp:effectExtent l="0" t="0" r="5080" b="508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9223" cy="2438609"/>
                    </a:xfrm>
                    <a:prstGeom prst="rect">
                      <a:avLst/>
                    </a:prstGeom>
                    <a:noFill/>
                    <a:ln>
                      <a:noFill/>
                    </a:ln>
                  </pic:spPr>
                </pic:pic>
              </a:graphicData>
            </a:graphic>
          </wp:inline>
        </w:drawing>
      </w:r>
      <w:r>
        <w:rPr>
          <w:rFonts w:ascii="Times New Roman" w:hAnsi="Times New Roman"/>
          <w:i/>
          <w:sz w:val="20"/>
        </w:rPr>
        <w:t xml:space="preserve"> (*) </w:t>
      </w:r>
      <w:r>
        <w:rPr>
          <w:rFonts w:ascii="Times New Roman" w:hAnsi="Times New Roman"/>
          <w:b/>
          <w:i/>
          <w:sz w:val="20"/>
        </w:rPr>
        <w:t xml:space="preserve">FR, IT, LT, LU: </w:t>
      </w:r>
      <w:r>
        <w:rPr>
          <w:rFonts w:ascii="Times New Roman" w:hAnsi="Times New Roman"/>
          <w:i/>
          <w:sz w:val="20"/>
        </w:rPr>
        <w:t>un échantillon d’affaires a été utilisé pour les données relatives à certaines années.</w:t>
      </w:r>
      <w:r>
        <w:rPr>
          <w:rFonts w:ascii="Times New Roman" w:hAnsi="Times New Roman"/>
          <w:i/>
        </w:rPr>
        <w:t xml:space="preserve"> </w:t>
      </w:r>
      <w:r>
        <w:rPr>
          <w:rFonts w:ascii="Times New Roman" w:hAnsi="Times New Roman"/>
          <w:b/>
          <w:i/>
          <w:sz w:val="20"/>
        </w:rPr>
        <w:t>BG:</w:t>
      </w:r>
      <w:r>
        <w:rPr>
          <w:rFonts w:ascii="Times New Roman" w:hAnsi="Times New Roman"/>
          <w:i/>
          <w:sz w:val="20"/>
        </w:rPr>
        <w:t xml:space="preserve"> une estimation établie par les juridictions a été utilisée pour 2016. </w:t>
      </w:r>
      <w:r>
        <w:rPr>
          <w:rFonts w:ascii="Times New Roman" w:hAnsi="Times New Roman"/>
          <w:b/>
          <w:i/>
          <w:sz w:val="20"/>
        </w:rPr>
        <w:t xml:space="preserve">PL: </w:t>
      </w:r>
      <w:r>
        <w:rPr>
          <w:rFonts w:ascii="Times New Roman" w:hAnsi="Times New Roman"/>
          <w:i/>
          <w:sz w:val="20"/>
        </w:rPr>
        <w:t>une estimation établie par les ju</w:t>
      </w:r>
      <w:r>
        <w:rPr>
          <w:rFonts w:ascii="Times New Roman" w:hAnsi="Times New Roman"/>
          <w:i/>
          <w:sz w:val="20"/>
        </w:rPr>
        <w:t>ridictions a été utilisée pour 2015. Des affaires particulièrement longues ont eu une incidence sur la moyenne communiquée pour l’</w:t>
      </w:r>
      <w:r>
        <w:rPr>
          <w:rFonts w:ascii="Times New Roman" w:hAnsi="Times New Roman"/>
          <w:b/>
          <w:bCs/>
          <w:i/>
          <w:sz w:val="20"/>
        </w:rPr>
        <w:t>EE</w:t>
      </w:r>
      <w:r>
        <w:rPr>
          <w:rFonts w:ascii="Times New Roman" w:hAnsi="Times New Roman"/>
          <w:i/>
          <w:sz w:val="20"/>
        </w:rPr>
        <w:t>, l’</w:t>
      </w:r>
      <w:r>
        <w:rPr>
          <w:rFonts w:ascii="Times New Roman" w:hAnsi="Times New Roman"/>
          <w:b/>
          <w:bCs/>
          <w:i/>
          <w:sz w:val="20"/>
        </w:rPr>
        <w:t>IE</w:t>
      </w:r>
      <w:r>
        <w:rPr>
          <w:rFonts w:ascii="Times New Roman" w:hAnsi="Times New Roman"/>
          <w:i/>
          <w:sz w:val="20"/>
        </w:rPr>
        <w:t xml:space="preserve">, la </w:t>
      </w:r>
      <w:r>
        <w:rPr>
          <w:rFonts w:ascii="Times New Roman" w:hAnsi="Times New Roman"/>
          <w:b/>
          <w:bCs/>
          <w:i/>
          <w:sz w:val="20"/>
        </w:rPr>
        <w:t>LV</w:t>
      </w:r>
      <w:r>
        <w:rPr>
          <w:rFonts w:ascii="Times New Roman" w:hAnsi="Times New Roman"/>
          <w:i/>
          <w:sz w:val="20"/>
        </w:rPr>
        <w:t xml:space="preserve"> et la </w:t>
      </w:r>
      <w:r>
        <w:rPr>
          <w:rFonts w:ascii="Times New Roman" w:hAnsi="Times New Roman"/>
          <w:b/>
          <w:bCs/>
          <w:i/>
          <w:sz w:val="20"/>
        </w:rPr>
        <w:t>SE</w:t>
      </w:r>
      <w:r>
        <w:rPr>
          <w:rFonts w:ascii="Times New Roman" w:hAnsi="Times New Roman"/>
          <w:i/>
          <w:sz w:val="20"/>
        </w:rPr>
        <w:t xml:space="preserve">. </w:t>
      </w:r>
      <w:r>
        <w:rPr>
          <w:rFonts w:ascii="Times New Roman" w:hAnsi="Times New Roman"/>
          <w:b/>
          <w:i/>
          <w:sz w:val="20"/>
        </w:rPr>
        <w:t>EL:</w:t>
      </w:r>
      <w:r>
        <w:rPr>
          <w:rFonts w:ascii="Times New Roman" w:hAnsi="Times New Roman"/>
          <w:i/>
          <w:sz w:val="20"/>
        </w:rPr>
        <w:t xml:space="preserve"> données fondées sur la durée moyenne pondérée pour deux juridictions. </w:t>
      </w:r>
      <w:r>
        <w:rPr>
          <w:rFonts w:ascii="Times New Roman" w:hAnsi="Times New Roman"/>
          <w:b/>
          <w:i/>
          <w:sz w:val="20"/>
          <w:szCs w:val="20"/>
        </w:rPr>
        <w:t>DK:</w:t>
      </w:r>
      <w:r>
        <w:rPr>
          <w:rFonts w:ascii="Times New Roman" w:hAnsi="Times New Roman"/>
          <w:i/>
          <w:sz w:val="20"/>
          <w:szCs w:val="20"/>
        </w:rPr>
        <w:t xml:space="preserve"> les données concernent</w:t>
      </w:r>
      <w:r>
        <w:rPr>
          <w:rFonts w:ascii="Times New Roman" w:hAnsi="Times New Roman"/>
          <w:i/>
          <w:sz w:val="20"/>
          <w:szCs w:val="20"/>
        </w:rPr>
        <w:t xml:space="preserve"> toutes les affaires relatives aux marques (pas uniquement celles de l’UE) devant les juridictions maritimes et commerciales supérieures; pour 2018, pas de données relatives à la durée moyenne des affaires en raison d’un nouveau système informatique.</w:t>
      </w:r>
      <w:r>
        <w:rPr>
          <w:rFonts w:ascii="Times New Roman" w:hAnsi="Times New Roman"/>
          <w:b/>
          <w:i/>
          <w:sz w:val="20"/>
        </w:rPr>
        <w:t xml:space="preserve"> ES:</w:t>
      </w:r>
      <w:r>
        <w:rPr>
          <w:rFonts w:ascii="Times New Roman" w:hAnsi="Times New Roman"/>
          <w:i/>
          <w:sz w:val="20"/>
        </w:rPr>
        <w:t xml:space="preserve"> d</w:t>
      </w:r>
      <w:r>
        <w:rPr>
          <w:rFonts w:ascii="Times New Roman" w:hAnsi="Times New Roman"/>
          <w:i/>
          <w:sz w:val="20"/>
        </w:rPr>
        <w:t>es affaires concernant d’autres titres de PI de l’UE sont incluses dans le calcul de la durée moyenne; pour 2018, une estimation est utilisée.</w:t>
      </w:r>
    </w:p>
    <w:p w:rsidR="00D23207" w:rsidRDefault="00493C98">
      <w:pPr>
        <w:spacing w:before="240" w:after="120" w:line="240" w:lineRule="auto"/>
        <w:jc w:val="both"/>
        <w:rPr>
          <w:rFonts w:ascii="Times New Roman" w:eastAsia="Times New Roman" w:hAnsi="Times New Roman" w:cs="Times New Roman"/>
          <w:i/>
          <w:sz w:val="24"/>
          <w:szCs w:val="24"/>
        </w:rPr>
      </w:pPr>
      <w:r>
        <w:rPr>
          <w:rFonts w:ascii="Times New Roman" w:hAnsi="Times New Roman"/>
          <w:i/>
          <w:sz w:val="24"/>
          <w:szCs w:val="24"/>
        </w:rPr>
        <w:t>– Protection des consommateurs –</w:t>
      </w:r>
    </w:p>
    <w:p w:rsidR="00D23207" w:rsidRDefault="00493C98">
      <w:pPr>
        <w:spacing w:after="0" w:line="240" w:lineRule="auto"/>
        <w:jc w:val="both"/>
        <w:rPr>
          <w:rFonts w:ascii="Times New Roman" w:eastAsia="Calibri" w:hAnsi="Times New Roman" w:cs="Times New Roman"/>
          <w:sz w:val="24"/>
        </w:rPr>
      </w:pPr>
      <w:r>
        <w:rPr>
          <w:rFonts w:ascii="Times New Roman" w:hAnsi="Times New Roman"/>
          <w:sz w:val="24"/>
          <w:szCs w:val="24"/>
        </w:rPr>
        <w:t xml:space="preserve">L’application effective du droit de la consommation garantit que les </w:t>
      </w:r>
      <w:r>
        <w:rPr>
          <w:rFonts w:ascii="Times New Roman" w:hAnsi="Times New Roman"/>
          <w:sz w:val="24"/>
          <w:szCs w:val="24"/>
        </w:rPr>
        <w:t>consommateurs bénéficient de leurs droits et que les entreprises qui enfreignent les règles de protection des consommateurs n’obtiennent pas des avantages indus. Les juridictions et les autorités de protection des consommateurs jouent un rôle clé dans l’ap</w:t>
      </w:r>
      <w:r>
        <w:rPr>
          <w:rFonts w:ascii="Times New Roman" w:hAnsi="Times New Roman"/>
          <w:sz w:val="24"/>
          <w:szCs w:val="24"/>
        </w:rPr>
        <w:t>plication du droit de la consommation de l’UE (</w:t>
      </w:r>
      <w:r>
        <w:rPr>
          <w:rFonts w:ascii="Times New Roman" w:eastAsia="Calibri" w:hAnsi="Times New Roman" w:cs="Times New Roman"/>
          <w:sz w:val="24"/>
          <w:szCs w:val="24"/>
          <w:vertAlign w:val="superscript"/>
        </w:rPr>
        <w:footnoteReference w:id="46"/>
      </w:r>
      <w:r>
        <w:rPr>
          <w:rFonts w:ascii="Times New Roman" w:hAnsi="Times New Roman"/>
          <w:sz w:val="24"/>
          <w:szCs w:val="24"/>
        </w:rPr>
        <w:t>) dans le cadre des différents dispositifs d’application nationaux. Le graphique 19 indique la durée moyenne des affaires de contrôle juridictionnel portant sur les décisions prises par des autorités de protection des consommateurs appliquant le droit de l</w:t>
      </w:r>
      <w:r>
        <w:rPr>
          <w:rFonts w:ascii="Times New Roman" w:hAnsi="Times New Roman"/>
          <w:sz w:val="24"/>
          <w:szCs w:val="24"/>
        </w:rPr>
        <w:t xml:space="preserve">’UE. </w:t>
      </w:r>
    </w:p>
    <w:p w:rsidR="00D23207" w:rsidRDefault="00493C98">
      <w:pPr>
        <w:spacing w:before="120" w:after="0" w:line="240" w:lineRule="auto"/>
        <w:jc w:val="both"/>
        <w:rPr>
          <w:rFonts w:ascii="Times New Roman" w:eastAsia="Calibri" w:hAnsi="Times New Roman" w:cs="Times New Roman"/>
          <w:sz w:val="24"/>
        </w:rPr>
      </w:pPr>
      <w:r>
        <w:rPr>
          <w:rFonts w:ascii="Times New Roman" w:hAnsi="Times New Roman"/>
          <w:sz w:val="24"/>
        </w:rPr>
        <w:t>Pour les consommateurs ou les entreprises, l’application effective du droit peut impliquer une chaîne d’acteurs, non seulement des juridictions, mais aussi des autorités administratives. Pour approfondir l’examen de cette chaîne d’application, la dur</w:t>
      </w:r>
      <w:r>
        <w:rPr>
          <w:rFonts w:ascii="Times New Roman" w:hAnsi="Times New Roman"/>
          <w:sz w:val="24"/>
        </w:rPr>
        <w:t>ée des procédures engagées par les autorités de protection des consommateurs est à nouveau présentée. Le graphique 20 indique la durée moyenne, à partir de leur ouverture, des procédures administratives engagées par des autorités nationales de protection d</w:t>
      </w:r>
      <w:r>
        <w:rPr>
          <w:rFonts w:ascii="Times New Roman" w:hAnsi="Times New Roman"/>
          <w:sz w:val="24"/>
        </w:rPr>
        <w:t>es consommateurs au cours de la période 2014-2018. Les décisions adoptées à l’issue de ces procédures portent notamment sur des violations des règles de fond, des mesures provisoires, des ordonnances de cessation et d’abstention et l’ouverture ou la clôtur</w:t>
      </w:r>
      <w:r>
        <w:rPr>
          <w:rFonts w:ascii="Times New Roman" w:hAnsi="Times New Roman"/>
          <w:sz w:val="24"/>
        </w:rPr>
        <w:t>e de procédures en justice.</w:t>
      </w:r>
    </w:p>
    <w:p w:rsidR="00D23207" w:rsidRDefault="00493C98">
      <w:pPr>
        <w:spacing w:after="0" w:line="240" w:lineRule="auto"/>
        <w:jc w:val="both"/>
        <w:rPr>
          <w:rFonts w:ascii="Times New Roman" w:eastAsia="Calibri" w:hAnsi="Times New Roman" w:cs="Times New Roman"/>
          <w:sz w:val="24"/>
          <w:highlight w:val="yellow"/>
        </w:rPr>
      </w:pPr>
      <w:r>
        <w:br w:type="page"/>
      </w:r>
    </w:p>
    <w:p w:rsidR="00D23207" w:rsidRDefault="00493C98">
      <w:pPr>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19</w:t>
      </w:r>
      <w:r>
        <w:fldChar w:fldCharType="end"/>
      </w:r>
      <w:r>
        <w:rPr>
          <w:rFonts w:ascii="Times New Roman" w:hAnsi="Times New Roman"/>
          <w:b/>
          <w:bCs/>
          <w:sz w:val="24"/>
          <w:szCs w:val="24"/>
        </w:rPr>
        <w:t xml:space="preserve">: protection des consommateurs – </w:t>
      </w:r>
      <w:r>
        <w:rPr>
          <w:rFonts w:ascii="Times New Roman" w:hAnsi="Times New Roman"/>
          <w:b/>
          <w:bCs/>
        </w:rPr>
        <w:t>durée moyenne des affaires de contrôle juridictionnel</w:t>
      </w:r>
      <w:r>
        <w:rPr>
          <w:rFonts w:ascii="Times New Roman" w:hAnsi="Times New Roman"/>
          <w:b/>
          <w:bCs/>
          <w:sz w:val="24"/>
          <w:szCs w:val="24"/>
        </w:rPr>
        <w:t>, 2013-2018</w:t>
      </w:r>
      <w:r>
        <w:rPr>
          <w:rFonts w:ascii="Times New Roman" w:hAnsi="Times New Roman"/>
        </w:rPr>
        <w:t> (</w:t>
      </w:r>
      <w:r>
        <w:t>*)</w:t>
      </w:r>
      <w:r>
        <w:rPr>
          <w:rFonts w:ascii="Times New Roman" w:hAnsi="Times New Roman"/>
          <w:i/>
          <w:iCs/>
          <w:sz w:val="24"/>
          <w:szCs w:val="24"/>
        </w:rPr>
        <w:t xml:space="preserve"> </w:t>
      </w:r>
      <w:r>
        <w:rPr>
          <w:rFonts w:ascii="Times New Roman" w:hAnsi="Times New Roman"/>
          <w:i/>
          <w:sz w:val="24"/>
        </w:rPr>
        <w:cr/>
      </w:r>
      <w:r>
        <w:rPr>
          <w:rFonts w:ascii="Times New Roman" w:hAnsi="Times New Roman"/>
          <w:i/>
          <w:sz w:val="24"/>
        </w:rPr>
        <w:br/>
      </w:r>
      <w:r>
        <w:rPr>
          <w:rFonts w:ascii="Times New Roman" w:hAnsi="Times New Roman"/>
          <w:i/>
          <w:iCs/>
          <w:sz w:val="24"/>
          <w:szCs w:val="24"/>
        </w:rPr>
        <w:t>(1</w:t>
      </w:r>
      <w:r>
        <w:rPr>
          <w:rFonts w:ascii="Times New Roman" w:hAnsi="Times New Roman"/>
          <w:i/>
          <w:iCs/>
          <w:sz w:val="24"/>
          <w:szCs w:val="24"/>
          <w:vertAlign w:val="superscript"/>
        </w:rPr>
        <w:t>re</w:t>
      </w:r>
      <w:r>
        <w:rPr>
          <w:rFonts w:ascii="Times New Roman" w:hAnsi="Times New Roman"/>
          <w:i/>
          <w:iCs/>
          <w:sz w:val="24"/>
          <w:szCs w:val="24"/>
        </w:rPr>
        <w:t xml:space="preserve"> instance/en jours) (source: Commission européenne avec le Réseau de coopération </w:t>
      </w:r>
      <w:r>
        <w:rPr>
          <w:rFonts w:ascii="Times New Roman" w:hAnsi="Times New Roman"/>
          <w:i/>
          <w:iCs/>
          <w:sz w:val="24"/>
          <w:szCs w:val="24"/>
        </w:rPr>
        <w:t>en matière de protection des consommateurs)</w:t>
      </w:r>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741916"/>
            <wp:effectExtent l="0" t="0" r="4445" b="190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7255" cy="2741916"/>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 xml:space="preserve">(*) </w:t>
      </w:r>
      <w:r>
        <w:rPr>
          <w:rFonts w:ascii="Times New Roman" w:hAnsi="Times New Roman"/>
          <w:b/>
          <w:i/>
          <w:sz w:val="20"/>
        </w:rPr>
        <w:t>AT</w:t>
      </w:r>
      <w:r>
        <w:rPr>
          <w:rFonts w:ascii="Times New Roman" w:hAnsi="Times New Roman"/>
          <w:i/>
          <w:sz w:val="20"/>
        </w:rPr>
        <w:t xml:space="preserve">, </w:t>
      </w:r>
      <w:r>
        <w:rPr>
          <w:rFonts w:ascii="Times New Roman" w:hAnsi="Times New Roman"/>
          <w:b/>
          <w:i/>
          <w:sz w:val="20"/>
        </w:rPr>
        <w:t>FI</w:t>
      </w:r>
      <w:r>
        <w:rPr>
          <w:rFonts w:ascii="Times New Roman" w:hAnsi="Times New Roman"/>
          <w:i/>
          <w:sz w:val="20"/>
        </w:rPr>
        <w:t xml:space="preserve">, </w:t>
      </w:r>
      <w:r>
        <w:rPr>
          <w:rFonts w:ascii="Times New Roman" w:hAnsi="Times New Roman"/>
          <w:b/>
          <w:i/>
          <w:sz w:val="20"/>
        </w:rPr>
        <w:t>DE</w:t>
      </w:r>
      <w:r>
        <w:rPr>
          <w:rFonts w:ascii="Times New Roman" w:hAnsi="Times New Roman"/>
          <w:i/>
          <w:sz w:val="20"/>
        </w:rPr>
        <w:t xml:space="preserve">, </w:t>
      </w:r>
      <w:r>
        <w:rPr>
          <w:rFonts w:ascii="Times New Roman" w:hAnsi="Times New Roman"/>
          <w:b/>
          <w:i/>
          <w:sz w:val="20"/>
        </w:rPr>
        <w:t>LU</w:t>
      </w:r>
      <w:r>
        <w:rPr>
          <w:rFonts w:ascii="Times New Roman" w:hAnsi="Times New Roman"/>
          <w:i/>
          <w:sz w:val="20"/>
        </w:rPr>
        <w:t>: ce scénario n’est pas applicable, car les autorités de protection des consommateurs ne sont pas compétentes pour se prononcer sur des infractions aux règles applicables en matière de consommation. Le nombre d’affaires pertinentes est faible (moins de cin</w:t>
      </w:r>
      <w:r>
        <w:rPr>
          <w:rFonts w:ascii="Times New Roman" w:hAnsi="Times New Roman"/>
          <w:i/>
          <w:sz w:val="20"/>
        </w:rPr>
        <w:t xml:space="preserve">q) à </w:t>
      </w:r>
      <w:r>
        <w:rPr>
          <w:rFonts w:ascii="Times New Roman" w:hAnsi="Times New Roman"/>
          <w:b/>
          <w:bCs/>
          <w:i/>
          <w:sz w:val="20"/>
        </w:rPr>
        <w:t>CY</w:t>
      </w:r>
      <w:r>
        <w:rPr>
          <w:rFonts w:ascii="Times New Roman" w:hAnsi="Times New Roman"/>
          <w:i/>
          <w:sz w:val="20"/>
        </w:rPr>
        <w:t xml:space="preserve">, en </w:t>
      </w:r>
      <w:r>
        <w:rPr>
          <w:rFonts w:ascii="Times New Roman" w:hAnsi="Times New Roman"/>
          <w:b/>
          <w:bCs/>
          <w:i/>
          <w:sz w:val="20"/>
        </w:rPr>
        <w:t>IE</w:t>
      </w:r>
      <w:r>
        <w:rPr>
          <w:rFonts w:ascii="Times New Roman" w:hAnsi="Times New Roman"/>
          <w:i/>
          <w:sz w:val="20"/>
        </w:rPr>
        <w:t xml:space="preserve">, aux </w:t>
      </w:r>
      <w:r>
        <w:rPr>
          <w:rFonts w:ascii="Times New Roman" w:hAnsi="Times New Roman"/>
          <w:b/>
          <w:bCs/>
          <w:i/>
          <w:sz w:val="20"/>
        </w:rPr>
        <w:t>NL</w:t>
      </w:r>
      <w:r>
        <w:rPr>
          <w:rFonts w:ascii="Times New Roman" w:hAnsi="Times New Roman"/>
          <w:i/>
          <w:sz w:val="20"/>
        </w:rPr>
        <w:t xml:space="preserve">, et en </w:t>
      </w:r>
      <w:r>
        <w:rPr>
          <w:rFonts w:ascii="Times New Roman" w:hAnsi="Times New Roman"/>
          <w:b/>
          <w:bCs/>
          <w:i/>
          <w:sz w:val="20"/>
        </w:rPr>
        <w:t>SE</w:t>
      </w:r>
      <w:r>
        <w:rPr>
          <w:rFonts w:ascii="Times New Roman" w:hAnsi="Times New Roman"/>
          <w:i/>
          <w:sz w:val="20"/>
        </w:rPr>
        <w:t xml:space="preserve">. </w:t>
      </w:r>
      <w:r>
        <w:rPr>
          <w:rFonts w:ascii="Times New Roman" w:hAnsi="Times New Roman"/>
          <w:b/>
          <w:bCs/>
          <w:i/>
          <w:sz w:val="20"/>
        </w:rPr>
        <w:t>EL</w:t>
      </w:r>
      <w:r>
        <w:rPr>
          <w:rFonts w:ascii="Times New Roman" w:hAnsi="Times New Roman"/>
          <w:i/>
          <w:sz w:val="20"/>
        </w:rPr>
        <w:t xml:space="preserve"> et </w:t>
      </w:r>
      <w:r>
        <w:rPr>
          <w:rFonts w:ascii="Times New Roman" w:hAnsi="Times New Roman"/>
          <w:b/>
          <w:bCs/>
          <w:i/>
          <w:sz w:val="20"/>
        </w:rPr>
        <w:t>RO</w:t>
      </w:r>
      <w:r>
        <w:rPr>
          <w:rFonts w:ascii="Times New Roman" w:hAnsi="Times New Roman"/>
          <w:i/>
          <w:sz w:val="20"/>
        </w:rPr>
        <w:t xml:space="preserve"> ont fourni une estimation de la durée moyenne.</w:t>
      </w:r>
      <w:r>
        <w:rPr>
          <w:rFonts w:ascii="Times New Roman" w:hAnsi="Times New Roman"/>
          <w:i/>
          <w:sz w:val="20"/>
          <w:szCs w:val="20"/>
        </w:rPr>
        <w:t xml:space="preserve"> </w:t>
      </w:r>
    </w:p>
    <w:p w:rsidR="00D23207" w:rsidRDefault="00D23207">
      <w:pPr>
        <w:spacing w:after="0" w:line="240" w:lineRule="auto"/>
        <w:jc w:val="both"/>
        <w:rPr>
          <w:rFonts w:ascii="Times New Roman" w:eastAsia="Calibri" w:hAnsi="Times New Roman" w:cs="Times New Roman"/>
          <w:b/>
          <w:sz w:val="24"/>
        </w:rPr>
      </w:pPr>
    </w:p>
    <w:p w:rsidR="00D23207" w:rsidRDefault="00493C98">
      <w:pPr>
        <w:spacing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20</w:t>
      </w:r>
      <w:r>
        <w:fldChar w:fldCharType="end"/>
      </w:r>
      <w:r>
        <w:rPr>
          <w:rFonts w:ascii="Times New Roman" w:hAnsi="Times New Roman"/>
          <w:b/>
          <w:bCs/>
          <w:sz w:val="24"/>
          <w:szCs w:val="24"/>
        </w:rPr>
        <w:t xml:space="preserve">: protection des consommateurs – </w:t>
      </w:r>
      <w:r>
        <w:rPr>
          <w:rFonts w:ascii="Times New Roman" w:hAnsi="Times New Roman"/>
          <w:b/>
          <w:bCs/>
        </w:rPr>
        <w:t>durée moyenne des procédures administratives engagées par des autorités nationales de protecti</w:t>
      </w:r>
      <w:r>
        <w:rPr>
          <w:rFonts w:ascii="Times New Roman" w:hAnsi="Times New Roman"/>
          <w:b/>
          <w:bCs/>
        </w:rPr>
        <w:t>on des consommateurs</w:t>
      </w:r>
      <w:r>
        <w:rPr>
          <w:rFonts w:ascii="Times New Roman" w:hAnsi="Times New Roman"/>
          <w:b/>
          <w:bCs/>
          <w:sz w:val="24"/>
          <w:szCs w:val="24"/>
        </w:rPr>
        <w:t>, 2014-2018</w:t>
      </w:r>
      <w:r>
        <w:rPr>
          <w:rFonts w:ascii="Times New Roman" w:hAnsi="Times New Roman"/>
        </w:rPr>
        <w:t> (</w:t>
      </w:r>
      <w:r>
        <w:t>*)</w:t>
      </w:r>
      <w:r>
        <w:rPr>
          <w:rFonts w:ascii="Times New Roman" w:hAnsi="Times New Roman"/>
          <w:i/>
          <w:iCs/>
          <w:sz w:val="24"/>
          <w:szCs w:val="24"/>
        </w:rPr>
        <w:t xml:space="preserve"> (1</w:t>
      </w:r>
      <w:r>
        <w:rPr>
          <w:rFonts w:ascii="Times New Roman" w:hAnsi="Times New Roman"/>
          <w:i/>
          <w:iCs/>
          <w:sz w:val="24"/>
          <w:szCs w:val="24"/>
          <w:vertAlign w:val="superscript"/>
        </w:rPr>
        <w:t>re</w:t>
      </w:r>
      <w:r>
        <w:rPr>
          <w:rFonts w:ascii="Times New Roman" w:hAnsi="Times New Roman"/>
          <w:i/>
          <w:iCs/>
          <w:sz w:val="24"/>
          <w:szCs w:val="24"/>
        </w:rPr>
        <w:t> instance/en jours) (source: Commission européenne avec le Réseau de coopération en matière de protection des consommateurs)</w:t>
      </w:r>
    </w:p>
    <w:p w:rsidR="00D23207" w:rsidRDefault="00493C98">
      <w:pPr>
        <w:spacing w:after="0" w:line="240" w:lineRule="auto"/>
        <w:jc w:val="both"/>
        <w:rPr>
          <w:rFonts w:ascii="Times New Roman" w:eastAsia="Times New Roman" w:hAnsi="Times New Roman" w:cs="Times New Roman"/>
          <w:i/>
          <w:sz w:val="20"/>
          <w:szCs w:val="20"/>
        </w:rPr>
      </w:pPr>
      <w:r>
        <w:rPr>
          <w:rFonts w:ascii="Times New Roman" w:hAnsi="Times New Roman"/>
          <w:i/>
          <w:sz w:val="20"/>
          <w:szCs w:val="20"/>
          <w:lang w:val="en-GB" w:eastAsia="en-GB"/>
        </w:rPr>
        <w:drawing>
          <wp:inline distT="0" distB="0" distL="0" distR="0">
            <wp:extent cx="6027255" cy="2778369"/>
            <wp:effectExtent l="0" t="0" r="0" b="317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37923" cy="2783286"/>
                    </a:xfrm>
                    <a:prstGeom prst="rect">
                      <a:avLst/>
                    </a:prstGeom>
                    <a:noFill/>
                    <a:ln>
                      <a:noFill/>
                    </a:ln>
                  </pic:spPr>
                </pic:pic>
              </a:graphicData>
            </a:graphic>
          </wp:inline>
        </w:drawing>
      </w:r>
      <w:r>
        <w:rPr>
          <w:rFonts w:ascii="Times New Roman" w:hAnsi="Times New Roman"/>
          <w:i/>
          <w:sz w:val="20"/>
          <w:szCs w:val="20"/>
        </w:rPr>
        <w:t xml:space="preserve"> (*) </w:t>
      </w:r>
      <w:r>
        <w:rPr>
          <w:rFonts w:ascii="Times New Roman" w:hAnsi="Times New Roman"/>
          <w:b/>
          <w:i/>
          <w:sz w:val="20"/>
          <w:szCs w:val="20"/>
        </w:rPr>
        <w:t>AT</w:t>
      </w:r>
      <w:r>
        <w:rPr>
          <w:rFonts w:ascii="Times New Roman" w:hAnsi="Times New Roman"/>
          <w:i/>
          <w:sz w:val="20"/>
          <w:szCs w:val="20"/>
        </w:rPr>
        <w:t xml:space="preserve">, </w:t>
      </w:r>
      <w:r>
        <w:rPr>
          <w:rFonts w:ascii="Times New Roman" w:hAnsi="Times New Roman"/>
          <w:b/>
          <w:i/>
          <w:sz w:val="20"/>
          <w:szCs w:val="20"/>
        </w:rPr>
        <w:t>DE</w:t>
      </w:r>
      <w:r>
        <w:rPr>
          <w:rFonts w:ascii="Times New Roman" w:hAnsi="Times New Roman"/>
          <w:i/>
          <w:sz w:val="20"/>
          <w:szCs w:val="20"/>
        </w:rPr>
        <w:t xml:space="preserve">, </w:t>
      </w:r>
      <w:r>
        <w:rPr>
          <w:rFonts w:ascii="Times New Roman" w:hAnsi="Times New Roman"/>
          <w:b/>
          <w:i/>
          <w:sz w:val="20"/>
          <w:szCs w:val="20"/>
        </w:rPr>
        <w:t>LU</w:t>
      </w:r>
      <w:r>
        <w:rPr>
          <w:rFonts w:ascii="Times New Roman" w:hAnsi="Times New Roman"/>
          <w:i/>
          <w:sz w:val="20"/>
          <w:szCs w:val="20"/>
        </w:rPr>
        <w:t>: ce scénario n’est pas applicable, car les autorités de protection des consommateurs ne sont pas compétentes pour se prononcer sur des infractions aux règles applicables en matière de consommation. Le nombre d’affaires pertinentes est faible (moins de cin</w:t>
      </w:r>
      <w:r>
        <w:rPr>
          <w:rFonts w:ascii="Times New Roman" w:hAnsi="Times New Roman"/>
          <w:i/>
          <w:sz w:val="20"/>
          <w:szCs w:val="20"/>
        </w:rPr>
        <w:t xml:space="preserve">q) aux </w:t>
      </w:r>
      <w:r>
        <w:rPr>
          <w:rFonts w:ascii="Times New Roman" w:hAnsi="Times New Roman"/>
          <w:b/>
          <w:bCs/>
          <w:i/>
          <w:sz w:val="20"/>
          <w:szCs w:val="20"/>
        </w:rPr>
        <w:t>NL</w:t>
      </w:r>
      <w:r>
        <w:rPr>
          <w:rFonts w:ascii="Times New Roman" w:hAnsi="Times New Roman"/>
          <w:i/>
          <w:sz w:val="20"/>
          <w:szCs w:val="20"/>
        </w:rPr>
        <w:t xml:space="preserve"> et en </w:t>
      </w:r>
      <w:r>
        <w:rPr>
          <w:rFonts w:ascii="Times New Roman" w:hAnsi="Times New Roman"/>
          <w:b/>
          <w:bCs/>
          <w:i/>
          <w:sz w:val="20"/>
          <w:szCs w:val="20"/>
        </w:rPr>
        <w:t>SE</w:t>
      </w:r>
      <w:r>
        <w:rPr>
          <w:rFonts w:ascii="Times New Roman" w:hAnsi="Times New Roman"/>
          <w:i/>
          <w:sz w:val="20"/>
          <w:szCs w:val="20"/>
        </w:rPr>
        <w:t xml:space="preserve">. </w:t>
      </w:r>
      <w:r>
        <w:rPr>
          <w:rFonts w:ascii="Times New Roman" w:hAnsi="Times New Roman"/>
          <w:b/>
          <w:bCs/>
          <w:i/>
          <w:sz w:val="20"/>
          <w:szCs w:val="20"/>
        </w:rPr>
        <w:t>DK</w:t>
      </w:r>
      <w:r>
        <w:rPr>
          <w:rFonts w:ascii="Times New Roman" w:hAnsi="Times New Roman"/>
          <w:i/>
          <w:sz w:val="20"/>
          <w:szCs w:val="20"/>
        </w:rPr>
        <w:t xml:space="preserve">, </w:t>
      </w:r>
      <w:r>
        <w:rPr>
          <w:rFonts w:ascii="Times New Roman" w:hAnsi="Times New Roman"/>
          <w:b/>
          <w:bCs/>
          <w:i/>
          <w:sz w:val="20"/>
          <w:szCs w:val="20"/>
        </w:rPr>
        <w:t>FI</w:t>
      </w:r>
      <w:r>
        <w:rPr>
          <w:rFonts w:ascii="Times New Roman" w:hAnsi="Times New Roman"/>
          <w:i/>
          <w:sz w:val="20"/>
          <w:szCs w:val="20"/>
        </w:rPr>
        <w:t xml:space="preserve">, </w:t>
      </w:r>
      <w:r>
        <w:rPr>
          <w:rFonts w:ascii="Times New Roman" w:hAnsi="Times New Roman"/>
          <w:b/>
          <w:bCs/>
          <w:i/>
          <w:sz w:val="20"/>
          <w:szCs w:val="20"/>
        </w:rPr>
        <w:t>FR</w:t>
      </w:r>
      <w:r>
        <w:rPr>
          <w:rFonts w:ascii="Times New Roman" w:hAnsi="Times New Roman"/>
          <w:i/>
          <w:sz w:val="20"/>
          <w:szCs w:val="20"/>
        </w:rPr>
        <w:t xml:space="preserve">, </w:t>
      </w:r>
      <w:r>
        <w:rPr>
          <w:rFonts w:ascii="Times New Roman" w:hAnsi="Times New Roman"/>
          <w:b/>
          <w:bCs/>
          <w:i/>
          <w:sz w:val="20"/>
          <w:szCs w:val="20"/>
        </w:rPr>
        <w:t>EL</w:t>
      </w:r>
      <w:r>
        <w:rPr>
          <w:rFonts w:ascii="Times New Roman" w:hAnsi="Times New Roman"/>
          <w:i/>
          <w:sz w:val="20"/>
          <w:szCs w:val="20"/>
        </w:rPr>
        <w:t xml:space="preserve">, </w:t>
      </w:r>
      <w:r>
        <w:rPr>
          <w:rFonts w:ascii="Times New Roman" w:hAnsi="Times New Roman"/>
          <w:b/>
          <w:bCs/>
          <w:i/>
          <w:sz w:val="20"/>
          <w:szCs w:val="20"/>
        </w:rPr>
        <w:t>FR</w:t>
      </w:r>
      <w:r>
        <w:rPr>
          <w:rFonts w:ascii="Times New Roman" w:hAnsi="Times New Roman"/>
          <w:i/>
          <w:sz w:val="20"/>
          <w:szCs w:val="20"/>
        </w:rPr>
        <w:t xml:space="preserve"> et </w:t>
      </w:r>
      <w:r>
        <w:rPr>
          <w:rFonts w:ascii="Times New Roman" w:hAnsi="Times New Roman"/>
          <w:b/>
          <w:bCs/>
          <w:i/>
          <w:sz w:val="20"/>
          <w:szCs w:val="20"/>
        </w:rPr>
        <w:t>RO</w:t>
      </w:r>
      <w:r>
        <w:rPr>
          <w:rFonts w:ascii="Times New Roman" w:hAnsi="Times New Roman"/>
          <w:i/>
          <w:sz w:val="20"/>
          <w:szCs w:val="20"/>
        </w:rPr>
        <w:t xml:space="preserve"> ont fourni une estimation de la durée moyenne.</w:t>
      </w:r>
      <w:r>
        <w:rPr>
          <w:rFonts w:ascii="Times New Roman" w:hAnsi="Times New Roman"/>
          <w:i/>
        </w:rPr>
        <w:br w:type="page"/>
      </w:r>
    </w:p>
    <w:p w:rsidR="00D23207" w:rsidRDefault="00493C98">
      <w:pPr>
        <w:spacing w:before="240" w:after="120" w:line="240" w:lineRule="auto"/>
        <w:jc w:val="both"/>
        <w:rPr>
          <w:rFonts w:ascii="Times New Roman" w:eastAsia="Times New Roman" w:hAnsi="Times New Roman" w:cs="Times New Roman"/>
          <w:i/>
          <w:sz w:val="24"/>
          <w:szCs w:val="24"/>
        </w:rPr>
      </w:pPr>
      <w:r>
        <w:rPr>
          <w:rFonts w:ascii="Times New Roman" w:hAnsi="Times New Roman"/>
          <w:i/>
          <w:sz w:val="24"/>
          <w:szCs w:val="24"/>
        </w:rPr>
        <w:t>– Blanchiment de capitaux –</w:t>
      </w:r>
    </w:p>
    <w:p w:rsidR="00D23207" w:rsidRDefault="00493C98">
      <w:pPr>
        <w:spacing w:after="120" w:line="240" w:lineRule="auto"/>
        <w:jc w:val="both"/>
        <w:rPr>
          <w:rFonts w:ascii="Times New Roman" w:eastAsia="Calibri" w:hAnsi="Times New Roman" w:cs="Times New Roman"/>
          <w:sz w:val="24"/>
          <w:szCs w:val="24"/>
        </w:rPr>
      </w:pPr>
      <w:r>
        <w:rPr>
          <w:rFonts w:ascii="Times New Roman" w:hAnsi="Times New Roman"/>
          <w:sz w:val="24"/>
          <w:szCs w:val="24"/>
        </w:rPr>
        <w:t>Outre le fait qu’elle contribue à combattre la criminalité, une lutte efficace contre le blanchiment de capitaux est essentielle pour g</w:t>
      </w:r>
      <w:r>
        <w:rPr>
          <w:rFonts w:ascii="Times New Roman" w:hAnsi="Times New Roman"/>
          <w:sz w:val="24"/>
          <w:szCs w:val="24"/>
        </w:rPr>
        <w:t>arantir la solidité, l’intégrité et la stabilité du secteur financier, la confiance dans le système financier, ainsi qu’une concurrence loyale au sein du marché intérieur (</w:t>
      </w:r>
      <w:r>
        <w:rPr>
          <w:rFonts w:ascii="Times New Roman" w:eastAsia="Calibri" w:hAnsi="Times New Roman" w:cs="Times New Roman"/>
          <w:sz w:val="24"/>
          <w:szCs w:val="24"/>
          <w:vertAlign w:val="superscript"/>
        </w:rPr>
        <w:footnoteReference w:id="47"/>
      </w:r>
      <w:r>
        <w:rPr>
          <w:rFonts w:ascii="Times New Roman" w:hAnsi="Times New Roman"/>
          <w:sz w:val="24"/>
          <w:szCs w:val="24"/>
        </w:rPr>
        <w:t xml:space="preserve">). Comme le souligne le Fonds monétaire international, le blanchiment peut </w:t>
      </w:r>
      <w:r>
        <w:rPr>
          <w:rFonts w:ascii="Times New Roman" w:hAnsi="Times New Roman"/>
          <w:sz w:val="24"/>
          <w:szCs w:val="24"/>
        </w:rPr>
        <w:t>dissuader les investisseurs étrangers, perturber les flux de capitaux internationaux et avoir des répercussions négatives pour les résultats macroéconomiques d’un pays, et partant, entraîner des pertes de bien-être et détourner les ressources d’activités é</w:t>
      </w:r>
      <w:r>
        <w:rPr>
          <w:rFonts w:ascii="Times New Roman" w:hAnsi="Times New Roman"/>
          <w:sz w:val="24"/>
          <w:szCs w:val="24"/>
        </w:rPr>
        <w:t>conomiques plus productives (</w:t>
      </w:r>
      <w:r>
        <w:rPr>
          <w:rFonts w:ascii="Times New Roman" w:eastAsia="Calibri" w:hAnsi="Times New Roman" w:cs="Times New Roman"/>
          <w:sz w:val="24"/>
          <w:szCs w:val="24"/>
          <w:vertAlign w:val="superscript"/>
        </w:rPr>
        <w:footnoteReference w:id="48"/>
      </w:r>
      <w:r>
        <w:rPr>
          <w:rFonts w:ascii="Times New Roman" w:hAnsi="Times New Roman"/>
          <w:sz w:val="24"/>
          <w:szCs w:val="24"/>
        </w:rPr>
        <w:t>). La directive anti-blanchiment exige des États membres qu’ils tiennent des statistiques sur l’efficacité de leurs systèmes de lutte contre le blanchiment de capitaux ou le financement du terrorisme (</w:t>
      </w:r>
      <w:r>
        <w:rPr>
          <w:rFonts w:ascii="Times New Roman" w:eastAsia="Calibri" w:hAnsi="Times New Roman" w:cs="Times New Roman"/>
          <w:sz w:val="24"/>
          <w:szCs w:val="24"/>
          <w:vertAlign w:val="superscript"/>
        </w:rPr>
        <w:footnoteReference w:id="49"/>
      </w:r>
      <w:r>
        <w:rPr>
          <w:rFonts w:ascii="Times New Roman" w:hAnsi="Times New Roman"/>
          <w:sz w:val="24"/>
          <w:szCs w:val="24"/>
        </w:rPr>
        <w:t>). En coopération avec l</w:t>
      </w:r>
      <w:r>
        <w:rPr>
          <w:rFonts w:ascii="Times New Roman" w:hAnsi="Times New Roman"/>
          <w:sz w:val="24"/>
          <w:szCs w:val="24"/>
        </w:rPr>
        <w:t>es États membres, un questionnaire actualisé a été utilisé en vue de collecter des données sur les phases judiciaires des systèmes nationaux de lutte contre le blanchiment. Le graphique 21 indique la durée moyenne des affaires en première instance concerna</w:t>
      </w:r>
      <w:r>
        <w:rPr>
          <w:rFonts w:ascii="Times New Roman" w:hAnsi="Times New Roman"/>
          <w:sz w:val="24"/>
          <w:szCs w:val="24"/>
        </w:rPr>
        <w:t xml:space="preserve">nt des infractions pénales de blanchiment. </w:t>
      </w:r>
    </w:p>
    <w:p w:rsidR="00D23207" w:rsidRDefault="00493C98">
      <w:pPr>
        <w:spacing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szCs w:val="24"/>
        </w:rPr>
        <w:t>21</w:t>
      </w:r>
      <w:r>
        <w:fldChar w:fldCharType="end"/>
      </w:r>
      <w:r>
        <w:rPr>
          <w:rFonts w:ascii="Times New Roman" w:hAnsi="Times New Roman"/>
          <w:b/>
          <w:bCs/>
          <w:sz w:val="24"/>
          <w:szCs w:val="24"/>
        </w:rPr>
        <w:t xml:space="preserve">: blanchiment de capitaux – </w:t>
      </w:r>
      <w:r>
        <w:rPr>
          <w:rFonts w:ascii="Times New Roman" w:hAnsi="Times New Roman"/>
          <w:b/>
          <w:bCs/>
        </w:rPr>
        <w:t>durée moyenne des affaires en justice</w:t>
      </w:r>
      <w:r>
        <w:rPr>
          <w:rFonts w:ascii="Times New Roman" w:hAnsi="Times New Roman"/>
          <w:b/>
          <w:bCs/>
          <w:sz w:val="24"/>
          <w:szCs w:val="24"/>
        </w:rPr>
        <w:t>, 2014-2018</w:t>
      </w:r>
      <w:r>
        <w:rPr>
          <w:rFonts w:ascii="Times New Roman" w:hAnsi="Times New Roman"/>
        </w:rPr>
        <w:t> (</w:t>
      </w:r>
      <w:r>
        <w:t>*</w:t>
      </w:r>
      <w:r>
        <w:rPr>
          <w:rFonts w:ascii="Times New Roman" w:hAnsi="Times New Roman"/>
        </w:rPr>
        <w:t>)</w:t>
      </w:r>
      <w:r>
        <w:rPr>
          <w:rFonts w:ascii="Times New Roman" w:hAnsi="Times New Roman"/>
          <w:i/>
          <w:iCs/>
          <w:sz w:val="24"/>
          <w:szCs w:val="24"/>
        </w:rPr>
        <w:t xml:space="preserve"> (1</w:t>
      </w:r>
      <w:r>
        <w:rPr>
          <w:rFonts w:ascii="Times New Roman" w:hAnsi="Times New Roman"/>
          <w:i/>
          <w:iCs/>
          <w:sz w:val="24"/>
          <w:szCs w:val="24"/>
          <w:vertAlign w:val="superscript"/>
        </w:rPr>
        <w:t>re</w:t>
      </w:r>
      <w:r>
        <w:rPr>
          <w:rFonts w:ascii="Times New Roman" w:hAnsi="Times New Roman"/>
          <w:i/>
          <w:iCs/>
          <w:sz w:val="24"/>
          <w:szCs w:val="24"/>
        </w:rPr>
        <w:t xml:space="preserve"> instance/en jours) (source: Commission européenne avec le groupe d’experts en matière de </w:t>
      </w:r>
      <w:r>
        <w:rPr>
          <w:rFonts w:ascii="Times New Roman" w:hAnsi="Times New Roman"/>
          <w:i/>
          <w:iCs/>
          <w:sz w:val="24"/>
          <w:szCs w:val="24"/>
        </w:rPr>
        <w:t>blanchiment des capitaux et de financement du terrorisme)</w:t>
      </w:r>
    </w:p>
    <w:p w:rsidR="00D23207" w:rsidRDefault="00493C98">
      <w:pPr>
        <w:spacing w:after="0" w:line="240" w:lineRule="auto"/>
        <w:jc w:val="both"/>
        <w:rPr>
          <w:rFonts w:ascii="Times New Roman" w:eastAsia="Calibri" w:hAnsi="Times New Roman" w:cs="Times New Roman"/>
          <w:i/>
          <w:sz w:val="24"/>
          <w:szCs w:val="24"/>
        </w:rPr>
      </w:pPr>
      <w:r>
        <w:rPr>
          <w:rFonts w:ascii="Times New Roman" w:hAnsi="Times New Roman"/>
          <w:i/>
          <w:sz w:val="20"/>
          <w:lang w:val="en-GB" w:eastAsia="en-GB"/>
        </w:rPr>
        <w:drawing>
          <wp:inline distT="0" distB="0" distL="0" distR="0">
            <wp:extent cx="5978867" cy="2985917"/>
            <wp:effectExtent l="0" t="0" r="3175" b="508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9871" cy="2991412"/>
                    </a:xfrm>
                    <a:prstGeom prst="rect">
                      <a:avLst/>
                    </a:prstGeom>
                    <a:noFill/>
                    <a:ln>
                      <a:noFill/>
                    </a:ln>
                  </pic:spPr>
                </pic:pic>
              </a:graphicData>
            </a:graphic>
          </wp:inline>
        </w:drawing>
      </w:r>
      <w:r>
        <w:rPr>
          <w:rFonts w:ascii="Times New Roman" w:hAnsi="Times New Roman"/>
          <w:i/>
          <w:sz w:val="20"/>
        </w:rPr>
        <w:t xml:space="preserve"> (*) Pas de données relatives à l’année 2018: </w:t>
      </w:r>
      <w:r>
        <w:rPr>
          <w:rFonts w:ascii="Times New Roman" w:hAnsi="Times New Roman"/>
          <w:b/>
          <w:i/>
          <w:sz w:val="20"/>
        </w:rPr>
        <w:t>BE</w:t>
      </w:r>
      <w:r>
        <w:rPr>
          <w:rFonts w:ascii="Times New Roman" w:hAnsi="Times New Roman"/>
          <w:i/>
          <w:sz w:val="20"/>
        </w:rPr>
        <w:t xml:space="preserve">, </w:t>
      </w:r>
      <w:r>
        <w:rPr>
          <w:rFonts w:ascii="Times New Roman" w:hAnsi="Times New Roman"/>
          <w:b/>
          <w:i/>
          <w:sz w:val="20"/>
        </w:rPr>
        <w:t>EE</w:t>
      </w:r>
      <w:r>
        <w:rPr>
          <w:rFonts w:ascii="Times New Roman" w:hAnsi="Times New Roman"/>
          <w:i/>
          <w:sz w:val="20"/>
        </w:rPr>
        <w:t xml:space="preserve">, </w:t>
      </w:r>
      <w:r>
        <w:rPr>
          <w:rFonts w:ascii="Times New Roman" w:hAnsi="Times New Roman"/>
          <w:b/>
          <w:i/>
          <w:sz w:val="20"/>
        </w:rPr>
        <w:t>CY</w:t>
      </w:r>
      <w:r>
        <w:rPr>
          <w:rFonts w:ascii="Times New Roman" w:hAnsi="Times New Roman"/>
          <w:i/>
          <w:sz w:val="20"/>
        </w:rPr>
        <w:t xml:space="preserve">, </w:t>
      </w:r>
      <w:r>
        <w:rPr>
          <w:rFonts w:ascii="Times New Roman" w:hAnsi="Times New Roman"/>
          <w:b/>
          <w:i/>
          <w:sz w:val="20"/>
        </w:rPr>
        <w:t>AT</w:t>
      </w:r>
      <w:r>
        <w:rPr>
          <w:rFonts w:ascii="Times New Roman" w:hAnsi="Times New Roman"/>
          <w:i/>
          <w:sz w:val="20"/>
        </w:rPr>
        <w:t xml:space="preserve">, </w:t>
      </w:r>
      <w:r>
        <w:rPr>
          <w:rFonts w:ascii="Times New Roman" w:hAnsi="Times New Roman"/>
          <w:b/>
          <w:i/>
          <w:sz w:val="20"/>
        </w:rPr>
        <w:t>PL</w:t>
      </w:r>
      <w:r>
        <w:rPr>
          <w:rFonts w:ascii="Times New Roman" w:hAnsi="Times New Roman"/>
          <w:i/>
          <w:sz w:val="20"/>
        </w:rPr>
        <w:t xml:space="preserve">, et </w:t>
      </w:r>
      <w:r>
        <w:rPr>
          <w:rFonts w:ascii="Times New Roman" w:hAnsi="Times New Roman"/>
          <w:b/>
          <w:i/>
          <w:sz w:val="20"/>
        </w:rPr>
        <w:t>PT</w:t>
      </w:r>
      <w:r>
        <w:rPr>
          <w:rFonts w:ascii="Times New Roman" w:hAnsi="Times New Roman"/>
          <w:i/>
          <w:sz w:val="20"/>
        </w:rPr>
        <w:t xml:space="preserve">. </w:t>
      </w:r>
      <w:r>
        <w:rPr>
          <w:rFonts w:ascii="Times New Roman" w:hAnsi="Times New Roman"/>
          <w:b/>
          <w:i/>
          <w:sz w:val="20"/>
        </w:rPr>
        <w:t>ES, NL:</w:t>
      </w:r>
      <w:r>
        <w:rPr>
          <w:rFonts w:ascii="Times New Roman" w:hAnsi="Times New Roman"/>
          <w:i/>
          <w:sz w:val="20"/>
        </w:rPr>
        <w:t xml:space="preserve"> durée estimée. </w:t>
      </w:r>
      <w:r>
        <w:rPr>
          <w:rFonts w:ascii="Times New Roman" w:hAnsi="Times New Roman"/>
          <w:b/>
          <w:i/>
          <w:sz w:val="20"/>
        </w:rPr>
        <w:t>LV</w:t>
      </w:r>
      <w:r>
        <w:rPr>
          <w:rFonts w:ascii="Times New Roman" w:hAnsi="Times New Roman"/>
          <w:i/>
          <w:sz w:val="20"/>
        </w:rPr>
        <w:t xml:space="preserve">: en raison d’un nombre relativement faible d’affaires en 2016, différents facteurs peuvent avoir une incidence sur la durée de la procédure, par exemple une suspension dans une affaire pour des raisons objectives. </w:t>
      </w:r>
      <w:r>
        <w:rPr>
          <w:rFonts w:ascii="Times New Roman" w:hAnsi="Times New Roman"/>
          <w:b/>
          <w:i/>
          <w:sz w:val="20"/>
        </w:rPr>
        <w:t>PL:</w:t>
      </w:r>
      <w:r>
        <w:rPr>
          <w:rFonts w:ascii="Times New Roman" w:hAnsi="Times New Roman"/>
          <w:i/>
          <w:sz w:val="20"/>
        </w:rPr>
        <w:t xml:space="preserve"> le calcul de la durée pour 2016 se fo</w:t>
      </w:r>
      <w:r>
        <w:rPr>
          <w:rFonts w:ascii="Times New Roman" w:hAnsi="Times New Roman"/>
          <w:i/>
          <w:sz w:val="20"/>
        </w:rPr>
        <w:t>nde sur un échantillon d’affaires sélectionné de manière aléatoire.</w:t>
      </w:r>
      <w:bookmarkStart w:id="250" w:name="_Toc441571131"/>
      <w:bookmarkStart w:id="251" w:name="_Toc441581633"/>
      <w:bookmarkStart w:id="252" w:name="_Toc441585900"/>
      <w:bookmarkStart w:id="253" w:name="_Toc441595835"/>
      <w:bookmarkStart w:id="254" w:name="_Toc441596012"/>
      <w:bookmarkStart w:id="255" w:name="_Toc441748137"/>
      <w:bookmarkStart w:id="256" w:name="_Toc441755422"/>
      <w:bookmarkStart w:id="257" w:name="_Toc441756459"/>
      <w:bookmarkStart w:id="258" w:name="_Toc441757503"/>
      <w:bookmarkStart w:id="259" w:name="_Toc441766632"/>
      <w:bookmarkStart w:id="260" w:name="_Toc441766971"/>
      <w:bookmarkStart w:id="261" w:name="_Toc442187972"/>
      <w:bookmarkStart w:id="262" w:name="_Toc442262064"/>
      <w:bookmarkStart w:id="263" w:name="_Toc442362471"/>
      <w:bookmarkStart w:id="264" w:name="_Toc442374807"/>
      <w:bookmarkStart w:id="265" w:name="_Toc442425947"/>
      <w:bookmarkStart w:id="266" w:name="_Toc442453073"/>
      <w:bookmarkStart w:id="267" w:name="_Toc443484531"/>
      <w:bookmarkStart w:id="268" w:name="_Toc443484753"/>
      <w:bookmarkStart w:id="269" w:name="_Toc443509494"/>
      <w:bookmarkStart w:id="270" w:name="_Toc446014823"/>
      <w:r>
        <w:rPr>
          <w:rFonts w:ascii="Times New Roman" w:hAnsi="Times New Roman"/>
          <w:i/>
          <w:sz w:val="20"/>
        </w:rPr>
        <w:t xml:space="preserve"> </w:t>
      </w:r>
      <w:r>
        <w:rPr>
          <w:rFonts w:ascii="Times New Roman" w:hAnsi="Times New Roman"/>
          <w:b/>
          <w:i/>
          <w:sz w:val="20"/>
        </w:rPr>
        <w:t>SE:</w:t>
      </w:r>
      <w:r>
        <w:rPr>
          <w:rFonts w:ascii="Times New Roman" w:hAnsi="Times New Roman"/>
          <w:i/>
          <w:sz w:val="20"/>
        </w:rPr>
        <w:t xml:space="preserve"> le calcul de 2017 se fonde sur un échantillon d’affaires tranchées; les données relatives à 2018 sont préliminaires.</w:t>
      </w:r>
      <w:r>
        <w:rPr>
          <w:rFonts w:ascii="Times New Roman" w:hAnsi="Times New Roman"/>
        </w:rPr>
        <w:t xml:space="preserve"> </w:t>
      </w:r>
      <w:r>
        <w:rPr>
          <w:rFonts w:ascii="Times New Roman" w:hAnsi="Times New Roman"/>
          <w:b/>
          <w:i/>
          <w:sz w:val="20"/>
        </w:rPr>
        <w:t>IT:</w:t>
      </w:r>
      <w:r>
        <w:rPr>
          <w:rFonts w:ascii="Times New Roman" w:hAnsi="Times New Roman"/>
          <w:i/>
          <w:sz w:val="20"/>
        </w:rPr>
        <w:t xml:space="preserve"> les données concernent les juridictions ayant fourni des répons</w:t>
      </w:r>
      <w:r>
        <w:rPr>
          <w:rFonts w:ascii="Times New Roman" w:hAnsi="Times New Roman"/>
          <w:i/>
          <w:sz w:val="20"/>
        </w:rPr>
        <w:t>es et couvrent environ 91 % de l’ensemble des procédures en 2015, et environ 99 % en 2016 et 2017; les données concernent à la fois les procès et les audiences préliminaires.</w:t>
      </w:r>
    </w:p>
    <w:p w:rsidR="00D23207" w:rsidRDefault="00493C98">
      <w:pPr>
        <w:spacing w:line="240" w:lineRule="auto"/>
        <w:jc w:val="both"/>
      </w:pPr>
      <w:r>
        <w:br w:type="page"/>
      </w: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D23207">
        <w:trPr>
          <w:trHeight w:val="614"/>
        </w:trPr>
        <w:tc>
          <w:tcPr>
            <w:tcW w:w="9629" w:type="dxa"/>
            <w:tcBorders>
              <w:top w:val="single" w:sz="4" w:space="0" w:color="auto"/>
              <w:left w:val="single" w:sz="4" w:space="0" w:color="auto"/>
              <w:bottom w:val="single" w:sz="4" w:space="0" w:color="auto"/>
              <w:right w:val="single" w:sz="4" w:space="0" w:color="auto"/>
            </w:tcBorders>
          </w:tcPr>
          <w:p w:rsidR="00D23207" w:rsidRDefault="00493C98">
            <w:pPr>
              <w:keepNext/>
              <w:spacing w:before="120" w:after="120" w:line="240" w:lineRule="auto"/>
              <w:jc w:val="both"/>
              <w:outlineLvl w:val="2"/>
              <w:rPr>
                <w:rFonts w:ascii="Times New Roman" w:eastAsia="Times New Roman" w:hAnsi="Times New Roman" w:cs="Times New Roman"/>
                <w:b/>
                <w:sz w:val="24"/>
                <w:szCs w:val="24"/>
              </w:rPr>
            </w:pPr>
            <w:r>
              <w:rPr>
                <w:rFonts w:ascii="Times New Roman" w:hAnsi="Times New Roman"/>
                <w:b/>
                <w:sz w:val="24"/>
                <w:szCs w:val="24"/>
              </w:rPr>
              <w:t>3.1.4.</w:t>
            </w:r>
            <w:r>
              <w:rPr>
                <w:rFonts w:ascii="Times New Roman" w:hAnsi="Times New Roman"/>
                <w:b/>
                <w:sz w:val="18"/>
                <w:szCs w:val="24"/>
              </w:rPr>
              <w:t> </w:t>
            </w:r>
            <w:r>
              <w:rPr>
                <w:rFonts w:ascii="Times New Roman" w:hAnsi="Times New Roman"/>
                <w:b/>
                <w:sz w:val="24"/>
                <w:szCs w:val="24"/>
              </w:rPr>
              <w:t>Résumé sur l’efficience des systèmes judiciaires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D23207" w:rsidRDefault="00493C98">
            <w:pPr>
              <w:spacing w:after="120" w:line="240" w:lineRule="auto"/>
              <w:jc w:val="both"/>
              <w:rPr>
                <w:rFonts w:ascii="Times New Roman" w:eastAsia="Times New Roman" w:hAnsi="Times New Roman" w:cs="Times New Roman"/>
                <w:sz w:val="24"/>
              </w:rPr>
            </w:pPr>
            <w:r>
              <w:rPr>
                <w:rFonts w:ascii="Times New Roman" w:hAnsi="Times New Roman"/>
                <w:sz w:val="24"/>
                <w:szCs w:val="24"/>
              </w:rPr>
              <w:t>Un système judiciaire e</w:t>
            </w:r>
            <w:r>
              <w:rPr>
                <w:rFonts w:ascii="Times New Roman" w:hAnsi="Times New Roman"/>
                <w:sz w:val="24"/>
                <w:szCs w:val="24"/>
              </w:rPr>
              <w:t>fficient gère ses affaires en cours, maîtrise son arriéré et rend des décisions dans les délais impartis. Les principaux indicateurs utilisés par le tableau de bord de la justice dans l’UE pour assurer le suivi de l’efficience des systèmes judiciaires sont</w:t>
            </w:r>
            <w:r>
              <w:rPr>
                <w:rFonts w:ascii="Times New Roman" w:hAnsi="Times New Roman"/>
                <w:sz w:val="24"/>
                <w:szCs w:val="24"/>
              </w:rPr>
              <w:t xml:space="preserve"> par conséquent la </w:t>
            </w:r>
            <w:r>
              <w:rPr>
                <w:rFonts w:ascii="Times New Roman" w:hAnsi="Times New Roman"/>
                <w:i/>
                <w:iCs/>
                <w:sz w:val="24"/>
                <w:szCs w:val="24"/>
              </w:rPr>
              <w:t>durée des procédures</w:t>
            </w:r>
            <w:r>
              <w:rPr>
                <w:rFonts w:ascii="Times New Roman" w:hAnsi="Times New Roman"/>
                <w:sz w:val="24"/>
                <w:szCs w:val="24"/>
              </w:rPr>
              <w:t xml:space="preserve"> (temps moyen ou estimé nécessaire, en jours, pour que la justice tranche une affaire), le </w:t>
            </w:r>
            <w:r>
              <w:rPr>
                <w:rFonts w:ascii="Times New Roman" w:hAnsi="Times New Roman"/>
                <w:i/>
                <w:iCs/>
                <w:sz w:val="24"/>
                <w:szCs w:val="24"/>
              </w:rPr>
              <w:t>taux de variation du stock d’affaires pendantes</w:t>
            </w:r>
            <w:r>
              <w:rPr>
                <w:rFonts w:ascii="Times New Roman" w:hAnsi="Times New Roman"/>
                <w:sz w:val="24"/>
                <w:szCs w:val="24"/>
              </w:rPr>
              <w:t xml:space="preserve"> (rapport entre le nombre d’affaires tranchées et le nombre d’affaires nouvelle</w:t>
            </w:r>
            <w:r>
              <w:rPr>
                <w:rFonts w:ascii="Times New Roman" w:hAnsi="Times New Roman"/>
                <w:sz w:val="24"/>
                <w:szCs w:val="24"/>
              </w:rPr>
              <w:t>s) et le nombre d’</w:t>
            </w:r>
            <w:r>
              <w:rPr>
                <w:rFonts w:ascii="Times New Roman" w:hAnsi="Times New Roman"/>
                <w:i/>
                <w:iCs/>
                <w:sz w:val="24"/>
                <w:szCs w:val="24"/>
              </w:rPr>
              <w:t>affaires pendantes</w:t>
            </w:r>
            <w:r>
              <w:rPr>
                <w:rFonts w:ascii="Times New Roman" w:hAnsi="Times New Roman"/>
                <w:sz w:val="24"/>
                <w:szCs w:val="24"/>
              </w:rPr>
              <w:t xml:space="preserve"> (qui restent à traiter à la fin de l’année).</w:t>
            </w:r>
          </w:p>
          <w:p w:rsidR="00D23207" w:rsidRDefault="00493C98">
            <w:pPr>
              <w:spacing w:before="120" w:after="0" w:line="240" w:lineRule="auto"/>
              <w:jc w:val="both"/>
              <w:rPr>
                <w:rFonts w:ascii="Times New Roman" w:eastAsia="Calibri" w:hAnsi="Times New Roman" w:cs="Times New Roman"/>
                <w:i/>
                <w:sz w:val="24"/>
              </w:rPr>
            </w:pPr>
            <w:r>
              <w:rPr>
                <w:rFonts w:ascii="Times New Roman" w:hAnsi="Times New Roman"/>
                <w:i/>
                <w:sz w:val="24"/>
              </w:rPr>
              <w:t>Données générales sur l’efficience</w:t>
            </w:r>
          </w:p>
          <w:p w:rsidR="00D23207" w:rsidRDefault="00493C98">
            <w:pPr>
              <w:spacing w:after="60" w:line="240" w:lineRule="auto"/>
              <w:jc w:val="both"/>
              <w:rPr>
                <w:rFonts w:ascii="Times New Roman" w:eastAsia="Calibri" w:hAnsi="Times New Roman" w:cs="Times New Roman"/>
                <w:sz w:val="24"/>
              </w:rPr>
            </w:pPr>
            <w:r>
              <w:rPr>
                <w:rFonts w:ascii="Times New Roman" w:hAnsi="Times New Roman"/>
                <w:sz w:val="24"/>
              </w:rPr>
              <w:t xml:space="preserve">Le tableau de bord 2020 de la justice dans l’UE contient des données sur l’efficience couvrant une période de sept ans (2012-2018). Cet </w:t>
            </w:r>
            <w:r>
              <w:rPr>
                <w:rFonts w:ascii="Times New Roman" w:hAnsi="Times New Roman"/>
                <w:sz w:val="24"/>
              </w:rPr>
              <w:t>horizon temporel permet de détecter certaines tendances et de tenir compte du fait que les réformes de la justice mettent souvent du temps à produire leurs effets.</w:t>
            </w:r>
          </w:p>
          <w:p w:rsidR="00D23207" w:rsidRDefault="00493C98">
            <w:pPr>
              <w:spacing w:after="60" w:line="240" w:lineRule="auto"/>
              <w:jc w:val="both"/>
              <w:rPr>
                <w:rFonts w:ascii="Times New Roman" w:eastAsia="Calibri" w:hAnsi="Times New Roman" w:cs="Times New Roman"/>
                <w:sz w:val="24"/>
              </w:rPr>
            </w:pPr>
            <w:r>
              <w:rPr>
                <w:rFonts w:ascii="Times New Roman" w:hAnsi="Times New Roman"/>
                <w:sz w:val="24"/>
              </w:rPr>
              <w:t>L’examen des données disponibles concernant les affaires civiles, commerciales et administra</w:t>
            </w:r>
            <w:r>
              <w:rPr>
                <w:rFonts w:ascii="Times New Roman" w:hAnsi="Times New Roman"/>
                <w:sz w:val="24"/>
              </w:rPr>
              <w:t>tives depuis 2012 montre que l’efficience s’est améliorée ou est restée stable dans 11 États membres, tandis qu’une baisse, quoique souvent légère, a été enregistrée dans huit États membres.</w:t>
            </w:r>
          </w:p>
          <w:p w:rsidR="00D23207" w:rsidRDefault="00493C98">
            <w:pPr>
              <w:spacing w:after="60" w:line="240" w:lineRule="auto"/>
              <w:jc w:val="both"/>
              <w:rPr>
                <w:rFonts w:ascii="Times New Roman" w:eastAsia="Calibri" w:hAnsi="Times New Roman" w:cs="Times New Roman"/>
                <w:sz w:val="24"/>
              </w:rPr>
            </w:pPr>
            <w:r>
              <w:rPr>
                <w:rFonts w:ascii="Times New Roman" w:hAnsi="Times New Roman"/>
                <w:sz w:val="24"/>
                <w:szCs w:val="24"/>
              </w:rPr>
              <w:t>Des évolutions positives peuvent être observées dans la plupart d</w:t>
            </w:r>
            <w:r>
              <w:rPr>
                <w:rFonts w:ascii="Times New Roman" w:hAnsi="Times New Roman"/>
                <w:sz w:val="24"/>
                <w:szCs w:val="24"/>
              </w:rPr>
              <w:t>es États membres confrontés à des difficultés spécifiques recensés dans le cadre du Semestre européen (</w:t>
            </w:r>
            <w:bookmarkStart w:id="271" w:name="_Ref4705096"/>
            <w:r>
              <w:rPr>
                <w:rFonts w:ascii="Times New Roman" w:eastAsia="Calibri" w:hAnsi="Times New Roman" w:cs="Times New Roman"/>
                <w:sz w:val="24"/>
                <w:szCs w:val="24"/>
                <w:vertAlign w:val="superscript"/>
              </w:rPr>
              <w:footnoteReference w:id="50"/>
            </w:r>
            <w:bookmarkEnd w:id="271"/>
            <w:r>
              <w:rPr>
                <w:rFonts w:ascii="Times New Roman" w:hAnsi="Times New Roman"/>
                <w:sz w:val="24"/>
                <w:szCs w:val="24"/>
              </w:rPr>
              <w:t>):</w:t>
            </w:r>
          </w:p>
          <w:p w:rsidR="00D23207" w:rsidRDefault="00493C98">
            <w:pPr>
              <w:numPr>
                <w:ilvl w:val="0"/>
                <w:numId w:val="7"/>
              </w:numPr>
              <w:spacing w:after="60" w:line="240" w:lineRule="auto"/>
              <w:ind w:left="397" w:hanging="357"/>
              <w:jc w:val="both"/>
              <w:rPr>
                <w:rFonts w:ascii="Times New Roman" w:eastAsia="Times New Roman" w:hAnsi="Times New Roman" w:cs="Times New Roman"/>
                <w:sz w:val="24"/>
                <w:szCs w:val="24"/>
              </w:rPr>
            </w:pPr>
            <w:r>
              <w:rPr>
                <w:rFonts w:ascii="Times New Roman" w:hAnsi="Times New Roman"/>
                <w:sz w:val="24"/>
                <w:szCs w:val="24"/>
              </w:rPr>
              <w:t xml:space="preserve">depuis 2012, dans la quasi-totalité de ces États membres, la </w:t>
            </w:r>
            <w:r>
              <w:rPr>
                <w:rFonts w:ascii="Times New Roman" w:hAnsi="Times New Roman"/>
                <w:b/>
                <w:bCs/>
                <w:sz w:val="24"/>
                <w:szCs w:val="24"/>
              </w:rPr>
              <w:t>durée des procédures de première instance</w:t>
            </w:r>
            <w:r>
              <w:rPr>
                <w:rFonts w:ascii="Times New Roman" w:hAnsi="Times New Roman"/>
                <w:sz w:val="24"/>
                <w:szCs w:val="24"/>
              </w:rPr>
              <w:t xml:space="preserve"> dans la grande catégorie «toutes affaires» (graphique 5) et dans celle des affaires civiles et commerciales contentieuses (graphique 6) a diminué ou est restée stable. Dans les affaires administratives (graphique 8), la durée des procédures depuis 2012 a </w:t>
            </w:r>
            <w:r>
              <w:rPr>
                <w:rFonts w:ascii="Times New Roman" w:hAnsi="Times New Roman"/>
                <w:sz w:val="24"/>
                <w:szCs w:val="24"/>
              </w:rPr>
              <w:t>diminué ou est restée stable dans la plupart de ces États membres. Dans l’ensemble, la durée des procédures en 2018 n’a augmenté que dans quelques États membres;</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 tableau de bord présente des données sur la </w:t>
            </w:r>
            <w:r>
              <w:rPr>
                <w:rFonts w:ascii="Times New Roman" w:hAnsi="Times New Roman"/>
                <w:b/>
                <w:bCs/>
                <w:sz w:val="24"/>
                <w:szCs w:val="24"/>
              </w:rPr>
              <w:t>durée des procédures pour tous les degrés d’ins</w:t>
            </w:r>
            <w:r>
              <w:rPr>
                <w:rFonts w:ascii="Times New Roman" w:hAnsi="Times New Roman"/>
                <w:b/>
                <w:bCs/>
                <w:sz w:val="24"/>
                <w:szCs w:val="24"/>
              </w:rPr>
              <w:t>tance</w:t>
            </w:r>
            <w:r>
              <w:rPr>
                <w:rFonts w:ascii="Times New Roman" w:hAnsi="Times New Roman"/>
                <w:sz w:val="24"/>
                <w:szCs w:val="24"/>
              </w:rPr>
              <w:t xml:space="preserve"> en ce qui concerne les affaires civiles et commerciales contentieuses (graphique 7) et les affaires administratives (graphique 9). Ces données montrent que dans un certain nombre d’États membres cités parmi les pays confrontés à des difficultés liées</w:t>
            </w:r>
            <w:r>
              <w:rPr>
                <w:rFonts w:ascii="Times New Roman" w:hAnsi="Times New Roman"/>
                <w:sz w:val="24"/>
                <w:szCs w:val="24"/>
              </w:rPr>
              <w:t xml:space="preserve"> à la durée des procédures en première instance, les instances supérieures fonctionnent de façon plus efficiente. À l’inverse, dans quelques autres États membres confrontés à des difficultés, la durée moyenne des procédures dans les juridictions d’instance</w:t>
            </w:r>
            <w:r>
              <w:rPr>
                <w:rFonts w:ascii="Times New Roman" w:hAnsi="Times New Roman"/>
                <w:sz w:val="24"/>
                <w:szCs w:val="24"/>
              </w:rPr>
              <w:t xml:space="preserve"> supérieure est encore plus longue qu’en première instance;</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dans la grande catégorie «toutes affaires» et dans celle des affaires civiles et commerciales contentieuses (graphiques 10 et 11), le nombre total d’États membres dans lesquels le </w:t>
            </w:r>
            <w:r>
              <w:rPr>
                <w:rFonts w:ascii="Times New Roman" w:hAnsi="Times New Roman"/>
                <w:b/>
                <w:bCs/>
                <w:sz w:val="24"/>
                <w:szCs w:val="24"/>
              </w:rPr>
              <w:t>taux de variatio</w:t>
            </w:r>
            <w:r>
              <w:rPr>
                <w:rFonts w:ascii="Times New Roman" w:hAnsi="Times New Roman"/>
                <w:b/>
                <w:bCs/>
                <w:sz w:val="24"/>
                <w:szCs w:val="24"/>
              </w:rPr>
              <w:t>n du stock d’affaires pendantes</w:t>
            </w:r>
            <w:r>
              <w:rPr>
                <w:rFonts w:ascii="Times New Roman" w:hAnsi="Times New Roman"/>
                <w:sz w:val="24"/>
                <w:szCs w:val="24"/>
              </w:rPr>
              <w:t xml:space="preserve"> est supérieur à 100 % a augmenté depuis 2012. En 2018, presque tous les États membres, y compris ceux qui étaient confrontés à des difficultés, ont signalé un taux de variation du stock d’affaires pendantes élevé (plus de 97</w:t>
            </w:r>
            <w:r>
              <w:rPr>
                <w:rFonts w:ascii="Times New Roman" w:hAnsi="Times New Roman"/>
                <w:sz w:val="24"/>
                <w:szCs w:val="24"/>
              </w:rPr>
              <w:t> %), ce qui signifie que les juridictions sont généralement en mesure de traiter les nouvelles affaires dans ces catégories. Pour les affaires administratives (graphique 12), ce taux connaît une variation plus forte d’une année à l’autre et reste dans l’en</w:t>
            </w:r>
            <w:r>
              <w:rPr>
                <w:rFonts w:ascii="Times New Roman" w:hAnsi="Times New Roman"/>
                <w:sz w:val="24"/>
                <w:szCs w:val="24"/>
              </w:rPr>
              <w:t xml:space="preserve">semble inférieur à celui des autres catégories d’affaires, certains États membres ayant réalisé des progrès satisfaisants. En particulier, la plupart des États membres confrontés à des difficultés ont signalé une augmentation du taux de variation du stock </w:t>
            </w:r>
            <w:r>
              <w:rPr>
                <w:rFonts w:ascii="Times New Roman" w:hAnsi="Times New Roman"/>
                <w:sz w:val="24"/>
                <w:szCs w:val="24"/>
              </w:rPr>
              <w:t xml:space="preserve">d’affaires administratives pendantes depuis 2012; </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depuis 2012, les progrès se poursuivent dans presque tous les États membres confrontés aux difficultés les plus graves en matière d’</w:t>
            </w:r>
            <w:r>
              <w:rPr>
                <w:rFonts w:ascii="Times New Roman" w:hAnsi="Times New Roman"/>
                <w:b/>
                <w:bCs/>
                <w:sz w:val="24"/>
                <w:szCs w:val="24"/>
              </w:rPr>
              <w:t>arriéré</w:t>
            </w:r>
            <w:r>
              <w:rPr>
                <w:rFonts w:ascii="Times New Roman" w:hAnsi="Times New Roman"/>
                <w:sz w:val="24"/>
                <w:szCs w:val="24"/>
              </w:rPr>
              <w:t xml:space="preserve">, indépendamment de la catégorie d’affaires. Souvent, les grandes </w:t>
            </w:r>
            <w:r>
              <w:rPr>
                <w:rFonts w:ascii="Times New Roman" w:hAnsi="Times New Roman"/>
                <w:sz w:val="24"/>
                <w:szCs w:val="24"/>
              </w:rPr>
              <w:t>améliorations relatives aux affaires pendantes concernent les affaires civiles et commerciales contentieuses (graphique 14) et les affaires administratives (graphique 15). En dépit de ces améliorations, la différence entre les États membres ayant relativem</w:t>
            </w:r>
            <w:r>
              <w:rPr>
                <w:rFonts w:ascii="Times New Roman" w:hAnsi="Times New Roman"/>
                <w:sz w:val="24"/>
                <w:szCs w:val="24"/>
              </w:rPr>
              <w:t>ent peu d’affaires pendantes et ceux en ayant un nombre élevé reste importante et, dans certains États membres, l’arriéré semble s’accumuler.</w:t>
            </w:r>
          </w:p>
          <w:p w:rsidR="00D23207" w:rsidRDefault="00493C98">
            <w:pPr>
              <w:spacing w:before="120" w:after="0" w:line="240" w:lineRule="auto"/>
              <w:jc w:val="both"/>
              <w:rPr>
                <w:rFonts w:ascii="Times New Roman" w:eastAsia="Calibri" w:hAnsi="Times New Roman" w:cs="Times New Roman"/>
                <w:i/>
                <w:sz w:val="24"/>
              </w:rPr>
            </w:pPr>
            <w:r>
              <w:rPr>
                <w:rFonts w:ascii="Times New Roman" w:hAnsi="Times New Roman"/>
                <w:i/>
                <w:sz w:val="24"/>
              </w:rPr>
              <w:t>Efficience dans des domaines spécifiques du droit de l’Union</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Les données relatives à la durée moyenne des procédur</w:t>
            </w:r>
            <w:r>
              <w:rPr>
                <w:rFonts w:ascii="Times New Roman" w:hAnsi="Times New Roman"/>
                <w:sz w:val="24"/>
                <w:szCs w:val="24"/>
              </w:rPr>
              <w:t xml:space="preserve">es dans des domaines spécifiques du droit de l’Union (graphiques 16 à 21) permettent de mieux comprendre le fonctionnement des systèmes judiciaires dans ces types de litiges impliquant les entreprises. </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Les données concernant l’efficience dans des domaines</w:t>
            </w:r>
            <w:r>
              <w:rPr>
                <w:rFonts w:ascii="Times New Roman" w:hAnsi="Times New Roman"/>
                <w:sz w:val="24"/>
                <w:szCs w:val="24"/>
              </w:rPr>
              <w:t xml:space="preserve"> déterminés du droit sont collectées sur la base de scénarios bien circonscrits et le nombre d’affaires pertinentes peut sembler faible. Toutefois, par rapport à la durée des procédures présentée dans la partie générale consacrée à l’efficience, les graphi</w:t>
            </w:r>
            <w:r>
              <w:rPr>
                <w:rFonts w:ascii="Times New Roman" w:hAnsi="Times New Roman"/>
                <w:sz w:val="24"/>
                <w:szCs w:val="24"/>
              </w:rPr>
              <w:t>ques fournissent ici la durée moyenne réelle de toutes les affaires pertinentes dans des domaines déterminés au cours d’une année donnée. Il est dès lors utile de noter que plusieurs États membres qui ne semblent pas connaître de difficultés sur la base de</w:t>
            </w:r>
            <w:r>
              <w:rPr>
                <w:rFonts w:ascii="Times New Roman" w:hAnsi="Times New Roman"/>
                <w:sz w:val="24"/>
                <w:szCs w:val="24"/>
              </w:rPr>
              <w:t>s données générales relatives à l’efficience font état de durées moyennes considérablement plus longues pour les affaires dans certains domaines spécifiques du droit de l’Union. Par ailleurs, la durée des procédures dans différents domaines spécifiques peu</w:t>
            </w:r>
            <w:r>
              <w:rPr>
                <w:rFonts w:ascii="Times New Roman" w:hAnsi="Times New Roman"/>
                <w:sz w:val="24"/>
                <w:szCs w:val="24"/>
              </w:rPr>
              <w:t>t aussi varier considérablement au sein d’un même État membre.</w:t>
            </w:r>
          </w:p>
          <w:p w:rsidR="00D23207" w:rsidRDefault="00493C9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Les graphiques concernant les domaines spécifiques du droit de l’Union révèlent les tendances suivantes:</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pour les </w:t>
            </w:r>
            <w:r>
              <w:rPr>
                <w:rFonts w:ascii="Times New Roman" w:hAnsi="Times New Roman"/>
                <w:b/>
                <w:bCs/>
                <w:sz w:val="24"/>
                <w:szCs w:val="24"/>
              </w:rPr>
              <w:t>affaires de concurrence</w:t>
            </w:r>
            <w:r>
              <w:rPr>
                <w:rFonts w:ascii="Times New Roman" w:hAnsi="Times New Roman"/>
                <w:sz w:val="24"/>
                <w:szCs w:val="24"/>
              </w:rPr>
              <w:t xml:space="preserve"> (graphique 16), bien que le nombre total de dossiers qu</w:t>
            </w:r>
            <w:r>
              <w:rPr>
                <w:rFonts w:ascii="Times New Roman" w:hAnsi="Times New Roman"/>
                <w:sz w:val="24"/>
                <w:szCs w:val="24"/>
              </w:rPr>
              <w:t>e doivent traiter les juridictions de l’ensemble des États membres ait légèrement augmenté, la durée du contrôle juridictionnel a diminué ou est restée stable dans six États membres, tandis qu’elle a augmenté dans cinq autres. La tendance positive s’est po</w:t>
            </w:r>
            <w:r>
              <w:rPr>
                <w:rFonts w:ascii="Times New Roman" w:hAnsi="Times New Roman"/>
                <w:sz w:val="24"/>
                <w:szCs w:val="24"/>
              </w:rPr>
              <w:t>ursuivie en 2018, seuls deux États membres signalant une durée moyenne dépassant 1 000 jours (par rapport à trois États membres en 2017);</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dans le domaine des </w:t>
            </w:r>
            <w:r>
              <w:rPr>
                <w:rFonts w:ascii="Times New Roman" w:hAnsi="Times New Roman"/>
                <w:b/>
                <w:bCs/>
                <w:sz w:val="24"/>
                <w:szCs w:val="24"/>
              </w:rPr>
              <w:t>communications électroniques</w:t>
            </w:r>
            <w:r>
              <w:rPr>
                <w:rFonts w:ascii="Times New Roman" w:hAnsi="Times New Roman"/>
                <w:sz w:val="24"/>
                <w:szCs w:val="24"/>
              </w:rPr>
              <w:t xml:space="preserve"> (graphique 17), le nombre total de dossiers que doivent traiter les j</w:t>
            </w:r>
            <w:r>
              <w:rPr>
                <w:rFonts w:ascii="Times New Roman" w:hAnsi="Times New Roman"/>
                <w:sz w:val="24"/>
                <w:szCs w:val="24"/>
              </w:rPr>
              <w:t xml:space="preserve">uridictions a continué à augmenter, mettant fin à la tendance positive en matière de durée des procédures réduite par rapport aux années précédentes. En 2018, la plupart des États membres ont enregistré une augmentation de la durée moyenne des procédures, </w:t>
            </w:r>
            <w:r>
              <w:rPr>
                <w:rFonts w:ascii="Times New Roman" w:hAnsi="Times New Roman"/>
                <w:sz w:val="24"/>
                <w:szCs w:val="24"/>
              </w:rPr>
              <w:t>tant par rapport à 2017 que par rapport à 2013;</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en ce qui concerne les </w:t>
            </w:r>
            <w:r>
              <w:rPr>
                <w:rFonts w:ascii="Times New Roman" w:hAnsi="Times New Roman"/>
                <w:b/>
                <w:bCs/>
                <w:sz w:val="24"/>
                <w:szCs w:val="24"/>
              </w:rPr>
              <w:t>affaires d’atteinte à la marque de l’Union européenne</w:t>
            </w:r>
            <w:r>
              <w:rPr>
                <w:rFonts w:ascii="Times New Roman" w:hAnsi="Times New Roman"/>
                <w:sz w:val="24"/>
                <w:szCs w:val="24"/>
              </w:rPr>
              <w:t xml:space="preserve"> (graphique 18), les tendances dans la durée moyenne des procédures ont varié significativement en 2018. Certains États membres ont enregistré de fortes hausses, tandis que d’autres ont réussi à mieux gérer le nombre d’affaires et ont réduit le temps néces</w:t>
            </w:r>
            <w:r>
              <w:rPr>
                <w:rFonts w:ascii="Times New Roman" w:hAnsi="Times New Roman"/>
                <w:sz w:val="24"/>
                <w:szCs w:val="24"/>
              </w:rPr>
              <w:t xml:space="preserve">saire pour les trancher; </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l’effet combiné possible d’une chaîne d’application impliquant des procédures de contrôle à la fois administratives et judiciaires est présenté pour le domaine du droit de la consommation (graphiques 19 et 20). En 2018, sept États</w:t>
            </w:r>
            <w:r>
              <w:rPr>
                <w:rFonts w:ascii="Times New Roman" w:hAnsi="Times New Roman"/>
                <w:sz w:val="24"/>
                <w:szCs w:val="24"/>
              </w:rPr>
              <w:t xml:space="preserve"> membres ont signalé que leurs autorités chargées de la protection des consommateurs avaient pris des décisions dans les affaires relevant du droit de la consommation de l’Union en moins de trois mois en moyenne, tandis que dans neuf États membres, il leur</w:t>
            </w:r>
            <w:r>
              <w:rPr>
                <w:rFonts w:ascii="Times New Roman" w:hAnsi="Times New Roman"/>
                <w:sz w:val="24"/>
                <w:szCs w:val="24"/>
              </w:rPr>
              <w:t xml:space="preserve"> fallait plus de six mois. Lorsque les décisions rendues par les autorités chargées de la protection des consommateurs ne faisaient pas l’objet de recours en justice, en 2018, le contrôle juridictionnel d’une décision administrative durait en moyenne moins</w:t>
            </w:r>
            <w:r>
              <w:rPr>
                <w:rFonts w:ascii="Times New Roman" w:hAnsi="Times New Roman"/>
                <w:sz w:val="24"/>
                <w:szCs w:val="24"/>
              </w:rPr>
              <w:t xml:space="preserve"> d’un an dans la majorité des États membres; </w:t>
            </w:r>
          </w:p>
          <w:p w:rsidR="00D23207" w:rsidRDefault="00493C98">
            <w:pPr>
              <w:numPr>
                <w:ilvl w:val="0"/>
                <w:numId w:val="7"/>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l’efficacité de la lutte contre le </w:t>
            </w:r>
            <w:r>
              <w:rPr>
                <w:rFonts w:ascii="Times New Roman" w:hAnsi="Times New Roman"/>
                <w:b/>
                <w:sz w:val="24"/>
                <w:szCs w:val="24"/>
              </w:rPr>
              <w:t>blanchiment de capitaux</w:t>
            </w:r>
            <w:r>
              <w:rPr>
                <w:rFonts w:ascii="Times New Roman" w:hAnsi="Times New Roman"/>
                <w:sz w:val="24"/>
                <w:szCs w:val="24"/>
              </w:rPr>
              <w:t xml:space="preserve"> est essentielle à la protection du système financier, à une concurrence équitable et à la prévention de conséquences économiques négatives. Les difficu</w:t>
            </w:r>
            <w:r>
              <w:rPr>
                <w:rFonts w:ascii="Times New Roman" w:hAnsi="Times New Roman"/>
                <w:sz w:val="24"/>
                <w:szCs w:val="24"/>
              </w:rPr>
              <w:t>ltés liées à la durée des procédures en justice portant sur des infractions de blanchiment de capitaux sont susceptibles d’avoir une influence sur l’efficacité de la lutte dans ce domaine. Le tableau de bord 2020 de la justice dans l’UE présente des donnée</w:t>
            </w:r>
            <w:r>
              <w:rPr>
                <w:rFonts w:ascii="Times New Roman" w:hAnsi="Times New Roman"/>
                <w:sz w:val="24"/>
                <w:szCs w:val="24"/>
              </w:rPr>
              <w:t>s actualisées sur la durée des procédures judiciaires portant sur les infractions de blanchiment (graphique 21); il en ressort que si, dans environ la moitié des États membres, les procédures judiciaires en première instance durent jusqu’à un an en moyenne</w:t>
            </w:r>
            <w:r>
              <w:rPr>
                <w:rFonts w:ascii="Times New Roman" w:hAnsi="Times New Roman"/>
                <w:sz w:val="24"/>
                <w:szCs w:val="24"/>
              </w:rPr>
              <w:t>, elles prennent environ deux ans en moyenne dans plusieurs États membres confrontés à des difficultés concernant les poursuites d’infractions de blanchiment de capitaux (</w:t>
            </w:r>
            <w:r>
              <w:rPr>
                <w:rFonts w:ascii="Times New Roman" w:eastAsia="Times New Roman" w:hAnsi="Times New Roman" w:cs="Times New Roman"/>
                <w:sz w:val="24"/>
                <w:szCs w:val="24"/>
                <w:vertAlign w:val="superscript"/>
              </w:rPr>
              <w:footnoteReference w:id="51"/>
            </w:r>
            <w:r>
              <w:rPr>
                <w:rFonts w:ascii="Times New Roman" w:hAnsi="Times New Roman"/>
                <w:sz w:val="24"/>
                <w:szCs w:val="24"/>
              </w:rPr>
              <w:t>).</w:t>
            </w:r>
          </w:p>
        </w:tc>
      </w:tr>
    </w:tbl>
    <w:p w:rsidR="00D23207" w:rsidRDefault="00493C98">
      <w:pPr>
        <w:keepNext/>
        <w:spacing w:before="360" w:after="120" w:line="240" w:lineRule="auto"/>
        <w:jc w:val="both"/>
        <w:outlineLvl w:val="1"/>
        <w:rPr>
          <w:rFonts w:ascii="Times New Roman" w:eastAsia="Times New Roman" w:hAnsi="Times New Roman" w:cs="Times New Roman"/>
          <w:b/>
          <w:bCs/>
          <w:iCs/>
          <w:sz w:val="24"/>
          <w:szCs w:val="28"/>
        </w:rPr>
      </w:pPr>
      <w:bookmarkStart w:id="272" w:name="_Toc409512290"/>
      <w:bookmarkStart w:id="273" w:name="_Toc409530222"/>
      <w:bookmarkStart w:id="274" w:name="_Toc438545672"/>
      <w:bookmarkStart w:id="275" w:name="_Toc438548322"/>
      <w:bookmarkStart w:id="276" w:name="_Toc438548508"/>
      <w:bookmarkStart w:id="277" w:name="_Toc440017698"/>
      <w:bookmarkStart w:id="278" w:name="_Toc440018082"/>
      <w:bookmarkStart w:id="279" w:name="_Toc440033380"/>
      <w:bookmarkStart w:id="280" w:name="_Toc440035231"/>
      <w:bookmarkStart w:id="281" w:name="_Toc440036526"/>
      <w:bookmarkStart w:id="282" w:name="_Toc440042468"/>
      <w:bookmarkStart w:id="283" w:name="_Toc440291121"/>
      <w:bookmarkStart w:id="284" w:name="_Toc440294684"/>
      <w:bookmarkStart w:id="285" w:name="_Toc440295186"/>
      <w:bookmarkStart w:id="286" w:name="_Toc440296591"/>
      <w:bookmarkStart w:id="287" w:name="_Toc440625075"/>
      <w:bookmarkStart w:id="288" w:name="_Toc440626405"/>
      <w:bookmarkStart w:id="289" w:name="_Toc440628859"/>
      <w:bookmarkStart w:id="290" w:name="_Toc441571132"/>
      <w:bookmarkStart w:id="291" w:name="_Toc441581634"/>
      <w:bookmarkStart w:id="292" w:name="_Toc441585901"/>
      <w:bookmarkStart w:id="293" w:name="_Toc441595836"/>
      <w:bookmarkStart w:id="294" w:name="_Toc441596013"/>
      <w:bookmarkStart w:id="295" w:name="_Toc441748138"/>
      <w:bookmarkStart w:id="296" w:name="_Toc441755423"/>
      <w:bookmarkStart w:id="297" w:name="_Toc441756460"/>
      <w:bookmarkStart w:id="298" w:name="_Toc441757504"/>
      <w:bookmarkStart w:id="299" w:name="_Toc441766633"/>
      <w:bookmarkStart w:id="300" w:name="_Toc441766972"/>
      <w:bookmarkStart w:id="301" w:name="_Toc442187973"/>
      <w:bookmarkStart w:id="302" w:name="_Toc442262065"/>
      <w:bookmarkStart w:id="303" w:name="_Toc442362472"/>
      <w:bookmarkStart w:id="304" w:name="_Toc442374808"/>
      <w:bookmarkStart w:id="305" w:name="_Toc442425948"/>
      <w:bookmarkStart w:id="306" w:name="_Toc442453074"/>
      <w:bookmarkStart w:id="307" w:name="_Toc443484532"/>
      <w:bookmarkStart w:id="308" w:name="_Toc443484754"/>
      <w:bookmarkStart w:id="309" w:name="_Toc443509495"/>
      <w:bookmarkStart w:id="310" w:name="_Toc446014824"/>
      <w:r>
        <w:rPr>
          <w:rFonts w:ascii="Times New Roman" w:hAnsi="Times New Roman"/>
          <w:b/>
          <w:bCs/>
          <w:iCs/>
          <w:sz w:val="24"/>
          <w:szCs w:val="28"/>
        </w:rPr>
        <w:t>3.2. Qualité des systèmes judiciaires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Il n’existe pas de moyen unique de mesurer</w:t>
      </w:r>
      <w:r>
        <w:rPr>
          <w:rFonts w:ascii="Times New Roman" w:hAnsi="Times New Roman"/>
          <w:sz w:val="24"/>
        </w:rPr>
        <w:t xml:space="preserve"> la qualité des systèmes judiciaires. Le tableau de bord 2020 de la justice dans l’UE continue d’examiner des facteurs qui sont généralement acceptés comme pertinents pour améliorer la qualité de la justice. Comme les années précédentes, ces facteurs sont </w:t>
      </w:r>
      <w:r>
        <w:rPr>
          <w:rFonts w:ascii="Times New Roman" w:hAnsi="Times New Roman"/>
          <w:sz w:val="24"/>
        </w:rPr>
        <w:t>regroupés en quatre catégories:</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1) accessibilité de la justice pour les citoyens et les entreprises;</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2) ressources financières et humaines appropriées;</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3) mise en place d’outils d’évaluation; et</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4) recours à des normes de qualité.</w:t>
      </w:r>
    </w:p>
    <w:p w:rsidR="00D23207" w:rsidRDefault="00493C98">
      <w:pPr>
        <w:keepNext/>
        <w:tabs>
          <w:tab w:val="left" w:pos="850"/>
        </w:tabs>
        <w:spacing w:before="240" w:after="120" w:line="240" w:lineRule="auto"/>
        <w:ind w:left="850" w:hanging="850"/>
        <w:jc w:val="both"/>
        <w:outlineLvl w:val="2"/>
        <w:rPr>
          <w:rFonts w:ascii="Times New Roman" w:eastAsia="Times New Roman" w:hAnsi="Times New Roman" w:cs="Times New Roman"/>
          <w:b/>
          <w:sz w:val="24"/>
          <w:szCs w:val="24"/>
        </w:rPr>
      </w:pPr>
      <w:bookmarkStart w:id="311" w:name="_Toc440017699"/>
      <w:bookmarkStart w:id="312" w:name="_Toc440018083"/>
      <w:bookmarkStart w:id="313" w:name="_Toc440033381"/>
      <w:bookmarkStart w:id="314" w:name="_Toc440035232"/>
      <w:bookmarkStart w:id="315" w:name="_Toc440036527"/>
      <w:bookmarkStart w:id="316" w:name="_Toc440042469"/>
      <w:bookmarkStart w:id="317" w:name="_Toc440291122"/>
      <w:bookmarkStart w:id="318" w:name="_Toc440294685"/>
      <w:bookmarkStart w:id="319" w:name="_Toc440295187"/>
      <w:bookmarkStart w:id="320" w:name="_Toc440296592"/>
      <w:bookmarkStart w:id="321" w:name="_Toc440625076"/>
      <w:bookmarkStart w:id="322" w:name="_Toc440626406"/>
      <w:bookmarkStart w:id="323" w:name="_Toc440628860"/>
      <w:bookmarkStart w:id="324" w:name="_Toc441571133"/>
      <w:bookmarkStart w:id="325" w:name="_Toc441581635"/>
      <w:bookmarkStart w:id="326" w:name="_Toc441585902"/>
      <w:bookmarkStart w:id="327" w:name="_Toc441595837"/>
      <w:bookmarkStart w:id="328" w:name="_Toc441596014"/>
      <w:bookmarkStart w:id="329" w:name="_Toc441748139"/>
      <w:bookmarkStart w:id="330" w:name="_Toc441755424"/>
      <w:bookmarkStart w:id="331" w:name="_Toc441756461"/>
      <w:bookmarkStart w:id="332" w:name="_Toc441757505"/>
      <w:bookmarkStart w:id="333" w:name="_Toc441766634"/>
      <w:bookmarkStart w:id="334" w:name="_Toc441766973"/>
      <w:bookmarkStart w:id="335" w:name="_Toc442187974"/>
      <w:bookmarkStart w:id="336" w:name="_Toc442262066"/>
      <w:bookmarkStart w:id="337" w:name="_Toc442362473"/>
      <w:bookmarkStart w:id="338" w:name="_Toc442374809"/>
      <w:bookmarkStart w:id="339" w:name="_Toc442425949"/>
      <w:bookmarkStart w:id="340" w:name="_Toc442453075"/>
      <w:bookmarkStart w:id="341" w:name="_Toc443484533"/>
      <w:bookmarkStart w:id="342" w:name="_Toc443484755"/>
      <w:bookmarkStart w:id="343" w:name="_Toc443509496"/>
      <w:bookmarkStart w:id="344" w:name="_Toc446014825"/>
      <w:bookmarkStart w:id="345" w:name="_Toc409530223"/>
      <w:bookmarkStart w:id="346" w:name="_Toc438545673"/>
      <w:bookmarkStart w:id="347" w:name="_Toc438548323"/>
      <w:bookmarkStart w:id="348" w:name="_Toc438548509"/>
      <w:r>
        <w:rPr>
          <w:rFonts w:ascii="Times New Roman" w:hAnsi="Times New Roman"/>
          <w:b/>
          <w:sz w:val="24"/>
          <w:szCs w:val="24"/>
        </w:rPr>
        <w:t>3.2.1. Accessibilité</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bookmarkEnd w:id="345"/>
    <w:bookmarkEnd w:id="346"/>
    <w:bookmarkEnd w:id="347"/>
    <w:bookmarkEnd w:id="348"/>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L’ac</w:t>
      </w:r>
      <w:r>
        <w:rPr>
          <w:rFonts w:ascii="Times New Roman" w:hAnsi="Times New Roman"/>
          <w:sz w:val="24"/>
          <w:szCs w:val="24"/>
        </w:rPr>
        <w:t>cessibilité est requise tout au long de la chaîne judiciaire pour permettre aux personnes d’obtenir des informations utiles – sur le système de justice, sur les modalités d’engagement d’une action et ses aspects financiers, ainsi que sur l’état d’avancemen</w:t>
      </w:r>
      <w:r>
        <w:rPr>
          <w:rFonts w:ascii="Times New Roman" w:hAnsi="Times New Roman"/>
          <w:sz w:val="24"/>
          <w:szCs w:val="24"/>
        </w:rPr>
        <w:t>t des procédures jusqu’à leur clôture – de sorte que la décision judiciaire puisse être rapidement consultée en ligne.</w:t>
      </w:r>
    </w:p>
    <w:p w:rsidR="00D23207" w:rsidRDefault="00493C98">
      <w:pPr>
        <w:spacing w:before="240" w:after="120" w:line="240" w:lineRule="auto"/>
        <w:jc w:val="both"/>
        <w:rPr>
          <w:rFonts w:ascii="Times New Roman" w:eastAsia="Times New Roman" w:hAnsi="Times New Roman" w:cs="Times New Roman"/>
          <w:i/>
          <w:sz w:val="24"/>
          <w:szCs w:val="24"/>
        </w:rPr>
      </w:pPr>
      <w:r>
        <w:rPr>
          <w:rFonts w:ascii="Times New Roman" w:hAnsi="Times New Roman"/>
          <w:i/>
          <w:sz w:val="24"/>
          <w:szCs w:val="24"/>
        </w:rPr>
        <w:t>– Communication d’informations sur le système judiciaire –</w:t>
      </w:r>
    </w:p>
    <w:p w:rsidR="00D23207" w:rsidRDefault="00493C98">
      <w:pPr>
        <w:spacing w:before="120" w:after="120" w:line="240" w:lineRule="auto"/>
        <w:jc w:val="both"/>
        <w:rPr>
          <w:rFonts w:ascii="Times New Roman" w:hAnsi="Times New Roman"/>
          <w:sz w:val="24"/>
          <w:szCs w:val="24"/>
        </w:rPr>
      </w:pPr>
      <w:bookmarkStart w:id="349" w:name="_Ref441218478"/>
      <w:r>
        <w:rPr>
          <w:rFonts w:ascii="Times New Roman" w:hAnsi="Times New Roman"/>
          <w:sz w:val="24"/>
          <w:szCs w:val="24"/>
        </w:rPr>
        <w:t xml:space="preserve">Pour une justice accessible au citoyen, il faut non seulement que des </w:t>
      </w:r>
      <w:r>
        <w:rPr>
          <w:rFonts w:ascii="Times New Roman" w:hAnsi="Times New Roman"/>
          <w:sz w:val="24"/>
          <w:szCs w:val="24"/>
        </w:rPr>
        <w:t>informations sur le système judiciaire soient facilement accessibles, mais aussi qu’elles soient adaptées à certains groupes de la société, qui éprouveraient autrement des difficultés à y accéder. Le graphique 22 montre la disponibilité d’informations en l</w:t>
      </w:r>
      <w:r>
        <w:rPr>
          <w:rFonts w:ascii="Times New Roman" w:hAnsi="Times New Roman"/>
          <w:sz w:val="24"/>
          <w:szCs w:val="24"/>
        </w:rPr>
        <w:t>igne sur certains aspects du système judiciaire et pour des groupes spécifiques de la société.</w:t>
      </w:r>
    </w:p>
    <w:p w:rsidR="00D23207" w:rsidRDefault="00493C98">
      <w:pPr>
        <w:rPr>
          <w:rFonts w:ascii="Times New Roman" w:hAnsi="Times New Roman"/>
          <w:sz w:val="24"/>
          <w:szCs w:val="24"/>
        </w:rPr>
      </w:pPr>
      <w:r>
        <w:rPr>
          <w:rFonts w:ascii="Times New Roman" w:hAnsi="Times New Roman"/>
          <w:sz w:val="24"/>
          <w:szCs w:val="24"/>
        </w:rPr>
        <w:br w:type="page"/>
      </w:r>
    </w:p>
    <w:p w:rsidR="00D23207" w:rsidRDefault="00493C98">
      <w:pPr>
        <w:spacing w:before="240" w:after="0" w:line="240" w:lineRule="auto"/>
        <w:jc w:val="both"/>
        <w:rPr>
          <w:rFonts w:ascii="Times New Roman" w:eastAsia="Times New Roman" w:hAnsi="Times New Roman" w:cs="Times New Roman"/>
          <w:i/>
          <w:iCs/>
          <w:sz w:val="24"/>
          <w:szCs w:val="24"/>
        </w:rPr>
      </w:pPr>
      <w:r>
        <w:rPr>
          <w:rFonts w:ascii="Times New Roman" w:hAnsi="Times New Roman"/>
          <w:b/>
          <w:bCs/>
          <w:color w:val="000000"/>
          <w:sz w:val="24"/>
          <w:szCs w:val="24"/>
        </w:rPr>
        <w:t>Graphique </w:t>
      </w:r>
      <w:r>
        <w:fldChar w:fldCharType="begin"/>
      </w:r>
      <w:r>
        <w:rPr>
          <w:rFonts w:ascii="Times New Roman" w:eastAsia="Times New Roman" w:hAnsi="Times New Roman" w:cs="Times New Roman"/>
          <w:b/>
          <w:sz w:val="24"/>
          <w:szCs w:val="24"/>
        </w:rPr>
        <w:instrText xml:space="preserve"> SEQ Figure \* ARABIC </w:instrText>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sz w:val="24"/>
          <w:szCs w:val="24"/>
        </w:rPr>
        <w:t>22</w:t>
      </w:r>
      <w:r>
        <w:fldChar w:fldCharType="end"/>
      </w:r>
      <w:bookmarkEnd w:id="349"/>
      <w:r>
        <w:rPr>
          <w:rFonts w:ascii="Times New Roman" w:hAnsi="Times New Roman"/>
          <w:sz w:val="24"/>
          <w:szCs w:val="24"/>
        </w:rPr>
        <w:t xml:space="preserve">: </w:t>
      </w:r>
      <w:r>
        <w:rPr>
          <w:rFonts w:ascii="Times New Roman" w:hAnsi="Times New Roman"/>
          <w:b/>
          <w:bCs/>
          <w:sz w:val="24"/>
          <w:szCs w:val="24"/>
        </w:rPr>
        <w:t>disponibilité d’informations en ligne sur le système judiciaire à destination du grand public</w:t>
      </w:r>
      <w:r>
        <w:rPr>
          <w:rFonts w:ascii="Times New Roman" w:hAnsi="Times New Roman"/>
          <w:sz w:val="24"/>
          <w:szCs w:val="24"/>
        </w:rPr>
        <w:t xml:space="preserve">, </w:t>
      </w:r>
      <w:r>
        <w:rPr>
          <w:rFonts w:ascii="Times New Roman" w:hAnsi="Times New Roman"/>
          <w:b/>
          <w:bCs/>
          <w:sz w:val="24"/>
          <w:szCs w:val="24"/>
        </w:rPr>
        <w:t>2019</w:t>
      </w:r>
      <w:r>
        <w:rPr>
          <w:rFonts w:ascii="Times New Roman" w:hAnsi="Times New Roman"/>
          <w:sz w:val="24"/>
          <w:szCs w:val="24"/>
        </w:rPr>
        <w:t> (</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 xml:space="preserve">[source: </w:t>
      </w:r>
      <w:r>
        <w:rPr>
          <w:rFonts w:ascii="Times New Roman" w:hAnsi="Times New Roman"/>
          <w:i/>
          <w:iCs/>
          <w:sz w:val="24"/>
          <w:szCs w:val="24"/>
        </w:rPr>
        <w:t>Commission européenne (</w:t>
      </w:r>
      <w:r>
        <w:rPr>
          <w:rFonts w:ascii="Times New Roman" w:eastAsia="Times New Roman" w:hAnsi="Times New Roman" w:cs="Times New Roman"/>
          <w:i/>
          <w:iCs/>
          <w:sz w:val="24"/>
          <w:szCs w:val="24"/>
          <w:vertAlign w:val="superscript"/>
          <w:lang w:eastAsia="en-GB"/>
        </w:rPr>
        <w:footnoteReference w:id="52"/>
      </w:r>
      <w:r>
        <w:rPr>
          <w:rFonts w:ascii="Times New Roman" w:hAnsi="Times New Roman"/>
          <w:i/>
          <w:iCs/>
          <w:sz w:val="24"/>
          <w:szCs w:val="24"/>
        </w:rPr>
        <w:t>)]</w:t>
      </w:r>
    </w:p>
    <w:p w:rsidR="00D23207" w:rsidRDefault="00493C98">
      <w:pPr>
        <w:spacing w:after="120" w:line="240" w:lineRule="auto"/>
        <w:jc w:val="both"/>
        <w:rPr>
          <w:rFonts w:ascii="Times New Roman" w:eastAsia="Times New Roman" w:hAnsi="Times New Roman" w:cs="Times New Roman"/>
          <w:i/>
          <w:color w:val="000000"/>
          <w:sz w:val="20"/>
          <w:szCs w:val="24"/>
        </w:rPr>
      </w:pPr>
      <w:r>
        <w:rPr>
          <w:rFonts w:ascii="Times New Roman" w:eastAsia="Times New Roman" w:hAnsi="Times New Roman" w:cs="Times New Roman"/>
          <w:i/>
          <w:color w:val="000000"/>
          <w:sz w:val="20"/>
          <w:szCs w:val="24"/>
          <w:lang w:val="en-GB" w:eastAsia="en-GB"/>
        </w:rPr>
        <w:drawing>
          <wp:inline distT="0" distB="0" distL="0" distR="0">
            <wp:extent cx="5977255" cy="2795831"/>
            <wp:effectExtent l="0" t="0" r="4445" b="508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77255" cy="2795831"/>
                    </a:xfrm>
                    <a:prstGeom prst="rect">
                      <a:avLst/>
                    </a:prstGeom>
                    <a:noFill/>
                    <a:ln>
                      <a:noFill/>
                    </a:ln>
                  </pic:spPr>
                </pic:pic>
              </a:graphicData>
            </a:graphic>
          </wp:inline>
        </w:drawing>
      </w:r>
    </w:p>
    <w:p w:rsidR="00D23207" w:rsidRDefault="00493C98">
      <w:pPr>
        <w:spacing w:after="120" w:line="240" w:lineRule="auto"/>
        <w:jc w:val="both"/>
        <w:rPr>
          <w:rFonts w:ascii="Times New Roman" w:eastAsia="Times New Roman" w:hAnsi="Times New Roman" w:cs="Times New Roman"/>
          <w:i/>
          <w:color w:val="000000"/>
          <w:sz w:val="20"/>
          <w:szCs w:val="24"/>
        </w:rPr>
      </w:pPr>
      <w:r>
        <w:rPr>
          <w:rFonts w:ascii="Times New Roman" w:hAnsi="Times New Roman"/>
          <w:i/>
          <w:color w:val="000000"/>
          <w:sz w:val="20"/>
          <w:szCs w:val="24"/>
        </w:rPr>
        <w:t xml:space="preserve">(*) </w:t>
      </w:r>
      <w:r>
        <w:rPr>
          <w:rFonts w:ascii="Times New Roman" w:hAnsi="Times New Roman"/>
          <w:b/>
          <w:bCs/>
          <w:i/>
          <w:color w:val="000000"/>
          <w:sz w:val="20"/>
          <w:szCs w:val="24"/>
        </w:rPr>
        <w:t>DE</w:t>
      </w:r>
      <w:r>
        <w:rPr>
          <w:rFonts w:ascii="Times New Roman" w:hAnsi="Times New Roman"/>
          <w:i/>
          <w:color w:val="000000"/>
          <w:sz w:val="20"/>
          <w:szCs w:val="24"/>
        </w:rPr>
        <w:t>: chaque Land et l’État fédéral décident individuellement des informations à communiquer en ligne.</w:t>
      </w:r>
    </w:p>
    <w:p w:rsidR="00D23207" w:rsidRDefault="00493C98">
      <w:pPr>
        <w:spacing w:before="240" w:after="120" w:line="240" w:lineRule="auto"/>
        <w:jc w:val="both"/>
        <w:rPr>
          <w:rFonts w:ascii="Times New Roman" w:eastAsia="Calibri" w:hAnsi="Times New Roman" w:cs="Times New Roman"/>
          <w:i/>
          <w:sz w:val="24"/>
        </w:rPr>
      </w:pPr>
      <w:r>
        <w:rPr>
          <w:rFonts w:ascii="Times New Roman" w:hAnsi="Times New Roman"/>
          <w:i/>
          <w:iCs/>
        </w:rPr>
        <w:t xml:space="preserve">– </w:t>
      </w:r>
      <w:r>
        <w:rPr>
          <w:rFonts w:ascii="Times New Roman" w:hAnsi="Times New Roman"/>
          <w:i/>
          <w:iCs/>
          <w:sz w:val="24"/>
          <w:szCs w:val="24"/>
        </w:rPr>
        <w:t xml:space="preserve">Aide juridictionnelle, droits de greffe et frais juridiques </w:t>
      </w:r>
      <w:r>
        <w:rPr>
          <w:rFonts w:ascii="Times New Roman" w:hAnsi="Times New Roman"/>
          <w:i/>
          <w:iCs/>
        </w:rPr>
        <w:t>–</w:t>
      </w:r>
    </w:p>
    <w:p w:rsidR="00D23207" w:rsidRDefault="00493C98">
      <w:pPr>
        <w:spacing w:before="120" w:after="0" w:line="240" w:lineRule="auto"/>
        <w:jc w:val="both"/>
        <w:rPr>
          <w:rFonts w:ascii="Times New Roman" w:eastAsia="Calibri" w:hAnsi="Times New Roman" w:cs="Times New Roman"/>
          <w:sz w:val="24"/>
          <w:szCs w:val="24"/>
        </w:rPr>
      </w:pPr>
      <w:r>
        <w:rPr>
          <w:rFonts w:ascii="Times New Roman" w:hAnsi="Times New Roman"/>
          <w:sz w:val="24"/>
          <w:szCs w:val="24"/>
        </w:rPr>
        <w:t>Les frais associés à la procédure sont un facteur essentie</w:t>
      </w:r>
      <w:r>
        <w:rPr>
          <w:rFonts w:ascii="Times New Roman" w:hAnsi="Times New Roman"/>
          <w:sz w:val="24"/>
          <w:szCs w:val="24"/>
        </w:rPr>
        <w:t>l de l’accès à la justice. Les frais associés à la procédure, y compris les droits de greffe (</w:t>
      </w:r>
      <w:r>
        <w:rPr>
          <w:rFonts w:ascii="Times New Roman" w:eastAsia="Calibri" w:hAnsi="Times New Roman" w:cs="Times New Roman"/>
          <w:sz w:val="24"/>
          <w:szCs w:val="24"/>
          <w:vertAlign w:val="superscript"/>
        </w:rPr>
        <w:footnoteReference w:id="53"/>
      </w:r>
      <w:r>
        <w:rPr>
          <w:rFonts w:ascii="Times New Roman" w:hAnsi="Times New Roman"/>
          <w:sz w:val="24"/>
          <w:szCs w:val="24"/>
        </w:rPr>
        <w:t>) et les frais juridiques (</w:t>
      </w:r>
      <w:r>
        <w:rPr>
          <w:rFonts w:ascii="Times New Roman" w:eastAsia="Calibri" w:hAnsi="Times New Roman" w:cs="Times New Roman"/>
          <w:sz w:val="24"/>
          <w:szCs w:val="24"/>
          <w:vertAlign w:val="superscript"/>
        </w:rPr>
        <w:footnoteReference w:id="54"/>
      </w:r>
      <w:r>
        <w:rPr>
          <w:rFonts w:ascii="Times New Roman" w:hAnsi="Times New Roman"/>
          <w:sz w:val="24"/>
          <w:szCs w:val="24"/>
        </w:rPr>
        <w:t xml:space="preserve">), peuvent entraver l’accès à la justice. Les frais associés aux procédures civiles et commerciales ne sont pas harmonisés au niveau </w:t>
      </w:r>
      <w:r>
        <w:rPr>
          <w:rFonts w:ascii="Times New Roman" w:hAnsi="Times New Roman"/>
          <w:sz w:val="24"/>
          <w:szCs w:val="24"/>
        </w:rPr>
        <w:t>de l’UE.</w:t>
      </w:r>
      <w:r>
        <w:rPr>
          <w:rFonts w:ascii="Times New Roman" w:hAnsi="Times New Roman"/>
          <w:color w:val="000000" w:themeColor="text1"/>
          <w:sz w:val="24"/>
          <w:szCs w:val="24"/>
        </w:rPr>
        <w:t xml:space="preserve"> </w:t>
      </w:r>
      <w:r>
        <w:rPr>
          <w:rFonts w:ascii="Times New Roman" w:hAnsi="Times New Roman"/>
          <w:sz w:val="24"/>
          <w:szCs w:val="24"/>
        </w:rPr>
        <w:t xml:space="preserve">Ils sont réglementés par la législation nationale et peuvent dès lors varier d’un État membre à l’autre. </w:t>
      </w:r>
    </w:p>
    <w:p w:rsidR="00D23207" w:rsidRDefault="00493C98">
      <w:pPr>
        <w:spacing w:after="120" w:line="240" w:lineRule="auto"/>
        <w:jc w:val="both"/>
        <w:rPr>
          <w:rFonts w:ascii="Times New Roman" w:eastAsia="Calibri" w:hAnsi="Times New Roman" w:cs="Times New Roman"/>
          <w:sz w:val="24"/>
          <w:szCs w:val="24"/>
        </w:rPr>
      </w:pPr>
      <w:bookmarkStart w:id="350" w:name="_Ref441218501"/>
      <w:r>
        <w:rPr>
          <w:rFonts w:ascii="Times New Roman" w:hAnsi="Times New Roman"/>
          <w:sz w:val="24"/>
          <w:szCs w:val="24"/>
        </w:rPr>
        <w:t>L’accès à l’aide juridictionnelle est un droit fondamental consacré par la Charte (</w:t>
      </w:r>
      <w:r>
        <w:rPr>
          <w:rFonts w:ascii="Times New Roman" w:eastAsia="Calibri" w:hAnsi="Times New Roman" w:cs="Times New Roman"/>
          <w:sz w:val="24"/>
          <w:szCs w:val="24"/>
          <w:vertAlign w:val="superscript"/>
        </w:rPr>
        <w:footnoteReference w:id="55"/>
      </w:r>
      <w:r>
        <w:rPr>
          <w:rFonts w:ascii="Times New Roman" w:hAnsi="Times New Roman"/>
          <w:sz w:val="24"/>
          <w:szCs w:val="24"/>
        </w:rPr>
        <w:t xml:space="preserve">). Il permet aux personnes qui ne seraient pas en mesure </w:t>
      </w:r>
      <w:r>
        <w:rPr>
          <w:rFonts w:ascii="Times New Roman" w:hAnsi="Times New Roman"/>
          <w:sz w:val="24"/>
          <w:szCs w:val="24"/>
        </w:rPr>
        <w:t>de supporter les frais liés à la procédure ou de les avancer d’avoir accès à la justice. La plupart des États membres accordent l’aide juridictionnelle sur la base des revenus du demandeur (</w:t>
      </w:r>
      <w:r>
        <w:rPr>
          <w:rFonts w:ascii="Times New Roman" w:eastAsia="Calibri" w:hAnsi="Times New Roman" w:cs="Times New Roman"/>
          <w:sz w:val="24"/>
          <w:szCs w:val="24"/>
          <w:vertAlign w:val="superscript"/>
        </w:rPr>
        <w:footnoteReference w:id="56"/>
      </w:r>
      <w:r>
        <w:rPr>
          <w:rFonts w:ascii="Times New Roman" w:hAnsi="Times New Roman"/>
          <w:sz w:val="24"/>
          <w:szCs w:val="24"/>
        </w:rPr>
        <w:t>).</w:t>
      </w:r>
    </w:p>
    <w:p w:rsidR="00D23207" w:rsidRDefault="00493C98">
      <w:pPr>
        <w:spacing w:after="120" w:line="240" w:lineRule="auto"/>
        <w:jc w:val="both"/>
        <w:rPr>
          <w:rFonts w:ascii="Times New Roman" w:eastAsia="Calibri" w:hAnsi="Times New Roman" w:cs="Times New Roman"/>
          <w:sz w:val="24"/>
          <w:szCs w:val="24"/>
        </w:rPr>
      </w:pPr>
      <w:r>
        <w:rPr>
          <w:rFonts w:ascii="Times New Roman" w:hAnsi="Times New Roman"/>
          <w:sz w:val="24"/>
          <w:szCs w:val="24"/>
        </w:rPr>
        <w:t>Le graphique 23 montre la disponibilité de l’aide juridictionn</w:t>
      </w:r>
      <w:r>
        <w:rPr>
          <w:rFonts w:ascii="Times New Roman" w:hAnsi="Times New Roman"/>
          <w:sz w:val="24"/>
          <w:szCs w:val="24"/>
        </w:rPr>
        <w:t>elle, totale ou partielle, dans une affaire relevant du droit de la consommation impliquant un litige d’une valeur de 6 000 EUR. Il compare les seuils de revenus applicables à l’octroi de l’aide juridictionnelle, exprimés en pourcentage du seuil de pauvret</w:t>
      </w:r>
      <w:r>
        <w:rPr>
          <w:rFonts w:ascii="Times New Roman" w:hAnsi="Times New Roman"/>
          <w:sz w:val="24"/>
          <w:szCs w:val="24"/>
        </w:rPr>
        <w:t>é Eurostat dans chaque État membre (</w:t>
      </w:r>
      <w:r>
        <w:rPr>
          <w:rFonts w:ascii="Times New Roman" w:eastAsia="Calibri" w:hAnsi="Times New Roman" w:cs="Times New Roman"/>
          <w:sz w:val="24"/>
          <w:szCs w:val="24"/>
          <w:vertAlign w:val="superscript"/>
        </w:rPr>
        <w:footnoteReference w:id="57"/>
      </w:r>
      <w:r>
        <w:rPr>
          <w:rFonts w:ascii="Times New Roman" w:hAnsi="Times New Roman"/>
          <w:sz w:val="24"/>
          <w:szCs w:val="24"/>
        </w:rPr>
        <w:t>). Par exemple, si le seuil pour bénéficier de l’aide juridictionnelle est de 20 %, cela signifie qu’un demandeur ayant un revenu supérieur de 20 % au seuil de pauvreté Eurostat dans son État membre restera admissible à</w:t>
      </w:r>
      <w:r>
        <w:rPr>
          <w:rFonts w:ascii="Times New Roman" w:hAnsi="Times New Roman"/>
          <w:sz w:val="24"/>
          <w:szCs w:val="24"/>
        </w:rPr>
        <w:t xml:space="preserve"> cette aide. À l’inverse, si le seuil pour bénéficier de l’aide juridictionnelle est inférieur à 0, il est alors possible qu’une personne ayant un revenu inférieur au seuil de pauvreté ne bénéficie pas de l’aide juridictionnelle.</w:t>
      </w:r>
    </w:p>
    <w:p w:rsidR="00D23207" w:rsidRDefault="00493C98">
      <w:pPr>
        <w:spacing w:after="120" w:line="240" w:lineRule="auto"/>
        <w:jc w:val="both"/>
        <w:rPr>
          <w:rFonts w:ascii="Times New Roman" w:eastAsia="Calibri" w:hAnsi="Times New Roman" w:cs="Times New Roman"/>
          <w:sz w:val="24"/>
          <w:szCs w:val="24"/>
        </w:rPr>
      </w:pPr>
      <w:r>
        <w:rPr>
          <w:rFonts w:ascii="Times New Roman" w:hAnsi="Times New Roman"/>
          <w:sz w:val="24"/>
          <w:szCs w:val="24"/>
        </w:rPr>
        <w:t>Certains États membres ont</w:t>
      </w:r>
      <w:r>
        <w:rPr>
          <w:rFonts w:ascii="Times New Roman" w:hAnsi="Times New Roman"/>
          <w:sz w:val="24"/>
          <w:szCs w:val="24"/>
        </w:rPr>
        <w:t xml:space="preserve"> un régime d’aide juridictionnelle qui couvre la totalité des frais associés à la procédure (aide juridictionnelle totale), complété par un système couvrant une partie des frais (aide juridictionnelle partielle) auquel s’appliquent d’autres critères d’admi</w:t>
      </w:r>
      <w:r>
        <w:rPr>
          <w:rFonts w:ascii="Times New Roman" w:hAnsi="Times New Roman"/>
          <w:sz w:val="24"/>
          <w:szCs w:val="24"/>
        </w:rPr>
        <w:t>ssibilité. D’autres États membres prévoient uniquement soit un régime d’aide juridictionnelle totale, soit un régime d’aide juridictionnelle partielle.</w:t>
      </w:r>
    </w:p>
    <w:p w:rsidR="00D23207" w:rsidRDefault="00493C98">
      <w:pPr>
        <w:keepNext/>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23</w:t>
      </w:r>
      <w:r>
        <w:fldChar w:fldCharType="end"/>
      </w:r>
      <w:bookmarkEnd w:id="350"/>
      <w:r>
        <w:rPr>
          <w:rFonts w:ascii="Times New Roman" w:hAnsi="Times New Roman"/>
          <w:b/>
          <w:bCs/>
        </w:rPr>
        <w:t>:</w:t>
      </w:r>
      <w:r>
        <w:rPr>
          <w:rFonts w:ascii="Times New Roman" w:hAnsi="Times New Roman"/>
          <w:b/>
          <w:bCs/>
          <w:sz w:val="24"/>
          <w:szCs w:val="24"/>
        </w:rPr>
        <w:t xml:space="preserve"> seuil de revenu pour l’aide juridictionnelle dans une affaire rel</w:t>
      </w:r>
      <w:r>
        <w:rPr>
          <w:rFonts w:ascii="Times New Roman" w:hAnsi="Times New Roman"/>
          <w:b/>
          <w:bCs/>
          <w:sz w:val="24"/>
          <w:szCs w:val="24"/>
        </w:rPr>
        <w:t>evant du droit de la consommation, 2019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(différences en % par rapport au seuil de pauvreté Eurostat) [source: Commission européenne avec le CCBE (</w:t>
      </w:r>
      <w:r>
        <w:rPr>
          <w:rFonts w:ascii="Times New Roman" w:eastAsia="Calibri" w:hAnsi="Times New Roman" w:cs="Times New Roman"/>
          <w:i/>
          <w:iCs/>
          <w:sz w:val="24"/>
          <w:szCs w:val="24"/>
          <w:vertAlign w:val="superscript"/>
        </w:rPr>
        <w:footnoteReference w:id="58"/>
      </w:r>
      <w:r>
        <w:rPr>
          <w:rFonts w:ascii="Times New Roman" w:hAnsi="Times New Roman"/>
          <w:i/>
          <w:iCs/>
          <w:sz w:val="24"/>
          <w:szCs w:val="24"/>
        </w:rPr>
        <w:t xml:space="preserve">)] </w:t>
      </w:r>
    </w:p>
    <w:p w:rsidR="00D23207" w:rsidRDefault="00493C98">
      <w:pPr>
        <w:keepNext/>
        <w:spacing w:after="0" w:line="240" w:lineRule="auto"/>
        <w:jc w:val="both"/>
        <w:rPr>
          <w:rFonts w:ascii="Times New Roman" w:eastAsia="Calibri" w:hAnsi="Times New Roman" w:cs="Times New Roman"/>
          <w:i/>
          <w:color w:val="000000"/>
          <w:sz w:val="20"/>
        </w:rPr>
      </w:pPr>
      <w:r>
        <w:rPr>
          <w:rFonts w:ascii="Times New Roman" w:eastAsia="Calibri" w:hAnsi="Times New Roman" w:cs="Times New Roman"/>
          <w:i/>
          <w:color w:val="000000"/>
          <w:sz w:val="20"/>
          <w:lang w:val="en-GB" w:eastAsia="en-GB"/>
        </w:rPr>
        <w:drawing>
          <wp:inline distT="0" distB="0" distL="0" distR="0">
            <wp:extent cx="5977255" cy="2521531"/>
            <wp:effectExtent l="0" t="0" r="444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7255" cy="2521531"/>
                    </a:xfrm>
                    <a:prstGeom prst="rect">
                      <a:avLst/>
                    </a:prstGeom>
                    <a:noFill/>
                    <a:ln>
                      <a:noFill/>
                    </a:ln>
                  </pic:spPr>
                </pic:pic>
              </a:graphicData>
            </a:graphic>
          </wp:inline>
        </w:drawing>
      </w:r>
    </w:p>
    <w:p w:rsidR="00D23207" w:rsidRDefault="00493C98">
      <w:pPr>
        <w:keepNext/>
        <w:spacing w:after="0" w:line="240" w:lineRule="auto"/>
        <w:jc w:val="both"/>
        <w:rPr>
          <w:rFonts w:ascii="Times New Roman" w:eastAsia="Calibri" w:hAnsi="Times New Roman" w:cs="Times New Roman"/>
          <w:i/>
          <w:sz w:val="20"/>
          <w:highlight w:val="yellow"/>
        </w:rPr>
      </w:pPr>
      <w:r>
        <w:rPr>
          <w:rFonts w:ascii="Times New Roman" w:hAnsi="Times New Roman"/>
          <w:i/>
          <w:color w:val="000000"/>
          <w:sz w:val="20"/>
        </w:rPr>
        <w:t xml:space="preserve">(*) </w:t>
      </w:r>
      <w:r>
        <w:rPr>
          <w:rFonts w:ascii="Times New Roman" w:hAnsi="Times New Roman"/>
          <w:b/>
          <w:bCs/>
          <w:i/>
          <w:color w:val="000000"/>
          <w:sz w:val="20"/>
        </w:rPr>
        <w:t>EE</w:t>
      </w:r>
      <w:r>
        <w:rPr>
          <w:rFonts w:ascii="Times New Roman" w:hAnsi="Times New Roman"/>
          <w:i/>
          <w:color w:val="000000"/>
          <w:sz w:val="20"/>
        </w:rPr>
        <w:t>:</w:t>
      </w:r>
      <w:r>
        <w:rPr>
          <w:rFonts w:ascii="Times New Roman" w:hAnsi="Times New Roman"/>
          <w:b/>
          <w:i/>
          <w:color w:val="000000"/>
          <w:sz w:val="20"/>
        </w:rPr>
        <w:t xml:space="preserve"> </w:t>
      </w:r>
      <w:r>
        <w:rPr>
          <w:rFonts w:ascii="Times New Roman" w:hAnsi="Times New Roman"/>
          <w:i/>
          <w:sz w:val="20"/>
        </w:rPr>
        <w:t xml:space="preserve">la décision portant sur l’octroi de l’aide juridictionnelle n’est pas fondée sur le niveau des ressources financières du demandeur. </w:t>
      </w:r>
      <w:r>
        <w:rPr>
          <w:rFonts w:ascii="Times New Roman" w:hAnsi="Times New Roman"/>
          <w:b/>
          <w:i/>
          <w:sz w:val="20"/>
        </w:rPr>
        <w:t>IE:</w:t>
      </w:r>
      <w:r>
        <w:rPr>
          <w:rFonts w:ascii="Times New Roman" w:hAnsi="Times New Roman"/>
          <w:i/>
          <w:sz w:val="20"/>
        </w:rPr>
        <w:t xml:space="preserve"> l’aide juridictionnelle partielle doit tenir compte aussi des actifs disponibles du demandeur. </w:t>
      </w:r>
      <w:r>
        <w:rPr>
          <w:rFonts w:ascii="Times New Roman" w:hAnsi="Times New Roman"/>
          <w:b/>
          <w:i/>
          <w:sz w:val="20"/>
        </w:rPr>
        <w:t>LV:</w:t>
      </w:r>
      <w:r>
        <w:rPr>
          <w:rFonts w:ascii="Times New Roman" w:hAnsi="Times New Roman"/>
          <w:i/>
          <w:sz w:val="20"/>
        </w:rPr>
        <w:t xml:space="preserve"> les seuils varient d’</w:t>
      </w:r>
      <w:r>
        <w:rPr>
          <w:rFonts w:ascii="Times New Roman" w:hAnsi="Times New Roman"/>
          <w:i/>
          <w:sz w:val="20"/>
        </w:rPr>
        <w:t>une municipalité à l’autre, la limite supérieure est représentée dans le graphique.</w:t>
      </w:r>
    </w:p>
    <w:p w:rsidR="00D23207" w:rsidRDefault="00493C98">
      <w:pPr>
        <w:spacing w:before="240" w:after="120" w:line="240" w:lineRule="auto"/>
        <w:jc w:val="both"/>
        <w:rPr>
          <w:rFonts w:ascii="Times New Roman" w:eastAsia="Calibri" w:hAnsi="Times New Roman" w:cs="Times New Roman"/>
          <w:sz w:val="24"/>
          <w:szCs w:val="24"/>
        </w:rPr>
      </w:pPr>
      <w:r>
        <w:rPr>
          <w:rFonts w:ascii="Times New Roman" w:hAnsi="Times New Roman"/>
          <w:sz w:val="24"/>
          <w:szCs w:val="24"/>
        </w:rPr>
        <w:t>La plupart des États membres réclament un droit de greffe à la partie qui entame une procédure judiciaire. Les bénéficiaires de l’aide juridictionnelle sont souvent exonéré</w:t>
      </w:r>
      <w:r>
        <w:rPr>
          <w:rFonts w:ascii="Times New Roman" w:hAnsi="Times New Roman"/>
          <w:sz w:val="24"/>
          <w:szCs w:val="24"/>
        </w:rPr>
        <w:t>s du paiement de ce droit. Il n’y a qu’en BG, EE, IE, aux NL, en PL et en SI que les bénéficiaires de l’aide juridictionnelle ne sont pas exonérés du paiement du droit de greffe. En CZ, la juridiction décide, au cas par cas, d’exonérer ou non le bénéficiai</w:t>
      </w:r>
      <w:r>
        <w:rPr>
          <w:rFonts w:ascii="Times New Roman" w:hAnsi="Times New Roman"/>
          <w:sz w:val="24"/>
          <w:szCs w:val="24"/>
        </w:rPr>
        <w:t>re de l’aide juridictionnelle du paiement des droits de greffe. Le graphique 24 compare, pour deux scénarios, le niveau du droit de greffe exprimé en pourcentage de la valeur du litige. Si, par exemple, le droit de greffe apparaît à 10 % d’un litige portan</w:t>
      </w:r>
      <w:r>
        <w:rPr>
          <w:rFonts w:ascii="Times New Roman" w:hAnsi="Times New Roman"/>
          <w:sz w:val="24"/>
          <w:szCs w:val="24"/>
        </w:rPr>
        <w:t>t sur 6 000 EUR dans le graphique ci-dessous, le consommateur devra payer un droit de greffe de 600 EUR pour entamer une procédure judiciaire. Le litige de faible valeur est fondé sur le seuil de pauvreté Eurostat de chaque État membre.</w:t>
      </w:r>
      <w:bookmarkStart w:id="351" w:name="_Toc409530224"/>
      <w:bookmarkStart w:id="352" w:name="_Toc438545674"/>
      <w:bookmarkStart w:id="353" w:name="_Toc438548324"/>
      <w:bookmarkStart w:id="354" w:name="_Toc438548510"/>
    </w:p>
    <w:p w:rsidR="00D23207" w:rsidRDefault="00493C98">
      <w:pPr>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w:instrText>
      </w:r>
      <w:r>
        <w:rPr>
          <w:rFonts w:ascii="Times New Roman" w:eastAsia="Calibri" w:hAnsi="Times New Roman" w:cs="Times New Roman"/>
          <w:b/>
          <w:sz w:val="24"/>
        </w:rPr>
        <w:instrText xml:space="preserve">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24</w:t>
      </w:r>
      <w:r>
        <w:fldChar w:fldCharType="end"/>
      </w:r>
      <w:r>
        <w:rPr>
          <w:rFonts w:ascii="Times New Roman" w:hAnsi="Times New Roman"/>
          <w:b/>
          <w:bCs/>
        </w:rPr>
        <w:t>:</w:t>
      </w:r>
      <w:r>
        <w:rPr>
          <w:rFonts w:ascii="Times New Roman" w:hAnsi="Times New Roman"/>
          <w:b/>
          <w:bCs/>
          <w:sz w:val="24"/>
          <w:szCs w:val="24"/>
        </w:rPr>
        <w:t xml:space="preserve"> droit de greffe réclamé pour entamer une procédure judiciaire dans une affaire relevant du droit de la consommation, 2019</w:t>
      </w:r>
      <w:r>
        <w:rPr>
          <w:rFonts w:ascii="Times New Roman" w:hAnsi="Times New Roman"/>
          <w:sz w:val="24"/>
          <w:szCs w:val="24"/>
        </w:rPr>
        <w:t> (</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(niveau du droit de greffe en pourcentage de la valeur du litige</w:t>
      </w:r>
      <w:r>
        <w:rPr>
          <w:rFonts w:ascii="Times New Roman" w:hAnsi="Times New Roman"/>
          <w:sz w:val="24"/>
          <w:szCs w:val="24"/>
        </w:rPr>
        <w:t xml:space="preserve">) </w:t>
      </w:r>
      <w:r>
        <w:rPr>
          <w:rFonts w:ascii="Times New Roman" w:hAnsi="Times New Roman"/>
          <w:i/>
          <w:iCs/>
          <w:sz w:val="24"/>
          <w:szCs w:val="24"/>
        </w:rPr>
        <w:t xml:space="preserve">[source: Commission européenne avec le </w:t>
      </w:r>
      <w:r>
        <w:rPr>
          <w:rFonts w:ascii="Times New Roman" w:hAnsi="Times New Roman"/>
          <w:i/>
          <w:iCs/>
          <w:sz w:val="24"/>
          <w:szCs w:val="24"/>
        </w:rPr>
        <w:t>CCBE (</w:t>
      </w:r>
      <w:r>
        <w:rPr>
          <w:rFonts w:ascii="Times New Roman" w:eastAsia="Calibri" w:hAnsi="Times New Roman" w:cs="Times New Roman"/>
          <w:i/>
          <w:iCs/>
          <w:sz w:val="24"/>
          <w:szCs w:val="24"/>
          <w:vertAlign w:val="superscript"/>
        </w:rPr>
        <w:footnoteReference w:id="59"/>
      </w:r>
      <w:r>
        <w:rPr>
          <w:rFonts w:ascii="Times New Roman" w:hAnsi="Times New Roman"/>
          <w:i/>
          <w:iCs/>
          <w:sz w:val="24"/>
          <w:szCs w:val="24"/>
        </w:rPr>
        <w:t>)]</w:t>
      </w:r>
    </w:p>
    <w:p w:rsidR="00D23207" w:rsidRDefault="00493C98">
      <w:pPr>
        <w:keepNext/>
        <w:spacing w:after="0" w:line="240" w:lineRule="auto"/>
        <w:jc w:val="both"/>
        <w:rPr>
          <w:rFonts w:ascii="Times New Roman" w:eastAsia="Calibri" w:hAnsi="Times New Roman" w:cs="Times New Roman"/>
          <w:i/>
          <w:iCs/>
          <w:color w:val="000000" w:themeColor="text1"/>
          <w:sz w:val="20"/>
          <w:szCs w:val="20"/>
        </w:rPr>
      </w:pPr>
      <w:r>
        <w:rPr>
          <w:rFonts w:ascii="Times New Roman" w:eastAsia="Calibri" w:hAnsi="Times New Roman" w:cs="Times New Roman"/>
          <w:i/>
          <w:iCs/>
          <w:color w:val="000000" w:themeColor="text1"/>
          <w:sz w:val="20"/>
          <w:szCs w:val="20"/>
          <w:lang w:val="en-GB" w:eastAsia="en-GB"/>
        </w:rPr>
        <w:drawing>
          <wp:inline distT="0" distB="0" distL="0" distR="0">
            <wp:extent cx="5977255" cy="2753448"/>
            <wp:effectExtent l="0" t="0" r="4445" b="8890"/>
            <wp:docPr id="97292" name="Picture 9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2753448"/>
                    </a:xfrm>
                    <a:prstGeom prst="rect">
                      <a:avLst/>
                    </a:prstGeom>
                    <a:noFill/>
                    <a:ln>
                      <a:noFill/>
                    </a:ln>
                  </pic:spPr>
                </pic:pic>
              </a:graphicData>
            </a:graphic>
          </wp:inline>
        </w:drawing>
      </w:r>
    </w:p>
    <w:p w:rsidR="00D23207" w:rsidRDefault="00493C98">
      <w:pPr>
        <w:keepNext/>
        <w:spacing w:after="0" w:line="240" w:lineRule="auto"/>
        <w:jc w:val="both"/>
        <w:rPr>
          <w:rFonts w:ascii="Times New Roman" w:eastAsia="Calibri" w:hAnsi="Times New Roman" w:cs="Times New Roman"/>
          <w:i/>
          <w:color w:val="000000"/>
          <w:sz w:val="20"/>
        </w:rPr>
      </w:pPr>
      <w:r>
        <w:rPr>
          <w:rFonts w:ascii="Times New Roman" w:hAnsi="Times New Roman"/>
          <w:i/>
          <w:iCs/>
          <w:color w:val="000000" w:themeColor="text1"/>
          <w:sz w:val="20"/>
          <w:szCs w:val="20"/>
        </w:rPr>
        <w:t>(*) Par «litige de faible valeur», on entend un litige correspondant au seuil de pauvreté Eurostat pour un célibataire dans chaque État membre, converti en revenu mensuel (par exemple, en 2019, cette valeur se situait dans une fourchette allant</w:t>
      </w:r>
      <w:r>
        <w:rPr>
          <w:rFonts w:ascii="Times New Roman" w:hAnsi="Times New Roman"/>
          <w:i/>
          <w:iCs/>
          <w:color w:val="000000" w:themeColor="text1"/>
          <w:sz w:val="20"/>
          <w:szCs w:val="20"/>
        </w:rPr>
        <w:t xml:space="preserve"> de 164 EUR en </w:t>
      </w:r>
      <w:r>
        <w:rPr>
          <w:rFonts w:ascii="Times New Roman" w:hAnsi="Times New Roman"/>
          <w:b/>
          <w:bCs/>
          <w:i/>
          <w:iCs/>
          <w:color w:val="000000" w:themeColor="text1"/>
          <w:sz w:val="20"/>
          <w:szCs w:val="20"/>
        </w:rPr>
        <w:t>RO</w:t>
      </w:r>
      <w:r>
        <w:rPr>
          <w:rFonts w:ascii="Times New Roman" w:hAnsi="Times New Roman"/>
          <w:i/>
          <w:iCs/>
          <w:color w:val="000000" w:themeColor="text1"/>
          <w:sz w:val="20"/>
          <w:szCs w:val="20"/>
        </w:rPr>
        <w:t xml:space="preserve"> à 1 804 EUR au </w:t>
      </w:r>
      <w:r>
        <w:rPr>
          <w:rFonts w:ascii="Times New Roman" w:hAnsi="Times New Roman"/>
          <w:b/>
          <w:bCs/>
          <w:i/>
          <w:iCs/>
          <w:color w:val="000000" w:themeColor="text1"/>
          <w:sz w:val="20"/>
          <w:szCs w:val="20"/>
        </w:rPr>
        <w:t>LU</w:t>
      </w:r>
      <w:r>
        <w:rPr>
          <w:rFonts w:ascii="Times New Roman" w:hAnsi="Times New Roman"/>
          <w:i/>
          <w:iCs/>
          <w:color w:val="000000" w:themeColor="text1"/>
          <w:sz w:val="20"/>
          <w:szCs w:val="20"/>
        </w:rPr>
        <w:t xml:space="preserve">). </w:t>
      </w:r>
      <w:r>
        <w:rPr>
          <w:rFonts w:ascii="Times New Roman" w:hAnsi="Times New Roman"/>
          <w:b/>
          <w:bCs/>
          <w:i/>
          <w:iCs/>
          <w:color w:val="000000" w:themeColor="text1"/>
          <w:sz w:val="20"/>
          <w:szCs w:val="20"/>
        </w:rPr>
        <w:t>BE</w:t>
      </w:r>
      <w:r>
        <w:rPr>
          <w:rFonts w:ascii="Times New Roman" w:hAnsi="Times New Roman"/>
          <w:i/>
          <w:iCs/>
          <w:color w:val="000000" w:themeColor="text1"/>
          <w:sz w:val="20"/>
          <w:szCs w:val="20"/>
        </w:rPr>
        <w:t xml:space="preserve">, </w:t>
      </w:r>
      <w:r>
        <w:rPr>
          <w:rFonts w:ascii="Times New Roman" w:hAnsi="Times New Roman"/>
          <w:b/>
          <w:i/>
          <w:iCs/>
          <w:color w:val="000000" w:themeColor="text1"/>
          <w:sz w:val="20"/>
          <w:szCs w:val="20"/>
        </w:rPr>
        <w:t>EL</w:t>
      </w:r>
      <w:r>
        <w:rPr>
          <w:rFonts w:ascii="Times New Roman" w:hAnsi="Times New Roman"/>
          <w:i/>
          <w:iCs/>
          <w:color w:val="000000" w:themeColor="text1"/>
          <w:sz w:val="20"/>
          <w:szCs w:val="20"/>
        </w:rPr>
        <w:t xml:space="preserve"> et </w:t>
      </w:r>
      <w:r>
        <w:rPr>
          <w:rFonts w:ascii="Times New Roman" w:hAnsi="Times New Roman"/>
          <w:b/>
          <w:bCs/>
          <w:i/>
          <w:iCs/>
          <w:color w:val="000000" w:themeColor="text1"/>
          <w:sz w:val="20"/>
          <w:szCs w:val="20"/>
        </w:rPr>
        <w:t>RO:</w:t>
      </w:r>
      <w:r>
        <w:rPr>
          <w:rFonts w:ascii="Times New Roman" w:hAnsi="Times New Roman"/>
          <w:i/>
          <w:iCs/>
          <w:color w:val="000000" w:themeColor="text1"/>
          <w:sz w:val="20"/>
          <w:szCs w:val="20"/>
        </w:rPr>
        <w:t xml:space="preserve"> aucune information n’a été fournie concernant le droit de greffe pour les litiges de faible valeur. </w:t>
      </w:r>
      <w:r>
        <w:rPr>
          <w:rFonts w:ascii="Times New Roman" w:hAnsi="Times New Roman"/>
          <w:b/>
          <w:bCs/>
          <w:i/>
          <w:iCs/>
          <w:color w:val="000000" w:themeColor="text1"/>
          <w:sz w:val="20"/>
          <w:szCs w:val="20"/>
        </w:rPr>
        <w:t>LU:</w:t>
      </w:r>
      <w:r>
        <w:rPr>
          <w:rFonts w:ascii="Times New Roman" w:hAnsi="Times New Roman"/>
          <w:i/>
          <w:iCs/>
          <w:color w:val="000000" w:themeColor="text1"/>
          <w:sz w:val="20"/>
          <w:szCs w:val="20"/>
        </w:rPr>
        <w:t xml:space="preserve"> le plaideur doit acquitter un droit d’huissier pour entamer une procédure en tant que plaignant, à m</w:t>
      </w:r>
      <w:r>
        <w:rPr>
          <w:rFonts w:ascii="Times New Roman" w:hAnsi="Times New Roman"/>
          <w:i/>
          <w:iCs/>
          <w:color w:val="000000" w:themeColor="text1"/>
          <w:sz w:val="20"/>
          <w:szCs w:val="20"/>
        </w:rPr>
        <w:t xml:space="preserve">oins qu’il ne bénéficie de l’aide juridictionnelle. </w:t>
      </w:r>
      <w:r>
        <w:rPr>
          <w:rFonts w:ascii="Times New Roman" w:hAnsi="Times New Roman"/>
          <w:b/>
          <w:bCs/>
          <w:i/>
          <w:iCs/>
          <w:color w:val="000000" w:themeColor="text1"/>
          <w:sz w:val="20"/>
          <w:szCs w:val="20"/>
        </w:rPr>
        <w:t>NL:</w:t>
      </w:r>
      <w:r>
        <w:rPr>
          <w:rFonts w:ascii="Times New Roman" w:hAnsi="Times New Roman"/>
          <w:i/>
          <w:iCs/>
          <w:color w:val="000000" w:themeColor="text1"/>
          <w:sz w:val="20"/>
          <w:szCs w:val="20"/>
        </w:rPr>
        <w:t xml:space="preserve"> droit de greffe pour des revenus &lt; 2 275 EUR/mois. </w:t>
      </w:r>
    </w:p>
    <w:p w:rsidR="00D23207" w:rsidRDefault="00D23207">
      <w:pPr>
        <w:spacing w:before="240" w:after="0" w:line="240" w:lineRule="auto"/>
        <w:jc w:val="both"/>
        <w:rPr>
          <w:rFonts w:ascii="Times New Roman" w:eastAsia="Calibri" w:hAnsi="Times New Roman" w:cs="Times New Roman"/>
          <w:sz w:val="24"/>
          <w:szCs w:val="24"/>
        </w:rPr>
      </w:pPr>
    </w:p>
    <w:p w:rsidR="00D23207" w:rsidRDefault="00493C98">
      <w:pPr>
        <w:jc w:val="both"/>
        <w:rPr>
          <w:rFonts w:ascii="Times New Roman" w:eastAsia="Calibri" w:hAnsi="Times New Roman" w:cs="Times New Roman"/>
          <w:sz w:val="24"/>
          <w:szCs w:val="24"/>
        </w:rPr>
      </w:pPr>
      <w:r>
        <w:br w:type="page"/>
      </w:r>
    </w:p>
    <w:p w:rsidR="00D23207" w:rsidRDefault="00493C98">
      <w:pPr>
        <w:spacing w:before="240"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Une exécution efficace des contrats est essentielle pour l’économie. La probabilité de recouvrer les coûts réels d’un litige renforce la position du créancier qui cherche à faire exécuter un contrat. En règle générale, le créancier, en tant que plaignant, </w:t>
      </w:r>
      <w:r>
        <w:rPr>
          <w:rFonts w:ascii="Times New Roman" w:hAnsi="Times New Roman"/>
          <w:sz w:val="24"/>
          <w:szCs w:val="24"/>
        </w:rPr>
        <w:t>est tenu de payer un droit de greffe pour le dépôt d’une plainte auprès du tribunal. Les tribunaux ordonnent généralement à la partie défenderesse perdante de rembourser intégralement les droits de greffe avancés par le plaignant qui a gagné. Le graphique </w:t>
      </w:r>
      <w:r>
        <w:rPr>
          <w:rFonts w:ascii="Times New Roman" w:hAnsi="Times New Roman"/>
          <w:sz w:val="24"/>
          <w:szCs w:val="24"/>
        </w:rPr>
        <w:t xml:space="preserve">25 montre le montant du droit de greffe réclamé pour entamer une procédure judiciaire dans une affaire relevant du droit de la consommation (voir note de bas de page 59). </w:t>
      </w:r>
    </w:p>
    <w:p w:rsidR="00D23207" w:rsidRDefault="00493C98">
      <w:pPr>
        <w:keepNext/>
        <w:spacing w:before="240" w:after="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25</w:t>
      </w:r>
      <w:r>
        <w:fldChar w:fldCharType="end"/>
      </w:r>
      <w:r>
        <w:rPr>
          <w:rFonts w:ascii="Times New Roman" w:hAnsi="Times New Roman"/>
          <w:b/>
          <w:bCs/>
        </w:rPr>
        <w:t>:</w:t>
      </w:r>
      <w:r>
        <w:rPr>
          <w:rFonts w:ascii="Times New Roman" w:hAnsi="Times New Roman"/>
          <w:b/>
          <w:bCs/>
          <w:sz w:val="24"/>
          <w:szCs w:val="24"/>
        </w:rPr>
        <w:t xml:space="preserve"> droit de greffe réclamé pour entamer une procédure judiciaire dans une affaire relevant du droit de la consommation, 2019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i/>
          <w:iCs/>
          <w:sz w:val="24"/>
          <w:szCs w:val="24"/>
        </w:rPr>
        <w:t>en EUR</w:t>
      </w:r>
      <w:r>
        <w:rPr>
          <w:rFonts w:ascii="Times New Roman" w:hAnsi="Times New Roman"/>
          <w:sz w:val="24"/>
          <w:szCs w:val="24"/>
        </w:rPr>
        <w:t xml:space="preserve">) </w:t>
      </w:r>
      <w:r>
        <w:rPr>
          <w:rFonts w:ascii="Times New Roman" w:hAnsi="Times New Roman"/>
          <w:i/>
          <w:iCs/>
          <w:sz w:val="24"/>
          <w:szCs w:val="24"/>
        </w:rPr>
        <w:t>[source: Commission européenne avec le CCBE (</w:t>
      </w:r>
      <w:r>
        <w:rPr>
          <w:rStyle w:val="FootnoteReference"/>
          <w:rFonts w:ascii="Times New Roman" w:eastAsia="Calibri" w:hAnsi="Times New Roman" w:cs="Times New Roman"/>
          <w:i/>
          <w:iCs/>
          <w:sz w:val="24"/>
          <w:szCs w:val="24"/>
        </w:rPr>
        <w:footnoteReference w:id="60"/>
      </w:r>
      <w:r>
        <w:rPr>
          <w:rFonts w:ascii="Times New Roman" w:hAnsi="Times New Roman"/>
          <w:i/>
          <w:iCs/>
          <w:sz w:val="24"/>
          <w:szCs w:val="24"/>
        </w:rPr>
        <w:t>)]</w:t>
      </w:r>
    </w:p>
    <w:p w:rsidR="00D23207" w:rsidRDefault="00493C98">
      <w:pPr>
        <w:keepNext/>
        <w:spacing w:after="0" w:line="240" w:lineRule="auto"/>
        <w:jc w:val="both"/>
        <w:rPr>
          <w:rFonts w:ascii="Times New Roman" w:eastAsia="Calibri" w:hAnsi="Times New Roman" w:cs="Times New Roman"/>
          <w:i/>
          <w:color w:val="000000" w:themeColor="text1"/>
          <w:sz w:val="20"/>
          <w:szCs w:val="20"/>
        </w:rPr>
      </w:pPr>
      <w:r>
        <w:rPr>
          <w:rFonts w:ascii="Times New Roman" w:hAnsi="Times New Roman"/>
          <w:i/>
          <w:iCs/>
          <w:color w:val="000000" w:themeColor="text1"/>
          <w:sz w:val="20"/>
          <w:szCs w:val="20"/>
          <w:lang w:val="en-GB" w:eastAsia="en-GB"/>
        </w:rPr>
        <w:drawing>
          <wp:inline distT="0" distB="0" distL="0" distR="0">
            <wp:extent cx="6114636" cy="3066757"/>
            <wp:effectExtent l="0" t="0" r="635" b="63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5306" cy="3072109"/>
                    </a:xfrm>
                    <a:prstGeom prst="rect">
                      <a:avLst/>
                    </a:prstGeom>
                    <a:noFill/>
                    <a:ln>
                      <a:noFill/>
                    </a:ln>
                  </pic:spPr>
                </pic:pic>
              </a:graphicData>
            </a:graphic>
          </wp:inline>
        </w:drawing>
      </w:r>
      <w:r>
        <w:rPr>
          <w:rFonts w:ascii="Times New Roman" w:hAnsi="Times New Roman"/>
          <w:i/>
          <w:iCs/>
          <w:color w:val="000000" w:themeColor="text1"/>
          <w:sz w:val="20"/>
          <w:szCs w:val="20"/>
        </w:rPr>
        <w:t xml:space="preserve"> (*) Le recouvrement des droits de greffe fait l’objet d’une décision </w:t>
      </w:r>
      <w:r>
        <w:rPr>
          <w:rFonts w:ascii="Times New Roman" w:hAnsi="Times New Roman"/>
          <w:i/>
          <w:iCs/>
          <w:color w:val="000000" w:themeColor="text1"/>
          <w:sz w:val="20"/>
          <w:szCs w:val="20"/>
        </w:rPr>
        <w:t xml:space="preserve">au cas par cas en </w:t>
      </w:r>
      <w:r>
        <w:rPr>
          <w:rFonts w:ascii="Times New Roman" w:hAnsi="Times New Roman"/>
          <w:b/>
          <w:i/>
          <w:iCs/>
          <w:color w:val="000000" w:themeColor="text1"/>
          <w:sz w:val="20"/>
          <w:szCs w:val="20"/>
        </w:rPr>
        <w:t>ES,</w:t>
      </w:r>
      <w:r>
        <w:rPr>
          <w:rFonts w:ascii="Times New Roman" w:hAnsi="Times New Roman"/>
          <w:i/>
          <w:iCs/>
          <w:color w:val="000000" w:themeColor="text1"/>
          <w:sz w:val="20"/>
          <w:szCs w:val="20"/>
        </w:rPr>
        <w:t xml:space="preserve"> au </w:t>
      </w:r>
      <w:r>
        <w:rPr>
          <w:rFonts w:ascii="Times New Roman" w:hAnsi="Times New Roman"/>
          <w:b/>
          <w:i/>
          <w:iCs/>
          <w:color w:val="000000" w:themeColor="text1"/>
          <w:sz w:val="20"/>
          <w:szCs w:val="20"/>
        </w:rPr>
        <w:t>PT</w:t>
      </w:r>
      <w:r>
        <w:rPr>
          <w:rFonts w:ascii="Times New Roman" w:hAnsi="Times New Roman"/>
          <w:i/>
          <w:iCs/>
          <w:color w:val="000000" w:themeColor="text1"/>
          <w:sz w:val="20"/>
          <w:szCs w:val="20"/>
        </w:rPr>
        <w:t xml:space="preserve"> et en </w:t>
      </w:r>
      <w:r>
        <w:rPr>
          <w:rFonts w:ascii="Times New Roman" w:hAnsi="Times New Roman"/>
          <w:b/>
          <w:i/>
          <w:iCs/>
          <w:color w:val="000000" w:themeColor="text1"/>
          <w:sz w:val="20"/>
          <w:szCs w:val="20"/>
        </w:rPr>
        <w:t>RO</w:t>
      </w:r>
      <w:r>
        <w:rPr>
          <w:rFonts w:ascii="Times New Roman" w:hAnsi="Times New Roman"/>
          <w:i/>
          <w:iCs/>
          <w:color w:val="000000" w:themeColor="text1"/>
          <w:sz w:val="20"/>
          <w:szCs w:val="20"/>
        </w:rPr>
        <w:t xml:space="preserve">. La partie gagnante ne peut recouvrer l’intégralité des droits de greffe en </w:t>
      </w:r>
      <w:r>
        <w:rPr>
          <w:rFonts w:ascii="Times New Roman" w:hAnsi="Times New Roman"/>
          <w:b/>
          <w:bCs/>
          <w:i/>
          <w:iCs/>
          <w:color w:val="000000" w:themeColor="text1"/>
          <w:sz w:val="20"/>
          <w:szCs w:val="20"/>
        </w:rPr>
        <w:t>EL</w:t>
      </w:r>
      <w:r>
        <w:rPr>
          <w:rFonts w:ascii="Times New Roman" w:hAnsi="Times New Roman"/>
          <w:i/>
          <w:iCs/>
          <w:color w:val="000000" w:themeColor="text1"/>
          <w:sz w:val="20"/>
          <w:szCs w:val="20"/>
        </w:rPr>
        <w:t xml:space="preserve"> et </w:t>
      </w:r>
      <w:r>
        <w:rPr>
          <w:rFonts w:ascii="Times New Roman" w:hAnsi="Times New Roman"/>
          <w:b/>
          <w:bCs/>
          <w:i/>
          <w:iCs/>
          <w:color w:val="000000" w:themeColor="text1"/>
          <w:sz w:val="20"/>
          <w:szCs w:val="20"/>
        </w:rPr>
        <w:t>HU</w:t>
      </w:r>
      <w:r>
        <w:rPr>
          <w:rFonts w:ascii="Times New Roman" w:hAnsi="Times New Roman"/>
          <w:i/>
          <w:iCs/>
          <w:color w:val="000000" w:themeColor="text1"/>
          <w:sz w:val="20"/>
          <w:szCs w:val="20"/>
        </w:rPr>
        <w:t xml:space="preserve">. </w:t>
      </w:r>
    </w:p>
    <w:p w:rsidR="00D23207" w:rsidRDefault="00493C98">
      <w:pPr>
        <w:spacing w:before="240"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Normalement, le créancier doit avancer les honoraires de son propre avocat non seulement pendant la phase contentieuse, mais déjà pendant la phase précontentieuse. En ce qui concerne le remboursement, la plupart des États membres appliquent la règle selon </w:t>
      </w:r>
      <w:r>
        <w:rPr>
          <w:rFonts w:ascii="Times New Roman" w:hAnsi="Times New Roman"/>
          <w:sz w:val="24"/>
          <w:szCs w:val="24"/>
        </w:rPr>
        <w:t>laquelle une partie qui perd un procès est censée supporter non seulement ses propres dépens, mais aussi ceux de la partie gagnante. Une telle règle de transfert des dépens dissuade l’introduction d’affaires présentant une faible probabilité de gain de cau</w:t>
      </w:r>
      <w:r>
        <w:rPr>
          <w:rFonts w:ascii="Times New Roman" w:hAnsi="Times New Roman"/>
          <w:sz w:val="24"/>
          <w:szCs w:val="24"/>
        </w:rPr>
        <w:t>se et encourage celle d’affaires présentant une forte probabilité de gain de cause. Le graphique 26 indique le montant que le tribunal accorderait au plaignant ayant obtenu gain de cause dans une affaire relevant du droit de la consommation (voir note de b</w:t>
      </w:r>
      <w:r>
        <w:rPr>
          <w:rFonts w:ascii="Times New Roman" w:hAnsi="Times New Roman"/>
          <w:sz w:val="24"/>
          <w:szCs w:val="24"/>
        </w:rPr>
        <w:t>as de page 60). Il convient de distinguer trois systèmes différents: 1) dans les États membres appliquant un système d’honoraires légaux, le remboursement des frais juridiques dépend du niveau des honoraires légaux prévus pour le travail effectué par l’avo</w:t>
      </w:r>
      <w:r>
        <w:rPr>
          <w:rFonts w:ascii="Times New Roman" w:hAnsi="Times New Roman"/>
          <w:sz w:val="24"/>
          <w:szCs w:val="24"/>
        </w:rPr>
        <w:t>cat, qui varient considérablement d’un État membre à l’autre; 2) dans les États membres n’appliquant pas de système d’honoraires légaux, le remboursement des frais juridiques est soit total (HU, PT, FI), soit partiel (PL, LV, LU); et 3) dans plusieurs État</w:t>
      </w:r>
      <w:r>
        <w:rPr>
          <w:rFonts w:ascii="Times New Roman" w:hAnsi="Times New Roman"/>
          <w:sz w:val="24"/>
          <w:szCs w:val="24"/>
        </w:rPr>
        <w:t xml:space="preserve">s membres, le remboursement est décidé par le tribunal au cas par cas. </w:t>
      </w:r>
    </w:p>
    <w:p w:rsidR="00D23207" w:rsidRDefault="00493C98">
      <w:pPr>
        <w:keepNext/>
        <w:spacing w:before="240" w:after="120" w:line="240" w:lineRule="auto"/>
        <w:jc w:val="both"/>
        <w:rPr>
          <w:rFonts w:ascii="Times New Roman" w:eastAsia="Calibri" w:hAnsi="Times New Roman" w:cs="Times New Roman"/>
          <w:i/>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26</w:t>
      </w:r>
      <w:r>
        <w:fldChar w:fldCharType="end"/>
      </w:r>
      <w:r>
        <w:rPr>
          <w:rFonts w:ascii="Times New Roman" w:hAnsi="Times New Roman"/>
          <w:b/>
          <w:bCs/>
        </w:rPr>
        <w:t>:</w:t>
      </w:r>
      <w:r>
        <w:rPr>
          <w:rFonts w:ascii="Times New Roman" w:hAnsi="Times New Roman"/>
          <w:b/>
          <w:bCs/>
          <w:sz w:val="24"/>
          <w:szCs w:val="24"/>
        </w:rPr>
        <w:t xml:space="preserve"> recouvrabilité des frais juridiques dans un procès commercial, 2019 </w:t>
      </w:r>
      <w:r>
        <w:rPr>
          <w:rFonts w:ascii="Times New Roman" w:hAnsi="Times New Roman"/>
          <w:sz w:val="24"/>
          <w:szCs w:val="24"/>
        </w:rPr>
        <w:t>(</w:t>
      </w:r>
      <w:r>
        <w:rPr>
          <w:sz w:val="24"/>
          <w:szCs w:val="24"/>
        </w:rPr>
        <w:t>*</w:t>
      </w:r>
      <w:r>
        <w:rPr>
          <w:rFonts w:ascii="Times New Roman" w:hAnsi="Times New Roman"/>
          <w:sz w:val="24"/>
          <w:szCs w:val="24"/>
        </w:rPr>
        <w:t xml:space="preserve">) (en EUR) </w:t>
      </w:r>
      <w:r>
        <w:rPr>
          <w:rFonts w:ascii="Times New Roman" w:hAnsi="Times New Roman"/>
          <w:i/>
          <w:iCs/>
          <w:sz w:val="24"/>
          <w:szCs w:val="24"/>
        </w:rPr>
        <w:t>[source: Commission européenne avec le CCBE (</w:t>
      </w:r>
      <w:r>
        <w:rPr>
          <w:rFonts w:ascii="Times New Roman" w:eastAsia="Calibri" w:hAnsi="Times New Roman" w:cs="Times New Roman"/>
          <w:sz w:val="24"/>
          <w:szCs w:val="24"/>
          <w:vertAlign w:val="superscript"/>
        </w:rPr>
        <w:footnoteReference w:id="61"/>
      </w:r>
      <w:r>
        <w:rPr>
          <w:rFonts w:ascii="Times New Roman" w:hAnsi="Times New Roman"/>
          <w:i/>
          <w:iCs/>
          <w:sz w:val="24"/>
          <w:szCs w:val="24"/>
        </w:rPr>
        <w:t xml:space="preserve">)] </w:t>
      </w:r>
    </w:p>
    <w:p w:rsidR="00D23207" w:rsidRDefault="00493C98">
      <w:pPr>
        <w:keepNext/>
        <w:spacing w:after="0" w:line="240" w:lineRule="auto"/>
        <w:jc w:val="both"/>
        <w:rPr>
          <w:rFonts w:ascii="Times New Roman" w:eastAsia="Calibri" w:hAnsi="Times New Roman" w:cs="Times New Roman"/>
          <w:i/>
          <w:iCs/>
          <w:color w:val="000000" w:themeColor="text1"/>
          <w:sz w:val="20"/>
          <w:szCs w:val="20"/>
        </w:rPr>
      </w:pPr>
      <w:r>
        <w:rPr>
          <w:rFonts w:ascii="Times New Roman" w:eastAsia="Calibri" w:hAnsi="Times New Roman" w:cs="Times New Roman"/>
          <w:i/>
          <w:iCs/>
          <w:color w:val="000000" w:themeColor="text1"/>
          <w:sz w:val="20"/>
          <w:szCs w:val="20"/>
          <w:lang w:val="en-GB" w:eastAsia="en-GB"/>
        </w:rPr>
        <w:drawing>
          <wp:inline distT="0" distB="0" distL="0" distR="0">
            <wp:extent cx="5977255" cy="2767674"/>
            <wp:effectExtent l="0" t="0" r="444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7255" cy="2767674"/>
                    </a:xfrm>
                    <a:prstGeom prst="rect">
                      <a:avLst/>
                    </a:prstGeom>
                    <a:noFill/>
                    <a:ln>
                      <a:noFill/>
                    </a:ln>
                  </pic:spPr>
                </pic:pic>
              </a:graphicData>
            </a:graphic>
          </wp:inline>
        </w:drawing>
      </w:r>
    </w:p>
    <w:p w:rsidR="00D23207" w:rsidRDefault="00493C98">
      <w:pPr>
        <w:keepNext/>
        <w:spacing w:after="0" w:line="240" w:lineRule="auto"/>
        <w:jc w:val="both"/>
        <w:rPr>
          <w:rFonts w:ascii="Times New Roman" w:eastAsia="Calibri" w:hAnsi="Times New Roman" w:cs="Times New Roman"/>
          <w:i/>
          <w:color w:val="000000" w:themeColor="text1"/>
          <w:sz w:val="20"/>
          <w:szCs w:val="20"/>
        </w:rPr>
      </w:pPr>
      <w:r>
        <w:rPr>
          <w:rFonts w:ascii="Times New Roman" w:hAnsi="Times New Roman"/>
          <w:i/>
          <w:iCs/>
          <w:color w:val="000000" w:themeColor="text1"/>
          <w:sz w:val="20"/>
          <w:szCs w:val="20"/>
        </w:rPr>
        <w:t>(*) Pour ce chiffre, les honoraires légaux n’incluent pas les dépens et la TVA, le cas échéant. Les frais juridiques hypothétiques pour la phase contentieuse prévue dans le scénario s’élèvent à 1 650 EUR. Un recouvrement total dans les systèmes n’appliquan</w:t>
      </w:r>
      <w:r>
        <w:rPr>
          <w:rFonts w:ascii="Times New Roman" w:hAnsi="Times New Roman"/>
          <w:i/>
          <w:iCs/>
          <w:color w:val="000000" w:themeColor="text1"/>
          <w:sz w:val="20"/>
          <w:szCs w:val="20"/>
        </w:rPr>
        <w:t>t pas d’honoraires légaux signifie que ce montant (1 650 EUR) peut être recouvré. Les États membres appliquant un recouvrement partiel (PL, LV, LU) sont triés par ordre de frais juridiques recouvrables (du plus élevé au plus bas, les montants varient entre</w:t>
      </w:r>
      <w:r>
        <w:rPr>
          <w:rFonts w:ascii="Times New Roman" w:hAnsi="Times New Roman"/>
          <w:i/>
          <w:iCs/>
          <w:color w:val="000000" w:themeColor="text1"/>
          <w:sz w:val="20"/>
          <w:szCs w:val="20"/>
        </w:rPr>
        <w:t xml:space="preserve"> 1 275 EUR et 500 EUR). Ce chiffre n’inclut pas les informations sur le recouvrement des frais juridiques pour la phase précontentieuse, qui n’est pas envisagé dans tous les États membres. </w:t>
      </w:r>
      <w:r>
        <w:rPr>
          <w:rFonts w:ascii="Times New Roman" w:hAnsi="Times New Roman"/>
          <w:b/>
          <w:i/>
          <w:iCs/>
          <w:color w:val="000000" w:themeColor="text1"/>
          <w:sz w:val="20"/>
          <w:szCs w:val="20"/>
        </w:rPr>
        <w:t>AT</w:t>
      </w:r>
      <w:r>
        <w:rPr>
          <w:rFonts w:ascii="Times New Roman" w:hAnsi="Times New Roman"/>
          <w:i/>
          <w:iCs/>
          <w:color w:val="000000" w:themeColor="text1"/>
          <w:sz w:val="20"/>
          <w:szCs w:val="20"/>
        </w:rPr>
        <w:t xml:space="preserve">: scénario pas totalement applicable au système de remboursement </w:t>
      </w:r>
      <w:r>
        <w:rPr>
          <w:rFonts w:ascii="Times New Roman" w:hAnsi="Times New Roman"/>
          <w:i/>
          <w:iCs/>
          <w:color w:val="000000" w:themeColor="text1"/>
          <w:sz w:val="20"/>
          <w:szCs w:val="20"/>
        </w:rPr>
        <w:t xml:space="preserve">autrichien. </w:t>
      </w:r>
      <w:r>
        <w:rPr>
          <w:rFonts w:ascii="Times New Roman" w:hAnsi="Times New Roman"/>
          <w:b/>
          <w:i/>
          <w:iCs/>
          <w:color w:val="000000" w:themeColor="text1"/>
          <w:sz w:val="20"/>
          <w:szCs w:val="20"/>
        </w:rPr>
        <w:t>MT</w:t>
      </w:r>
      <w:r>
        <w:rPr>
          <w:rFonts w:ascii="Times New Roman" w:hAnsi="Times New Roman"/>
          <w:i/>
          <w:iCs/>
          <w:color w:val="000000" w:themeColor="text1"/>
          <w:sz w:val="20"/>
          <w:szCs w:val="20"/>
        </w:rPr>
        <w:t xml:space="preserve">: le concept de frais juridiques horaires n’existe pas à MT. Le remboursement est déterminé sur la base de la valeur du litige. </w:t>
      </w:r>
      <w:r>
        <w:rPr>
          <w:rFonts w:ascii="Times New Roman" w:hAnsi="Times New Roman"/>
          <w:b/>
          <w:i/>
          <w:iCs/>
          <w:color w:val="000000" w:themeColor="text1"/>
          <w:sz w:val="20"/>
          <w:szCs w:val="20"/>
        </w:rPr>
        <w:t>IT</w:t>
      </w:r>
      <w:r>
        <w:rPr>
          <w:rFonts w:ascii="Times New Roman" w:hAnsi="Times New Roman"/>
          <w:i/>
          <w:iCs/>
          <w:color w:val="000000" w:themeColor="text1"/>
          <w:sz w:val="20"/>
          <w:szCs w:val="20"/>
        </w:rPr>
        <w:t>: des honoraires légaux existent en IT (3 235 EUR dans ce scénario), mais le tribunal peut accorder le rembourse</w:t>
      </w:r>
      <w:r>
        <w:rPr>
          <w:rFonts w:ascii="Times New Roman" w:hAnsi="Times New Roman"/>
          <w:i/>
          <w:iCs/>
          <w:color w:val="000000" w:themeColor="text1"/>
          <w:sz w:val="20"/>
          <w:szCs w:val="20"/>
        </w:rPr>
        <w:t xml:space="preserve">ment dans une fourchette préétablie. </w:t>
      </w:r>
      <w:r>
        <w:rPr>
          <w:rFonts w:ascii="Times New Roman" w:hAnsi="Times New Roman"/>
          <w:b/>
          <w:i/>
          <w:iCs/>
          <w:color w:val="000000" w:themeColor="text1"/>
          <w:sz w:val="20"/>
          <w:szCs w:val="20"/>
        </w:rPr>
        <w:t>LT</w:t>
      </w:r>
      <w:r>
        <w:rPr>
          <w:rFonts w:ascii="Times New Roman" w:hAnsi="Times New Roman"/>
          <w:i/>
          <w:iCs/>
          <w:color w:val="000000" w:themeColor="text1"/>
          <w:sz w:val="20"/>
          <w:szCs w:val="20"/>
        </w:rPr>
        <w:t xml:space="preserve">: le tribunal statuant en tenant compte des orientations du ministère de la justice, le montant maximal dans le scénario serait de 3 350 EUR. </w:t>
      </w:r>
    </w:p>
    <w:p w:rsidR="00D23207" w:rsidRDefault="00493C98">
      <w:pPr>
        <w:keepNext/>
        <w:spacing w:after="0" w:line="240" w:lineRule="auto"/>
        <w:jc w:val="both"/>
        <w:rPr>
          <w:rFonts w:ascii="Times New Roman" w:eastAsia="Calibri" w:hAnsi="Times New Roman" w:cs="Times New Roman"/>
          <w:i/>
          <w:color w:val="000000" w:themeColor="text1"/>
          <w:sz w:val="20"/>
          <w:szCs w:val="20"/>
        </w:rPr>
      </w:pPr>
      <w:r>
        <w:rPr>
          <w:rFonts w:ascii="Times New Roman" w:hAnsi="Times New Roman"/>
          <w:i/>
          <w:iCs/>
          <w:color w:val="000000" w:themeColor="text1"/>
          <w:sz w:val="20"/>
          <w:szCs w:val="20"/>
        </w:rPr>
        <w:t xml:space="preserve"> </w:t>
      </w:r>
    </w:p>
    <w:p w:rsidR="00D23207" w:rsidRDefault="00493C98">
      <w:pPr>
        <w:spacing w:before="240" w:after="120" w:line="240" w:lineRule="auto"/>
        <w:jc w:val="both"/>
        <w:rPr>
          <w:rFonts w:ascii="Times New Roman" w:eastAsia="Calibri" w:hAnsi="Times New Roman" w:cs="Times New Roman"/>
          <w:i/>
        </w:rPr>
      </w:pPr>
      <w:r>
        <w:rPr>
          <w:rFonts w:ascii="Times New Roman" w:hAnsi="Times New Roman"/>
          <w:i/>
        </w:rPr>
        <w:t>–</w:t>
      </w:r>
      <w:r>
        <w:rPr>
          <w:rFonts w:ascii="Times New Roman" w:hAnsi="Times New Roman"/>
          <w:i/>
          <w:sz w:val="24"/>
        </w:rPr>
        <w:t xml:space="preserve"> Dépôt et suivi d’une requête en ligne </w:t>
      </w:r>
      <w:bookmarkEnd w:id="351"/>
      <w:bookmarkEnd w:id="352"/>
      <w:bookmarkEnd w:id="353"/>
      <w:bookmarkEnd w:id="354"/>
      <w:r>
        <w:rPr>
          <w:rFonts w:ascii="Times New Roman" w:hAnsi="Times New Roman"/>
          <w:i/>
        </w:rPr>
        <w:t>–</w:t>
      </w:r>
    </w:p>
    <w:p w:rsidR="00D23207" w:rsidRDefault="00493C98">
      <w:pPr>
        <w:spacing w:after="0" w:line="240" w:lineRule="auto"/>
        <w:jc w:val="both"/>
        <w:rPr>
          <w:rFonts w:ascii="Times New Roman" w:hAnsi="Times New Roman" w:cs="Times New Roman"/>
          <w:sz w:val="24"/>
        </w:rPr>
      </w:pPr>
      <w:r>
        <w:rPr>
          <w:rFonts w:ascii="Times New Roman" w:hAnsi="Times New Roman"/>
          <w:sz w:val="24"/>
        </w:rPr>
        <w:t>La possibilité d’accomplir cer</w:t>
      </w:r>
      <w:r>
        <w:rPr>
          <w:rFonts w:ascii="Times New Roman" w:hAnsi="Times New Roman"/>
          <w:sz w:val="24"/>
        </w:rPr>
        <w:t>taines étapes de la procédure judiciaire par des moyens électroniques est un aspect important de la qualité des systèmes judiciaires, car le dépôt électronique des requêtes ainsi que la possibilité de suivre et de faire progresser une procédure en ligne pe</w:t>
      </w:r>
      <w:r>
        <w:rPr>
          <w:rFonts w:ascii="Times New Roman" w:hAnsi="Times New Roman"/>
          <w:sz w:val="24"/>
        </w:rPr>
        <w:t>uvent faciliter l’accès à la justice tout en réduisant les retards et les coûts. Les systèmes TIC dans les tribunaux jouent aussi un rôle croissant dans la coopération transfrontière entre les autorités judiciaires et facilitent la mise en œuvre de la légi</w:t>
      </w:r>
      <w:r>
        <w:rPr>
          <w:rFonts w:ascii="Times New Roman" w:hAnsi="Times New Roman"/>
          <w:sz w:val="24"/>
        </w:rPr>
        <w:t xml:space="preserve">slation de l’UE, par exemple pour les procédures de règlement des petits litiges. </w:t>
      </w:r>
      <w:bookmarkStart w:id="355" w:name="_Ref441218509"/>
      <w:bookmarkStart w:id="356" w:name="_Ref442360381"/>
    </w:p>
    <w:p w:rsidR="00D23207" w:rsidRDefault="00493C98">
      <w:pPr>
        <w:spacing w:line="240" w:lineRule="auto"/>
        <w:jc w:val="both"/>
        <w:rPr>
          <w:rFonts w:ascii="Times New Roman" w:eastAsia="Calibri" w:hAnsi="Times New Roman" w:cs="Times New Roman"/>
          <w:b/>
          <w:bCs/>
          <w:sz w:val="24"/>
          <w:szCs w:val="24"/>
        </w:rPr>
      </w:pPr>
      <w:r>
        <w:br w:type="page"/>
      </w:r>
    </w:p>
    <w:p w:rsidR="00D23207" w:rsidRDefault="00493C98">
      <w:pPr>
        <w:spacing w:before="240" w:after="12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27</w:t>
      </w:r>
      <w:r>
        <w:fldChar w:fldCharType="end"/>
      </w:r>
      <w:bookmarkEnd w:id="355"/>
      <w:bookmarkEnd w:id="356"/>
      <w:r>
        <w:rPr>
          <w:rFonts w:ascii="Times New Roman" w:hAnsi="Times New Roman"/>
          <w:b/>
          <w:bCs/>
          <w:sz w:val="24"/>
          <w:szCs w:val="24"/>
        </w:rPr>
        <w:t>: disponibilité de solutions électroniques, 2018 </w:t>
      </w:r>
      <w:r>
        <w:rPr>
          <w:rFonts w:ascii="Times New Roman" w:hAnsi="Times New Roman"/>
          <w:sz w:val="24"/>
          <w:szCs w:val="24"/>
        </w:rPr>
        <w:t>(</w:t>
      </w:r>
      <w:r>
        <w:rPr>
          <w:sz w:val="24"/>
          <w:szCs w:val="24"/>
        </w:rPr>
        <w:t>*</w:t>
      </w:r>
      <w:r>
        <w:rPr>
          <w:i/>
          <w:iCs/>
          <w:sz w:val="24"/>
          <w:szCs w:val="24"/>
        </w:rPr>
        <w:t>)</w:t>
      </w:r>
      <w:r>
        <w:rPr>
          <w:rFonts w:ascii="Times New Roman" w:hAnsi="Times New Roman"/>
          <w:b/>
          <w:bCs/>
          <w:sz w:val="24"/>
          <w:szCs w:val="24"/>
        </w:rPr>
        <w:t xml:space="preserve"> </w:t>
      </w:r>
      <w:r>
        <w:rPr>
          <w:rFonts w:ascii="Times New Roman" w:hAnsi="Times New Roman"/>
          <w:i/>
          <w:iCs/>
          <w:sz w:val="24"/>
          <w:szCs w:val="24"/>
        </w:rPr>
        <w:t>[0 = existe dans 0 % des juridictions; 4 = existe dans 100 % des juridictions (</w:t>
      </w:r>
      <w:r>
        <w:rPr>
          <w:rFonts w:ascii="Times New Roman" w:eastAsia="Calibri" w:hAnsi="Times New Roman" w:cs="Times New Roman"/>
          <w:i/>
          <w:iCs/>
          <w:sz w:val="24"/>
          <w:szCs w:val="24"/>
          <w:vertAlign w:val="superscript"/>
        </w:rPr>
        <w:footnoteReference w:id="62"/>
      </w:r>
      <w:r>
        <w:rPr>
          <w:rFonts w:ascii="Times New Roman" w:hAnsi="Times New Roman"/>
          <w:i/>
          <w:iCs/>
          <w:sz w:val="24"/>
          <w:szCs w:val="24"/>
        </w:rPr>
        <w:t>)] (source: étude de la CEPEJ)</w:t>
      </w:r>
    </w:p>
    <w:p w:rsidR="00D23207" w:rsidRDefault="00493C98">
      <w:pPr>
        <w:spacing w:after="0" w:line="240" w:lineRule="auto"/>
        <w:contextualSpacing/>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133170"/>
            <wp:effectExtent l="0" t="0" r="4445" b="635"/>
            <wp:docPr id="97281" name="Picture 9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77255" cy="2133170"/>
                    </a:xfrm>
                    <a:prstGeom prst="rect">
                      <a:avLst/>
                    </a:prstGeom>
                    <a:noFill/>
                    <a:ln>
                      <a:noFill/>
                    </a:ln>
                  </pic:spPr>
                </pic:pic>
              </a:graphicData>
            </a:graphic>
          </wp:inline>
        </w:drawing>
      </w:r>
    </w:p>
    <w:p w:rsidR="00D23207" w:rsidRDefault="00493C98">
      <w:pPr>
        <w:spacing w:after="0" w:line="240" w:lineRule="auto"/>
        <w:contextualSpacing/>
        <w:jc w:val="both"/>
        <w:rPr>
          <w:rFonts w:ascii="Times New Roman" w:eastAsia="Calibri" w:hAnsi="Times New Roman" w:cs="Times New Roman"/>
          <w:i/>
          <w:sz w:val="20"/>
          <w:szCs w:val="20"/>
          <w:highlight w:val="yellow"/>
        </w:rPr>
      </w:pPr>
      <w:r>
        <w:rPr>
          <w:rFonts w:ascii="Times New Roman" w:hAnsi="Times New Roman"/>
          <w:i/>
          <w:sz w:val="20"/>
        </w:rPr>
        <w:t>(*) Nouvelle méthodologie, les données ne sont pas comparables avec les années précédentes.</w:t>
      </w:r>
      <w:r>
        <w:rPr>
          <w:rFonts w:ascii="Times New Roman" w:hAnsi="Times New Roman"/>
          <w:i/>
          <w:sz w:val="20"/>
          <w:szCs w:val="20"/>
        </w:rPr>
        <w:t xml:space="preserve"> </w:t>
      </w:r>
      <w:r>
        <w:rPr>
          <w:rFonts w:ascii="Times New Roman" w:hAnsi="Times New Roman"/>
          <w:b/>
          <w:bCs/>
          <w:i/>
          <w:sz w:val="20"/>
          <w:szCs w:val="20"/>
        </w:rPr>
        <w:t>DK</w:t>
      </w:r>
      <w:r>
        <w:rPr>
          <w:rFonts w:ascii="Times New Roman" w:hAnsi="Times New Roman"/>
          <w:i/>
          <w:sz w:val="20"/>
          <w:szCs w:val="20"/>
        </w:rPr>
        <w:t xml:space="preserve"> et </w:t>
      </w:r>
      <w:r>
        <w:rPr>
          <w:rFonts w:ascii="Times New Roman" w:hAnsi="Times New Roman"/>
          <w:b/>
          <w:bCs/>
          <w:i/>
          <w:sz w:val="20"/>
          <w:szCs w:val="20"/>
        </w:rPr>
        <w:t>RO</w:t>
      </w:r>
      <w:r>
        <w:rPr>
          <w:rFonts w:ascii="Times New Roman" w:hAnsi="Times New Roman"/>
          <w:i/>
          <w:sz w:val="20"/>
          <w:szCs w:val="20"/>
        </w:rPr>
        <w:t xml:space="preserve">: une affaire peut être portée en justice par courrier électronique. </w:t>
      </w:r>
    </w:p>
    <w:p w:rsidR="00D23207" w:rsidRDefault="00493C98">
      <w:pPr>
        <w:spacing w:before="240" w:after="120" w:line="240" w:lineRule="auto"/>
        <w:jc w:val="both"/>
        <w:rPr>
          <w:rFonts w:ascii="Times New Roman" w:eastAsia="Calibri" w:hAnsi="Times New Roman" w:cs="Helvetica Neue"/>
          <w:i/>
          <w:color w:val="000000"/>
          <w:sz w:val="24"/>
          <w:szCs w:val="24"/>
        </w:rPr>
      </w:pPr>
      <w:r>
        <w:rPr>
          <w:rFonts w:ascii="Times New Roman" w:hAnsi="Times New Roman"/>
          <w:i/>
          <w:sz w:val="24"/>
          <w:szCs w:val="24"/>
        </w:rPr>
        <w:t>–</w:t>
      </w:r>
      <w:r>
        <w:rPr>
          <w:rFonts w:ascii="Times New Roman" w:hAnsi="Times New Roman"/>
          <w:i/>
          <w:color w:val="000000"/>
          <w:sz w:val="24"/>
          <w:szCs w:val="24"/>
        </w:rPr>
        <w:t xml:space="preserve"> Accès aux décisions judiciaires </w:t>
      </w:r>
      <w:r>
        <w:rPr>
          <w:rFonts w:ascii="Times New Roman" w:hAnsi="Times New Roman"/>
          <w:i/>
          <w:sz w:val="24"/>
          <w:szCs w:val="24"/>
        </w:rPr>
        <w:t>–</w:t>
      </w:r>
    </w:p>
    <w:p w:rsidR="00D23207" w:rsidRDefault="00493C98">
      <w:pPr>
        <w:spacing w:after="120" w:line="240" w:lineRule="auto"/>
        <w:jc w:val="both"/>
        <w:rPr>
          <w:rFonts w:ascii="Times New Roman" w:eastAsia="Calibri" w:hAnsi="Times New Roman" w:cs="Helvetica Neue"/>
          <w:color w:val="000000"/>
          <w:sz w:val="24"/>
          <w:szCs w:val="24"/>
        </w:rPr>
      </w:pPr>
      <w:r>
        <w:rPr>
          <w:rFonts w:ascii="Times New Roman" w:hAnsi="Times New Roman"/>
          <w:color w:val="000000"/>
          <w:sz w:val="24"/>
          <w:szCs w:val="24"/>
        </w:rPr>
        <w:t xml:space="preserve">L’accès en ligne </w:t>
      </w:r>
      <w:r>
        <w:rPr>
          <w:rFonts w:ascii="Times New Roman" w:hAnsi="Times New Roman"/>
          <w:color w:val="000000"/>
          <w:sz w:val="24"/>
          <w:szCs w:val="24"/>
        </w:rPr>
        <w:t>aux décisions judiciaires renforce la transparence des systèmes judiciaires, aide les citoyens et les entreprises à comprendre leurs droits et peut contribuer à la cohérence de la jurisprudence. Les pratiques en matière de publication en ligne des décision</w:t>
      </w:r>
      <w:r>
        <w:rPr>
          <w:rFonts w:ascii="Times New Roman" w:hAnsi="Times New Roman"/>
          <w:color w:val="000000"/>
          <w:sz w:val="24"/>
          <w:szCs w:val="24"/>
        </w:rPr>
        <w:t>s judiciaires sont essentielles pour créer des fonctions de recherche conviviales (</w:t>
      </w:r>
      <w:r>
        <w:rPr>
          <w:rStyle w:val="FootnoteReference"/>
          <w:rFonts w:ascii="Times New Roman" w:eastAsia="Calibri" w:hAnsi="Times New Roman" w:cs="Helvetica Neue"/>
          <w:color w:val="000000"/>
          <w:sz w:val="24"/>
          <w:szCs w:val="24"/>
        </w:rPr>
        <w:footnoteReference w:id="63"/>
      </w:r>
      <w:r>
        <w:rPr>
          <w:rFonts w:ascii="Times New Roman" w:hAnsi="Times New Roman"/>
          <w:color w:val="000000"/>
          <w:sz w:val="24"/>
          <w:szCs w:val="24"/>
        </w:rPr>
        <w:t>), qui rendent la jurisprudence plus accessible aux praticiens du droit et au grand public. L’accès fluide et la réutilisation aisée de la jurisprudence permettent d’utilis</w:t>
      </w:r>
      <w:r>
        <w:rPr>
          <w:rFonts w:ascii="Times New Roman" w:hAnsi="Times New Roman"/>
          <w:color w:val="000000"/>
          <w:sz w:val="24"/>
          <w:szCs w:val="24"/>
        </w:rPr>
        <w:t xml:space="preserve">er des applications techniques juridiques innovantes pour aider les professionnels. </w:t>
      </w:r>
    </w:p>
    <w:p w:rsidR="00D23207" w:rsidRDefault="00493C98">
      <w:pPr>
        <w:spacing w:after="120" w:line="240" w:lineRule="auto"/>
        <w:jc w:val="both"/>
        <w:rPr>
          <w:rFonts w:ascii="Times New Roman" w:eastAsia="Calibri" w:hAnsi="Times New Roman" w:cs="Helvetica Neue"/>
          <w:color w:val="000000"/>
          <w:sz w:val="24"/>
          <w:szCs w:val="24"/>
        </w:rPr>
      </w:pPr>
      <w:r>
        <w:rPr>
          <w:rFonts w:ascii="Times New Roman" w:hAnsi="Times New Roman"/>
          <w:color w:val="000000"/>
          <w:sz w:val="24"/>
          <w:szCs w:val="24"/>
        </w:rPr>
        <w:t xml:space="preserve">La publication en ligne des décisions de justice nécessite de concilier des intérêts divers, dans les limites tracées par les cadres juridique et politique. Le règlement </w:t>
      </w:r>
      <w:r>
        <w:rPr>
          <w:rFonts w:ascii="Times New Roman" w:hAnsi="Times New Roman"/>
          <w:color w:val="000000"/>
          <w:sz w:val="24"/>
          <w:szCs w:val="24"/>
        </w:rPr>
        <w:t>général sur la protection des données (</w:t>
      </w:r>
      <w:r>
        <w:rPr>
          <w:rStyle w:val="FootnoteReference"/>
          <w:rFonts w:ascii="Times New Roman" w:eastAsia="Calibri" w:hAnsi="Times New Roman" w:cs="Helvetica Neue"/>
          <w:color w:val="000000"/>
          <w:sz w:val="24"/>
          <w:szCs w:val="24"/>
        </w:rPr>
        <w:footnoteReference w:id="64"/>
      </w:r>
      <w:r>
        <w:rPr>
          <w:rFonts w:ascii="Times New Roman" w:hAnsi="Times New Roman"/>
          <w:color w:val="000000"/>
          <w:sz w:val="24"/>
          <w:szCs w:val="24"/>
        </w:rPr>
        <w:t>) s’applique pleinement au traitement des données à caractère personnel par les tribunaux. Un juste équilibre doit être trouvé entre le droit à la protection des données et le droit à la publicité des décisions de ju</w:t>
      </w:r>
      <w:r>
        <w:rPr>
          <w:rFonts w:ascii="Times New Roman" w:hAnsi="Times New Roman"/>
          <w:color w:val="000000"/>
          <w:sz w:val="24"/>
          <w:szCs w:val="24"/>
        </w:rPr>
        <w:t>stice et à la transparence du système judiciaire au moment de déterminer les données qui doivent être rendues publiques. C’est notamment le cas lorsqu’un intérêt public prépondérant justifie la divulgation de ces données. Dans de nombreux pays, la loi ou l</w:t>
      </w:r>
      <w:r>
        <w:rPr>
          <w:rFonts w:ascii="Times New Roman" w:hAnsi="Times New Roman"/>
          <w:color w:val="000000"/>
          <w:sz w:val="24"/>
          <w:szCs w:val="24"/>
        </w:rPr>
        <w:t>a pratique exige l’anonymisation ou la pseudonymisation (</w:t>
      </w:r>
      <w:r>
        <w:rPr>
          <w:rStyle w:val="FootnoteReference"/>
          <w:rFonts w:ascii="Times New Roman" w:eastAsia="Calibri" w:hAnsi="Times New Roman" w:cs="Helvetica Neue"/>
          <w:color w:val="000000"/>
          <w:sz w:val="24"/>
          <w:szCs w:val="24"/>
        </w:rPr>
        <w:footnoteReference w:id="65"/>
      </w:r>
      <w:r>
        <w:rPr>
          <w:rFonts w:ascii="Times New Roman" w:hAnsi="Times New Roman"/>
          <w:color w:val="000000"/>
          <w:sz w:val="24"/>
          <w:szCs w:val="24"/>
        </w:rPr>
        <w:t>) des décisions judiciaires avant leur publication, soit de manière systématique, soit sur demande. Les données produites par le système de justice sont également régies par la législation européenn</w:t>
      </w:r>
      <w:r>
        <w:rPr>
          <w:rFonts w:ascii="Times New Roman" w:hAnsi="Times New Roman"/>
          <w:color w:val="000000"/>
          <w:sz w:val="24"/>
          <w:szCs w:val="24"/>
        </w:rPr>
        <w:t>e sur les données ouvertes et la réutilisation des informations du secteur public (</w:t>
      </w:r>
      <w:r>
        <w:rPr>
          <w:rStyle w:val="FootnoteReference"/>
          <w:rFonts w:ascii="Times New Roman" w:eastAsia="Calibri" w:hAnsi="Times New Roman" w:cs="Helvetica Neue"/>
          <w:color w:val="000000"/>
          <w:sz w:val="24"/>
          <w:szCs w:val="24"/>
        </w:rPr>
        <w:footnoteReference w:id="66"/>
      </w:r>
      <w:r>
        <w:rPr>
          <w:rFonts w:ascii="Times New Roman" w:hAnsi="Times New Roman"/>
          <w:color w:val="000000"/>
          <w:sz w:val="24"/>
          <w:szCs w:val="24"/>
        </w:rPr>
        <w:t>).</w:t>
      </w:r>
    </w:p>
    <w:p w:rsidR="00D23207" w:rsidRDefault="00493C98">
      <w:pPr>
        <w:spacing w:after="120" w:line="240" w:lineRule="auto"/>
        <w:jc w:val="both"/>
        <w:rPr>
          <w:rFonts w:ascii="Times New Roman" w:eastAsia="Calibri" w:hAnsi="Times New Roman" w:cs="Helvetica Neue"/>
          <w:color w:val="000000"/>
          <w:sz w:val="24"/>
          <w:szCs w:val="24"/>
        </w:rPr>
      </w:pPr>
      <w:r>
        <w:rPr>
          <w:rFonts w:ascii="Times New Roman" w:hAnsi="Times New Roman"/>
          <w:color w:val="000000"/>
          <w:sz w:val="24"/>
          <w:szCs w:val="24"/>
        </w:rPr>
        <w:t>La disponibilité des décisions judiciaires dans un format lisible par machine (</w:t>
      </w:r>
      <w:r>
        <w:rPr>
          <w:rStyle w:val="FootnoteReference"/>
          <w:rFonts w:ascii="Times New Roman" w:eastAsia="Calibri" w:hAnsi="Times New Roman" w:cs="Helvetica Neue"/>
          <w:color w:val="000000"/>
          <w:sz w:val="24"/>
          <w:szCs w:val="24"/>
        </w:rPr>
        <w:footnoteReference w:id="67"/>
      </w:r>
      <w:r>
        <w:rPr>
          <w:rFonts w:ascii="Times New Roman" w:hAnsi="Times New Roman"/>
          <w:color w:val="000000"/>
          <w:sz w:val="24"/>
          <w:szCs w:val="24"/>
        </w:rPr>
        <w:t>) facilite la mise en place d’un système de justice compatible avec les algorithmes (</w:t>
      </w:r>
      <w:r>
        <w:rPr>
          <w:rStyle w:val="FootnoteReference"/>
          <w:rFonts w:ascii="Times New Roman" w:eastAsia="Calibri" w:hAnsi="Times New Roman" w:cs="Helvetica Neue"/>
          <w:color w:val="000000"/>
          <w:sz w:val="24"/>
          <w:szCs w:val="24"/>
        </w:rPr>
        <w:footnoteReference w:id="68"/>
      </w:r>
      <w:r>
        <w:rPr>
          <w:rFonts w:ascii="Times New Roman" w:hAnsi="Times New Roman"/>
          <w:color w:val="000000"/>
          <w:sz w:val="24"/>
          <w:szCs w:val="24"/>
        </w:rPr>
        <w:t>).</w:t>
      </w:r>
    </w:p>
    <w:p w:rsidR="00D23207" w:rsidRDefault="00493C98">
      <w:pPr>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28</w:t>
      </w:r>
      <w:r>
        <w:fldChar w:fldCharType="end"/>
      </w:r>
      <w:r>
        <w:rPr>
          <w:rFonts w:ascii="Times New Roman" w:hAnsi="Times New Roman"/>
          <w:b/>
          <w:bCs/>
        </w:rPr>
        <w:t>:</w:t>
      </w:r>
      <w:r>
        <w:rPr>
          <w:rFonts w:ascii="Times New Roman" w:hAnsi="Times New Roman"/>
          <w:b/>
          <w:bCs/>
          <w:sz w:val="24"/>
          <w:szCs w:val="24"/>
        </w:rPr>
        <w:t xml:space="preserve"> accès en ligne, par le grand public, à des décisions judiciaires publiées, 2019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(affaires civiles/commerciales, administratives et pénales, à tous degrés d’instance) [source: Commission européenne (</w:t>
      </w:r>
      <w:r>
        <w:rPr>
          <w:rFonts w:ascii="Times New Roman" w:eastAsia="Calibri" w:hAnsi="Times New Roman" w:cs="Times New Roman"/>
          <w:i/>
          <w:iCs/>
          <w:sz w:val="24"/>
          <w:szCs w:val="24"/>
          <w:vertAlign w:val="superscript"/>
        </w:rPr>
        <w:footnoteReference w:id="69"/>
      </w:r>
      <w:r>
        <w:rPr>
          <w:rFonts w:ascii="Times New Roman" w:hAnsi="Times New Roman"/>
          <w:i/>
          <w:iCs/>
          <w:sz w:val="24"/>
          <w:szCs w:val="24"/>
        </w:rPr>
        <w:t>)]</w:t>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5977255" cy="3045902"/>
            <wp:effectExtent l="0" t="0" r="4445" b="2540"/>
            <wp:docPr id="97283" name="Picture 9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7255" cy="3045902"/>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highlight w:val="yellow"/>
        </w:rPr>
      </w:pPr>
      <w:r>
        <w:rPr>
          <w:rFonts w:ascii="Times New Roman" w:hAnsi="Times New Roman"/>
          <w:i/>
          <w:sz w:val="20"/>
        </w:rPr>
        <w:t>(*) Maximum possible: 9 points. Pour chaque degré d’instance, un point a été attribué si toutes les décisions judiciaires sont disponibles pour les affaires civiles/commerciales, administratives et pénales, respectivement et 0,5 point lorsque seules certai</w:t>
      </w:r>
      <w:r>
        <w:rPr>
          <w:rFonts w:ascii="Times New Roman" w:hAnsi="Times New Roman"/>
          <w:i/>
          <w:sz w:val="20"/>
        </w:rPr>
        <w:t>nes décisions sont disponibles. Lorsqu’un État membre ne dispose que de deux degrés d’instance, des points ont été attribués pour trois instances en reproduisant la juridiction la plus élevée du degré inexistant. Pour les États membres qui ne différencient</w:t>
      </w:r>
      <w:r>
        <w:rPr>
          <w:rFonts w:ascii="Times New Roman" w:hAnsi="Times New Roman"/>
          <w:i/>
          <w:sz w:val="20"/>
        </w:rPr>
        <w:t xml:space="preserve"> pas ces deux domaines du droit (civil/commercial et administratif), le même nombre de points a été attribué pour les deux domaines. </w:t>
      </w:r>
      <w:r>
        <w:rPr>
          <w:rFonts w:ascii="Times New Roman" w:hAnsi="Times New Roman"/>
          <w:b/>
          <w:i/>
          <w:sz w:val="20"/>
        </w:rPr>
        <w:t>BE</w:t>
      </w:r>
      <w:r>
        <w:rPr>
          <w:rFonts w:ascii="Times New Roman" w:hAnsi="Times New Roman"/>
          <w:i/>
          <w:sz w:val="20"/>
        </w:rPr>
        <w:t xml:space="preserve">: pour les affaires civiles et pénales, chaque juridiction est chargée de prendre une décision sur la publication de ses </w:t>
      </w:r>
      <w:r>
        <w:rPr>
          <w:rFonts w:ascii="Times New Roman" w:hAnsi="Times New Roman"/>
          <w:i/>
          <w:sz w:val="20"/>
        </w:rPr>
        <w:t xml:space="preserve">décisions. </w:t>
      </w:r>
      <w:r>
        <w:rPr>
          <w:rFonts w:ascii="Times New Roman" w:hAnsi="Times New Roman"/>
          <w:b/>
          <w:i/>
          <w:sz w:val="20"/>
        </w:rPr>
        <w:t>BG:</w:t>
      </w:r>
      <w:r>
        <w:rPr>
          <w:rFonts w:ascii="Times New Roman" w:hAnsi="Times New Roman"/>
          <w:i/>
          <w:sz w:val="20"/>
        </w:rPr>
        <w:t xml:space="preserve"> les décisions de la Cour de cassation en matière pénale sont toutes publiées, à l’exception de celles qui contiennent des informations classifiées. </w:t>
      </w:r>
      <w:r>
        <w:rPr>
          <w:rFonts w:ascii="Times New Roman" w:hAnsi="Times New Roman"/>
          <w:b/>
          <w:i/>
          <w:sz w:val="20"/>
        </w:rPr>
        <w:t>DE:</w:t>
      </w:r>
      <w:r>
        <w:rPr>
          <w:rFonts w:ascii="Times New Roman" w:hAnsi="Times New Roman"/>
          <w:i/>
          <w:sz w:val="20"/>
        </w:rPr>
        <w:t xml:space="preserve"> chaque Land décide de la publication en ligne des décisions rendues en première instance.</w:t>
      </w:r>
      <w:r>
        <w:rPr>
          <w:rFonts w:ascii="Times New Roman" w:hAnsi="Times New Roman"/>
          <w:i/>
          <w:sz w:val="20"/>
        </w:rPr>
        <w:t xml:space="preserve"> </w:t>
      </w:r>
      <w:r>
        <w:rPr>
          <w:rFonts w:ascii="Times New Roman" w:hAnsi="Times New Roman"/>
          <w:b/>
          <w:i/>
          <w:sz w:val="20"/>
        </w:rPr>
        <w:t>IE:</w:t>
      </w:r>
      <w:r>
        <w:rPr>
          <w:rFonts w:ascii="Times New Roman" w:hAnsi="Times New Roman"/>
          <w:i/>
          <w:sz w:val="20"/>
        </w:rPr>
        <w:t xml:space="preserve"> pour les affaires pénales, les affaires sommaires ne font généralement pas l’objet d’une décision écrite. </w:t>
      </w:r>
      <w:r>
        <w:rPr>
          <w:rFonts w:ascii="Times New Roman" w:hAnsi="Times New Roman"/>
          <w:b/>
          <w:i/>
          <w:sz w:val="20"/>
        </w:rPr>
        <w:t>CY:</w:t>
      </w:r>
      <w:r>
        <w:rPr>
          <w:rFonts w:ascii="Times New Roman" w:hAnsi="Times New Roman"/>
          <w:i/>
          <w:sz w:val="20"/>
        </w:rPr>
        <w:t xml:space="preserve"> pour les affaires administratives et pénales, les juges déterminent quelles sont les décisions qui doivent être publiées. </w:t>
      </w:r>
      <w:r>
        <w:rPr>
          <w:rFonts w:ascii="Times New Roman" w:hAnsi="Times New Roman"/>
          <w:b/>
          <w:bCs/>
          <w:i/>
          <w:sz w:val="20"/>
        </w:rPr>
        <w:t>LU</w:t>
      </w:r>
      <w:r>
        <w:rPr>
          <w:rFonts w:ascii="Times New Roman" w:hAnsi="Times New Roman"/>
          <w:i/>
          <w:sz w:val="20"/>
        </w:rPr>
        <w:t xml:space="preserve"> et </w:t>
      </w:r>
      <w:r>
        <w:rPr>
          <w:rFonts w:ascii="Times New Roman" w:hAnsi="Times New Roman"/>
          <w:b/>
          <w:bCs/>
          <w:i/>
          <w:sz w:val="20"/>
        </w:rPr>
        <w:t>SE</w:t>
      </w:r>
      <w:r>
        <w:rPr>
          <w:rFonts w:ascii="Times New Roman" w:hAnsi="Times New Roman"/>
          <w:i/>
          <w:sz w:val="20"/>
        </w:rPr>
        <w:t>: les jurid</w:t>
      </w:r>
      <w:r>
        <w:rPr>
          <w:rFonts w:ascii="Times New Roman" w:hAnsi="Times New Roman"/>
          <w:i/>
          <w:sz w:val="20"/>
        </w:rPr>
        <w:t xml:space="preserve">ictions ne publient pas régulièrement en ligne les décisions judiciaires (uniquement les affaires marquantes). </w:t>
      </w:r>
      <w:r>
        <w:rPr>
          <w:rFonts w:ascii="Times New Roman" w:hAnsi="Times New Roman"/>
          <w:b/>
          <w:i/>
          <w:sz w:val="20"/>
        </w:rPr>
        <w:t>AT:</w:t>
      </w:r>
      <w:r>
        <w:rPr>
          <w:rFonts w:ascii="Times New Roman" w:hAnsi="Times New Roman"/>
          <w:i/>
          <w:sz w:val="20"/>
        </w:rPr>
        <w:t xml:space="preserve"> en première et deuxième instances, les juges déterminent quelles sont les décisions qui doivent être publiées. </w:t>
      </w:r>
      <w:r>
        <w:rPr>
          <w:rFonts w:ascii="Times New Roman" w:hAnsi="Times New Roman"/>
          <w:b/>
          <w:i/>
          <w:sz w:val="20"/>
        </w:rPr>
        <w:t>NL:</w:t>
      </w:r>
      <w:r>
        <w:rPr>
          <w:rFonts w:ascii="Times New Roman" w:hAnsi="Times New Roman"/>
          <w:i/>
          <w:sz w:val="20"/>
        </w:rPr>
        <w:t xml:space="preserve"> les juridictions décident </w:t>
      </w:r>
      <w:r>
        <w:rPr>
          <w:rFonts w:ascii="Times New Roman" w:hAnsi="Times New Roman"/>
          <w:i/>
          <w:sz w:val="20"/>
        </w:rPr>
        <w:t xml:space="preserve">de la publication en fonction de critères publiés. </w:t>
      </w:r>
      <w:r>
        <w:rPr>
          <w:rFonts w:ascii="Times New Roman" w:hAnsi="Times New Roman"/>
          <w:b/>
          <w:i/>
          <w:sz w:val="20"/>
        </w:rPr>
        <w:t>PL:</w:t>
      </w:r>
      <w:r>
        <w:rPr>
          <w:rFonts w:ascii="Times New Roman" w:hAnsi="Times New Roman"/>
          <w:i/>
          <w:sz w:val="20"/>
        </w:rPr>
        <w:t xml:space="preserve"> pour les affaires administratives, le chef d’unité de chaque juridiction décide de la publication. </w:t>
      </w:r>
      <w:r>
        <w:rPr>
          <w:rFonts w:ascii="Times New Roman" w:hAnsi="Times New Roman"/>
          <w:b/>
          <w:i/>
          <w:sz w:val="20"/>
        </w:rPr>
        <w:t>PT:</w:t>
      </w:r>
      <w:r>
        <w:rPr>
          <w:rFonts w:ascii="Times New Roman" w:hAnsi="Times New Roman"/>
          <w:i/>
          <w:sz w:val="20"/>
        </w:rPr>
        <w:t xml:space="preserve"> pour les affaires civiles et pénales, une commission au sein de la juridiction décide de la public</w:t>
      </w:r>
      <w:r>
        <w:rPr>
          <w:rFonts w:ascii="Times New Roman" w:hAnsi="Times New Roman"/>
          <w:i/>
          <w:sz w:val="20"/>
        </w:rPr>
        <w:t xml:space="preserve">ation. </w:t>
      </w:r>
    </w:p>
    <w:p w:rsidR="00D23207" w:rsidRDefault="00D23207">
      <w:pPr>
        <w:spacing w:after="0" w:line="240" w:lineRule="auto"/>
        <w:jc w:val="both"/>
        <w:rPr>
          <w:rFonts w:ascii="Times New Roman" w:eastAsia="Calibri" w:hAnsi="Times New Roman" w:cs="Times New Roman"/>
          <w:i/>
          <w:sz w:val="20"/>
          <w:highlight w:val="yellow"/>
        </w:rPr>
      </w:pPr>
    </w:p>
    <w:p w:rsidR="00D23207" w:rsidRDefault="00493C98">
      <w:pPr>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29</w:t>
      </w:r>
      <w:r>
        <w:fldChar w:fldCharType="end"/>
      </w:r>
      <w:r>
        <w:rPr>
          <w:rFonts w:ascii="Times New Roman" w:hAnsi="Times New Roman"/>
          <w:b/>
          <w:bCs/>
        </w:rPr>
        <w:t>:</w:t>
      </w:r>
      <w:r>
        <w:rPr>
          <w:rFonts w:ascii="Times New Roman" w:hAnsi="Times New Roman"/>
          <w:b/>
          <w:bCs/>
          <w:sz w:val="24"/>
          <w:szCs w:val="24"/>
        </w:rPr>
        <w:t xml:space="preserve"> pratiques en matière de production de décisions de justice lisibles par machine, 2019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i/>
          <w:iCs/>
          <w:sz w:val="24"/>
          <w:szCs w:val="24"/>
        </w:rPr>
        <w:t xml:space="preserve"> (affaires civiles/commerciales, administratives et pénales, tous degrés d’instance) [source: Commission européenne (</w:t>
      </w:r>
      <w:r>
        <w:rPr>
          <w:rFonts w:ascii="Times New Roman" w:eastAsia="Calibri" w:hAnsi="Times New Roman" w:cs="Times New Roman"/>
          <w:i/>
          <w:iCs/>
          <w:sz w:val="24"/>
          <w:szCs w:val="24"/>
          <w:vertAlign w:val="superscript"/>
        </w:rPr>
        <w:footnoteReference w:id="70"/>
      </w:r>
      <w:r>
        <w:rPr>
          <w:rFonts w:ascii="Times New Roman" w:hAnsi="Times New Roman"/>
          <w:i/>
          <w:iCs/>
          <w:sz w:val="24"/>
          <w:szCs w:val="24"/>
        </w:rPr>
        <w:t>)]</w:t>
      </w:r>
    </w:p>
    <w:p w:rsidR="00D23207" w:rsidRDefault="00493C98">
      <w:pPr>
        <w:autoSpaceDE w:val="0"/>
        <w:autoSpaceDN w:val="0"/>
        <w:adjustRightInd w:val="0"/>
        <w:spacing w:after="0" w:line="240" w:lineRule="auto"/>
        <w:contextualSpacing/>
        <w:jc w:val="both"/>
        <w:rPr>
          <w:rFonts w:ascii="Times New Roman" w:eastAsia="Calibri" w:hAnsi="Times New Roman" w:cs="Helvetica Neue"/>
          <w:i/>
          <w:sz w:val="18"/>
          <w:szCs w:val="18"/>
        </w:rPr>
      </w:pPr>
      <w:r>
        <w:rPr>
          <w:rFonts w:ascii="Times New Roman" w:eastAsia="Calibri" w:hAnsi="Times New Roman" w:cs="Helvetica Neue"/>
          <w:i/>
          <w:sz w:val="18"/>
          <w:szCs w:val="18"/>
          <w:lang w:val="en-GB" w:eastAsia="en-GB"/>
        </w:rPr>
        <w:drawing>
          <wp:inline distT="0" distB="0" distL="0" distR="0">
            <wp:extent cx="5977255" cy="5083497"/>
            <wp:effectExtent l="0" t="0" r="4445" b="3175"/>
            <wp:docPr id="97284" name="Picture 9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77255" cy="5083497"/>
                    </a:xfrm>
                    <a:prstGeom prst="rect">
                      <a:avLst/>
                    </a:prstGeom>
                    <a:noFill/>
                    <a:ln>
                      <a:noFill/>
                    </a:ln>
                  </pic:spPr>
                </pic:pic>
              </a:graphicData>
            </a:graphic>
          </wp:inline>
        </w:drawing>
      </w:r>
    </w:p>
    <w:p w:rsidR="00D23207" w:rsidRDefault="00493C98">
      <w:pPr>
        <w:jc w:val="both"/>
        <w:rPr>
          <w:rFonts w:ascii="Times New Roman" w:eastAsia="Calibri" w:hAnsi="Times New Roman" w:cs="Times New Roman"/>
          <w:i/>
        </w:rPr>
      </w:pPr>
      <w:r>
        <w:rPr>
          <w:rFonts w:ascii="Times New Roman" w:hAnsi="Times New Roman"/>
          <w:i/>
          <w:sz w:val="18"/>
          <w:szCs w:val="18"/>
        </w:rPr>
        <w:t xml:space="preserve">(*) </w:t>
      </w:r>
      <w:r>
        <w:rPr>
          <w:rFonts w:ascii="Times New Roman" w:hAnsi="Times New Roman"/>
          <w:i/>
          <w:sz w:val="18"/>
        </w:rPr>
        <w:t>Maximum possible: 24 points par type d’affaires. Pour chacune des trois instances (première, deuxième, dernière), un point peut être attribué si toutes les décisions de justice sont couvertes. Si seules certaines décisions de justice sont couverte</w:t>
      </w:r>
      <w:r>
        <w:rPr>
          <w:rFonts w:ascii="Times New Roman" w:hAnsi="Times New Roman"/>
          <w:i/>
          <w:sz w:val="18"/>
        </w:rPr>
        <w:t>s à une instance donnée, seul un demi-point est attribué. Lorsqu’un État membre ne dispose que de deux degrés d’instance, des points ont été attribués pour trois instances en reproduisant l’instance la plus élevée du degré inexistant.</w:t>
      </w:r>
      <w:r>
        <w:rPr>
          <w:rFonts w:ascii="Times New Roman" w:hAnsi="Times New Roman"/>
          <w:sz w:val="20"/>
        </w:rPr>
        <w:t xml:space="preserve"> </w:t>
      </w:r>
      <w:r>
        <w:rPr>
          <w:rFonts w:ascii="Times New Roman" w:hAnsi="Times New Roman"/>
          <w:i/>
          <w:sz w:val="18"/>
        </w:rPr>
        <w:t>Pour les États membre</w:t>
      </w:r>
      <w:r>
        <w:rPr>
          <w:rFonts w:ascii="Times New Roman" w:hAnsi="Times New Roman"/>
          <w:i/>
          <w:sz w:val="18"/>
        </w:rPr>
        <w:t xml:space="preserve">s qui ne différencient pas les affaires administratives et les affaires civiles/commerciales, le même nombre de points a été attribué pour ces deux domaines du droit. </w:t>
      </w:r>
      <w:r>
        <w:rPr>
          <w:rFonts w:ascii="Times New Roman" w:hAnsi="Times New Roman"/>
          <w:b/>
          <w:i/>
          <w:sz w:val="18"/>
        </w:rPr>
        <w:t>ES:</w:t>
      </w:r>
      <w:r>
        <w:rPr>
          <w:rFonts w:ascii="Times New Roman" w:hAnsi="Times New Roman"/>
          <w:i/>
          <w:sz w:val="18"/>
        </w:rPr>
        <w:t xml:space="preserve"> l’utilisation de la base de données du conseil général de la justice (CGPJ) à des fin</w:t>
      </w:r>
      <w:r>
        <w:rPr>
          <w:rFonts w:ascii="Times New Roman" w:hAnsi="Times New Roman"/>
          <w:i/>
          <w:sz w:val="18"/>
        </w:rPr>
        <w:t>s commerciales ou le téléchargement massif d’informations ne sont pas autorisés. La réutilisation de ces informations pour l’élaboration de bases de données ou à des fins commerciales doit suivre la procédure et les conditions établies par le CGPJ à traver</w:t>
      </w:r>
      <w:r>
        <w:rPr>
          <w:rFonts w:ascii="Times New Roman" w:hAnsi="Times New Roman"/>
          <w:i/>
          <w:sz w:val="18"/>
        </w:rPr>
        <w:t xml:space="preserve">s son centre de documentation judiciaire. </w:t>
      </w:r>
      <w:r>
        <w:rPr>
          <w:rFonts w:ascii="Times New Roman" w:hAnsi="Times New Roman"/>
          <w:b/>
          <w:i/>
          <w:sz w:val="18"/>
        </w:rPr>
        <w:t>FR:</w:t>
      </w:r>
      <w:r>
        <w:rPr>
          <w:rFonts w:ascii="Times New Roman" w:hAnsi="Times New Roman"/>
          <w:i/>
          <w:sz w:val="18"/>
        </w:rPr>
        <w:t xml:space="preserve"> seules les décisions de justice publiées par la Cour de cassation sont accessibles gratuitement au public. Celles publiées par les cours d’appel sur Jurica sont accessibles via le réseau privé de justice virtue</w:t>
      </w:r>
      <w:r>
        <w:rPr>
          <w:rFonts w:ascii="Times New Roman" w:hAnsi="Times New Roman"/>
          <w:i/>
          <w:sz w:val="18"/>
        </w:rPr>
        <w:t>lle, et aux éditeurs juridiques. Les décisions de justice transmises par les tribunaux de première instance et de grande instance à la Cour de cassation ne sont pas soumises à l’anonymisation ou à la pseudonymisation. Le libre accès aux décisions de justic</w:t>
      </w:r>
      <w:r>
        <w:rPr>
          <w:rFonts w:ascii="Times New Roman" w:hAnsi="Times New Roman"/>
          <w:i/>
          <w:sz w:val="18"/>
        </w:rPr>
        <w:t>e – à l’exclusion des demandes répétitives et systématiques – a été mis en place. La réutilisation des données à caractère personnel des juges et du personnel judiciaire pour évaluer, analyser, comparer ou prévoir leurs pratiques professionnelles réelles o</w:t>
      </w:r>
      <w:r>
        <w:rPr>
          <w:rFonts w:ascii="Times New Roman" w:hAnsi="Times New Roman"/>
          <w:i/>
          <w:sz w:val="18"/>
        </w:rPr>
        <w:t xml:space="preserve">u supposées est punissable. </w:t>
      </w:r>
      <w:r>
        <w:rPr>
          <w:rFonts w:ascii="Times New Roman" w:hAnsi="Times New Roman"/>
          <w:b/>
          <w:i/>
          <w:sz w:val="18"/>
        </w:rPr>
        <w:t>IE:</w:t>
      </w:r>
      <w:r>
        <w:rPr>
          <w:rFonts w:ascii="Times New Roman" w:hAnsi="Times New Roman"/>
          <w:i/>
          <w:sz w:val="18"/>
        </w:rPr>
        <w:t xml:space="preserve"> le système juridique irlandais ne dispose pas d’une juridiction spécialisée pour traiter les affaires de droit administratif. </w:t>
      </w:r>
      <w:r>
        <w:rPr>
          <w:rFonts w:ascii="Times New Roman" w:hAnsi="Times New Roman"/>
          <w:b/>
          <w:i/>
          <w:sz w:val="18"/>
        </w:rPr>
        <w:t>LU:</w:t>
      </w:r>
      <w:r>
        <w:rPr>
          <w:rFonts w:ascii="Times New Roman" w:hAnsi="Times New Roman"/>
          <w:i/>
          <w:sz w:val="18"/>
        </w:rPr>
        <w:t xml:space="preserve"> dans les affaires administratives, il n’y a que deux niveaux de juridiction.</w:t>
      </w:r>
      <w:bookmarkStart w:id="357" w:name="_Toc409530226"/>
      <w:bookmarkStart w:id="358" w:name="_Toc438545676"/>
      <w:bookmarkStart w:id="359" w:name="_Toc438548326"/>
      <w:bookmarkStart w:id="360" w:name="_Toc438548512"/>
    </w:p>
    <w:p w:rsidR="00D23207" w:rsidRDefault="00493C98">
      <w:pPr>
        <w:spacing w:before="240" w:after="120" w:line="240" w:lineRule="auto"/>
        <w:jc w:val="both"/>
        <w:rPr>
          <w:rFonts w:ascii="Times New Roman" w:eastAsia="Calibri" w:hAnsi="Times New Roman" w:cs="Helvetica Neue"/>
          <w:i/>
          <w:color w:val="000000"/>
          <w:sz w:val="24"/>
          <w:szCs w:val="18"/>
        </w:rPr>
      </w:pPr>
      <w:r>
        <w:rPr>
          <w:rFonts w:ascii="Times New Roman" w:hAnsi="Times New Roman"/>
          <w:i/>
        </w:rPr>
        <w:t>–</w:t>
      </w:r>
      <w:r>
        <w:rPr>
          <w:rFonts w:ascii="Times New Roman" w:hAnsi="Times New Roman"/>
          <w:i/>
          <w:color w:val="000000"/>
          <w:sz w:val="24"/>
          <w:szCs w:val="18"/>
        </w:rPr>
        <w:t xml:space="preserve"> Accès aux métho</w:t>
      </w:r>
      <w:r>
        <w:rPr>
          <w:rFonts w:ascii="Times New Roman" w:hAnsi="Times New Roman"/>
          <w:i/>
          <w:color w:val="000000"/>
          <w:sz w:val="24"/>
          <w:szCs w:val="18"/>
        </w:rPr>
        <w:t>des de règlement extrajudiciaire des litiges</w:t>
      </w:r>
      <w:bookmarkEnd w:id="357"/>
      <w:bookmarkEnd w:id="358"/>
      <w:bookmarkEnd w:id="359"/>
      <w:bookmarkEnd w:id="360"/>
      <w:r>
        <w:rPr>
          <w:rFonts w:ascii="Times New Roman" w:hAnsi="Times New Roman"/>
          <w:i/>
          <w:color w:val="000000"/>
          <w:sz w:val="24"/>
          <w:szCs w:val="18"/>
        </w:rPr>
        <w:t xml:space="preserve"> </w:t>
      </w:r>
      <w:r>
        <w:rPr>
          <w:rFonts w:ascii="Times New Roman" w:hAnsi="Times New Roman"/>
          <w:i/>
        </w:rPr>
        <w:t>–</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szCs w:val="24"/>
        </w:rPr>
        <w:t>Le graphique 30 illustre les efforts déployés par les États membres pour promouvoir le recours volontaire aux méthodes de règlement extrajudiciaire des litiges (REL), au moyen de mesures d’incitation spécifiqu</w:t>
      </w:r>
      <w:r>
        <w:rPr>
          <w:rFonts w:ascii="Times New Roman" w:hAnsi="Times New Roman"/>
          <w:sz w:val="24"/>
          <w:szCs w:val="24"/>
        </w:rPr>
        <w:t>es, qui peuvent varier selon le domaine du droit (</w:t>
      </w:r>
      <w:r>
        <w:rPr>
          <w:rFonts w:ascii="Times New Roman" w:eastAsia="Calibri" w:hAnsi="Times New Roman" w:cs="Times New Roman"/>
          <w:sz w:val="24"/>
          <w:szCs w:val="24"/>
          <w:vertAlign w:val="superscript"/>
        </w:rPr>
        <w:footnoteReference w:id="71"/>
      </w:r>
      <w:r>
        <w:rPr>
          <w:rFonts w:ascii="Times New Roman" w:hAnsi="Times New Roman"/>
          <w:sz w:val="24"/>
          <w:szCs w:val="24"/>
        </w:rPr>
        <w:t xml:space="preserve">). </w:t>
      </w:r>
    </w:p>
    <w:p w:rsidR="00D23207" w:rsidRDefault="00493C98">
      <w:pPr>
        <w:spacing w:before="240" w:after="120" w:line="240" w:lineRule="auto"/>
        <w:ind w:left="40"/>
        <w:jc w:val="both"/>
        <w:rPr>
          <w:rFonts w:ascii="Times New Roman" w:eastAsia="Calibri" w:hAnsi="Times New Roman" w:cs="Times New Roman"/>
          <w:i/>
          <w:iCs/>
          <w:sz w:val="24"/>
          <w:szCs w:val="24"/>
        </w:rPr>
      </w:pPr>
      <w:bookmarkStart w:id="361" w:name="_Ref441218564"/>
      <w:bookmarkStart w:id="362" w:name="_Ref442346571"/>
      <w:r>
        <w:rPr>
          <w:rFonts w:ascii="Times New Roman" w:hAnsi="Times New Roman"/>
          <w:b/>
          <w:bCs/>
          <w:sz w:val="24"/>
          <w:szCs w:val="24"/>
        </w:rPr>
        <w:t>Graphique </w:t>
      </w:r>
      <w:bookmarkEnd w:id="361"/>
      <w:bookmarkEnd w:id="362"/>
      <w:r>
        <w:fldChar w:fldCharType="begin"/>
      </w:r>
      <w:r>
        <w:rPr>
          <w:rFonts w:ascii="Times New Roman" w:eastAsia="Calibri" w:hAnsi="Times New Roman" w:cs="Times New Roman"/>
          <w:b/>
          <w:sz w:val="24"/>
        </w:rPr>
        <w:instrText xml:space="preserve"> SEQ Figure \* ARABIC  \* MERGEFORMAT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30</w:t>
      </w:r>
      <w:r>
        <w:fldChar w:fldCharType="end"/>
      </w:r>
      <w:r>
        <w:rPr>
          <w:rFonts w:ascii="Times New Roman" w:hAnsi="Times New Roman"/>
          <w:b/>
          <w:bCs/>
          <w:sz w:val="24"/>
          <w:szCs w:val="24"/>
        </w:rPr>
        <w:t>: promotion et incitations en faveur du recours aux méthodes de REL, 2019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[source: Commission européenne (</w:t>
      </w:r>
      <w:r>
        <w:rPr>
          <w:rFonts w:ascii="Times New Roman" w:eastAsia="Calibri" w:hAnsi="Times New Roman" w:cs="Times New Roman"/>
          <w:i/>
          <w:iCs/>
          <w:sz w:val="24"/>
          <w:szCs w:val="24"/>
          <w:vertAlign w:val="superscript"/>
        </w:rPr>
        <w:footnoteReference w:id="72"/>
      </w:r>
      <w:r>
        <w:rPr>
          <w:rFonts w:ascii="Times New Roman" w:hAnsi="Times New Roman"/>
          <w:i/>
          <w:iCs/>
          <w:sz w:val="24"/>
          <w:szCs w:val="24"/>
        </w:rPr>
        <w:t>)]</w:t>
      </w:r>
    </w:p>
    <w:p w:rsidR="00D23207" w:rsidRDefault="00493C98">
      <w:pPr>
        <w:spacing w:after="0" w:line="240" w:lineRule="auto"/>
        <w:ind w:left="40"/>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374976"/>
            <wp:effectExtent l="0" t="0" r="4445" b="6350"/>
            <wp:docPr id="97287" name="Picture 9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77255" cy="2374976"/>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 Maximum possible: 52 points. Indicateurs agrégés fondés sur les indicateurs suivants: 1) site web fournissant des informations sur les méthodes de REL; 2) campagnes publicitaires dans les médias; 3) brochures destinées au grand public; 4) les tribunaux</w:t>
      </w:r>
      <w:r>
        <w:rPr>
          <w:rFonts w:ascii="Times New Roman" w:hAnsi="Times New Roman"/>
          <w:i/>
          <w:sz w:val="20"/>
        </w:rPr>
        <w:t xml:space="preserve"> organisent sur demande des séances d’information spécifiques sur les méthodes de REL; 5) coordonnateur en matière de méthodes de REL et/ou de médiation dans les tribunaux; 6) publication des évaluations du recours aux méthodes de REL; 7) publication de st</w:t>
      </w:r>
      <w:r>
        <w:rPr>
          <w:rFonts w:ascii="Times New Roman" w:hAnsi="Times New Roman"/>
          <w:i/>
          <w:sz w:val="20"/>
        </w:rPr>
        <w:t>atistiques concernant le recours aux méthodes de REL; 8) l’aide juridictionnelle couvre (en partie ou intégralement) les coûts engendrés par les méthodes de REL; 9) remboursement total ou partiel des droits de greffe, y compris les droits de timbre; 11) si</w:t>
      </w:r>
      <w:r>
        <w:rPr>
          <w:rFonts w:ascii="Times New Roman" w:hAnsi="Times New Roman"/>
          <w:i/>
          <w:sz w:val="20"/>
        </w:rPr>
        <w:t xml:space="preserve"> la méthode de REL porte ses fruits, aucun avocat requis pour la procédure de REL; 11) le juge peut agir en tant que médiateur; 12) l’accord conclu par les parties devient exécutoire devant les tribunaux; 13) utilisation d’outils électroniques afin de réso</w:t>
      </w:r>
      <w:r>
        <w:rPr>
          <w:rFonts w:ascii="Times New Roman" w:hAnsi="Times New Roman"/>
          <w:i/>
          <w:sz w:val="20"/>
        </w:rPr>
        <w:t xml:space="preserve">udre le litige à l’aide de méthodes de REL. Pour chacun de ces 13 indicateurs, un point a été attribué pour chaque domaine du droit. </w:t>
      </w:r>
      <w:r>
        <w:rPr>
          <w:rFonts w:ascii="Times New Roman" w:hAnsi="Times New Roman"/>
          <w:b/>
          <w:i/>
          <w:sz w:val="20"/>
        </w:rPr>
        <w:t>CZ:</w:t>
      </w:r>
      <w:r>
        <w:rPr>
          <w:rFonts w:ascii="Times New Roman" w:hAnsi="Times New Roman"/>
          <w:i/>
          <w:sz w:val="20"/>
        </w:rPr>
        <w:t xml:space="preserve"> les données relatives aux litiges administratifs ne sont pas disponibles. </w:t>
      </w:r>
      <w:r>
        <w:rPr>
          <w:rFonts w:ascii="Times New Roman" w:hAnsi="Times New Roman"/>
          <w:b/>
          <w:i/>
          <w:sz w:val="20"/>
        </w:rPr>
        <w:t>DK:</w:t>
      </w:r>
      <w:r>
        <w:rPr>
          <w:rFonts w:ascii="Times New Roman" w:hAnsi="Times New Roman"/>
          <w:i/>
          <w:sz w:val="20"/>
        </w:rPr>
        <w:t xml:space="preserve"> chaque juridiction dispose d’un ambassade</w:t>
      </w:r>
      <w:r>
        <w:rPr>
          <w:rFonts w:ascii="Times New Roman" w:hAnsi="Times New Roman"/>
          <w:i/>
          <w:sz w:val="20"/>
        </w:rPr>
        <w:t xml:space="preserve">ur chargé de promouvoir le recours à la médiation. Les juridictions administratives peuvent proposer aux parties de recourir à la médiation. </w:t>
      </w:r>
      <w:r>
        <w:rPr>
          <w:rFonts w:ascii="Times New Roman" w:hAnsi="Times New Roman"/>
          <w:b/>
          <w:i/>
          <w:sz w:val="20"/>
        </w:rPr>
        <w:t>IE:</w:t>
      </w:r>
      <w:r>
        <w:rPr>
          <w:rFonts w:ascii="Times New Roman" w:hAnsi="Times New Roman"/>
          <w:i/>
          <w:sz w:val="20"/>
        </w:rPr>
        <w:t xml:space="preserve"> les affaires administratives sont intégrées à la catégorie des affaires civiles et commerciales. </w:t>
      </w:r>
      <w:r>
        <w:rPr>
          <w:rFonts w:ascii="Times New Roman" w:hAnsi="Times New Roman"/>
          <w:b/>
          <w:i/>
          <w:sz w:val="20"/>
        </w:rPr>
        <w:t>EL:</w:t>
      </w:r>
      <w:r>
        <w:rPr>
          <w:rFonts w:ascii="Times New Roman" w:hAnsi="Times New Roman"/>
          <w:i/>
          <w:sz w:val="20"/>
        </w:rPr>
        <w:t xml:space="preserve"> le REL exi</w:t>
      </w:r>
      <w:r>
        <w:rPr>
          <w:rFonts w:ascii="Times New Roman" w:hAnsi="Times New Roman"/>
          <w:i/>
          <w:sz w:val="20"/>
        </w:rPr>
        <w:t>ste dans le domaine des procédures de passation de marchés publics devant les cours d’appel administratives.</w:t>
      </w:r>
      <w:r>
        <w:rPr>
          <w:rFonts w:ascii="Times New Roman" w:hAnsi="Times New Roman"/>
          <w:b/>
          <w:i/>
          <w:sz w:val="20"/>
        </w:rPr>
        <w:t xml:space="preserve"> ES:</w:t>
      </w:r>
      <w:r>
        <w:rPr>
          <w:rFonts w:ascii="Times New Roman" w:hAnsi="Times New Roman"/>
          <w:i/>
          <w:sz w:val="20"/>
        </w:rPr>
        <w:t xml:space="preserve"> le REL est obligatoire dans les affaires relevant du droit du travail. </w:t>
      </w:r>
      <w:r>
        <w:rPr>
          <w:rFonts w:ascii="Times New Roman" w:hAnsi="Times New Roman"/>
          <w:b/>
          <w:i/>
          <w:sz w:val="20"/>
        </w:rPr>
        <w:t>LT:</w:t>
      </w:r>
      <w:r>
        <w:rPr>
          <w:rFonts w:ascii="Times New Roman" w:hAnsi="Times New Roman"/>
          <w:i/>
          <w:sz w:val="20"/>
        </w:rPr>
        <w:t xml:space="preserve"> un secrétaire de l’administration nationale des cours et tribunaux coordonne le processus de médiation judiciaire au sein des juridictions. </w:t>
      </w:r>
      <w:r>
        <w:rPr>
          <w:rFonts w:ascii="Times New Roman" w:hAnsi="Times New Roman"/>
          <w:b/>
          <w:i/>
          <w:sz w:val="20"/>
        </w:rPr>
        <w:t>PT:</w:t>
      </w:r>
      <w:r>
        <w:rPr>
          <w:rFonts w:ascii="Times New Roman" w:hAnsi="Times New Roman"/>
          <w:i/>
          <w:sz w:val="20"/>
        </w:rPr>
        <w:t xml:space="preserve"> pour les litiges civils/commerciaux, les droits de greffe ne sont remboursés que devant les justices de paix. </w:t>
      </w:r>
      <w:r>
        <w:rPr>
          <w:rFonts w:ascii="Times New Roman" w:hAnsi="Times New Roman"/>
          <w:b/>
          <w:i/>
          <w:sz w:val="20"/>
        </w:rPr>
        <w:t>S</w:t>
      </w:r>
      <w:r>
        <w:rPr>
          <w:rFonts w:ascii="Times New Roman" w:hAnsi="Times New Roman"/>
          <w:b/>
          <w:i/>
          <w:sz w:val="20"/>
        </w:rPr>
        <w:t>K:</w:t>
      </w:r>
      <w:r>
        <w:rPr>
          <w:rFonts w:ascii="Times New Roman" w:hAnsi="Times New Roman"/>
          <w:i/>
          <w:sz w:val="20"/>
        </w:rPr>
        <w:t xml:space="preserve"> l’ordre juridique slovaque ne peut intégrer le recours au REL pour des raisons administratives. </w:t>
      </w:r>
      <w:r>
        <w:rPr>
          <w:rFonts w:ascii="Times New Roman" w:hAnsi="Times New Roman"/>
          <w:b/>
          <w:i/>
          <w:sz w:val="20"/>
        </w:rPr>
        <w:t>SE:</w:t>
      </w:r>
      <w:r>
        <w:rPr>
          <w:rFonts w:ascii="Times New Roman" w:hAnsi="Times New Roman"/>
          <w:i/>
          <w:sz w:val="20"/>
        </w:rPr>
        <w:t xml:space="preserve"> les juges ont le choix des procédures en ce qui concerne le REL; la recherche d’un règlement amiable du litige est une tâche obligatoire pour le juge, sa</w:t>
      </w:r>
      <w:r>
        <w:rPr>
          <w:rFonts w:ascii="Times New Roman" w:hAnsi="Times New Roman"/>
          <w:i/>
          <w:sz w:val="20"/>
        </w:rPr>
        <w:t>uf si elle est inappropriée en raison de la nature de l’affaire.</w:t>
      </w:r>
      <w:bookmarkStart w:id="363" w:name="_Toc438545678"/>
      <w:bookmarkStart w:id="364" w:name="_Toc438548328"/>
      <w:bookmarkStart w:id="365" w:name="_Toc438548514"/>
      <w:bookmarkStart w:id="366" w:name="_Toc440010581"/>
      <w:bookmarkStart w:id="367" w:name="_Toc440017700"/>
      <w:bookmarkStart w:id="368" w:name="_Toc440033382"/>
      <w:bookmarkStart w:id="369" w:name="_Toc440035233"/>
      <w:bookmarkStart w:id="370" w:name="_Toc440036528"/>
      <w:bookmarkStart w:id="371" w:name="_Toc440042470"/>
      <w:bookmarkStart w:id="372" w:name="_Toc440291123"/>
      <w:bookmarkStart w:id="373" w:name="_Toc440294686"/>
      <w:bookmarkStart w:id="374" w:name="_Toc440295188"/>
      <w:bookmarkStart w:id="375" w:name="_Toc440296593"/>
      <w:bookmarkStart w:id="376" w:name="_Toc440625077"/>
      <w:bookmarkStart w:id="377" w:name="_Toc440626407"/>
      <w:bookmarkStart w:id="378" w:name="_Toc440628861"/>
      <w:bookmarkStart w:id="379" w:name="_Toc441571134"/>
      <w:bookmarkStart w:id="380" w:name="_Toc441581636"/>
      <w:bookmarkStart w:id="381" w:name="_Toc441585903"/>
      <w:bookmarkStart w:id="382" w:name="_Toc441595838"/>
      <w:bookmarkStart w:id="383" w:name="_Toc441596015"/>
      <w:bookmarkStart w:id="384" w:name="_Toc441748140"/>
      <w:bookmarkStart w:id="385" w:name="_Toc441755425"/>
      <w:bookmarkStart w:id="386" w:name="_Toc441756462"/>
      <w:bookmarkStart w:id="387" w:name="_Toc441757506"/>
      <w:bookmarkStart w:id="388" w:name="_Toc441766635"/>
      <w:bookmarkStart w:id="389" w:name="_Toc441766974"/>
      <w:r>
        <w:rPr>
          <w:rFonts w:ascii="Times New Roman" w:hAnsi="Times New Roman"/>
          <w:i/>
          <w:sz w:val="20"/>
        </w:rPr>
        <w:t xml:space="preserve"> </w:t>
      </w:r>
    </w:p>
    <w:p w:rsidR="00D23207" w:rsidRDefault="00493C98">
      <w:pPr>
        <w:jc w:val="both"/>
        <w:rPr>
          <w:rFonts w:ascii="Times New Roman" w:eastAsia="Calibri" w:hAnsi="Times New Roman" w:cs="Times New Roman"/>
          <w:i/>
          <w:sz w:val="24"/>
        </w:rPr>
      </w:pPr>
      <w:r>
        <w:br w:type="page"/>
      </w:r>
    </w:p>
    <w:p w:rsidR="00D23207" w:rsidRDefault="00493C98">
      <w:pPr>
        <w:spacing w:before="240" w:after="120" w:line="240" w:lineRule="auto"/>
        <w:ind w:left="40"/>
        <w:jc w:val="both"/>
        <w:rPr>
          <w:rFonts w:ascii="Times New Roman" w:eastAsia="Calibri" w:hAnsi="Times New Roman" w:cs="Times New Roman"/>
          <w:i/>
          <w:sz w:val="24"/>
        </w:rPr>
      </w:pPr>
      <w:r>
        <w:rPr>
          <w:rFonts w:ascii="Times New Roman" w:hAnsi="Times New Roman"/>
          <w:i/>
          <w:sz w:val="24"/>
        </w:rPr>
        <w:t xml:space="preserve">– Une justice adaptée aux enfants – </w:t>
      </w:r>
    </w:p>
    <w:p w:rsidR="00D23207" w:rsidRDefault="00493C98">
      <w:pPr>
        <w:spacing w:after="0" w:line="240" w:lineRule="auto"/>
        <w:ind w:left="40"/>
        <w:jc w:val="both"/>
        <w:rPr>
          <w:rFonts w:ascii="Times New Roman" w:eastAsia="Calibri" w:hAnsi="Times New Roman" w:cs="Times New Roman"/>
          <w:sz w:val="24"/>
        </w:rPr>
      </w:pPr>
      <w:r>
        <w:rPr>
          <w:rFonts w:ascii="Times New Roman" w:hAnsi="Times New Roman"/>
          <w:sz w:val="24"/>
        </w:rPr>
        <w:t>Le graphique 31 montre les différentes dispositions prises dans les États membres pour rendre le système judiciaire plus accessible aux enfants et plus</w:t>
      </w:r>
      <w:r>
        <w:rPr>
          <w:rFonts w:ascii="Times New Roman" w:hAnsi="Times New Roman"/>
          <w:sz w:val="24"/>
        </w:rPr>
        <w:t xml:space="preserve"> adapté à leurs besoins, par exemple en fournissant des informations adaptées aux enfants sur les procédures ou en prenant des mesures pour éviter que l’enfant ne doive passer par plusieurs audiences. </w:t>
      </w:r>
    </w:p>
    <w:p w:rsidR="00D23207" w:rsidRDefault="00D23207">
      <w:pPr>
        <w:spacing w:after="0" w:line="240" w:lineRule="auto"/>
        <w:ind w:left="40"/>
        <w:jc w:val="both"/>
        <w:rPr>
          <w:rFonts w:ascii="Times New Roman" w:eastAsia="Calibri" w:hAnsi="Times New Roman" w:cs="Times New Roman"/>
          <w:i/>
          <w:sz w:val="24"/>
        </w:rPr>
      </w:pPr>
    </w:p>
    <w:p w:rsidR="00D23207" w:rsidRDefault="00493C98">
      <w:pPr>
        <w:keepNext/>
        <w:spacing w:before="240" w:after="120" w:line="240" w:lineRule="auto"/>
        <w:ind w:left="40"/>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 MERGEFORMAT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31</w:t>
      </w:r>
      <w:r>
        <w:fldChar w:fldCharType="end"/>
      </w:r>
      <w:r>
        <w:rPr>
          <w:rFonts w:ascii="Times New Roman" w:hAnsi="Times New Roman"/>
          <w:b/>
          <w:bCs/>
        </w:rPr>
        <w:t>:</w:t>
      </w:r>
      <w:r>
        <w:rPr>
          <w:rFonts w:ascii="Times New Roman" w:hAnsi="Times New Roman"/>
          <w:b/>
          <w:bCs/>
          <w:sz w:val="24"/>
          <w:szCs w:val="24"/>
        </w:rPr>
        <w:t xml:space="preserve"> justice adaptée aux enfants, 2019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[source: Commission européenne (</w:t>
      </w:r>
      <w:r>
        <w:rPr>
          <w:rFonts w:ascii="Times New Roman" w:eastAsia="Calibri" w:hAnsi="Times New Roman" w:cs="Times New Roman"/>
          <w:i/>
          <w:iCs/>
          <w:sz w:val="24"/>
          <w:szCs w:val="24"/>
          <w:vertAlign w:val="superscript"/>
        </w:rPr>
        <w:footnoteReference w:id="73"/>
      </w:r>
      <w:r>
        <w:rPr>
          <w:rFonts w:ascii="Times New Roman" w:hAnsi="Times New Roman"/>
          <w:i/>
          <w:iCs/>
          <w:sz w:val="24"/>
          <w:szCs w:val="24"/>
        </w:rPr>
        <w:t>)]</w:t>
      </w:r>
    </w:p>
    <w:p w:rsidR="00D23207" w:rsidRDefault="00493C98">
      <w:pPr>
        <w:keepNext/>
        <w:spacing w:after="0" w:line="240" w:lineRule="auto"/>
        <w:jc w:val="both"/>
        <w:rPr>
          <w:rFonts w:ascii="Times New Roman" w:eastAsia="Calibri" w:hAnsi="Times New Roman" w:cs="Times New Roman"/>
          <w:i/>
          <w:sz w:val="24"/>
        </w:rPr>
      </w:pPr>
      <w:r>
        <w:rPr>
          <w:rFonts w:ascii="Times New Roman" w:hAnsi="Times New Roman"/>
          <w:i/>
          <w:sz w:val="24"/>
          <w:lang w:val="en-GB" w:eastAsia="en-GB"/>
        </w:rPr>
        <w:drawing>
          <wp:inline distT="0" distB="0" distL="0" distR="0">
            <wp:extent cx="5977255" cy="4023206"/>
            <wp:effectExtent l="0" t="0" r="4445" b="0"/>
            <wp:docPr id="97289" name="Picture 9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77255" cy="4023206"/>
                    </a:xfrm>
                    <a:prstGeom prst="rect">
                      <a:avLst/>
                    </a:prstGeom>
                    <a:noFill/>
                    <a:ln>
                      <a:noFill/>
                    </a:ln>
                  </pic:spPr>
                </pic:pic>
              </a:graphicData>
            </a:graphic>
          </wp:inline>
        </w:drawing>
      </w:r>
    </w:p>
    <w:p w:rsidR="00D23207" w:rsidRDefault="00493C98">
      <w:pPr>
        <w:keepNext/>
        <w:tabs>
          <w:tab w:val="left" w:pos="850"/>
        </w:tabs>
        <w:spacing w:before="240" w:after="120" w:line="240" w:lineRule="auto"/>
        <w:ind w:left="850" w:hanging="850"/>
        <w:jc w:val="both"/>
        <w:outlineLvl w:val="2"/>
        <w:rPr>
          <w:rFonts w:ascii="Times New Roman" w:eastAsia="Times New Roman" w:hAnsi="Times New Roman" w:cs="Times New Roman"/>
          <w:b/>
          <w:sz w:val="24"/>
          <w:szCs w:val="24"/>
        </w:rPr>
      </w:pPr>
      <w:bookmarkStart w:id="390" w:name="_Toc442187975"/>
      <w:bookmarkStart w:id="391" w:name="_Toc442262067"/>
      <w:bookmarkStart w:id="392" w:name="_Toc442362474"/>
      <w:bookmarkStart w:id="393" w:name="_Toc442374810"/>
      <w:bookmarkStart w:id="394" w:name="_Toc442425950"/>
      <w:bookmarkStart w:id="395" w:name="_Toc442453076"/>
      <w:bookmarkStart w:id="396" w:name="_Toc443484534"/>
      <w:bookmarkStart w:id="397" w:name="_Toc443484756"/>
      <w:bookmarkStart w:id="398" w:name="_Toc443509497"/>
      <w:bookmarkStart w:id="399" w:name="_Toc446014826"/>
      <w:r>
        <w:rPr>
          <w:rFonts w:ascii="Times New Roman" w:hAnsi="Times New Roman"/>
          <w:b/>
          <w:sz w:val="24"/>
          <w:szCs w:val="24"/>
        </w:rPr>
        <w:t>3.2.2. Ressources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Des ressources suffisantes, y compris les investissements nécessaires dans les infrastructures physiques et techniques, ainsi qu’un personnel qualifié, formé et</w:t>
      </w:r>
      <w:r>
        <w:rPr>
          <w:rFonts w:ascii="Times New Roman" w:hAnsi="Times New Roman"/>
          <w:sz w:val="24"/>
        </w:rPr>
        <w:t xml:space="preserve"> rémunéré de manière appropriée dans toutes les catégories, sont nécessaires au bon fonctionnement du système judiciaire. Sans locaux adaptés, sans outils ou sans personnel possédant les qualifications et les compétences requises et ayant accès à la format</w:t>
      </w:r>
      <w:r>
        <w:rPr>
          <w:rFonts w:ascii="Times New Roman" w:hAnsi="Times New Roman"/>
          <w:sz w:val="24"/>
        </w:rPr>
        <w:t>ion continue, la qualité des procédures et des décisions est compromise.</w:t>
      </w:r>
    </w:p>
    <w:p w:rsidR="00D23207" w:rsidRDefault="00493C98">
      <w:pPr>
        <w:spacing w:before="240" w:after="120" w:line="240" w:lineRule="auto"/>
        <w:jc w:val="both"/>
        <w:rPr>
          <w:rFonts w:ascii="Times New Roman" w:eastAsia="Calibri" w:hAnsi="Times New Roman" w:cs="Times New Roman"/>
          <w:i/>
          <w:sz w:val="24"/>
        </w:rPr>
      </w:pPr>
      <w:r>
        <w:rPr>
          <w:rFonts w:ascii="Times New Roman" w:hAnsi="Times New Roman"/>
          <w:i/>
        </w:rPr>
        <w:t>–</w:t>
      </w:r>
      <w:r>
        <w:rPr>
          <w:rFonts w:ascii="Times New Roman" w:hAnsi="Times New Roman"/>
          <w:i/>
          <w:sz w:val="24"/>
        </w:rPr>
        <w:t xml:space="preserve"> Ressources financières </w:t>
      </w:r>
      <w:r>
        <w:rPr>
          <w:rFonts w:ascii="Times New Roman" w:hAnsi="Times New Roman"/>
          <w:i/>
        </w:rPr>
        <w:t>–</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szCs w:val="24"/>
        </w:rPr>
        <w:t>Les graphiques ci-dessous présentent les dépenses réelles des administrations publiques relatives au fonctionnement du système judiciaire (hormis les prison</w:t>
      </w:r>
      <w:r>
        <w:rPr>
          <w:rFonts w:ascii="Times New Roman" w:hAnsi="Times New Roman"/>
          <w:sz w:val="24"/>
          <w:szCs w:val="24"/>
        </w:rPr>
        <w:t>s), à la fois par habitant (graphique 32) et en tant que part du produit intérieur brut (PIB) (graphique 33) et, enfin, les principales catégories de dépenses consacrées aux juridictions (graphique 34) (</w:t>
      </w:r>
      <w:r>
        <w:rPr>
          <w:rFonts w:ascii="Times New Roman" w:eastAsia="Calibri" w:hAnsi="Times New Roman" w:cs="Times New Roman"/>
          <w:sz w:val="24"/>
          <w:szCs w:val="24"/>
          <w:vertAlign w:val="superscript"/>
        </w:rPr>
        <w:footnoteReference w:id="74"/>
      </w:r>
      <w:r>
        <w:rPr>
          <w:rFonts w:ascii="Times New Roman" w:hAnsi="Times New Roman"/>
          <w:sz w:val="24"/>
          <w:szCs w:val="24"/>
        </w:rPr>
        <w:t>).</w:t>
      </w:r>
      <w:bookmarkStart w:id="400" w:name="_Ref441218579"/>
    </w:p>
    <w:p w:rsidR="00D23207" w:rsidRDefault="00493C98">
      <w:pPr>
        <w:spacing w:before="240" w:after="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w:t>
      </w:r>
      <w:bookmarkEnd w:id="400"/>
      <w:r>
        <w:rPr>
          <w:rFonts w:ascii="Times New Roman" w:hAnsi="Times New Roman"/>
          <w:b/>
          <w:bCs/>
          <w:sz w:val="24"/>
          <w:szCs w:val="24"/>
        </w:rPr>
        <w:t> </w:t>
      </w:r>
      <w:r>
        <w:fldChar w:fldCharType="begin"/>
      </w:r>
      <w:r>
        <w:rPr>
          <w:rFonts w:ascii="Times New Roman" w:eastAsia="Calibri" w:hAnsi="Times New Roman" w:cs="Times New Roman"/>
          <w:b/>
          <w:sz w:val="24"/>
        </w:rPr>
        <w:instrText xml:space="preserve"> SEQ Figure \* ARABIC  \* MERGEFORMAT </w:instrText>
      </w:r>
      <w:r>
        <w:rPr>
          <w:rFonts w:ascii="Times New Roman" w:eastAsia="Calibri" w:hAnsi="Times New Roman" w:cs="Times New Roman"/>
          <w:b/>
          <w:sz w:val="24"/>
        </w:rPr>
        <w:fldChar w:fldCharType="separate"/>
      </w:r>
      <w:r>
        <w:rPr>
          <w:rFonts w:ascii="Times New Roman" w:eastAsia="Calibri" w:hAnsi="Times New Roman" w:cs="Times New Roman"/>
          <w:b/>
          <w:bCs/>
          <w:sz w:val="24"/>
          <w:szCs w:val="24"/>
        </w:rPr>
        <w:t>3</w:t>
      </w:r>
      <w:r>
        <w:rPr>
          <w:rFonts w:ascii="Times New Roman" w:eastAsia="Calibri" w:hAnsi="Times New Roman" w:cs="Times New Roman"/>
          <w:b/>
          <w:bCs/>
          <w:sz w:val="24"/>
          <w:szCs w:val="24"/>
        </w:rPr>
        <w:t>2</w:t>
      </w:r>
      <w:r>
        <w:fldChar w:fldCharType="end"/>
      </w:r>
      <w:r>
        <w:rPr>
          <w:rFonts w:ascii="Times New Roman" w:hAnsi="Times New Roman"/>
          <w:b/>
          <w:bCs/>
          <w:sz w:val="24"/>
          <w:szCs w:val="24"/>
        </w:rPr>
        <w:t>: total des dépenses des administrations publiques consacrées aux juridictions, 2012, 2016-2018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(en EUR par habitant) (source: Eurostat)</w:t>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5976000" cy="2482833"/>
            <wp:effectExtent l="0" t="0" r="5715" b="0"/>
            <wp:docPr id="97294" name="Picture 9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6000" cy="2482833"/>
                    </a:xfrm>
                    <a:prstGeom prst="rect">
                      <a:avLst/>
                    </a:prstGeom>
                    <a:noFill/>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 Les États membres sont classés en fonction des dépenses de 2018 (des plus élevées aux moins élevées). Les</w:t>
      </w:r>
      <w:r>
        <w:rPr>
          <w:rFonts w:ascii="Times New Roman" w:hAnsi="Times New Roman"/>
          <w:i/>
          <w:sz w:val="20"/>
        </w:rPr>
        <w:t xml:space="preserve"> données de 2018 pour l’</w:t>
      </w:r>
      <w:r>
        <w:rPr>
          <w:rFonts w:ascii="Times New Roman" w:hAnsi="Times New Roman"/>
          <w:b/>
          <w:bCs/>
          <w:i/>
          <w:sz w:val="20"/>
        </w:rPr>
        <w:t>ES</w:t>
      </w:r>
      <w:r>
        <w:rPr>
          <w:rFonts w:ascii="Times New Roman" w:hAnsi="Times New Roman"/>
          <w:i/>
          <w:sz w:val="20"/>
        </w:rPr>
        <w:t xml:space="preserve">, la </w:t>
      </w:r>
      <w:r>
        <w:rPr>
          <w:rFonts w:ascii="Times New Roman" w:hAnsi="Times New Roman"/>
          <w:b/>
          <w:bCs/>
          <w:i/>
          <w:sz w:val="20"/>
        </w:rPr>
        <w:t>FR</w:t>
      </w:r>
      <w:r>
        <w:rPr>
          <w:rFonts w:ascii="Times New Roman" w:hAnsi="Times New Roman"/>
          <w:i/>
          <w:sz w:val="20"/>
        </w:rPr>
        <w:t xml:space="preserve">, la </w:t>
      </w:r>
      <w:r>
        <w:rPr>
          <w:rFonts w:ascii="Times New Roman" w:hAnsi="Times New Roman"/>
          <w:b/>
          <w:bCs/>
          <w:i/>
          <w:sz w:val="20"/>
        </w:rPr>
        <w:t>HR</w:t>
      </w:r>
      <w:r>
        <w:rPr>
          <w:rFonts w:ascii="Times New Roman" w:hAnsi="Times New Roman"/>
          <w:i/>
          <w:sz w:val="20"/>
        </w:rPr>
        <w:t xml:space="preserve">, le </w:t>
      </w:r>
      <w:r>
        <w:rPr>
          <w:rFonts w:ascii="Times New Roman" w:hAnsi="Times New Roman"/>
          <w:b/>
          <w:bCs/>
          <w:i/>
          <w:sz w:val="20"/>
        </w:rPr>
        <w:t>PT</w:t>
      </w:r>
      <w:r>
        <w:rPr>
          <w:rFonts w:ascii="Times New Roman" w:hAnsi="Times New Roman"/>
          <w:i/>
          <w:sz w:val="20"/>
        </w:rPr>
        <w:t xml:space="preserve"> et la </w:t>
      </w:r>
      <w:r>
        <w:rPr>
          <w:rFonts w:ascii="Times New Roman" w:hAnsi="Times New Roman"/>
          <w:b/>
          <w:bCs/>
          <w:i/>
          <w:sz w:val="20"/>
        </w:rPr>
        <w:t>SK</w:t>
      </w:r>
      <w:r>
        <w:rPr>
          <w:rFonts w:ascii="Times New Roman" w:hAnsi="Times New Roman"/>
          <w:i/>
          <w:sz w:val="20"/>
        </w:rPr>
        <w:t xml:space="preserve"> sont provisoires. </w:t>
      </w:r>
    </w:p>
    <w:p w:rsidR="00D23207" w:rsidRDefault="00493C98">
      <w:pPr>
        <w:keepNext/>
        <w:spacing w:before="240" w:after="120" w:line="240" w:lineRule="auto"/>
        <w:jc w:val="both"/>
        <w:rPr>
          <w:rFonts w:ascii="Times New Roman" w:eastAsia="Times New Roman"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szCs w:val="24"/>
        </w:rPr>
        <w:instrText xml:space="preserve"> SEQ Figure \* ARABIC  \* MERGEFORMAT </w:instrText>
      </w:r>
      <w:r>
        <w:rPr>
          <w:rFonts w:ascii="Times New Roman" w:eastAsia="Calibri" w:hAnsi="Times New Roman" w:cs="Times New Roman"/>
          <w:b/>
          <w:sz w:val="24"/>
          <w:szCs w:val="24"/>
        </w:rPr>
        <w:fldChar w:fldCharType="separate"/>
      </w:r>
      <w:r>
        <w:rPr>
          <w:rFonts w:ascii="Times New Roman" w:eastAsia="Calibri" w:hAnsi="Times New Roman" w:cs="Times New Roman"/>
          <w:b/>
          <w:bCs/>
          <w:sz w:val="24"/>
          <w:szCs w:val="24"/>
        </w:rPr>
        <w:t>33</w:t>
      </w:r>
      <w:r>
        <w:fldChar w:fldCharType="end"/>
      </w:r>
      <w:r>
        <w:rPr>
          <w:rFonts w:ascii="Times New Roman" w:hAnsi="Times New Roman"/>
          <w:b/>
          <w:bCs/>
        </w:rPr>
        <w:t>:</w:t>
      </w:r>
      <w:r>
        <w:rPr>
          <w:rFonts w:ascii="Times New Roman" w:hAnsi="Times New Roman"/>
          <w:b/>
          <w:bCs/>
          <w:sz w:val="24"/>
          <w:szCs w:val="24"/>
        </w:rPr>
        <w:t xml:space="preserve"> total des dépenses des administrations publiques consacrées aux juridictions, 2012, 2016-2018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(en % du PIB) (source: Euro</w:t>
      </w:r>
      <w:r>
        <w:rPr>
          <w:rFonts w:ascii="Times New Roman" w:hAnsi="Times New Roman"/>
          <w:i/>
          <w:iCs/>
          <w:sz w:val="24"/>
          <w:szCs w:val="24"/>
        </w:rPr>
        <w:t>stat)</w:t>
      </w:r>
      <w:bookmarkStart w:id="401" w:name="_Ref440969342"/>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5976000" cy="2482833"/>
            <wp:effectExtent l="0" t="0" r="5715" b="0"/>
            <wp:docPr id="97295" name="Picture 9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6000" cy="2482833"/>
                    </a:xfrm>
                    <a:prstGeom prst="rect">
                      <a:avLst/>
                    </a:prstGeom>
                    <a:noFill/>
                  </pic:spPr>
                </pic:pic>
              </a:graphicData>
            </a:graphic>
          </wp:inline>
        </w:drawing>
      </w:r>
    </w:p>
    <w:p w:rsidR="00D23207" w:rsidRDefault="00493C98">
      <w:pPr>
        <w:spacing w:after="0" w:line="240" w:lineRule="auto"/>
        <w:jc w:val="both"/>
        <w:rPr>
          <w:rFonts w:ascii="Times New Roman" w:eastAsia="Calibri" w:hAnsi="Times New Roman" w:cs="Times New Roman"/>
        </w:rPr>
      </w:pPr>
      <w:r>
        <w:rPr>
          <w:rFonts w:ascii="Times New Roman" w:hAnsi="Times New Roman"/>
          <w:i/>
          <w:sz w:val="20"/>
        </w:rPr>
        <w:t>(*) Les États membres sont classés en fonction des dépenses de 2018 (des plus élevées aux moins élevées). Les données de 2018 pour l’</w:t>
      </w:r>
      <w:r>
        <w:rPr>
          <w:rFonts w:ascii="Times New Roman" w:hAnsi="Times New Roman"/>
          <w:b/>
          <w:bCs/>
          <w:i/>
          <w:sz w:val="20"/>
        </w:rPr>
        <w:t>ES</w:t>
      </w:r>
      <w:r>
        <w:rPr>
          <w:rFonts w:ascii="Times New Roman" w:hAnsi="Times New Roman"/>
          <w:i/>
          <w:sz w:val="20"/>
        </w:rPr>
        <w:t xml:space="preserve">, la </w:t>
      </w:r>
      <w:r>
        <w:rPr>
          <w:rFonts w:ascii="Times New Roman" w:hAnsi="Times New Roman"/>
          <w:b/>
          <w:bCs/>
          <w:i/>
          <w:sz w:val="20"/>
        </w:rPr>
        <w:t>FR</w:t>
      </w:r>
      <w:r>
        <w:rPr>
          <w:rFonts w:ascii="Times New Roman" w:hAnsi="Times New Roman"/>
          <w:i/>
          <w:sz w:val="20"/>
        </w:rPr>
        <w:t xml:space="preserve">, la </w:t>
      </w:r>
      <w:r>
        <w:rPr>
          <w:rFonts w:ascii="Times New Roman" w:hAnsi="Times New Roman"/>
          <w:b/>
          <w:bCs/>
          <w:i/>
          <w:sz w:val="20"/>
        </w:rPr>
        <w:t>HR</w:t>
      </w:r>
      <w:r>
        <w:rPr>
          <w:rFonts w:ascii="Times New Roman" w:hAnsi="Times New Roman"/>
          <w:i/>
          <w:sz w:val="20"/>
        </w:rPr>
        <w:t xml:space="preserve">, le </w:t>
      </w:r>
      <w:r>
        <w:rPr>
          <w:rFonts w:ascii="Times New Roman" w:hAnsi="Times New Roman"/>
          <w:b/>
          <w:bCs/>
          <w:i/>
          <w:sz w:val="20"/>
        </w:rPr>
        <w:t>PT</w:t>
      </w:r>
      <w:r>
        <w:rPr>
          <w:rFonts w:ascii="Times New Roman" w:hAnsi="Times New Roman"/>
          <w:i/>
          <w:sz w:val="20"/>
        </w:rPr>
        <w:t xml:space="preserve"> et la </w:t>
      </w:r>
      <w:r>
        <w:rPr>
          <w:rFonts w:ascii="Times New Roman" w:hAnsi="Times New Roman"/>
          <w:b/>
          <w:bCs/>
          <w:i/>
          <w:sz w:val="20"/>
        </w:rPr>
        <w:t>SK</w:t>
      </w:r>
      <w:r>
        <w:rPr>
          <w:rFonts w:ascii="Times New Roman" w:hAnsi="Times New Roman"/>
          <w:i/>
          <w:sz w:val="20"/>
        </w:rPr>
        <w:t xml:space="preserve"> sont provisoires. </w:t>
      </w:r>
    </w:p>
    <w:p w:rsidR="00D23207" w:rsidRDefault="00493C98">
      <w:pPr>
        <w:spacing w:after="0" w:line="240" w:lineRule="auto"/>
        <w:jc w:val="both"/>
        <w:rPr>
          <w:rFonts w:ascii="Times New Roman" w:eastAsia="Calibri" w:hAnsi="Times New Roman" w:cs="Times New Roman"/>
          <w:sz w:val="24"/>
        </w:rPr>
      </w:pPr>
      <w:r>
        <w:br w:type="page"/>
      </w:r>
    </w:p>
    <w:bookmarkEnd w:id="401"/>
    <w:p w:rsidR="00D23207" w:rsidRDefault="00493C98">
      <w:pPr>
        <w:spacing w:before="120" w:after="0" w:line="240" w:lineRule="auto"/>
        <w:jc w:val="both"/>
        <w:rPr>
          <w:rFonts w:ascii="Times New Roman" w:eastAsia="Calibri" w:hAnsi="Times New Roman" w:cs="Times New Roman"/>
          <w:b/>
        </w:rPr>
      </w:pPr>
      <w:r>
        <w:rPr>
          <w:rFonts w:ascii="Times New Roman" w:hAnsi="Times New Roman"/>
          <w:sz w:val="24"/>
          <w:szCs w:val="24"/>
        </w:rPr>
        <w:t xml:space="preserve">Le graphique 34 montre les principales catégories économiques comprenant les dépenses des administrations publiques consacrées aux juridictions: </w:t>
      </w:r>
      <w:r>
        <w:rPr>
          <w:rFonts w:ascii="Times New Roman" w:hAnsi="Times New Roman"/>
        </w:rPr>
        <w:t>1) les salaires et traitements des juges et des membres du personnel judiciaire, y compris les cotisations soci</w:t>
      </w:r>
      <w:r>
        <w:rPr>
          <w:rFonts w:ascii="Times New Roman" w:hAnsi="Times New Roman"/>
        </w:rPr>
        <w:t>ales [«rémunération des salariés» (</w:t>
      </w:r>
      <w:r>
        <w:rPr>
          <w:rFonts w:ascii="Times New Roman" w:eastAsia="Calibri" w:hAnsi="Times New Roman" w:cs="Times New Roman"/>
          <w:vertAlign w:val="superscript"/>
        </w:rPr>
        <w:footnoteReference w:id="75"/>
      </w:r>
      <w:r>
        <w:rPr>
          <w:rFonts w:ascii="Times New Roman" w:hAnsi="Times New Roman"/>
        </w:rPr>
        <w:t>)], 2) les dépenses de fonctionnement pour les biens et services consommés par les juridictions telles que la location de bâtiments, les fournitures de bureau, l’énergie et l’aide juridictionnelle [«consommation interméd</w:t>
      </w:r>
      <w:r>
        <w:rPr>
          <w:rFonts w:ascii="Times New Roman" w:hAnsi="Times New Roman"/>
        </w:rPr>
        <w:t>iaire» (</w:t>
      </w:r>
      <w:r>
        <w:rPr>
          <w:rFonts w:ascii="Times New Roman" w:eastAsia="Calibri" w:hAnsi="Times New Roman" w:cs="Times New Roman"/>
          <w:vertAlign w:val="superscript"/>
        </w:rPr>
        <w:footnoteReference w:id="76"/>
      </w:r>
      <w:r>
        <w:rPr>
          <w:rFonts w:ascii="Times New Roman" w:hAnsi="Times New Roman"/>
        </w:rPr>
        <w:t>)], 3) les investissements dans les actifs fixes comme les palais de justice et les logiciels [«formation brute de capital fixe» (</w:t>
      </w:r>
      <w:r>
        <w:rPr>
          <w:rFonts w:ascii="Times New Roman" w:eastAsia="Calibri" w:hAnsi="Times New Roman" w:cs="Times New Roman"/>
          <w:sz w:val="24"/>
          <w:szCs w:val="24"/>
        </w:rPr>
        <w:footnoteReference w:id="77"/>
      </w:r>
      <w:r>
        <w:rPr>
          <w:rFonts w:ascii="Times New Roman" w:hAnsi="Times New Roman"/>
        </w:rPr>
        <w:t>)], et 4) les autres dépenses.</w:t>
      </w:r>
    </w:p>
    <w:p w:rsidR="00D23207" w:rsidRDefault="00493C98">
      <w:pPr>
        <w:keepNext/>
        <w:spacing w:before="240" w:after="120" w:line="240" w:lineRule="auto"/>
        <w:jc w:val="both"/>
        <w:rPr>
          <w:rFonts w:ascii="Times New Roman" w:eastAsia="Times New Roman" w:hAnsi="Times New Roman" w:cs="Times New Roman"/>
          <w:i/>
          <w:sz w:val="24"/>
          <w:szCs w:val="24"/>
        </w:rPr>
      </w:pPr>
      <w:r>
        <w:rPr>
          <w:rFonts w:ascii="Times New Roman" w:hAnsi="Times New Roman"/>
          <w:b/>
          <w:sz w:val="24"/>
          <w:szCs w:val="24"/>
        </w:rPr>
        <w:t>Graphique </w:t>
      </w:r>
      <w:r>
        <w:rPr>
          <w:rFonts w:ascii="Times New Roman" w:eastAsia="Calibri" w:hAnsi="Times New Roman" w:cs="Times New Roman"/>
          <w:b/>
          <w:sz w:val="24"/>
          <w:szCs w:val="24"/>
        </w:rPr>
        <w:fldChar w:fldCharType="begin"/>
      </w:r>
      <w:r>
        <w:rPr>
          <w:rFonts w:ascii="Times New Roman" w:eastAsia="Calibri" w:hAnsi="Times New Roman" w:cs="Times New Roman"/>
          <w:b/>
          <w:sz w:val="24"/>
          <w:szCs w:val="24"/>
        </w:rPr>
        <w:instrText xml:space="preserve"> SEQ Figure \* ARABIC  \* MERGEFORMAT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34</w:t>
      </w:r>
      <w:r>
        <w:rPr>
          <w:rFonts w:ascii="Times New Roman" w:eastAsia="Calibri" w:hAnsi="Times New Roman" w:cs="Times New Roman"/>
          <w:b/>
          <w:sz w:val="24"/>
          <w:szCs w:val="24"/>
        </w:rPr>
        <w:fldChar w:fldCharType="end"/>
      </w:r>
      <w:r>
        <w:rPr>
          <w:rFonts w:ascii="Times New Roman" w:hAnsi="Times New Roman"/>
          <w:b/>
          <w:sz w:val="24"/>
          <w:szCs w:val="24"/>
        </w:rPr>
        <w:t xml:space="preserve">: </w:t>
      </w:r>
      <w:r>
        <w:rPr>
          <w:rFonts w:ascii="Times New Roman" w:hAnsi="Times New Roman"/>
          <w:b/>
          <w:bCs/>
          <w:sz w:val="24"/>
          <w:szCs w:val="24"/>
        </w:rPr>
        <w:t>total des dépenses des adminis</w:t>
      </w:r>
      <w:r>
        <w:rPr>
          <w:rFonts w:ascii="Times New Roman" w:hAnsi="Times New Roman"/>
          <w:b/>
          <w:bCs/>
          <w:sz w:val="24"/>
          <w:szCs w:val="24"/>
        </w:rPr>
        <w:t>trations publiques consacrées aux juridictions par catégorie (*)</w:t>
      </w:r>
      <w:r>
        <w:rPr>
          <w:rFonts w:ascii="Times New Roman" w:hAnsi="Times New Roman"/>
          <w:sz w:val="24"/>
          <w:szCs w:val="24"/>
        </w:rPr>
        <w:t xml:space="preserve"> (</w:t>
      </w:r>
      <w:r>
        <w:rPr>
          <w:rFonts w:ascii="Times New Roman" w:hAnsi="Times New Roman"/>
          <w:i/>
          <w:iCs/>
          <w:sz w:val="24"/>
          <w:szCs w:val="24"/>
        </w:rPr>
        <w:t>en 2018, en % des dépenses) (source:</w:t>
      </w:r>
      <w:r>
        <w:rPr>
          <w:rFonts w:ascii="Times New Roman" w:hAnsi="Times New Roman"/>
          <w:i/>
          <w:sz w:val="24"/>
          <w:szCs w:val="24"/>
        </w:rPr>
        <w:t xml:space="preserve"> Eurostat)</w:t>
      </w:r>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791425"/>
            <wp:effectExtent l="0" t="0" r="4445" b="9525"/>
            <wp:docPr id="97293" name="Picture 9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77255" cy="2791425"/>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 Les données pour l’</w:t>
      </w:r>
      <w:r>
        <w:rPr>
          <w:rFonts w:ascii="Times New Roman" w:hAnsi="Times New Roman"/>
          <w:b/>
          <w:bCs/>
          <w:i/>
          <w:sz w:val="20"/>
        </w:rPr>
        <w:t>ES</w:t>
      </w:r>
      <w:r>
        <w:rPr>
          <w:rFonts w:ascii="Times New Roman" w:hAnsi="Times New Roman"/>
          <w:i/>
          <w:sz w:val="20"/>
        </w:rPr>
        <w:t xml:space="preserve">, la </w:t>
      </w:r>
      <w:r>
        <w:rPr>
          <w:rFonts w:ascii="Times New Roman" w:hAnsi="Times New Roman"/>
          <w:b/>
          <w:bCs/>
          <w:i/>
          <w:sz w:val="20"/>
        </w:rPr>
        <w:t>FR</w:t>
      </w:r>
      <w:r>
        <w:rPr>
          <w:rFonts w:ascii="Times New Roman" w:hAnsi="Times New Roman"/>
          <w:i/>
          <w:sz w:val="20"/>
        </w:rPr>
        <w:t xml:space="preserve">, la </w:t>
      </w:r>
      <w:r>
        <w:rPr>
          <w:rFonts w:ascii="Times New Roman" w:hAnsi="Times New Roman"/>
          <w:b/>
          <w:bCs/>
          <w:i/>
          <w:sz w:val="20"/>
        </w:rPr>
        <w:t>HR</w:t>
      </w:r>
      <w:r>
        <w:rPr>
          <w:rFonts w:ascii="Times New Roman" w:hAnsi="Times New Roman"/>
          <w:i/>
          <w:sz w:val="20"/>
        </w:rPr>
        <w:t xml:space="preserve"> et la </w:t>
      </w:r>
      <w:r>
        <w:rPr>
          <w:rFonts w:ascii="Times New Roman" w:hAnsi="Times New Roman"/>
          <w:b/>
          <w:bCs/>
          <w:i/>
          <w:sz w:val="20"/>
        </w:rPr>
        <w:t>SK</w:t>
      </w:r>
      <w:r>
        <w:rPr>
          <w:rFonts w:ascii="Times New Roman" w:hAnsi="Times New Roman"/>
          <w:i/>
          <w:sz w:val="20"/>
        </w:rPr>
        <w:t xml:space="preserve"> sont provisoires, les données pour le </w:t>
      </w:r>
      <w:r>
        <w:rPr>
          <w:rFonts w:ascii="Times New Roman" w:hAnsi="Times New Roman"/>
          <w:b/>
          <w:bCs/>
          <w:i/>
          <w:sz w:val="20"/>
        </w:rPr>
        <w:t>PT</w:t>
      </w:r>
      <w:r>
        <w:rPr>
          <w:rFonts w:ascii="Times New Roman" w:hAnsi="Times New Roman"/>
          <w:i/>
          <w:sz w:val="20"/>
        </w:rPr>
        <w:t xml:space="preserve"> sont des estimations. </w:t>
      </w:r>
    </w:p>
    <w:p w:rsidR="00D23207" w:rsidRDefault="00493C98">
      <w:pPr>
        <w:spacing w:before="240" w:after="120" w:line="240" w:lineRule="auto"/>
        <w:jc w:val="both"/>
        <w:rPr>
          <w:rFonts w:ascii="Times New Roman" w:eastAsia="Calibri" w:hAnsi="Times New Roman" w:cs="Times New Roman"/>
          <w:sz w:val="24"/>
        </w:rPr>
      </w:pPr>
      <w:r>
        <w:rPr>
          <w:rFonts w:ascii="Times New Roman" w:hAnsi="Times New Roman"/>
          <w:i/>
        </w:rPr>
        <w:t>–</w:t>
      </w:r>
      <w:r>
        <w:rPr>
          <w:rFonts w:ascii="Times New Roman" w:hAnsi="Times New Roman"/>
          <w:i/>
          <w:sz w:val="24"/>
        </w:rPr>
        <w:t xml:space="preserve"> Ressources humaines </w:t>
      </w:r>
      <w:r>
        <w:rPr>
          <w:rFonts w:ascii="Times New Roman" w:hAnsi="Times New Roman"/>
          <w:i/>
        </w:rPr>
        <w:t>–</w:t>
      </w:r>
    </w:p>
    <w:p w:rsidR="00D23207" w:rsidRDefault="00493C98">
      <w:pPr>
        <w:spacing w:before="120" w:after="120" w:line="240" w:lineRule="auto"/>
        <w:jc w:val="both"/>
        <w:rPr>
          <w:rFonts w:ascii="Times New Roman" w:eastAsia="Calibri" w:hAnsi="Times New Roman" w:cs="Times New Roman"/>
          <w:b/>
          <w:sz w:val="24"/>
        </w:rPr>
      </w:pPr>
      <w:r>
        <w:rPr>
          <w:rFonts w:ascii="Times New Roman" w:hAnsi="Times New Roman"/>
          <w:sz w:val="24"/>
        </w:rPr>
        <w:t xml:space="preserve">Des </w:t>
      </w:r>
      <w:r>
        <w:rPr>
          <w:rFonts w:ascii="Times New Roman" w:hAnsi="Times New Roman"/>
          <w:sz w:val="24"/>
        </w:rPr>
        <w:t>ressources humaines adéquates sont essentielles pour un système judiciaire de qualité. La diversité parmi les juges, y compris un équilibre entre hommes et femmes, apporte des connaissances, des compétences et une expérience complémentaires et reflète la r</w:t>
      </w:r>
      <w:r>
        <w:rPr>
          <w:rFonts w:ascii="Times New Roman" w:hAnsi="Times New Roman"/>
          <w:sz w:val="24"/>
        </w:rPr>
        <w:t>éalité de la société.</w:t>
      </w:r>
    </w:p>
    <w:p w:rsidR="00D23207" w:rsidRDefault="00493C98">
      <w:pPr>
        <w:keepNext/>
        <w:spacing w:before="240" w:after="120" w:line="240" w:lineRule="auto"/>
        <w:jc w:val="both"/>
        <w:rPr>
          <w:rFonts w:ascii="Times New Roman" w:eastAsia="Calibri" w:hAnsi="Times New Roman" w:cs="Times New Roman"/>
          <w:b/>
          <w:b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szCs w:val="24"/>
        </w:rPr>
        <w:instrText xml:space="preserve"> SEQ Figure \* ARABIC  \* MERGEFORMAT </w:instrText>
      </w:r>
      <w:r>
        <w:rPr>
          <w:rFonts w:ascii="Times New Roman" w:eastAsia="Calibri" w:hAnsi="Times New Roman" w:cs="Times New Roman"/>
          <w:b/>
          <w:sz w:val="24"/>
          <w:szCs w:val="24"/>
        </w:rPr>
        <w:fldChar w:fldCharType="separate"/>
      </w:r>
      <w:r>
        <w:rPr>
          <w:rFonts w:ascii="Times New Roman" w:eastAsia="Calibri" w:hAnsi="Times New Roman" w:cs="Times New Roman"/>
          <w:b/>
          <w:bCs/>
          <w:sz w:val="24"/>
          <w:szCs w:val="24"/>
        </w:rPr>
        <w:t>35</w:t>
      </w:r>
      <w:r>
        <w:fldChar w:fldCharType="end"/>
      </w:r>
      <w:r>
        <w:rPr>
          <w:rFonts w:ascii="Times New Roman" w:hAnsi="Times New Roman"/>
          <w:b/>
          <w:bCs/>
        </w:rPr>
        <w:t>:</w:t>
      </w:r>
      <w:r>
        <w:rPr>
          <w:rFonts w:ascii="Times New Roman" w:hAnsi="Times New Roman"/>
          <w:b/>
          <w:bCs/>
          <w:sz w:val="24"/>
          <w:szCs w:val="24"/>
        </w:rPr>
        <w:t xml:space="preserve"> nombre de juges, 2012-2018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(par 100 000 habitants) (source: étude de la CEPEJ)</w:t>
      </w:r>
    </w:p>
    <w:p w:rsidR="00D23207" w:rsidRDefault="00493C98">
      <w:pPr>
        <w:spacing w:after="0" w:line="240" w:lineRule="auto"/>
        <w:jc w:val="both"/>
        <w:rPr>
          <w:rFonts w:ascii="Times New Roman" w:eastAsia="Calibri" w:hAnsi="Times New Roman" w:cs="Times New Roman"/>
          <w:i/>
          <w:sz w:val="20"/>
          <w:szCs w:val="20"/>
        </w:rPr>
      </w:pPr>
      <w:r>
        <w:rPr>
          <w:rFonts w:ascii="Times New Roman" w:hAnsi="Times New Roman"/>
          <w:i/>
          <w:sz w:val="20"/>
          <w:szCs w:val="20"/>
          <w:lang w:val="en-GB" w:eastAsia="en-GB"/>
        </w:rPr>
        <w:drawing>
          <wp:inline distT="0" distB="0" distL="0" distR="0">
            <wp:extent cx="5976000" cy="2658928"/>
            <wp:effectExtent l="0" t="0" r="5715" b="8255"/>
            <wp:docPr id="97300" name="Picture 9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76000" cy="2658928"/>
                    </a:xfrm>
                    <a:prstGeom prst="rect">
                      <a:avLst/>
                    </a:prstGeom>
                    <a:noFill/>
                  </pic:spPr>
                </pic:pic>
              </a:graphicData>
            </a:graphic>
          </wp:inline>
        </w:drawing>
      </w:r>
    </w:p>
    <w:p w:rsidR="00D23207" w:rsidRDefault="00493C98">
      <w:pPr>
        <w:spacing w:after="0" w:line="240" w:lineRule="auto"/>
        <w:jc w:val="both"/>
        <w:rPr>
          <w:rFonts w:ascii="Times New Roman" w:eastAsia="Calibri" w:hAnsi="Times New Roman" w:cs="Times New Roman"/>
          <w:i/>
          <w:sz w:val="20"/>
          <w:szCs w:val="20"/>
        </w:rPr>
      </w:pPr>
      <w:r>
        <w:rPr>
          <w:rFonts w:ascii="Times New Roman" w:hAnsi="Times New Roman"/>
          <w:i/>
          <w:sz w:val="20"/>
          <w:szCs w:val="20"/>
        </w:rPr>
        <w:t xml:space="preserve">(*) Cette catégorie correspond aux juges travaillant à temps plein, selon la méthodologie de la CEPEJ. Elle n’inclut pas les «Rechtspfleger» (auxiliaires de justice) qui existent dans certains États membres. </w:t>
      </w:r>
      <w:r>
        <w:rPr>
          <w:rFonts w:ascii="Times New Roman" w:hAnsi="Times New Roman"/>
          <w:b/>
          <w:i/>
          <w:sz w:val="20"/>
          <w:szCs w:val="20"/>
        </w:rPr>
        <w:t>AT:</w:t>
      </w:r>
      <w:r>
        <w:rPr>
          <w:rFonts w:ascii="Times New Roman" w:hAnsi="Times New Roman"/>
          <w:i/>
          <w:sz w:val="20"/>
          <w:szCs w:val="20"/>
        </w:rPr>
        <w:t xml:space="preserve"> les données sur la justice administrative du</w:t>
      </w:r>
      <w:r>
        <w:rPr>
          <w:rFonts w:ascii="Times New Roman" w:hAnsi="Times New Roman"/>
          <w:i/>
          <w:sz w:val="20"/>
          <w:szCs w:val="20"/>
        </w:rPr>
        <w:t xml:space="preserve"> cycle 2016 sont intégrées pour la première fois. </w:t>
      </w:r>
      <w:r>
        <w:rPr>
          <w:rFonts w:ascii="Times New Roman" w:hAnsi="Times New Roman"/>
          <w:b/>
          <w:i/>
          <w:sz w:val="20"/>
        </w:rPr>
        <w:t>EL:</w:t>
      </w:r>
      <w:r>
        <w:rPr>
          <w:rFonts w:ascii="Times New Roman" w:hAnsi="Times New Roman"/>
          <w:i/>
          <w:sz w:val="20"/>
        </w:rPr>
        <w:t xml:space="preserve"> le nombre total de juges professionnels comprend différentes catégories selon les années indiquées ci-dessus, ce qui explique en partie leur variation. Depuis 2016, les données sur le nombre de juges pr</w:t>
      </w:r>
      <w:r>
        <w:rPr>
          <w:rFonts w:ascii="Times New Roman" w:hAnsi="Times New Roman"/>
          <w:i/>
          <w:sz w:val="20"/>
        </w:rPr>
        <w:t xml:space="preserve">ofessionnels incluent toutes les catégories de juges en matière de justice pénale et civile, ainsi que les juges administratifs. </w:t>
      </w:r>
      <w:r>
        <w:rPr>
          <w:rFonts w:ascii="Times New Roman" w:hAnsi="Times New Roman"/>
          <w:b/>
          <w:i/>
          <w:sz w:val="20"/>
        </w:rPr>
        <w:t xml:space="preserve">IT: </w:t>
      </w:r>
      <w:r>
        <w:rPr>
          <w:rFonts w:ascii="Times New Roman" w:hAnsi="Times New Roman"/>
          <w:i/>
          <w:sz w:val="20"/>
        </w:rPr>
        <w:t>les commissions d’audit régionales, les commissions fiscales locales et les juridictions militaires ne sont pas prises en c</w:t>
      </w:r>
      <w:r>
        <w:rPr>
          <w:rFonts w:ascii="Times New Roman" w:hAnsi="Times New Roman"/>
          <w:i/>
          <w:sz w:val="20"/>
        </w:rPr>
        <w:t xml:space="preserve">onsidération. </w:t>
      </w:r>
      <w:r>
        <w:rPr>
          <w:rFonts w:ascii="Times New Roman" w:hAnsi="Times New Roman"/>
          <w:b/>
          <w:i/>
          <w:sz w:val="20"/>
        </w:rPr>
        <w:t>LU:</w:t>
      </w:r>
      <w:r>
        <w:rPr>
          <w:rFonts w:ascii="Times New Roman" w:hAnsi="Times New Roman"/>
          <w:i/>
          <w:sz w:val="20"/>
        </w:rPr>
        <w:t xml:space="preserve"> les chiffres ont été révisés à la suite d’une amélioration méthodologique.</w:t>
      </w:r>
    </w:p>
    <w:p w:rsidR="00D23207" w:rsidRDefault="00493C98">
      <w:pPr>
        <w:spacing w:before="240" w:after="120" w:line="240" w:lineRule="auto"/>
        <w:jc w:val="both"/>
        <w:rPr>
          <w:rFonts w:ascii="Times New Roman" w:eastAsia="Calibri" w:hAnsi="Times New Roman" w:cs="Times New Roman"/>
          <w:i/>
          <w:iCs/>
          <w:color w:val="000000"/>
          <w:sz w:val="24"/>
          <w:szCs w:val="24"/>
        </w:rPr>
      </w:pPr>
      <w:bookmarkStart w:id="402" w:name="_Ref441218695"/>
      <w:r>
        <w:rPr>
          <w:rFonts w:ascii="Times New Roman" w:hAnsi="Times New Roman"/>
          <w:b/>
          <w:bCs/>
          <w:color w:val="000000"/>
          <w:sz w:val="24"/>
          <w:szCs w:val="24"/>
        </w:rPr>
        <w:t>Graphique </w:t>
      </w:r>
      <w:r>
        <w:fldChar w:fldCharType="begin"/>
      </w:r>
      <w:r>
        <w:rPr>
          <w:rFonts w:ascii="Times New Roman" w:eastAsia="Calibri" w:hAnsi="Times New Roman" w:cs="Times New Roman"/>
          <w:b/>
          <w:sz w:val="24"/>
          <w:szCs w:val="24"/>
        </w:rPr>
        <w:instrText xml:space="preserve"> SEQ Figure \* ARABIC  \* MERGEFORMAT  \* MERGEFORMAT </w:instrText>
      </w:r>
      <w:r>
        <w:rPr>
          <w:rFonts w:ascii="Times New Roman" w:eastAsia="Calibri" w:hAnsi="Times New Roman" w:cs="Times New Roman"/>
          <w:b/>
          <w:sz w:val="24"/>
          <w:szCs w:val="24"/>
        </w:rPr>
        <w:fldChar w:fldCharType="separate"/>
      </w:r>
      <w:r>
        <w:rPr>
          <w:rFonts w:ascii="Times New Roman" w:eastAsia="Calibri" w:hAnsi="Times New Roman" w:cs="Times New Roman"/>
          <w:b/>
          <w:bCs/>
          <w:sz w:val="24"/>
          <w:szCs w:val="24"/>
        </w:rPr>
        <w:t>36</w:t>
      </w:r>
      <w:r>
        <w:fldChar w:fldCharType="end"/>
      </w:r>
      <w:bookmarkStart w:id="403" w:name="_Toc409530229"/>
      <w:bookmarkEnd w:id="402"/>
      <w:r>
        <w:rPr>
          <w:rFonts w:ascii="Times New Roman" w:hAnsi="Times New Roman"/>
          <w:b/>
          <w:bCs/>
          <w:color w:val="000000"/>
          <w:sz w:val="24"/>
          <w:szCs w:val="24"/>
        </w:rPr>
        <w:t>: proportion de femmes parmi les juges professionnels dans les Cours suprêmes, 2017-2019</w:t>
      </w:r>
      <w:r>
        <w:rPr>
          <w:rFonts w:ascii="Times New Roman" w:hAnsi="Times New Roman"/>
          <w:color w:val="000000"/>
          <w:sz w:val="24"/>
          <w:szCs w:val="24"/>
        </w:rPr>
        <w:t xml:space="preserve"> (*) </w:t>
      </w:r>
      <w:r>
        <w:rPr>
          <w:rFonts w:ascii="Times New Roman" w:hAnsi="Times New Roman"/>
          <w:i/>
          <w:iCs/>
          <w:color w:val="000000"/>
          <w:sz w:val="24"/>
          <w:szCs w:val="24"/>
        </w:rPr>
        <w:t>[source: Commission européenne (</w:t>
      </w:r>
      <w:r>
        <w:rPr>
          <w:rFonts w:ascii="Times New Roman" w:eastAsia="Calibri" w:hAnsi="Times New Roman" w:cs="Times New Roman"/>
          <w:i/>
          <w:iCs/>
          <w:color w:val="000000"/>
          <w:sz w:val="24"/>
          <w:szCs w:val="24"/>
          <w:vertAlign w:val="superscript"/>
        </w:rPr>
        <w:footnoteReference w:id="78"/>
      </w:r>
      <w:r>
        <w:rPr>
          <w:rFonts w:ascii="Times New Roman" w:hAnsi="Times New Roman"/>
          <w:i/>
          <w:iCs/>
          <w:color w:val="000000"/>
          <w:sz w:val="24"/>
          <w:szCs w:val="24"/>
        </w:rPr>
        <w:t>)]</w:t>
      </w:r>
    </w:p>
    <w:p w:rsidR="00D23207" w:rsidRDefault="00493C98">
      <w:pPr>
        <w:spacing w:after="0" w:line="240" w:lineRule="auto"/>
        <w:jc w:val="both"/>
        <w:rPr>
          <w:rFonts w:ascii="Times New Roman" w:eastAsia="Calibri" w:hAnsi="Times New Roman" w:cs="Times New Roman"/>
          <w:i/>
          <w:color w:val="000000"/>
          <w:sz w:val="20"/>
          <w:szCs w:val="24"/>
        </w:rPr>
      </w:pPr>
      <w:r>
        <w:rPr>
          <w:rFonts w:ascii="Times New Roman" w:hAnsi="Times New Roman"/>
          <w:i/>
          <w:color w:val="000000"/>
          <w:sz w:val="20"/>
          <w:szCs w:val="24"/>
          <w:lang w:val="en-GB" w:eastAsia="en-GB"/>
        </w:rPr>
        <w:drawing>
          <wp:inline distT="0" distB="0" distL="0" distR="0">
            <wp:extent cx="5976000" cy="2321658"/>
            <wp:effectExtent l="0" t="0" r="5715" b="2540"/>
            <wp:docPr id="97301" name="Picture 9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76000" cy="2321658"/>
                    </a:xfrm>
                    <a:prstGeom prst="rect">
                      <a:avLst/>
                    </a:prstGeom>
                    <a:noFill/>
                  </pic:spPr>
                </pic:pic>
              </a:graphicData>
            </a:graphic>
          </wp:inline>
        </w:drawing>
      </w:r>
    </w:p>
    <w:p w:rsidR="00D23207" w:rsidRDefault="00493C98">
      <w:pPr>
        <w:spacing w:after="0" w:line="240" w:lineRule="auto"/>
        <w:jc w:val="both"/>
        <w:rPr>
          <w:rFonts w:ascii="Times New Roman" w:eastAsia="Calibri" w:hAnsi="Times New Roman" w:cs="Times New Roman"/>
          <w:i/>
          <w:color w:val="000000"/>
          <w:sz w:val="24"/>
          <w:szCs w:val="24"/>
        </w:rPr>
      </w:pPr>
      <w:r>
        <w:rPr>
          <w:rFonts w:ascii="Times New Roman" w:hAnsi="Times New Roman"/>
          <w:i/>
          <w:color w:val="000000"/>
          <w:sz w:val="20"/>
          <w:szCs w:val="24"/>
        </w:rPr>
        <w:t>(*) triées par chiffres de 2019, des plus élevés aux plus faibles.</w:t>
      </w:r>
    </w:p>
    <w:p w:rsidR="00D23207" w:rsidRDefault="00493C98">
      <w:pPr>
        <w:spacing w:after="0" w:line="240" w:lineRule="auto"/>
        <w:jc w:val="both"/>
        <w:rPr>
          <w:rFonts w:ascii="Times New Roman" w:eastAsia="Calibri" w:hAnsi="Times New Roman" w:cs="Times New Roman"/>
          <w:i/>
          <w:color w:val="000000"/>
          <w:sz w:val="20"/>
          <w:szCs w:val="24"/>
        </w:rPr>
      </w:pPr>
      <w:r>
        <w:br w:type="page"/>
      </w:r>
    </w:p>
    <w:p w:rsidR="00D23207" w:rsidRDefault="00493C98">
      <w:pPr>
        <w:spacing w:before="240" w:after="120" w:line="240" w:lineRule="auto"/>
        <w:jc w:val="both"/>
        <w:rPr>
          <w:rFonts w:ascii="Times New Roman" w:eastAsia="Calibri" w:hAnsi="Times New Roman" w:cs="Times New Roman"/>
          <w:i/>
          <w:iCs/>
          <w:sz w:val="24"/>
          <w:szCs w:val="24"/>
        </w:rPr>
      </w:pPr>
      <w:r>
        <w:rPr>
          <w:rFonts w:ascii="Times New Roman" w:hAnsi="Times New Roman"/>
          <w:b/>
          <w:bCs/>
          <w:color w:val="000000"/>
          <w:sz w:val="24"/>
          <w:szCs w:val="24"/>
        </w:rPr>
        <w:t>Graphique </w:t>
      </w:r>
      <w:r>
        <w:fldChar w:fldCharType="begin"/>
      </w:r>
      <w:r>
        <w:rPr>
          <w:rFonts w:ascii="Times New Roman" w:eastAsia="Calibri" w:hAnsi="Times New Roman" w:cs="Times New Roman"/>
          <w:b/>
          <w:sz w:val="24"/>
          <w:szCs w:val="24"/>
        </w:rPr>
        <w:instrText xml:space="preserve"> SEQ Figure \* ARABIC  \* MERGEFORMAT  \* MERGEFORMAT </w:instrText>
      </w:r>
      <w:r>
        <w:rPr>
          <w:rFonts w:ascii="Times New Roman" w:eastAsia="Calibri" w:hAnsi="Times New Roman" w:cs="Times New Roman"/>
          <w:b/>
          <w:sz w:val="24"/>
          <w:szCs w:val="24"/>
        </w:rPr>
        <w:fldChar w:fldCharType="separate"/>
      </w:r>
      <w:r>
        <w:rPr>
          <w:rFonts w:ascii="Times New Roman" w:eastAsia="Calibri" w:hAnsi="Times New Roman" w:cs="Times New Roman"/>
          <w:b/>
          <w:bCs/>
          <w:sz w:val="24"/>
          <w:szCs w:val="24"/>
        </w:rPr>
        <w:t>37</w:t>
      </w:r>
      <w:r>
        <w:fldChar w:fldCharType="end"/>
      </w:r>
      <w:r>
        <w:rPr>
          <w:rFonts w:ascii="Times New Roman" w:hAnsi="Times New Roman"/>
          <w:b/>
          <w:bCs/>
        </w:rPr>
        <w:t>:</w:t>
      </w:r>
      <w:r>
        <w:rPr>
          <w:rFonts w:ascii="Times New Roman" w:hAnsi="Times New Roman"/>
          <w:b/>
          <w:bCs/>
          <w:sz w:val="24"/>
          <w:szCs w:val="24"/>
        </w:rPr>
        <w:t xml:space="preserve"> nombre d’avocats, 2012-2018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 xml:space="preserve">(par 100 000 habitants) (source: étude de la </w:t>
      </w:r>
      <w:r>
        <w:rPr>
          <w:rFonts w:ascii="Times New Roman" w:hAnsi="Times New Roman"/>
          <w:i/>
          <w:iCs/>
          <w:sz w:val="24"/>
          <w:szCs w:val="24"/>
        </w:rPr>
        <w:t>CEPEJ)</w:t>
      </w:r>
    </w:p>
    <w:p w:rsidR="00D23207" w:rsidRDefault="00493C98">
      <w:pPr>
        <w:spacing w:after="0" w:line="240" w:lineRule="auto"/>
        <w:jc w:val="both"/>
        <w:rPr>
          <w:rFonts w:ascii="Times New Roman" w:eastAsia="Calibri" w:hAnsi="Times New Roman" w:cs="Times New Roman"/>
          <w:i/>
          <w:sz w:val="20"/>
          <w:szCs w:val="20"/>
        </w:rPr>
      </w:pPr>
      <w:r>
        <w:rPr>
          <w:rFonts w:ascii="Times New Roman" w:hAnsi="Times New Roman"/>
          <w:i/>
          <w:sz w:val="20"/>
          <w:szCs w:val="20"/>
          <w:lang w:val="en-GB" w:eastAsia="en-GB"/>
        </w:rPr>
        <w:drawing>
          <wp:inline distT="0" distB="0" distL="0" distR="0">
            <wp:extent cx="5976000" cy="2524254"/>
            <wp:effectExtent l="0" t="0" r="5715" b="9525"/>
            <wp:docPr id="97302" name="Picture 9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76000" cy="2524254"/>
                    </a:xfrm>
                    <a:prstGeom prst="rect">
                      <a:avLst/>
                    </a:prstGeom>
                    <a:noFill/>
                  </pic:spPr>
                </pic:pic>
              </a:graphicData>
            </a:graphic>
          </wp:inline>
        </w:drawing>
      </w:r>
    </w:p>
    <w:p w:rsidR="00D23207" w:rsidRDefault="00493C98">
      <w:pPr>
        <w:spacing w:after="0" w:line="240" w:lineRule="auto"/>
        <w:jc w:val="both"/>
        <w:rPr>
          <w:rFonts w:ascii="Times New Roman" w:eastAsia="Calibri" w:hAnsi="Times New Roman" w:cs="Times New Roman"/>
          <w:i/>
          <w:sz w:val="20"/>
          <w:szCs w:val="20"/>
        </w:rPr>
      </w:pPr>
      <w:r>
        <w:rPr>
          <w:rFonts w:ascii="Times New Roman" w:hAnsi="Times New Roman"/>
          <w:i/>
          <w:sz w:val="20"/>
          <w:szCs w:val="20"/>
        </w:rPr>
        <w:t>(*) Selon la méthodologie de la CEPEJ, le terme «avocat» désigne une personne qualifiée et autorisée par le droit national à plaider, à agir au nom de ses clients, à pratiquer le droit, à ester en justice ou à conseiller et représenter ses clients</w:t>
      </w:r>
      <w:r>
        <w:rPr>
          <w:rFonts w:ascii="Times New Roman" w:hAnsi="Times New Roman"/>
          <w:i/>
          <w:sz w:val="20"/>
          <w:szCs w:val="20"/>
        </w:rPr>
        <w:t xml:space="preserve"> en matière juridique [recommandation R(2000)21 du Comité des ministres du Conseil de l’Europe sur la liberté d’exercice de la profession d’avocat]. </w:t>
      </w:r>
      <w:r>
        <w:rPr>
          <w:rFonts w:ascii="Times New Roman" w:hAnsi="Times New Roman"/>
          <w:b/>
          <w:i/>
          <w:sz w:val="20"/>
          <w:szCs w:val="20"/>
        </w:rPr>
        <w:t>DE:</w:t>
      </w:r>
      <w:r>
        <w:rPr>
          <w:rFonts w:ascii="Times New Roman" w:hAnsi="Times New Roman"/>
          <w:i/>
          <w:sz w:val="20"/>
          <w:szCs w:val="20"/>
        </w:rPr>
        <w:t xml:space="preserve"> aucune distinction n’est établie entre les différents groupes d’avocats en Allemagne, par exemple entre</w:t>
      </w:r>
      <w:r>
        <w:rPr>
          <w:rFonts w:ascii="Times New Roman" w:hAnsi="Times New Roman"/>
          <w:i/>
          <w:sz w:val="20"/>
          <w:szCs w:val="20"/>
        </w:rPr>
        <w:t xml:space="preserve"> les «solicitors» et les «barristers». </w:t>
      </w:r>
      <w:r>
        <w:rPr>
          <w:rFonts w:ascii="Times New Roman" w:hAnsi="Times New Roman"/>
          <w:b/>
          <w:i/>
          <w:sz w:val="20"/>
          <w:szCs w:val="20"/>
        </w:rPr>
        <w:t>FI:</w:t>
      </w:r>
      <w:r>
        <w:rPr>
          <w:rFonts w:ascii="Times New Roman" w:hAnsi="Times New Roman"/>
          <w:i/>
          <w:sz w:val="20"/>
          <w:szCs w:val="20"/>
        </w:rPr>
        <w:t xml:space="preserve"> depuis 2015, le nombre d’avocats présenté comprend à la fois le nombre d’avocats travaillant dans le secteur privé et celui des avocats travaillant dans le secteur public.</w:t>
      </w:r>
      <w:r>
        <w:rPr>
          <w:rFonts w:ascii="Times New Roman" w:hAnsi="Times New Roman"/>
        </w:rPr>
        <w:t xml:space="preserve"> </w:t>
      </w:r>
    </w:p>
    <w:p w:rsidR="00D23207" w:rsidRDefault="00493C98">
      <w:pPr>
        <w:keepNext/>
        <w:spacing w:before="240" w:after="120" w:line="240" w:lineRule="auto"/>
        <w:jc w:val="both"/>
        <w:rPr>
          <w:rFonts w:ascii="Times New Roman" w:eastAsia="Calibri" w:hAnsi="Times New Roman" w:cs="Times New Roman"/>
          <w:i/>
          <w:sz w:val="24"/>
        </w:rPr>
      </w:pPr>
      <w:r>
        <w:rPr>
          <w:rFonts w:ascii="Times New Roman" w:hAnsi="Times New Roman"/>
          <w:i/>
          <w:sz w:val="24"/>
        </w:rPr>
        <w:t xml:space="preserve">– Formation </w:t>
      </w:r>
      <w:r>
        <w:rPr>
          <w:rFonts w:ascii="Times New Roman" w:hAnsi="Times New Roman"/>
          <w:i/>
        </w:rPr>
        <w:t>–</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rPr>
        <w:t>La formation judiciaire es</w:t>
      </w:r>
      <w:r>
        <w:rPr>
          <w:rFonts w:ascii="Times New Roman" w:hAnsi="Times New Roman"/>
          <w:sz w:val="24"/>
        </w:rPr>
        <w:t>t importante dans la mesure où elle contribue à la qualité des décisions de justice et au service de justice rendu aux citoyens. Les données figurant ci-dessous couvrent la formation judiciaire dans un large éventail de domaines, notamment la communication</w:t>
      </w:r>
      <w:r>
        <w:rPr>
          <w:rFonts w:ascii="Times New Roman" w:hAnsi="Times New Roman"/>
          <w:sz w:val="24"/>
        </w:rPr>
        <w:t xml:space="preserve"> avec les parties et avec la presse, ainsi que les compétences judiciaires. </w:t>
      </w:r>
    </w:p>
    <w:p w:rsidR="00D23207" w:rsidRDefault="00493C98">
      <w:pPr>
        <w:spacing w:before="240" w:after="120" w:line="240" w:lineRule="auto"/>
        <w:jc w:val="both"/>
        <w:rPr>
          <w:rFonts w:ascii="Times New Roman" w:eastAsia="Calibri" w:hAnsi="Times New Roman" w:cs="Times New Roman"/>
          <w:i/>
          <w:iCs/>
          <w:sz w:val="24"/>
          <w:szCs w:val="24"/>
        </w:rPr>
      </w:pPr>
      <w:bookmarkStart w:id="404" w:name="_Ref441218667"/>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38</w:t>
      </w:r>
      <w:r>
        <w:fldChar w:fldCharType="end"/>
      </w:r>
      <w:bookmarkEnd w:id="404"/>
      <w:r>
        <w:rPr>
          <w:rFonts w:ascii="Times New Roman" w:hAnsi="Times New Roman"/>
          <w:b/>
          <w:bCs/>
          <w:sz w:val="24"/>
          <w:szCs w:val="24"/>
        </w:rPr>
        <w:t>: proportion de formation continue des juges sur différents types de compétences, 2018 </w:t>
      </w:r>
      <w:r>
        <w:rPr>
          <w:rFonts w:ascii="Times New Roman" w:hAnsi="Times New Roman"/>
          <w:sz w:val="24"/>
          <w:szCs w:val="24"/>
        </w:rPr>
        <w:t>(</w:t>
      </w:r>
      <w:r>
        <w:rPr>
          <w:sz w:val="24"/>
          <w:szCs w:val="24"/>
        </w:rPr>
        <w:t>*</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i/>
          <w:iCs/>
          <w:sz w:val="24"/>
          <w:szCs w:val="24"/>
        </w:rPr>
        <w:t xml:space="preserve">(en pourcentage du nombre total de juges </w:t>
      </w:r>
      <w:r>
        <w:rPr>
          <w:rFonts w:ascii="Times New Roman" w:hAnsi="Times New Roman"/>
          <w:i/>
          <w:iCs/>
          <w:sz w:val="24"/>
          <w:szCs w:val="24"/>
        </w:rPr>
        <w:t>bénéficiant de ces types de formations) [source: Commission européenne (</w:t>
      </w:r>
      <w:r>
        <w:rPr>
          <w:rFonts w:ascii="Times New Roman" w:eastAsia="Calibri" w:hAnsi="Times New Roman" w:cs="Times New Roman"/>
          <w:i/>
          <w:iCs/>
          <w:sz w:val="24"/>
          <w:szCs w:val="24"/>
          <w:vertAlign w:val="superscript"/>
          <w:lang w:eastAsia="en-GB"/>
        </w:rPr>
        <w:footnoteReference w:id="79"/>
      </w:r>
      <w:r>
        <w:rPr>
          <w:rFonts w:ascii="Times New Roman" w:hAnsi="Times New Roman"/>
          <w:i/>
          <w:iCs/>
          <w:sz w:val="24"/>
          <w:szCs w:val="24"/>
        </w:rPr>
        <w:t>)]</w:t>
      </w:r>
      <w:bookmarkEnd w:id="403"/>
    </w:p>
    <w:p w:rsidR="00D23207" w:rsidRDefault="00493C98">
      <w:pPr>
        <w:spacing w:after="0" w:line="240" w:lineRule="auto"/>
        <w:jc w:val="both"/>
        <w:rPr>
          <w:rFonts w:ascii="Times New Roman" w:eastAsia="Calibri" w:hAnsi="Times New Roman" w:cs="Times New Roman"/>
          <w:i/>
          <w:sz w:val="20"/>
        </w:rPr>
      </w:pPr>
      <w:bookmarkStart w:id="405" w:name="_Ref441218678"/>
      <w:r>
        <w:rPr>
          <w:rFonts w:ascii="Times New Roman" w:eastAsia="Calibri" w:hAnsi="Times New Roman" w:cs="Times New Roman"/>
          <w:i/>
          <w:sz w:val="20"/>
          <w:lang w:val="en-GB" w:eastAsia="en-GB"/>
        </w:rPr>
        <w:drawing>
          <wp:inline distT="0" distB="0" distL="0" distR="0">
            <wp:extent cx="5977255" cy="1876306"/>
            <wp:effectExtent l="0" t="0" r="4445" b="0"/>
            <wp:docPr id="97296" name="Picture 9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7255" cy="1876306"/>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rPr>
      </w:pPr>
      <w:r>
        <w:rPr>
          <w:rFonts w:ascii="Times New Roman" w:hAnsi="Times New Roman"/>
          <w:i/>
          <w:sz w:val="20"/>
        </w:rPr>
        <w:t>(*) Le graphique 38 indique la répartition des juges participant à des activités de formation continue (c’est-à-dire celles ayant lieu après la période de formation initiale pour</w:t>
      </w:r>
      <w:r>
        <w:rPr>
          <w:rFonts w:ascii="Times New Roman" w:hAnsi="Times New Roman"/>
          <w:i/>
          <w:sz w:val="20"/>
        </w:rPr>
        <w:t xml:space="preserve"> devenir juge) dans chacun des quatre domaines identiques, exprimée en pourcentage du nombre total de juges bénéficiant de ces types de formations. Les activités de formation juridique ne sont pas prises en considération. Les autorités chargées de la forma</w:t>
      </w:r>
      <w:r>
        <w:rPr>
          <w:rFonts w:ascii="Times New Roman" w:hAnsi="Times New Roman"/>
          <w:i/>
          <w:sz w:val="20"/>
        </w:rPr>
        <w:t xml:space="preserve">tion judiciaire en </w:t>
      </w:r>
      <w:r>
        <w:rPr>
          <w:rFonts w:ascii="Times New Roman" w:hAnsi="Times New Roman"/>
          <w:b/>
          <w:bCs/>
          <w:i/>
          <w:sz w:val="20"/>
        </w:rPr>
        <w:t>EL</w:t>
      </w:r>
      <w:r>
        <w:rPr>
          <w:rFonts w:ascii="Times New Roman" w:hAnsi="Times New Roman"/>
          <w:i/>
          <w:sz w:val="20"/>
        </w:rPr>
        <w:t xml:space="preserve">, à </w:t>
      </w:r>
      <w:r>
        <w:rPr>
          <w:rFonts w:ascii="Times New Roman" w:hAnsi="Times New Roman"/>
          <w:b/>
          <w:bCs/>
          <w:i/>
          <w:sz w:val="20"/>
        </w:rPr>
        <w:t>MT</w:t>
      </w:r>
      <w:r>
        <w:rPr>
          <w:rFonts w:ascii="Times New Roman" w:hAnsi="Times New Roman"/>
          <w:i/>
          <w:sz w:val="20"/>
        </w:rPr>
        <w:t xml:space="preserve"> et au </w:t>
      </w:r>
      <w:r>
        <w:rPr>
          <w:rFonts w:ascii="Times New Roman" w:hAnsi="Times New Roman"/>
          <w:b/>
          <w:bCs/>
          <w:i/>
          <w:sz w:val="20"/>
        </w:rPr>
        <w:t>PT</w:t>
      </w:r>
      <w:r>
        <w:rPr>
          <w:rFonts w:ascii="Times New Roman" w:hAnsi="Times New Roman"/>
          <w:i/>
          <w:sz w:val="20"/>
        </w:rPr>
        <w:t xml:space="preserve"> n’ont proposé aucune activité de formation spécifique pour les compétences sélectionnées. </w:t>
      </w:r>
      <w:r>
        <w:rPr>
          <w:rFonts w:ascii="Times New Roman" w:hAnsi="Times New Roman"/>
          <w:b/>
          <w:i/>
          <w:sz w:val="20"/>
        </w:rPr>
        <w:t>DK:</w:t>
      </w:r>
      <w:r>
        <w:rPr>
          <w:rFonts w:ascii="Times New Roman" w:hAnsi="Times New Roman"/>
          <w:i/>
          <w:sz w:val="20"/>
        </w:rPr>
        <w:t xml:space="preserve"> les données incluent le personnel judiciaire. </w:t>
      </w:r>
      <w:r>
        <w:rPr>
          <w:rFonts w:ascii="Times New Roman" w:hAnsi="Times New Roman"/>
          <w:b/>
          <w:i/>
          <w:sz w:val="20"/>
        </w:rPr>
        <w:t>AT:</w:t>
      </w:r>
      <w:r>
        <w:rPr>
          <w:rFonts w:ascii="Times New Roman" w:hAnsi="Times New Roman"/>
          <w:i/>
          <w:sz w:val="20"/>
        </w:rPr>
        <w:t xml:space="preserve"> les données incluent les procureurs.</w:t>
      </w:r>
    </w:p>
    <w:p w:rsidR="00D23207" w:rsidRDefault="00493C98">
      <w:pPr>
        <w:spacing w:before="240" w:after="120" w:line="240" w:lineRule="auto"/>
        <w:jc w:val="both"/>
        <w:rPr>
          <w:rFonts w:ascii="Times New Roman" w:eastAsia="Calibri" w:hAnsi="Times New Roman" w:cs="Times New Roman"/>
          <w:i/>
          <w:iCs/>
          <w:sz w:val="24"/>
          <w:szCs w:val="24"/>
        </w:rPr>
      </w:pPr>
      <w:r>
        <w:rPr>
          <w:rFonts w:ascii="Times New Roman" w:hAnsi="Times New Roman"/>
          <w:b/>
          <w:bCs/>
          <w:color w:val="000000"/>
          <w:sz w:val="24"/>
          <w:szCs w:val="24"/>
        </w:rPr>
        <w:t>Graphique </w:t>
      </w:r>
      <w:bookmarkEnd w:id="405"/>
      <w:r>
        <w:fldChar w:fldCharType="begin"/>
      </w:r>
      <w:r>
        <w:rPr>
          <w:rFonts w:ascii="Times New Roman" w:eastAsia="Calibri" w:hAnsi="Times New Roman" w:cs="Times New Roman"/>
          <w:b/>
          <w:color w:val="000000"/>
          <w:sz w:val="24"/>
          <w:szCs w:val="24"/>
        </w:rPr>
        <w:instrText xml:space="preserve"> SEQ Figure \* ARABIC  \* ME</w:instrText>
      </w:r>
      <w:r>
        <w:rPr>
          <w:rFonts w:ascii="Times New Roman" w:eastAsia="Calibri" w:hAnsi="Times New Roman" w:cs="Times New Roman"/>
          <w:b/>
          <w:color w:val="000000"/>
          <w:sz w:val="24"/>
          <w:szCs w:val="24"/>
        </w:rPr>
        <w:instrText xml:space="preserve">RGEFORMAT </w:instrText>
      </w:r>
      <w:r>
        <w:rPr>
          <w:rFonts w:ascii="Times New Roman" w:eastAsia="Calibri" w:hAnsi="Times New Roman" w:cs="Times New Roman"/>
          <w:b/>
          <w:color w:val="000000"/>
          <w:sz w:val="24"/>
          <w:szCs w:val="24"/>
        </w:rPr>
        <w:fldChar w:fldCharType="separate"/>
      </w:r>
      <w:r>
        <w:rPr>
          <w:rFonts w:ascii="Times New Roman" w:eastAsia="Calibri" w:hAnsi="Times New Roman" w:cs="Times New Roman"/>
          <w:b/>
          <w:bCs/>
          <w:color w:val="000000"/>
          <w:sz w:val="24"/>
          <w:szCs w:val="24"/>
        </w:rPr>
        <w:t>39</w:t>
      </w:r>
      <w:r>
        <w:fldChar w:fldCharType="end"/>
      </w:r>
      <w:r>
        <w:rPr>
          <w:rFonts w:ascii="Times New Roman" w:hAnsi="Times New Roman"/>
          <w:b/>
          <w:bCs/>
          <w:color w:val="000000"/>
          <w:sz w:val="24"/>
          <w:szCs w:val="24"/>
        </w:rPr>
        <w:t xml:space="preserve">: </w:t>
      </w:r>
      <w:r>
        <w:rPr>
          <w:rFonts w:ascii="Times New Roman" w:hAnsi="Times New Roman"/>
          <w:b/>
          <w:bCs/>
          <w:sz w:val="24"/>
          <w:szCs w:val="24"/>
        </w:rPr>
        <w:t>disponibilité de formations en communication pour les juges, 2019</w:t>
      </w:r>
      <w:r>
        <w:rPr>
          <w:rFonts w:ascii="Times New Roman" w:hAnsi="Times New Roman"/>
          <w:sz w:val="24"/>
          <w:szCs w:val="24"/>
        </w:rPr>
        <w:t xml:space="preserve"> (*) </w:t>
      </w:r>
      <w:r>
        <w:rPr>
          <w:rFonts w:ascii="Times New Roman" w:hAnsi="Times New Roman"/>
          <w:i/>
          <w:iCs/>
          <w:sz w:val="24"/>
          <w:szCs w:val="24"/>
        </w:rPr>
        <w:t>[source: Commission européenne (</w:t>
      </w:r>
      <w:r>
        <w:rPr>
          <w:rFonts w:ascii="Times New Roman" w:eastAsia="Calibri" w:hAnsi="Times New Roman" w:cs="Times New Roman"/>
          <w:i/>
          <w:iCs/>
          <w:sz w:val="24"/>
          <w:szCs w:val="24"/>
          <w:vertAlign w:val="superscript"/>
          <w:lang w:eastAsia="en-GB"/>
        </w:rPr>
        <w:footnoteReference w:id="80"/>
      </w:r>
      <w:r>
        <w:rPr>
          <w:rFonts w:ascii="Times New Roman" w:hAnsi="Times New Roman"/>
          <w:i/>
          <w:iCs/>
          <w:sz w:val="24"/>
          <w:szCs w:val="24"/>
        </w:rPr>
        <w:t>)]</w:t>
      </w:r>
      <w:bookmarkStart w:id="406" w:name="_Toc440017701"/>
      <w:bookmarkStart w:id="407" w:name="_Toc440018085"/>
      <w:bookmarkStart w:id="408" w:name="_Toc440033383"/>
      <w:bookmarkStart w:id="409" w:name="_Toc440035234"/>
      <w:bookmarkStart w:id="410" w:name="_Toc440036529"/>
      <w:bookmarkStart w:id="411" w:name="_Toc440042471"/>
      <w:bookmarkStart w:id="412" w:name="_Toc440291124"/>
      <w:bookmarkStart w:id="413" w:name="_Toc440294687"/>
      <w:bookmarkStart w:id="414" w:name="_Toc440295189"/>
      <w:bookmarkStart w:id="415" w:name="_Toc440296594"/>
      <w:bookmarkStart w:id="416" w:name="_Toc440625078"/>
      <w:bookmarkStart w:id="417" w:name="_Toc440626408"/>
      <w:bookmarkStart w:id="418" w:name="_Toc440628862"/>
      <w:bookmarkStart w:id="419" w:name="_Toc441571135"/>
      <w:bookmarkStart w:id="420" w:name="_Toc441581637"/>
      <w:bookmarkStart w:id="421" w:name="_Toc441585904"/>
      <w:bookmarkStart w:id="422" w:name="_Toc441595839"/>
      <w:bookmarkStart w:id="423" w:name="_Toc441596016"/>
      <w:bookmarkStart w:id="424" w:name="_Toc441748141"/>
      <w:bookmarkStart w:id="425" w:name="_Toc441755426"/>
      <w:bookmarkStart w:id="426" w:name="_Toc441756463"/>
      <w:bookmarkStart w:id="427" w:name="_Toc441757507"/>
      <w:bookmarkStart w:id="428" w:name="_Toc441766636"/>
      <w:bookmarkStart w:id="429" w:name="_Toc441766975"/>
      <w:bookmarkStart w:id="430" w:name="_Toc442187976"/>
      <w:bookmarkStart w:id="431" w:name="_Toc442262068"/>
      <w:bookmarkStart w:id="432" w:name="_Toc442362475"/>
      <w:bookmarkStart w:id="433" w:name="_Toc442374811"/>
      <w:bookmarkStart w:id="434" w:name="_Toc442425951"/>
      <w:bookmarkStart w:id="435" w:name="_Toc442453077"/>
      <w:bookmarkStart w:id="436" w:name="_Toc443484535"/>
      <w:bookmarkStart w:id="437" w:name="_Toc443484757"/>
      <w:bookmarkStart w:id="438" w:name="_Toc443509498"/>
      <w:bookmarkStart w:id="439" w:name="_Toc446014827"/>
    </w:p>
    <w:p w:rsidR="00D23207" w:rsidRDefault="00493C98">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lang w:val="en-GB" w:eastAsia="en-GB"/>
        </w:rPr>
        <w:drawing>
          <wp:inline distT="0" distB="0" distL="0" distR="0">
            <wp:extent cx="5977255" cy="2529614"/>
            <wp:effectExtent l="0" t="0" r="4445" b="4445"/>
            <wp:docPr id="97298" name="Picture 9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77255" cy="2529614"/>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sz w:val="20"/>
          <w:szCs w:val="20"/>
        </w:rPr>
      </w:pPr>
      <w:r>
        <w:rPr>
          <w:rFonts w:ascii="Times New Roman" w:hAnsi="Times New Roman"/>
          <w:i/>
          <w:sz w:val="20"/>
          <w:szCs w:val="20"/>
        </w:rPr>
        <w:t xml:space="preserve">(*) Maximum possible: 14 points. Les États membres ont reçu un point s’ils disposent d’une formation initiale et un point s’ils disposent d’une formation continue (maximum de deux points pour chaque type de formation). </w:t>
      </w:r>
      <w:r>
        <w:rPr>
          <w:rFonts w:ascii="Times New Roman" w:hAnsi="Times New Roman"/>
          <w:b/>
          <w:i/>
          <w:sz w:val="20"/>
          <w:szCs w:val="20"/>
        </w:rPr>
        <w:t>DK:</w:t>
      </w:r>
      <w:r>
        <w:rPr>
          <w:rFonts w:ascii="Times New Roman" w:hAnsi="Times New Roman"/>
          <w:i/>
          <w:sz w:val="20"/>
          <w:szCs w:val="20"/>
        </w:rPr>
        <w:t xml:space="preserve"> aucune formation n’est prévue pou</w:t>
      </w:r>
      <w:r>
        <w:rPr>
          <w:rFonts w:ascii="Times New Roman" w:hAnsi="Times New Roman"/>
          <w:i/>
          <w:sz w:val="20"/>
          <w:szCs w:val="20"/>
        </w:rPr>
        <w:t xml:space="preserve">r la communication avec les personnes malvoyantes ou malentendantes, car l’État offre à ces personnes un soutien sous la forme d’outils ou d’un assistant dans la salle d’audience, par exemple un interprète en langue des signes. D’autres formations liées à </w:t>
      </w:r>
      <w:r>
        <w:rPr>
          <w:rFonts w:ascii="Times New Roman" w:hAnsi="Times New Roman"/>
          <w:i/>
          <w:sz w:val="20"/>
          <w:szCs w:val="20"/>
        </w:rPr>
        <w:t>la communication incluent: des cours visant à améliorer les compétences en matière de communication publique et de communication avec les médias (</w:t>
      </w:r>
      <w:r>
        <w:rPr>
          <w:rFonts w:ascii="Times New Roman" w:hAnsi="Times New Roman"/>
          <w:b/>
          <w:i/>
          <w:sz w:val="20"/>
          <w:szCs w:val="20"/>
        </w:rPr>
        <w:t>BE, BG</w:t>
      </w:r>
      <w:r>
        <w:rPr>
          <w:rFonts w:ascii="Times New Roman" w:hAnsi="Times New Roman"/>
          <w:i/>
          <w:sz w:val="20"/>
          <w:szCs w:val="20"/>
        </w:rPr>
        <w:t xml:space="preserve">, </w:t>
      </w:r>
      <w:r>
        <w:rPr>
          <w:rFonts w:ascii="Times New Roman" w:hAnsi="Times New Roman"/>
          <w:b/>
          <w:i/>
          <w:sz w:val="20"/>
          <w:szCs w:val="20"/>
        </w:rPr>
        <w:t>EE, LV</w:t>
      </w:r>
      <w:r>
        <w:rPr>
          <w:rFonts w:ascii="Times New Roman" w:hAnsi="Times New Roman"/>
          <w:i/>
          <w:sz w:val="20"/>
          <w:szCs w:val="20"/>
        </w:rPr>
        <w:t xml:space="preserve">, </w:t>
      </w:r>
      <w:r>
        <w:rPr>
          <w:rFonts w:ascii="Times New Roman" w:hAnsi="Times New Roman"/>
          <w:b/>
          <w:i/>
          <w:sz w:val="20"/>
          <w:szCs w:val="20"/>
        </w:rPr>
        <w:t>NL</w:t>
      </w:r>
      <w:r>
        <w:rPr>
          <w:rFonts w:ascii="Times New Roman" w:hAnsi="Times New Roman"/>
          <w:i/>
          <w:sz w:val="20"/>
          <w:szCs w:val="20"/>
        </w:rPr>
        <w:t xml:space="preserve">, </w:t>
      </w:r>
      <w:r>
        <w:rPr>
          <w:rFonts w:ascii="Times New Roman" w:hAnsi="Times New Roman"/>
          <w:b/>
          <w:i/>
          <w:sz w:val="20"/>
          <w:szCs w:val="20"/>
        </w:rPr>
        <w:t>PL</w:t>
      </w:r>
      <w:r>
        <w:rPr>
          <w:rFonts w:ascii="Times New Roman" w:hAnsi="Times New Roman"/>
          <w:i/>
          <w:sz w:val="20"/>
          <w:szCs w:val="20"/>
        </w:rPr>
        <w:t xml:space="preserve">, </w:t>
      </w:r>
      <w:r>
        <w:rPr>
          <w:rFonts w:ascii="Times New Roman" w:hAnsi="Times New Roman"/>
          <w:b/>
          <w:i/>
          <w:sz w:val="20"/>
          <w:szCs w:val="20"/>
        </w:rPr>
        <w:t>RO</w:t>
      </w:r>
      <w:r>
        <w:rPr>
          <w:rFonts w:ascii="Times New Roman" w:hAnsi="Times New Roman"/>
          <w:i/>
          <w:sz w:val="20"/>
          <w:szCs w:val="20"/>
        </w:rPr>
        <w:t xml:space="preserve">, </w:t>
      </w:r>
      <w:r>
        <w:rPr>
          <w:rFonts w:ascii="Times New Roman" w:hAnsi="Times New Roman"/>
          <w:b/>
          <w:i/>
          <w:sz w:val="20"/>
          <w:szCs w:val="20"/>
        </w:rPr>
        <w:t>SK</w:t>
      </w:r>
      <w:r>
        <w:rPr>
          <w:rFonts w:ascii="Times New Roman" w:hAnsi="Times New Roman"/>
          <w:i/>
          <w:sz w:val="20"/>
          <w:szCs w:val="20"/>
        </w:rPr>
        <w:t>); des cours sur les techniques d’interrogation (</w:t>
      </w:r>
      <w:r>
        <w:rPr>
          <w:rFonts w:ascii="Times New Roman" w:hAnsi="Times New Roman"/>
          <w:b/>
          <w:bCs/>
          <w:i/>
          <w:sz w:val="20"/>
          <w:szCs w:val="20"/>
        </w:rPr>
        <w:t>DE</w:t>
      </w:r>
      <w:r>
        <w:rPr>
          <w:rFonts w:ascii="Times New Roman" w:hAnsi="Times New Roman"/>
          <w:i/>
          <w:sz w:val="20"/>
          <w:szCs w:val="20"/>
        </w:rPr>
        <w:t xml:space="preserve"> et </w:t>
      </w:r>
      <w:r>
        <w:rPr>
          <w:rFonts w:ascii="Times New Roman" w:hAnsi="Times New Roman"/>
          <w:b/>
          <w:bCs/>
          <w:i/>
          <w:sz w:val="20"/>
          <w:szCs w:val="20"/>
        </w:rPr>
        <w:t>AT</w:t>
      </w:r>
      <w:r>
        <w:rPr>
          <w:rFonts w:ascii="Times New Roman" w:hAnsi="Times New Roman"/>
          <w:i/>
          <w:sz w:val="20"/>
          <w:szCs w:val="20"/>
        </w:rPr>
        <w:t>), des cours sur la ges</w:t>
      </w:r>
      <w:r>
        <w:rPr>
          <w:rFonts w:ascii="Times New Roman" w:hAnsi="Times New Roman"/>
          <w:i/>
          <w:sz w:val="20"/>
          <w:szCs w:val="20"/>
        </w:rPr>
        <w:t>tion du personnel (</w:t>
      </w:r>
      <w:r>
        <w:rPr>
          <w:rFonts w:ascii="Times New Roman" w:hAnsi="Times New Roman"/>
          <w:b/>
          <w:bCs/>
          <w:i/>
          <w:sz w:val="20"/>
          <w:szCs w:val="20"/>
        </w:rPr>
        <w:t>BE</w:t>
      </w:r>
      <w:r>
        <w:rPr>
          <w:rFonts w:ascii="Times New Roman" w:hAnsi="Times New Roman"/>
          <w:i/>
          <w:sz w:val="20"/>
          <w:szCs w:val="20"/>
        </w:rPr>
        <w:t xml:space="preserve">, </w:t>
      </w:r>
      <w:r>
        <w:rPr>
          <w:rFonts w:ascii="Times New Roman" w:hAnsi="Times New Roman"/>
          <w:b/>
          <w:bCs/>
          <w:i/>
          <w:sz w:val="20"/>
          <w:szCs w:val="20"/>
        </w:rPr>
        <w:t>ES</w:t>
      </w:r>
      <w:r>
        <w:rPr>
          <w:rFonts w:ascii="Times New Roman" w:hAnsi="Times New Roman"/>
          <w:i/>
          <w:sz w:val="20"/>
          <w:szCs w:val="20"/>
        </w:rPr>
        <w:t xml:space="preserve">, </w:t>
      </w:r>
      <w:r>
        <w:rPr>
          <w:rFonts w:ascii="Times New Roman" w:hAnsi="Times New Roman"/>
          <w:b/>
          <w:bCs/>
          <w:i/>
          <w:sz w:val="20"/>
          <w:szCs w:val="20"/>
        </w:rPr>
        <w:t>PL</w:t>
      </w:r>
      <w:r>
        <w:rPr>
          <w:rFonts w:ascii="Times New Roman" w:hAnsi="Times New Roman"/>
          <w:i/>
          <w:sz w:val="20"/>
          <w:szCs w:val="20"/>
        </w:rPr>
        <w:t>) et des formations sur les compétences non techniques couvrent l’amélioration de la clarté des décisions de justice et des méthodes de présentation (</w:t>
      </w:r>
      <w:r>
        <w:rPr>
          <w:rFonts w:ascii="Times New Roman" w:hAnsi="Times New Roman"/>
          <w:b/>
          <w:bCs/>
          <w:i/>
          <w:sz w:val="20"/>
          <w:szCs w:val="20"/>
        </w:rPr>
        <w:t>CZ</w:t>
      </w:r>
      <w:r>
        <w:rPr>
          <w:rFonts w:ascii="Times New Roman" w:hAnsi="Times New Roman"/>
          <w:i/>
          <w:sz w:val="20"/>
          <w:szCs w:val="20"/>
        </w:rPr>
        <w:t xml:space="preserve">, </w:t>
      </w:r>
      <w:r>
        <w:rPr>
          <w:rFonts w:ascii="Times New Roman" w:hAnsi="Times New Roman"/>
          <w:b/>
          <w:bCs/>
          <w:i/>
          <w:sz w:val="20"/>
          <w:szCs w:val="20"/>
        </w:rPr>
        <w:t>DK</w:t>
      </w:r>
      <w:r>
        <w:rPr>
          <w:rFonts w:ascii="Times New Roman" w:hAnsi="Times New Roman"/>
          <w:i/>
          <w:sz w:val="20"/>
          <w:szCs w:val="20"/>
        </w:rPr>
        <w:t xml:space="preserve">, </w:t>
      </w:r>
      <w:r>
        <w:rPr>
          <w:rFonts w:ascii="Times New Roman" w:hAnsi="Times New Roman"/>
          <w:b/>
          <w:bCs/>
          <w:i/>
          <w:sz w:val="20"/>
          <w:szCs w:val="20"/>
        </w:rPr>
        <w:t>LV</w:t>
      </w:r>
      <w:r>
        <w:rPr>
          <w:rFonts w:ascii="Times New Roman" w:hAnsi="Times New Roman"/>
          <w:i/>
          <w:sz w:val="20"/>
          <w:szCs w:val="20"/>
        </w:rPr>
        <w:t xml:space="preserve">, </w:t>
      </w:r>
      <w:r>
        <w:rPr>
          <w:rFonts w:ascii="Times New Roman" w:hAnsi="Times New Roman"/>
          <w:b/>
          <w:bCs/>
          <w:i/>
          <w:sz w:val="20"/>
          <w:szCs w:val="20"/>
        </w:rPr>
        <w:t>HU</w:t>
      </w:r>
      <w:r>
        <w:rPr>
          <w:rFonts w:ascii="Times New Roman" w:hAnsi="Times New Roman"/>
          <w:i/>
          <w:sz w:val="20"/>
          <w:szCs w:val="20"/>
        </w:rPr>
        <w:t xml:space="preserve">, </w:t>
      </w:r>
      <w:r>
        <w:rPr>
          <w:rFonts w:ascii="Times New Roman" w:hAnsi="Times New Roman"/>
          <w:b/>
          <w:bCs/>
          <w:i/>
          <w:sz w:val="20"/>
          <w:szCs w:val="20"/>
        </w:rPr>
        <w:t>PL</w:t>
      </w:r>
      <w:r>
        <w:rPr>
          <w:rFonts w:ascii="Times New Roman" w:hAnsi="Times New Roman"/>
          <w:i/>
          <w:sz w:val="20"/>
          <w:szCs w:val="20"/>
        </w:rPr>
        <w:t xml:space="preserve">, </w:t>
      </w:r>
      <w:r>
        <w:rPr>
          <w:rFonts w:ascii="Times New Roman" w:hAnsi="Times New Roman"/>
          <w:b/>
          <w:bCs/>
          <w:i/>
          <w:sz w:val="20"/>
          <w:szCs w:val="20"/>
        </w:rPr>
        <w:t>SK</w:t>
      </w:r>
      <w:r>
        <w:rPr>
          <w:rFonts w:ascii="Times New Roman" w:hAnsi="Times New Roman"/>
          <w:i/>
          <w:sz w:val="20"/>
          <w:szCs w:val="20"/>
        </w:rPr>
        <w:t xml:space="preserve">). </w:t>
      </w:r>
    </w:p>
    <w:p w:rsidR="00D23207" w:rsidRDefault="00493C98">
      <w:pPr>
        <w:keepNext/>
        <w:tabs>
          <w:tab w:val="left" w:pos="850"/>
        </w:tabs>
        <w:spacing w:before="240" w:after="120" w:line="240" w:lineRule="auto"/>
        <w:ind w:left="851" w:hanging="851"/>
        <w:jc w:val="both"/>
        <w:outlineLvl w:val="2"/>
        <w:rPr>
          <w:rFonts w:ascii="Times New Roman" w:eastAsia="Times New Roman" w:hAnsi="Times New Roman" w:cs="Times New Roman"/>
          <w:b/>
          <w:sz w:val="24"/>
          <w:szCs w:val="24"/>
        </w:rPr>
      </w:pPr>
      <w:r>
        <w:rPr>
          <w:rFonts w:ascii="Times New Roman" w:hAnsi="Times New Roman"/>
          <w:b/>
          <w:sz w:val="24"/>
          <w:szCs w:val="24"/>
        </w:rPr>
        <w:t>3.2.3. Outils d’évaluation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D23207" w:rsidRDefault="00493C9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 suivi et l’évaluation</w:t>
      </w:r>
      <w:r>
        <w:rPr>
          <w:rFonts w:ascii="Times New Roman" w:hAnsi="Times New Roman"/>
          <w:sz w:val="24"/>
          <w:szCs w:val="24"/>
        </w:rPr>
        <w:t xml:space="preserve"> des activités des cours et tribunaux contribuent à détecter les lacunes et les besoins et, par conséquent, aident le système de justice à améliorer sa qualité. Une évaluation régulière pourrait accroître la réactivité du système de justice face aux défis </w:t>
      </w:r>
      <w:r>
        <w:rPr>
          <w:rFonts w:ascii="Times New Roman" w:hAnsi="Times New Roman"/>
          <w:sz w:val="24"/>
          <w:szCs w:val="24"/>
        </w:rPr>
        <w:t>actuels et à venir. Des outils informatiques appropriés permettent de créer des systèmes de gestion des dossiers en temps réel et peuvent contribuer à la fourniture de statistiques sur les juridictions normalisées au niveau national. Ils peuvent en outre s</w:t>
      </w:r>
      <w:r>
        <w:rPr>
          <w:rFonts w:ascii="Times New Roman" w:hAnsi="Times New Roman"/>
          <w:sz w:val="24"/>
          <w:szCs w:val="24"/>
        </w:rPr>
        <w:t>ervir à la gestion de l’arriéré judiciaire et des systèmes automatisés d’alerte précoce. Les enquêtes sont essentielles pour évaluer le fonctionnement des systèmes judiciaires du point de vue des praticiens du droit et des usagers de la justice. Un suivi a</w:t>
      </w:r>
      <w:r>
        <w:rPr>
          <w:rFonts w:ascii="Times New Roman" w:hAnsi="Times New Roman"/>
          <w:sz w:val="24"/>
          <w:szCs w:val="24"/>
        </w:rPr>
        <w:t>déquat des conclusions des enquêtes constitue une condition préalable à l’amélioration de la qualité des systèmes judiciaires.</w:t>
      </w:r>
      <w:bookmarkStart w:id="440" w:name="_Ref441218732"/>
    </w:p>
    <w:p w:rsidR="00D23207" w:rsidRDefault="00493C98">
      <w:pPr>
        <w:jc w:val="both"/>
        <w:rPr>
          <w:rFonts w:ascii="Times New Roman" w:eastAsia="Calibri" w:hAnsi="Times New Roman" w:cs="Times New Roman"/>
          <w:b/>
          <w:bCs/>
          <w:sz w:val="24"/>
          <w:szCs w:val="24"/>
        </w:rPr>
      </w:pPr>
      <w:r>
        <w:br w:type="page"/>
      </w:r>
    </w:p>
    <w:p w:rsidR="00D23207" w:rsidRDefault="00493C98">
      <w:pPr>
        <w:spacing w:before="240" w:after="120" w:line="240" w:lineRule="auto"/>
        <w:jc w:val="both"/>
        <w:rPr>
          <w:rFonts w:ascii="Times New Roman" w:eastAsia="Calibri"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40</w:t>
      </w:r>
      <w:r>
        <w:fldChar w:fldCharType="end"/>
      </w:r>
      <w:bookmarkEnd w:id="440"/>
      <w:r>
        <w:rPr>
          <w:b/>
          <w:bCs/>
          <w:sz w:val="24"/>
          <w:szCs w:val="24"/>
        </w:rPr>
        <w:t>:</w:t>
      </w:r>
      <w:r>
        <w:rPr>
          <w:rFonts w:ascii="Times New Roman" w:hAnsi="Times New Roman"/>
          <w:b/>
          <w:bCs/>
          <w:sz w:val="24"/>
          <w:szCs w:val="24"/>
        </w:rPr>
        <w:t xml:space="preserve"> disponibilité des TIC pour la gestion des affaires et pour les statistiques sur l’activi</w:t>
      </w:r>
      <w:r>
        <w:rPr>
          <w:rFonts w:ascii="Times New Roman" w:hAnsi="Times New Roman"/>
          <w:b/>
          <w:bCs/>
          <w:sz w:val="24"/>
          <w:szCs w:val="24"/>
        </w:rPr>
        <w:t>té des juridictions, 2018</w:t>
      </w:r>
      <w:r>
        <w:rPr>
          <w:rFonts w:ascii="Times New Roman" w:hAnsi="Times New Roman"/>
          <w:sz w:val="24"/>
          <w:szCs w:val="24"/>
        </w:rPr>
        <w:t xml:space="preserve"> (*) </w:t>
      </w:r>
      <w:r>
        <w:rPr>
          <w:rFonts w:ascii="Times New Roman" w:hAnsi="Times New Roman"/>
          <w:sz w:val="24"/>
          <w:szCs w:val="24"/>
        </w:rPr>
        <w:cr/>
      </w:r>
      <w:r>
        <w:rPr>
          <w:rFonts w:ascii="Times New Roman" w:hAnsi="Times New Roman"/>
          <w:i/>
          <w:iCs/>
        </w:rPr>
        <w:t>[0 = existe dans 0 % des juridictions; 4 = existe dans 100 % des juridictions (</w:t>
      </w:r>
      <w:r>
        <w:rPr>
          <w:rFonts w:ascii="Times New Roman" w:eastAsia="Calibri" w:hAnsi="Times New Roman" w:cs="Times New Roman"/>
          <w:i/>
          <w:iCs/>
          <w:sz w:val="24"/>
          <w:szCs w:val="24"/>
          <w:vertAlign w:val="superscript"/>
        </w:rPr>
        <w:footnoteReference w:id="81"/>
      </w:r>
      <w:r>
        <w:rPr>
          <w:rFonts w:ascii="Times New Roman" w:hAnsi="Times New Roman"/>
          <w:i/>
          <w:iCs/>
        </w:rPr>
        <w:t>)]</w:t>
      </w:r>
      <w:r>
        <w:rPr>
          <w:rFonts w:ascii="Times New Roman" w:hAnsi="Times New Roman"/>
        </w:rPr>
        <w:t xml:space="preserve"> </w:t>
      </w:r>
      <w:r>
        <w:rPr>
          <w:rFonts w:ascii="Times New Roman" w:hAnsi="Times New Roman"/>
          <w:i/>
          <w:iCs/>
          <w:sz w:val="24"/>
          <w:szCs w:val="24"/>
        </w:rPr>
        <w:t>(source: étude de la CEPEJ)</w:t>
      </w:r>
    </w:p>
    <w:p w:rsidR="00D23207" w:rsidRDefault="00493C98">
      <w:pPr>
        <w:keepNext/>
        <w:spacing w:after="0" w:line="240" w:lineRule="auto"/>
        <w:jc w:val="both"/>
        <w:rPr>
          <w:rFonts w:ascii="Times New Roman" w:eastAsia="Calibri" w:hAnsi="Times New Roman" w:cs="Times New Roman"/>
          <w:i/>
          <w:sz w:val="20"/>
        </w:rPr>
      </w:pPr>
      <w:r>
        <w:rPr>
          <w:rFonts w:ascii="Times New Roman" w:hAnsi="Times New Roman"/>
          <w:i/>
          <w:sz w:val="20"/>
          <w:lang w:val="en-GB" w:eastAsia="en-GB"/>
        </w:rPr>
        <w:drawing>
          <wp:inline distT="0" distB="0" distL="0" distR="0">
            <wp:extent cx="5977255" cy="1635092"/>
            <wp:effectExtent l="0" t="0" r="4445" b="3810"/>
            <wp:docPr id="97299" name="Picture 9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77255" cy="1635092"/>
                    </a:xfrm>
                    <a:prstGeom prst="rect">
                      <a:avLst/>
                    </a:prstGeom>
                    <a:noFill/>
                    <a:ln>
                      <a:noFill/>
                    </a:ln>
                  </pic:spPr>
                </pic:pic>
              </a:graphicData>
            </a:graphic>
          </wp:inline>
        </w:drawing>
      </w:r>
    </w:p>
    <w:p w:rsidR="00D23207" w:rsidRDefault="00493C98">
      <w:pPr>
        <w:keepNext/>
        <w:spacing w:after="0" w:line="240" w:lineRule="auto"/>
        <w:jc w:val="both"/>
        <w:rPr>
          <w:rFonts w:ascii="Times New Roman" w:eastAsia="Calibri" w:hAnsi="Times New Roman" w:cs="Times New Roman"/>
          <w:i/>
          <w:sz w:val="20"/>
        </w:rPr>
      </w:pPr>
      <w:r>
        <w:rPr>
          <w:rFonts w:ascii="Times New Roman" w:hAnsi="Times New Roman"/>
          <w:i/>
          <w:sz w:val="20"/>
        </w:rPr>
        <w:t xml:space="preserve">(*) Nouvelle méthodologie, les données ne sont pas comparables avec les années précédentes. </w:t>
      </w:r>
    </w:p>
    <w:p w:rsidR="00D23207" w:rsidRDefault="00493C98">
      <w:pPr>
        <w:keepNext/>
        <w:spacing w:before="240" w:after="120" w:line="240" w:lineRule="auto"/>
        <w:jc w:val="both"/>
        <w:rPr>
          <w:rFonts w:ascii="Times New Roman" w:eastAsia="Times New Roman" w:hAnsi="Times New Roman" w:cs="Times New Roman"/>
          <w:i/>
          <w:iCs/>
          <w:sz w:val="24"/>
          <w:szCs w:val="24"/>
        </w:rPr>
      </w:pPr>
      <w:bookmarkStart w:id="441" w:name="_Ref441218739"/>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41</w:t>
      </w:r>
      <w:r>
        <w:fldChar w:fldCharType="end"/>
      </w:r>
      <w:bookmarkEnd w:id="441"/>
      <w:r>
        <w:rPr>
          <w:rFonts w:ascii="Times New Roman" w:hAnsi="Times New Roman"/>
          <w:b/>
          <w:bCs/>
          <w:sz w:val="24"/>
          <w:szCs w:val="24"/>
        </w:rPr>
        <w:t>: sujets des enquêtes menées auprès des usagers de la justice ou des praticiens du droit, 2018 </w:t>
      </w:r>
      <w:r>
        <w:rPr>
          <w:rFonts w:ascii="Times New Roman" w:hAnsi="Times New Roman"/>
          <w:sz w:val="24"/>
          <w:szCs w:val="24"/>
        </w:rPr>
        <w:t>(*)</w:t>
      </w:r>
      <w:r>
        <w:rPr>
          <w:rFonts w:ascii="Times New Roman" w:hAnsi="Times New Roman"/>
          <w:i/>
          <w:iCs/>
          <w:sz w:val="24"/>
          <w:szCs w:val="24"/>
        </w:rPr>
        <w:t xml:space="preserve"> [source: Commission européenne (</w:t>
      </w:r>
      <w:r>
        <w:rPr>
          <w:rFonts w:ascii="Times New Roman" w:eastAsia="Times New Roman" w:hAnsi="Times New Roman" w:cs="Times New Roman"/>
          <w:i/>
          <w:iCs/>
          <w:sz w:val="24"/>
          <w:szCs w:val="24"/>
          <w:vertAlign w:val="superscript"/>
        </w:rPr>
        <w:footnoteReference w:id="82"/>
      </w:r>
      <w:r>
        <w:rPr>
          <w:rFonts w:ascii="Times New Roman" w:hAnsi="Times New Roman"/>
          <w:i/>
          <w:iCs/>
          <w:sz w:val="24"/>
          <w:szCs w:val="24"/>
        </w:rPr>
        <w:t>)]</w:t>
      </w:r>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4059407"/>
            <wp:effectExtent l="0" t="0" r="4445" b="0"/>
            <wp:docPr id="97309" name="Picture 9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77255" cy="4059407"/>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bCs/>
          <w:i/>
          <w:sz w:val="20"/>
          <w:szCs w:val="20"/>
        </w:rPr>
      </w:pPr>
      <w:r>
        <w:rPr>
          <w:rFonts w:ascii="Times New Roman" w:hAnsi="Times New Roman"/>
          <w:i/>
          <w:sz w:val="20"/>
        </w:rPr>
        <w:t xml:space="preserve">(*) </w:t>
      </w:r>
      <w:r>
        <w:rPr>
          <w:rFonts w:ascii="Times New Roman" w:hAnsi="Times New Roman"/>
          <w:bCs/>
          <w:i/>
          <w:sz w:val="20"/>
          <w:szCs w:val="20"/>
        </w:rPr>
        <w:t xml:space="preserve">Les États membres ont reçu un point par sujet indiqué dans l’enquête, quel que soit le </w:t>
      </w:r>
      <w:r>
        <w:rPr>
          <w:rFonts w:ascii="Times New Roman" w:hAnsi="Times New Roman"/>
          <w:bCs/>
          <w:i/>
          <w:sz w:val="20"/>
          <w:szCs w:val="20"/>
        </w:rPr>
        <w:t>niveau de réalisation de l’enquête (national, régional ou juridiction). La catégorie «autres sujets» couvre notamment: les enquêtes parmi les avocats sur le fonctionnement de certaines juridictions (</w:t>
      </w:r>
      <w:r>
        <w:rPr>
          <w:rFonts w:ascii="Times New Roman" w:hAnsi="Times New Roman"/>
          <w:b/>
          <w:bCs/>
          <w:i/>
          <w:sz w:val="20"/>
          <w:szCs w:val="20"/>
        </w:rPr>
        <w:t>ES</w:t>
      </w:r>
      <w:r>
        <w:rPr>
          <w:rFonts w:ascii="Times New Roman" w:hAnsi="Times New Roman"/>
          <w:bCs/>
          <w:i/>
          <w:sz w:val="20"/>
          <w:szCs w:val="20"/>
        </w:rPr>
        <w:t xml:space="preserve">); </w:t>
      </w:r>
      <w:r>
        <w:rPr>
          <w:rFonts w:ascii="Times New Roman" w:hAnsi="Times New Roman"/>
          <w:i/>
          <w:sz w:val="20"/>
          <w:szCs w:val="20"/>
        </w:rPr>
        <w:t>la sensibilisation aux mesures informatiques afin d’</w:t>
      </w:r>
      <w:r>
        <w:rPr>
          <w:rFonts w:ascii="Times New Roman" w:hAnsi="Times New Roman"/>
          <w:i/>
          <w:sz w:val="20"/>
          <w:szCs w:val="20"/>
        </w:rPr>
        <w:t>améliorer l’accès des utilisateurs (</w:t>
      </w:r>
      <w:r>
        <w:rPr>
          <w:rFonts w:ascii="Times New Roman" w:hAnsi="Times New Roman"/>
          <w:b/>
          <w:bCs/>
          <w:i/>
          <w:sz w:val="20"/>
          <w:szCs w:val="20"/>
        </w:rPr>
        <w:t>MT</w:t>
      </w:r>
      <w:r>
        <w:rPr>
          <w:rFonts w:ascii="Times New Roman" w:hAnsi="Times New Roman"/>
          <w:i/>
          <w:sz w:val="20"/>
          <w:szCs w:val="20"/>
        </w:rPr>
        <w:t>);</w:t>
      </w:r>
      <w:r>
        <w:rPr>
          <w:rFonts w:ascii="Times New Roman" w:hAnsi="Times New Roman"/>
          <w:bCs/>
          <w:i/>
          <w:sz w:val="20"/>
          <w:szCs w:val="20"/>
        </w:rPr>
        <w:t xml:space="preserve"> l’état des ressources et conditions matérielles des juridictions (</w:t>
      </w:r>
      <w:r>
        <w:rPr>
          <w:rFonts w:ascii="Times New Roman" w:hAnsi="Times New Roman"/>
          <w:b/>
          <w:bCs/>
          <w:i/>
          <w:sz w:val="20"/>
          <w:szCs w:val="20"/>
        </w:rPr>
        <w:t>PT</w:t>
      </w:r>
      <w:r>
        <w:rPr>
          <w:rFonts w:ascii="Times New Roman" w:hAnsi="Times New Roman"/>
          <w:bCs/>
          <w:i/>
          <w:sz w:val="20"/>
          <w:szCs w:val="20"/>
        </w:rPr>
        <w:t>); les questions relatives à un projet sur l’équité procédurale (</w:t>
      </w:r>
      <w:r>
        <w:rPr>
          <w:rFonts w:ascii="Times New Roman" w:hAnsi="Times New Roman"/>
          <w:b/>
          <w:bCs/>
          <w:i/>
          <w:sz w:val="20"/>
          <w:szCs w:val="20"/>
        </w:rPr>
        <w:t>SI</w:t>
      </w:r>
      <w:r>
        <w:rPr>
          <w:rFonts w:ascii="Times New Roman" w:hAnsi="Times New Roman"/>
          <w:bCs/>
          <w:i/>
          <w:sz w:val="20"/>
          <w:szCs w:val="20"/>
        </w:rPr>
        <w:t>), les possibilités d’amélioration du fonctionnement des tribunaux (</w:t>
      </w:r>
      <w:r>
        <w:rPr>
          <w:rFonts w:ascii="Times New Roman" w:hAnsi="Times New Roman"/>
          <w:b/>
          <w:bCs/>
          <w:i/>
          <w:sz w:val="20"/>
          <w:szCs w:val="20"/>
        </w:rPr>
        <w:t>SK</w:t>
      </w:r>
      <w:r>
        <w:rPr>
          <w:rFonts w:ascii="Times New Roman" w:hAnsi="Times New Roman"/>
          <w:bCs/>
          <w:i/>
          <w:sz w:val="20"/>
          <w:szCs w:val="20"/>
        </w:rPr>
        <w:t>); les con</w:t>
      </w:r>
      <w:r>
        <w:rPr>
          <w:rFonts w:ascii="Times New Roman" w:hAnsi="Times New Roman"/>
          <w:bCs/>
          <w:i/>
          <w:sz w:val="20"/>
          <w:szCs w:val="20"/>
        </w:rPr>
        <w:t>ceptions d’une sanction appropriée (</w:t>
      </w:r>
      <w:r>
        <w:rPr>
          <w:rFonts w:ascii="Times New Roman" w:hAnsi="Times New Roman"/>
          <w:b/>
          <w:bCs/>
          <w:i/>
          <w:sz w:val="20"/>
          <w:szCs w:val="20"/>
        </w:rPr>
        <w:t>FI</w:t>
      </w:r>
      <w:r>
        <w:rPr>
          <w:rFonts w:ascii="Times New Roman" w:hAnsi="Times New Roman"/>
          <w:bCs/>
          <w:i/>
          <w:sz w:val="20"/>
          <w:szCs w:val="20"/>
        </w:rPr>
        <w:t>); et la satisfaction des praticiens du droit et des usagers des juridictions à l’égard des services fournis par le système judiciaire (</w:t>
      </w:r>
      <w:r>
        <w:rPr>
          <w:rFonts w:ascii="Times New Roman" w:hAnsi="Times New Roman"/>
          <w:b/>
          <w:bCs/>
          <w:i/>
          <w:sz w:val="20"/>
          <w:szCs w:val="20"/>
        </w:rPr>
        <w:t>SE</w:t>
      </w:r>
      <w:r>
        <w:rPr>
          <w:rFonts w:ascii="Times New Roman" w:hAnsi="Times New Roman"/>
          <w:bCs/>
          <w:i/>
          <w:sz w:val="20"/>
          <w:szCs w:val="20"/>
        </w:rPr>
        <w:t xml:space="preserve">). En </w:t>
      </w:r>
      <w:r>
        <w:rPr>
          <w:rFonts w:ascii="Times New Roman" w:hAnsi="Times New Roman"/>
          <w:b/>
          <w:bCs/>
          <w:i/>
          <w:sz w:val="20"/>
          <w:szCs w:val="20"/>
        </w:rPr>
        <w:t>DE</w:t>
      </w:r>
      <w:r>
        <w:rPr>
          <w:rFonts w:ascii="Times New Roman" w:hAnsi="Times New Roman"/>
          <w:bCs/>
          <w:i/>
          <w:sz w:val="20"/>
          <w:szCs w:val="20"/>
        </w:rPr>
        <w:t xml:space="preserve">, plusieurs enquêtes différentes ont été menées au niveau des Länder. </w:t>
      </w:r>
    </w:p>
    <w:p w:rsidR="00D23207" w:rsidRDefault="00D23207">
      <w:pPr>
        <w:spacing w:after="0" w:line="240" w:lineRule="auto"/>
        <w:jc w:val="both"/>
        <w:rPr>
          <w:rFonts w:ascii="Times New Roman" w:eastAsia="Calibri" w:hAnsi="Times New Roman" w:cs="Times New Roman"/>
          <w:bCs/>
          <w:i/>
          <w:sz w:val="20"/>
          <w:szCs w:val="20"/>
          <w:highlight w:val="yellow"/>
        </w:rPr>
      </w:pPr>
    </w:p>
    <w:p w:rsidR="00D23207" w:rsidRDefault="00493C98">
      <w:pPr>
        <w:keepNext/>
        <w:spacing w:before="240" w:after="120" w:line="240" w:lineRule="auto"/>
        <w:contextualSpacing/>
        <w:jc w:val="both"/>
        <w:rPr>
          <w:rFonts w:ascii="Times New Roman" w:eastAsia="Times New Roman" w:hAnsi="Times New Roman" w:cs="Times New Roman"/>
          <w:i/>
          <w:iCs/>
          <w:sz w:val="24"/>
          <w:szCs w:val="24"/>
        </w:rPr>
      </w:pPr>
      <w:bookmarkStart w:id="442" w:name="_Ref441218744"/>
      <w:bookmarkEnd w:id="442"/>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42</w:t>
      </w:r>
      <w:r>
        <w:fldChar w:fldCharType="end"/>
      </w:r>
      <w:r>
        <w:rPr>
          <w:rFonts w:ascii="Times New Roman" w:hAnsi="Times New Roman"/>
          <w:b/>
          <w:bCs/>
          <w:sz w:val="24"/>
          <w:szCs w:val="24"/>
        </w:rPr>
        <w:t>: suivi des enquêtes menées auprès des usagers de la justice ou des praticiens du droit, 2018</w:t>
      </w:r>
      <w:r>
        <w:rPr>
          <w:rFonts w:ascii="Times New Roman" w:hAnsi="Times New Roman"/>
          <w:i/>
          <w:iCs/>
        </w:rPr>
        <w:t> </w:t>
      </w:r>
      <w:r>
        <w:rPr>
          <w:rFonts w:ascii="Times New Roman" w:hAnsi="Times New Roman"/>
          <w:i/>
          <w:iCs/>
          <w:sz w:val="24"/>
          <w:szCs w:val="24"/>
        </w:rPr>
        <w:t>(*)</w:t>
      </w:r>
      <w:r>
        <w:rPr>
          <w:rFonts w:ascii="Times New Roman" w:hAnsi="Times New Roman"/>
          <w:i/>
          <w:iCs/>
          <w:sz w:val="28"/>
          <w:szCs w:val="28"/>
        </w:rPr>
        <w:t xml:space="preserve"> </w:t>
      </w:r>
      <w:r>
        <w:rPr>
          <w:rFonts w:ascii="Times New Roman" w:hAnsi="Times New Roman"/>
          <w:i/>
          <w:iCs/>
          <w:sz w:val="24"/>
          <w:szCs w:val="24"/>
        </w:rPr>
        <w:t>[source: Commission européenne (</w:t>
      </w:r>
      <w:r>
        <w:rPr>
          <w:rFonts w:ascii="Times New Roman" w:eastAsia="Times New Roman" w:hAnsi="Times New Roman" w:cs="Times New Roman"/>
          <w:i/>
          <w:iCs/>
          <w:sz w:val="24"/>
          <w:szCs w:val="24"/>
          <w:vertAlign w:val="superscript"/>
        </w:rPr>
        <w:footnoteReference w:id="83"/>
      </w:r>
      <w:r>
        <w:rPr>
          <w:rFonts w:ascii="Times New Roman" w:hAnsi="Times New Roman"/>
          <w:i/>
          <w:iCs/>
          <w:sz w:val="24"/>
          <w:szCs w:val="24"/>
        </w:rPr>
        <w:t>)]</w:t>
      </w:r>
      <w:bookmarkStart w:id="443" w:name="_Toc440017702"/>
      <w:bookmarkStart w:id="444" w:name="_Toc440018086"/>
      <w:bookmarkStart w:id="445" w:name="_Toc440033384"/>
      <w:bookmarkStart w:id="446" w:name="_Toc440035235"/>
      <w:bookmarkStart w:id="447" w:name="_Toc440036530"/>
      <w:bookmarkStart w:id="448" w:name="_Toc440042472"/>
      <w:bookmarkStart w:id="449" w:name="_Toc440291125"/>
      <w:bookmarkStart w:id="450" w:name="_Toc440294688"/>
      <w:bookmarkStart w:id="451" w:name="_Toc440295190"/>
      <w:bookmarkStart w:id="452" w:name="_Toc440296595"/>
      <w:bookmarkStart w:id="453" w:name="_Toc440625079"/>
      <w:bookmarkStart w:id="454" w:name="_Toc440626409"/>
      <w:bookmarkStart w:id="455" w:name="_Toc440628863"/>
      <w:bookmarkStart w:id="456" w:name="_Toc441571136"/>
      <w:bookmarkStart w:id="457" w:name="_Toc441581638"/>
      <w:bookmarkStart w:id="458" w:name="_Toc441585905"/>
      <w:bookmarkStart w:id="459" w:name="_Toc441595840"/>
      <w:bookmarkStart w:id="460" w:name="_Toc441596017"/>
      <w:bookmarkStart w:id="461" w:name="_Toc441748142"/>
      <w:bookmarkStart w:id="462" w:name="_Toc441755427"/>
      <w:bookmarkStart w:id="463" w:name="_Toc441756464"/>
      <w:bookmarkStart w:id="464" w:name="_Toc441757508"/>
      <w:bookmarkStart w:id="465" w:name="_Toc441766637"/>
      <w:bookmarkStart w:id="466" w:name="_Toc441766976"/>
    </w:p>
    <w:p w:rsidR="00D23207" w:rsidRDefault="00493C98">
      <w:pPr>
        <w:spacing w:after="0" w:line="240" w:lineRule="auto"/>
        <w:jc w:val="both"/>
        <w:rPr>
          <w:rFonts w:ascii="Times New Roman" w:eastAsia="Calibri" w:hAnsi="Times New Roman" w:cs="Times New Roman"/>
          <w:i/>
          <w:sz w:val="20"/>
        </w:rPr>
      </w:pPr>
      <w:bookmarkStart w:id="467" w:name="_Toc442187977"/>
      <w:bookmarkStart w:id="468" w:name="_Toc442262069"/>
      <w:bookmarkStart w:id="469" w:name="_Toc442362476"/>
      <w:bookmarkStart w:id="470" w:name="_Toc442374812"/>
      <w:bookmarkStart w:id="471" w:name="_Toc442425952"/>
      <w:bookmarkStart w:id="472" w:name="_Toc442453078"/>
      <w:bookmarkStart w:id="473" w:name="_Toc443484536"/>
      <w:bookmarkStart w:id="474" w:name="_Toc443484758"/>
      <w:bookmarkStart w:id="475" w:name="_Toc443509499"/>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Pr>
          <w:rFonts w:ascii="Times New Roman" w:eastAsia="Calibri" w:hAnsi="Times New Roman" w:cs="Times New Roman"/>
          <w:i/>
          <w:sz w:val="20"/>
          <w:lang w:val="en-GB" w:eastAsia="en-GB"/>
        </w:rPr>
        <w:drawing>
          <wp:inline distT="0" distB="0" distL="0" distR="0">
            <wp:extent cx="5977255" cy="3330233"/>
            <wp:effectExtent l="0" t="0" r="4445" b="3810"/>
            <wp:docPr id="97310" name="Picture 9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77255" cy="3330233"/>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b/>
          <w:sz w:val="24"/>
          <w:highlight w:val="yellow"/>
        </w:rPr>
      </w:pPr>
      <w:r>
        <w:rPr>
          <w:rFonts w:ascii="Times New Roman" w:hAnsi="Times New Roman"/>
          <w:i/>
          <w:sz w:val="20"/>
        </w:rPr>
        <w:t xml:space="preserve">(*) Les États membres ont reçu un point par type de suivi. La catégorie «autre </w:t>
      </w:r>
      <w:r>
        <w:rPr>
          <w:rFonts w:ascii="Times New Roman" w:hAnsi="Times New Roman"/>
          <w:i/>
          <w:sz w:val="20"/>
        </w:rPr>
        <w:t>suivi spécifique» couvre les activités suivantes: l’inspection (</w:t>
      </w:r>
      <w:r>
        <w:rPr>
          <w:rFonts w:ascii="Times New Roman" w:hAnsi="Times New Roman"/>
          <w:b/>
          <w:bCs/>
          <w:i/>
          <w:sz w:val="20"/>
        </w:rPr>
        <w:t>ES</w:t>
      </w:r>
      <w:r>
        <w:rPr>
          <w:rFonts w:ascii="Times New Roman" w:hAnsi="Times New Roman"/>
          <w:i/>
          <w:sz w:val="20"/>
        </w:rPr>
        <w:t>); l’utilisation en tant qu’orientations pour la conception de politiques internes (</w:t>
      </w:r>
      <w:r>
        <w:rPr>
          <w:rFonts w:ascii="Times New Roman" w:hAnsi="Times New Roman"/>
          <w:b/>
          <w:bCs/>
          <w:i/>
          <w:sz w:val="20"/>
        </w:rPr>
        <w:t>MT</w:t>
      </w:r>
      <w:r>
        <w:rPr>
          <w:rFonts w:ascii="Times New Roman" w:hAnsi="Times New Roman"/>
          <w:i/>
          <w:sz w:val="20"/>
        </w:rPr>
        <w:t>); la publication d’outils d’information pour le grand public (</w:t>
      </w:r>
      <w:r>
        <w:rPr>
          <w:rFonts w:ascii="Times New Roman" w:hAnsi="Times New Roman"/>
          <w:b/>
          <w:bCs/>
          <w:i/>
          <w:sz w:val="20"/>
        </w:rPr>
        <w:t>SI</w:t>
      </w:r>
      <w:r>
        <w:rPr>
          <w:rFonts w:ascii="Times New Roman" w:hAnsi="Times New Roman"/>
          <w:i/>
          <w:sz w:val="20"/>
        </w:rPr>
        <w:t>); et les rapports d’auto-évaluation de</w:t>
      </w:r>
      <w:r>
        <w:rPr>
          <w:rFonts w:ascii="Times New Roman" w:hAnsi="Times New Roman"/>
          <w:i/>
          <w:sz w:val="20"/>
        </w:rPr>
        <w:t>s juridictions (</w:t>
      </w:r>
      <w:r>
        <w:rPr>
          <w:rFonts w:ascii="Times New Roman" w:hAnsi="Times New Roman"/>
          <w:b/>
          <w:i/>
          <w:sz w:val="20"/>
        </w:rPr>
        <w:t>SK</w:t>
      </w:r>
      <w:r>
        <w:rPr>
          <w:rFonts w:ascii="Times New Roman" w:hAnsi="Times New Roman"/>
          <w:i/>
          <w:sz w:val="20"/>
        </w:rPr>
        <w:t>)</w:t>
      </w:r>
      <w:bookmarkStart w:id="476" w:name="_Toc446014828"/>
      <w:r>
        <w:rPr>
          <w:rFonts w:ascii="Times New Roman" w:hAnsi="Times New Roman"/>
          <w:i/>
          <w:sz w:val="20"/>
        </w:rPr>
        <w:t>.</w:t>
      </w:r>
    </w:p>
    <w:p w:rsidR="00D23207" w:rsidRDefault="00493C98">
      <w:pPr>
        <w:spacing w:before="240" w:after="120" w:line="240" w:lineRule="auto"/>
        <w:jc w:val="both"/>
        <w:rPr>
          <w:rFonts w:ascii="Times New Roman" w:eastAsia="Calibri" w:hAnsi="Times New Roman" w:cs="Times New Roman"/>
          <w:i/>
          <w:sz w:val="20"/>
        </w:rPr>
      </w:pPr>
      <w:r>
        <w:rPr>
          <w:rFonts w:ascii="Times New Roman" w:hAnsi="Times New Roman"/>
          <w:b/>
          <w:sz w:val="24"/>
        </w:rPr>
        <w:t>3.2.4. Normes</w:t>
      </w:r>
      <w:bookmarkEnd w:id="476"/>
    </w:p>
    <w:p w:rsidR="00D23207" w:rsidRDefault="00493C98">
      <w:pPr>
        <w:spacing w:after="120" w:line="240" w:lineRule="auto"/>
        <w:jc w:val="both"/>
        <w:rPr>
          <w:rFonts w:ascii="Times New Roman" w:eastAsia="Calibri" w:hAnsi="Times New Roman" w:cs="Times New Roman"/>
          <w:sz w:val="24"/>
        </w:rPr>
      </w:pPr>
      <w:r>
        <w:rPr>
          <w:rFonts w:ascii="Times New Roman" w:hAnsi="Times New Roman"/>
          <w:sz w:val="24"/>
          <w:szCs w:val="24"/>
        </w:rPr>
        <w:t>Les normes peuvent améliorer la qualité des systèmes judiciaires. Dans le prolongement de la vue d’ensemble de certaines normes relatives au calendrier et aux informations communiquées aux parties réalisée dans les éditio</w:t>
      </w:r>
      <w:r>
        <w:rPr>
          <w:rFonts w:ascii="Times New Roman" w:hAnsi="Times New Roman"/>
          <w:sz w:val="24"/>
          <w:szCs w:val="24"/>
        </w:rPr>
        <w:t>ns précédentes, le tableau de bord 2020 de la justice dans l’UE se concentre sur le calendrier, l’arriéré et les délais en tant qu’outils de gestion dans le système judiciaire (</w:t>
      </w:r>
      <w:r>
        <w:rPr>
          <w:rFonts w:ascii="Times New Roman" w:eastAsia="Calibri" w:hAnsi="Times New Roman" w:cs="Times New Roman"/>
          <w:sz w:val="24"/>
          <w:szCs w:val="24"/>
          <w:vertAlign w:val="superscript"/>
        </w:rPr>
        <w:footnoteReference w:id="84"/>
      </w:r>
      <w:r>
        <w:rPr>
          <w:rFonts w:ascii="Times New Roman" w:hAnsi="Times New Roman"/>
          <w:sz w:val="24"/>
          <w:szCs w:val="24"/>
        </w:rPr>
        <w:t>). Le graphique 43 donne un aperçu des États membres qui utilisent des mesures</w:t>
      </w:r>
      <w:r>
        <w:rPr>
          <w:rFonts w:ascii="Times New Roman" w:hAnsi="Times New Roman"/>
          <w:sz w:val="24"/>
          <w:szCs w:val="24"/>
        </w:rPr>
        <w:t xml:space="preserve"> standard en matière de délais, de calendriers et d’arriérés et comprend pour la première fois des informations ventilées par domaine du droit et par instance où de telles normes existent. Les dates limites sont des délais quantitatifs, par exemple le nomb</w:t>
      </w:r>
      <w:r>
        <w:rPr>
          <w:rFonts w:ascii="Times New Roman" w:hAnsi="Times New Roman"/>
          <w:sz w:val="24"/>
          <w:szCs w:val="24"/>
        </w:rPr>
        <w:t>re maximal de jours entre l’enregistrement d’une affaire et la première audience. Les arriérés sont des affaires antérieures à une période déterminée. Les délais sont des cibles/pratiques mesurables, par exemple le fait de préciser qu’une partie prédéfinie</w:t>
      </w:r>
      <w:r>
        <w:rPr>
          <w:rFonts w:ascii="Times New Roman" w:hAnsi="Times New Roman"/>
          <w:sz w:val="24"/>
          <w:szCs w:val="24"/>
        </w:rPr>
        <w:t xml:space="preserve"> des affaires sera achevée dans un laps de temps donné. </w:t>
      </w:r>
      <w:bookmarkStart w:id="477" w:name="_Ref441657918"/>
    </w:p>
    <w:bookmarkEnd w:id="477"/>
    <w:p w:rsidR="00D23207" w:rsidRDefault="00493C98">
      <w:pPr>
        <w:keepNext/>
        <w:spacing w:before="240" w:after="0" w:line="240" w:lineRule="auto"/>
        <w:rPr>
          <w:rFonts w:ascii="Times New Roman" w:eastAsia="Calibri" w:hAnsi="Times New Roman" w:cs="Times New Roman"/>
          <w:b/>
          <w:bCs/>
          <w:sz w:val="24"/>
          <w:szCs w:val="24"/>
          <w:highlight w:val="yellow"/>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43</w:t>
      </w:r>
      <w:r>
        <w:fldChar w:fldCharType="end"/>
      </w:r>
      <w:r>
        <w:rPr>
          <w:b/>
          <w:bCs/>
          <w:sz w:val="24"/>
          <w:szCs w:val="24"/>
        </w:rPr>
        <w:t>:</w:t>
      </w:r>
      <w:r>
        <w:rPr>
          <w:rFonts w:ascii="Times New Roman" w:hAnsi="Times New Roman"/>
          <w:b/>
          <w:bCs/>
          <w:sz w:val="24"/>
          <w:szCs w:val="24"/>
        </w:rPr>
        <w:t xml:space="preserve"> existence de normes relatives au calendrier, 2019</w:t>
      </w:r>
      <w:r>
        <w:rPr>
          <w:rFonts w:ascii="Times New Roman" w:hAnsi="Times New Roman"/>
          <w:sz w:val="24"/>
          <w:szCs w:val="24"/>
        </w:rPr>
        <w:t> (*)</w:t>
      </w:r>
      <w:r>
        <w:rPr>
          <w:rFonts w:ascii="Times New Roman" w:hAnsi="Times New Roman"/>
          <w:i/>
          <w:iCs/>
          <w:sz w:val="24"/>
          <w:szCs w:val="24"/>
        </w:rPr>
        <w:t xml:space="preserve"> [source: </w:t>
      </w:r>
      <w:r>
        <w:rPr>
          <w:rFonts w:ascii="Times New Roman" w:hAnsi="Times New Roman"/>
          <w:i/>
          <w:iCs/>
        </w:rPr>
        <w:t>Commission européenne (</w:t>
      </w:r>
      <w:r>
        <w:rPr>
          <w:rFonts w:ascii="Times New Roman" w:eastAsia="Calibri" w:hAnsi="Times New Roman" w:cs="Times New Roman"/>
          <w:i/>
          <w:iCs/>
          <w:vertAlign w:val="superscript"/>
        </w:rPr>
        <w:footnoteReference w:id="85"/>
      </w:r>
      <w:r>
        <w:rPr>
          <w:rFonts w:ascii="Times New Roman" w:hAnsi="Times New Roman"/>
          <w:i/>
          <w:iCs/>
        </w:rPr>
        <w:t>)]</w:t>
      </w:r>
    </w:p>
    <w:p w:rsidR="00D23207" w:rsidRDefault="00493C98">
      <w:pPr>
        <w:keepNext/>
        <w:spacing w:after="0" w:line="240" w:lineRule="auto"/>
        <w:contextualSpacing/>
        <w:jc w:val="both"/>
        <w:rPr>
          <w:rFonts w:ascii="Times New Roman" w:eastAsia="Calibri" w:hAnsi="Times New Roman" w:cs="Times New Roman"/>
          <w:i/>
          <w:sz w:val="20"/>
          <w:szCs w:val="20"/>
        </w:rPr>
      </w:pPr>
      <w:r>
        <w:rPr>
          <w:rFonts w:ascii="Times New Roman" w:eastAsia="Calibri" w:hAnsi="Times New Roman" w:cs="Times New Roman"/>
          <w:i/>
          <w:sz w:val="20"/>
          <w:szCs w:val="20"/>
          <w:lang w:val="en-GB" w:eastAsia="en-GB"/>
        </w:rPr>
        <w:drawing>
          <wp:inline distT="0" distB="0" distL="0" distR="0">
            <wp:extent cx="5977255" cy="2606740"/>
            <wp:effectExtent l="0" t="0" r="4445" b="3175"/>
            <wp:docPr id="97317" name="Picture 9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77255" cy="2606740"/>
                    </a:xfrm>
                    <a:prstGeom prst="rect">
                      <a:avLst/>
                    </a:prstGeom>
                    <a:noFill/>
                    <a:ln>
                      <a:noFill/>
                    </a:ln>
                  </pic:spPr>
                </pic:pic>
              </a:graphicData>
            </a:graphic>
          </wp:inline>
        </w:drawing>
      </w:r>
    </w:p>
    <w:p w:rsidR="00D23207" w:rsidRDefault="00493C98">
      <w:pPr>
        <w:keepNext/>
        <w:spacing w:after="0" w:line="240" w:lineRule="auto"/>
        <w:contextualSpacing/>
        <w:jc w:val="both"/>
        <w:rPr>
          <w:rFonts w:ascii="Times New Roman" w:eastAsia="Calibri" w:hAnsi="Times New Roman" w:cs="Times New Roman"/>
          <w:i/>
          <w:sz w:val="20"/>
          <w:szCs w:val="20"/>
        </w:rPr>
      </w:pPr>
      <w:r>
        <w:rPr>
          <w:rFonts w:ascii="Times New Roman" w:hAnsi="Times New Roman"/>
          <w:i/>
          <w:sz w:val="20"/>
          <w:szCs w:val="20"/>
        </w:rPr>
        <w:t xml:space="preserve">(*) Les États membres ont reçu un point par instance (première, </w:t>
      </w:r>
      <w:r>
        <w:rPr>
          <w:rFonts w:ascii="Times New Roman" w:hAnsi="Times New Roman"/>
          <w:i/>
          <w:sz w:val="20"/>
          <w:szCs w:val="20"/>
        </w:rPr>
        <w:t>deuxième, dernière) pour chaque domaine du droit (civil/commercial, administratif et pénal) si une norme est définie. Maximum possible: 27 points.</w:t>
      </w:r>
      <w:r>
        <w:rPr>
          <w:rFonts w:ascii="Times New Roman" w:hAnsi="Times New Roman"/>
          <w:i/>
          <w:sz w:val="20"/>
        </w:rPr>
        <w:t xml:space="preserve"> Lorsqu’un État membre ne dispose que de deux degrés d’instance, des points ont été attribués pour trois insta</w:t>
      </w:r>
      <w:r>
        <w:rPr>
          <w:rFonts w:ascii="Times New Roman" w:hAnsi="Times New Roman"/>
          <w:i/>
          <w:sz w:val="20"/>
        </w:rPr>
        <w:t>nces en reproduisant la juridiction la plus élevée du degré inexistant. Pour les États membres qui ne différencient pas ces deux domaines du droit (civil/commercial et administratif), le même nombre de points a été attribué pour les deux domaines.</w:t>
      </w:r>
      <w:r>
        <w:rPr>
          <w:rFonts w:ascii="Times New Roman" w:hAnsi="Times New Roman"/>
          <w:i/>
          <w:sz w:val="20"/>
          <w:szCs w:val="20"/>
        </w:rPr>
        <w:t xml:space="preserve"> </w:t>
      </w:r>
    </w:p>
    <w:p w:rsidR="00D23207" w:rsidRDefault="00D23207">
      <w:pPr>
        <w:spacing w:before="240" w:after="120" w:line="240" w:lineRule="auto"/>
        <w:contextualSpacing/>
        <w:jc w:val="both"/>
        <w:rPr>
          <w:rFonts w:ascii="Times New Roman Bold" w:eastAsia="Calibri" w:hAnsi="Times New Roman Bold" w:cs="Times New Roman"/>
          <w:i/>
          <w:spacing w:val="-6"/>
          <w:sz w:val="24"/>
        </w:rPr>
      </w:pPr>
    </w:p>
    <w:p w:rsidR="00D23207" w:rsidRDefault="00D23207">
      <w:pPr>
        <w:spacing w:before="240" w:after="120" w:line="240" w:lineRule="auto"/>
        <w:contextualSpacing/>
        <w:jc w:val="both"/>
        <w:rPr>
          <w:rFonts w:ascii="Times New Roman Bold" w:eastAsia="Calibri" w:hAnsi="Times New Roman Bold" w:cs="Times New Roman"/>
          <w:i/>
          <w:spacing w:val="-6"/>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9"/>
      </w:tblGrid>
      <w:tr w:rsidR="00D23207">
        <w:trPr>
          <w:trHeight w:val="839"/>
        </w:trPr>
        <w:tc>
          <w:tcPr>
            <w:tcW w:w="9729" w:type="dxa"/>
            <w:tcBorders>
              <w:bottom w:val="single" w:sz="4" w:space="0" w:color="auto"/>
            </w:tcBorders>
            <w:shd w:val="clear" w:color="auto" w:fill="auto"/>
          </w:tcPr>
          <w:p w:rsidR="00D23207" w:rsidRDefault="00493C98">
            <w:pPr>
              <w:pageBreakBefore/>
              <w:widowControl w:val="0"/>
              <w:tabs>
                <w:tab w:val="left" w:pos="856"/>
              </w:tabs>
              <w:spacing w:after="0" w:line="240" w:lineRule="auto"/>
              <w:ind w:left="856" w:hanging="856"/>
              <w:jc w:val="both"/>
              <w:outlineLvl w:val="2"/>
              <w:rPr>
                <w:rFonts w:ascii="Times New Roman" w:eastAsia="Times New Roman" w:hAnsi="Times New Roman" w:cs="Times New Roman"/>
                <w:b/>
                <w:sz w:val="24"/>
                <w:szCs w:val="24"/>
                <w:highlight w:val="yellow"/>
                <w:u w:val="single"/>
              </w:rPr>
            </w:pPr>
            <w:r>
              <w:br w:type="page"/>
            </w:r>
            <w:r>
              <w:rPr>
                <w:rFonts w:ascii="Times New Roman" w:hAnsi="Times New Roman"/>
                <w:b/>
                <w:sz w:val="24"/>
                <w:szCs w:val="24"/>
              </w:rPr>
              <w:t>3.2.</w:t>
            </w:r>
            <w:r>
              <w:rPr>
                <w:rFonts w:ascii="Times New Roman" w:hAnsi="Times New Roman"/>
                <w:b/>
                <w:sz w:val="24"/>
                <w:szCs w:val="24"/>
              </w:rPr>
              <w:t>5. Résumé sur la qualité des systèmes judiciaires</w:t>
            </w:r>
          </w:p>
          <w:p w:rsidR="00D23207" w:rsidRDefault="00493C98">
            <w:pPr>
              <w:widowControl w:val="0"/>
              <w:spacing w:before="120" w:after="0" w:line="240" w:lineRule="auto"/>
              <w:jc w:val="both"/>
              <w:rPr>
                <w:rFonts w:ascii="Times New Roman" w:eastAsia="Calibri" w:hAnsi="Times New Roman" w:cs="Times New Roman"/>
                <w:sz w:val="24"/>
              </w:rPr>
            </w:pPr>
            <w:r>
              <w:rPr>
                <w:rFonts w:ascii="Times New Roman" w:hAnsi="Times New Roman"/>
                <w:sz w:val="24"/>
                <w:szCs w:val="24"/>
              </w:rPr>
              <w:t xml:space="preserve">Un accès facile, des ressources suffisantes, des outils d’évaluation efficaces ainsi que des normes et pratiques appropriées sont les facteurs qui contribuent à la qualité élevée des systèmes judiciaires. </w:t>
            </w:r>
            <w:r>
              <w:rPr>
                <w:rFonts w:ascii="Times New Roman" w:hAnsi="Times New Roman"/>
                <w:sz w:val="24"/>
                <w:szCs w:val="24"/>
              </w:rPr>
              <w:t>Les citoyens et les entreprises attendent d’un système judiciaire efficace qu’il rende des décisions de qualité. Le tableau de bord 2020 de la justice dans l’UE développe son examen comparatif de ces facteurs.</w:t>
            </w:r>
          </w:p>
          <w:p w:rsidR="00D23207" w:rsidRDefault="00493C98">
            <w:pPr>
              <w:widowControl w:val="0"/>
              <w:spacing w:before="120" w:after="60" w:line="240" w:lineRule="auto"/>
              <w:jc w:val="both"/>
              <w:rPr>
                <w:rFonts w:ascii="Times New Roman" w:eastAsia="Calibri" w:hAnsi="Times New Roman" w:cs="Times New Roman"/>
                <w:i/>
                <w:sz w:val="24"/>
              </w:rPr>
            </w:pPr>
            <w:r>
              <w:rPr>
                <w:rFonts w:ascii="Times New Roman" w:hAnsi="Times New Roman"/>
                <w:i/>
                <w:sz w:val="24"/>
              </w:rPr>
              <w:t>Accessibilité</w:t>
            </w:r>
          </w:p>
          <w:p w:rsidR="00D23207" w:rsidRDefault="00493C98">
            <w:pPr>
              <w:widowControl w:val="0"/>
              <w:spacing w:after="0" w:line="240" w:lineRule="auto"/>
              <w:jc w:val="both"/>
              <w:rPr>
                <w:rFonts w:ascii="Times New Roman" w:eastAsia="Calibri" w:hAnsi="Times New Roman" w:cs="Times New Roman"/>
                <w:bCs/>
                <w:iCs/>
                <w:sz w:val="24"/>
                <w:szCs w:val="24"/>
              </w:rPr>
            </w:pPr>
            <w:r>
              <w:rPr>
                <w:rFonts w:ascii="Times New Roman" w:hAnsi="Times New Roman"/>
                <w:bCs/>
                <w:iCs/>
                <w:sz w:val="24"/>
                <w:szCs w:val="24"/>
              </w:rPr>
              <w:t>La présente édition du tableau d</w:t>
            </w:r>
            <w:r>
              <w:rPr>
                <w:rFonts w:ascii="Times New Roman" w:hAnsi="Times New Roman"/>
                <w:bCs/>
                <w:iCs/>
                <w:sz w:val="24"/>
                <w:szCs w:val="24"/>
              </w:rPr>
              <w:t>e bord revient sur plusieurs éléments contribuant à un système judiciaire accessible aux citoyens:</w:t>
            </w:r>
          </w:p>
          <w:p w:rsidR="00D23207" w:rsidRDefault="00493C98">
            <w:pPr>
              <w:widowControl w:val="0"/>
              <w:numPr>
                <w:ilvl w:val="0"/>
                <w:numId w:val="5"/>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la quasi-totalité des États membres fournissent un accès à </w:t>
            </w:r>
            <w:r>
              <w:rPr>
                <w:rFonts w:ascii="Times New Roman" w:hAnsi="Times New Roman"/>
                <w:b/>
                <w:bCs/>
                <w:sz w:val="24"/>
                <w:szCs w:val="24"/>
              </w:rPr>
              <w:t>certaines informations en ligne</w:t>
            </w:r>
            <w:r>
              <w:rPr>
                <w:rFonts w:ascii="Times New Roman" w:hAnsi="Times New Roman"/>
                <w:sz w:val="24"/>
                <w:szCs w:val="24"/>
              </w:rPr>
              <w:t xml:space="preserve"> sur leur système judiciaire, y compris un portail web centralisé c</w:t>
            </w:r>
            <w:r>
              <w:rPr>
                <w:rFonts w:ascii="Times New Roman" w:hAnsi="Times New Roman"/>
                <w:sz w:val="24"/>
                <w:szCs w:val="24"/>
              </w:rPr>
              <w:t>ontenant des formulaires en ligne et des informations pédagogiques interactives sur les droits légaux (graphique 22). Des différences sont constatées au niveau du contenu des informations fournies et de leur adéquation avec les besoins des citoyens. Par ex</w:t>
            </w:r>
            <w:r>
              <w:rPr>
                <w:rFonts w:ascii="Times New Roman" w:hAnsi="Times New Roman"/>
                <w:sz w:val="24"/>
                <w:szCs w:val="24"/>
              </w:rPr>
              <w:t xml:space="preserve">emple, seul un nombre limité d’États membres (9) permettent aux citoyens de savoir s’ils peuvent bénéficier de l’aide juridictionnelle au moyen d’une simulation interactive en ligne. Toutefois, des informations destinées aux allophones et des informations </w:t>
            </w:r>
            <w:r>
              <w:rPr>
                <w:rFonts w:ascii="Times New Roman" w:hAnsi="Times New Roman"/>
                <w:sz w:val="24"/>
                <w:szCs w:val="24"/>
              </w:rPr>
              <w:t>pour les personnes malvoyantes ou malentendantes sont disponibles dans la majorité des États membres;</w:t>
            </w:r>
          </w:p>
          <w:p w:rsidR="00D23207" w:rsidRDefault="00493C98">
            <w:pPr>
              <w:widowControl w:val="0"/>
              <w:numPr>
                <w:ilvl w:val="0"/>
                <w:numId w:val="5"/>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la </w:t>
            </w:r>
            <w:r>
              <w:rPr>
                <w:rFonts w:ascii="Times New Roman" w:hAnsi="Times New Roman"/>
                <w:b/>
                <w:sz w:val="24"/>
                <w:szCs w:val="24"/>
              </w:rPr>
              <w:t>disponibilité de l’aide juridictionnelle et le niveau des droits de greffe</w:t>
            </w:r>
            <w:r>
              <w:rPr>
                <w:rFonts w:ascii="Times New Roman" w:hAnsi="Times New Roman"/>
                <w:sz w:val="24"/>
                <w:szCs w:val="24"/>
              </w:rPr>
              <w:t xml:space="preserve"> ont une grande incidence sur l’accès à la justice, en particulier pour les p</w:t>
            </w:r>
            <w:r>
              <w:rPr>
                <w:rFonts w:ascii="Times New Roman" w:hAnsi="Times New Roman"/>
                <w:sz w:val="24"/>
                <w:szCs w:val="24"/>
              </w:rPr>
              <w:t>ersonnes en situation de pauvreté. Le graphique 23 montre que, dans certains États membres, des consommateurs dont les revenus sont inférieurs au seuil de pauvreté d’Eurostat ne bénéficient d’aucune aide juridictionnelle. Par rapport à l’an dernier, l’acce</w:t>
            </w:r>
            <w:r>
              <w:rPr>
                <w:rFonts w:ascii="Times New Roman" w:hAnsi="Times New Roman"/>
                <w:sz w:val="24"/>
                <w:szCs w:val="24"/>
              </w:rPr>
              <w:t xml:space="preserve">ssibilité de l’aide juridictionnelle est restée stable. Dans le même temps, au fil des années, l’aide juridictionnelle est devenue moins accessible dans certains États membres. Le niveau des droits de greffe (graphique 24) est resté essentiellement stable </w:t>
            </w:r>
            <w:r>
              <w:rPr>
                <w:rFonts w:ascii="Times New Roman" w:hAnsi="Times New Roman"/>
                <w:sz w:val="24"/>
                <w:szCs w:val="24"/>
              </w:rPr>
              <w:t>depuis 2016, bien que la charge des droits de greffe continue d’être proportionnellement plus élevée pour la signification des litiges de faible valeur. La difficulté rencontrée pour bénéficier de l’aide juridictionnelle, combinée à des droits de greffe él</w:t>
            </w:r>
            <w:r>
              <w:rPr>
                <w:rFonts w:ascii="Times New Roman" w:hAnsi="Times New Roman"/>
                <w:sz w:val="24"/>
                <w:szCs w:val="24"/>
              </w:rPr>
              <w:t xml:space="preserve">evés dans certains États membres, pourrait dissuader certaines personnes en situation de pauvreté d’accéder à la justice; </w:t>
            </w:r>
          </w:p>
          <w:p w:rsidR="00D23207" w:rsidRDefault="00493C98">
            <w:pPr>
              <w:widowControl w:val="0"/>
              <w:numPr>
                <w:ilvl w:val="0"/>
                <w:numId w:val="5"/>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pour la première fois, le tableau de bord 2020 de la justice dans l’UE inclut également des informations sur les </w:t>
            </w:r>
            <w:r>
              <w:rPr>
                <w:rFonts w:ascii="Times New Roman" w:hAnsi="Times New Roman"/>
                <w:b/>
                <w:bCs/>
                <w:sz w:val="24"/>
                <w:szCs w:val="24"/>
              </w:rPr>
              <w:t xml:space="preserve">droits de greffe et </w:t>
            </w:r>
            <w:r>
              <w:rPr>
                <w:rFonts w:ascii="Times New Roman" w:hAnsi="Times New Roman"/>
                <w:b/>
                <w:bCs/>
                <w:sz w:val="24"/>
                <w:szCs w:val="24"/>
              </w:rPr>
              <w:t>la recouvrabilité des frais juridiques dans une affaire commerciale</w:t>
            </w:r>
            <w:r>
              <w:rPr>
                <w:rFonts w:ascii="Times New Roman" w:hAnsi="Times New Roman"/>
                <w:sz w:val="24"/>
                <w:szCs w:val="24"/>
              </w:rPr>
              <w:t>. Le niveau des droits de greffe relatifs à un litige commercial (graphique 25) varie fortement d’un État membre à l’autre (allant de 0,1 % à 6 % de la valeur du litige), seuls deux États m</w:t>
            </w:r>
            <w:r>
              <w:rPr>
                <w:rFonts w:ascii="Times New Roman" w:hAnsi="Times New Roman"/>
                <w:sz w:val="24"/>
                <w:szCs w:val="24"/>
              </w:rPr>
              <w:t>embres n’exigeant aucun droit de greffe. Le graphique 26 montre, pour la première fois, la mesure dans laquelle les frais juridiques peuvent être recouvrés par la partie gagnante dans une affaire commerciale. De grandes différences concernant la recouvrabi</w:t>
            </w:r>
            <w:r>
              <w:rPr>
                <w:rFonts w:ascii="Times New Roman" w:hAnsi="Times New Roman"/>
                <w:sz w:val="24"/>
                <w:szCs w:val="24"/>
              </w:rPr>
              <w:t>lité des frais juridiques pour la phase contentieuse apparaissent à la fois entre les États membres avec et sans système de frais légaux ainsi qu’au sein de ces groupes (en particulier entre les systèmes de frais légaux plus ou moins généreux). En outre, d</w:t>
            </w:r>
            <w:r>
              <w:rPr>
                <w:rFonts w:ascii="Times New Roman" w:hAnsi="Times New Roman"/>
                <w:sz w:val="24"/>
                <w:szCs w:val="24"/>
              </w:rPr>
              <w:t>ans de nombreux États membres, la recouvrabilité des frais juridiques est laissée à l’appréciation des juridictions. Le niveau de générosité du système de recouvrement des frais juridiques peut avoir des effets incitants ou dissuasifs sur la probabilité de</w:t>
            </w:r>
            <w:r>
              <w:rPr>
                <w:rFonts w:ascii="Times New Roman" w:hAnsi="Times New Roman"/>
                <w:sz w:val="24"/>
                <w:szCs w:val="24"/>
              </w:rPr>
              <w:t xml:space="preserve"> dépôt d’une plainte et, partant, sur l’accès global à la justice;</w:t>
            </w:r>
          </w:p>
          <w:p w:rsidR="00D23207" w:rsidRDefault="00493C98">
            <w:pPr>
              <w:widowControl w:val="0"/>
              <w:numPr>
                <w:ilvl w:val="0"/>
                <w:numId w:val="5"/>
              </w:numPr>
              <w:spacing w:after="60" w:line="240" w:lineRule="auto"/>
              <w:jc w:val="both"/>
              <w:rPr>
                <w:rFonts w:ascii="Times New Roman" w:eastAsia="Times New Roman" w:hAnsi="Times New Roman" w:cs="Times New Roman"/>
                <w:sz w:val="20"/>
                <w:szCs w:val="24"/>
              </w:rPr>
            </w:pPr>
            <w:r>
              <w:rPr>
                <w:rFonts w:ascii="Times New Roman" w:hAnsi="Times New Roman"/>
                <w:sz w:val="24"/>
                <w:szCs w:val="24"/>
              </w:rPr>
              <w:t xml:space="preserve">la </w:t>
            </w:r>
            <w:r>
              <w:rPr>
                <w:rFonts w:ascii="Times New Roman" w:hAnsi="Times New Roman"/>
                <w:b/>
                <w:sz w:val="24"/>
                <w:szCs w:val="24"/>
              </w:rPr>
              <w:t>disponibilité de moyens électroniques</w:t>
            </w:r>
            <w:r>
              <w:rPr>
                <w:rFonts w:ascii="Times New Roman" w:hAnsi="Times New Roman"/>
                <w:sz w:val="24"/>
                <w:szCs w:val="24"/>
              </w:rPr>
              <w:t xml:space="preserve"> au cours de la procédure judiciaire contribue à faciliter l’accès à la justice et à réduire les retards et les coûts. Le graphique 27 montre que, dans plus de la moitié des États membres, le dépôt électronique des requêtes et des citations à comparaître n</w:t>
            </w:r>
            <w:r>
              <w:rPr>
                <w:rFonts w:ascii="Times New Roman" w:hAnsi="Times New Roman"/>
                <w:sz w:val="24"/>
                <w:szCs w:val="24"/>
              </w:rPr>
              <w:t>’est pas possible, ou ne l’est que dans une mesure limitée, comme déjà observé dans le tableau de bord 2019 de la justice dans l’UE. De grandes différences subsistent, en particulier en ce qui concerne la possibilité de suivre en ligne la progression d’une</w:t>
            </w:r>
            <w:r>
              <w:rPr>
                <w:rFonts w:ascii="Times New Roman" w:hAnsi="Times New Roman"/>
                <w:sz w:val="24"/>
                <w:szCs w:val="24"/>
              </w:rPr>
              <w:t xml:space="preserve"> procédure, domaine pour lequel aucun État membre n’est parvenu au déploiement total dans toutes les juridictions dans tous les domaines du droit; </w:t>
            </w:r>
          </w:p>
          <w:p w:rsidR="00D23207" w:rsidRDefault="00493C98">
            <w:pPr>
              <w:widowControl w:val="0"/>
              <w:numPr>
                <w:ilvl w:val="0"/>
                <w:numId w:val="5"/>
              </w:numPr>
              <w:spacing w:after="6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par rapport aux années précédentes, </w:t>
            </w:r>
            <w:r>
              <w:rPr>
                <w:rFonts w:ascii="Times New Roman" w:hAnsi="Times New Roman"/>
                <w:b/>
                <w:bCs/>
                <w:sz w:val="24"/>
                <w:szCs w:val="24"/>
              </w:rPr>
              <w:t>l’accès en ligne aux décisions de justice</w:t>
            </w:r>
            <w:r>
              <w:rPr>
                <w:rFonts w:ascii="Times New Roman" w:hAnsi="Times New Roman"/>
                <w:sz w:val="24"/>
                <w:szCs w:val="24"/>
              </w:rPr>
              <w:t xml:space="preserve"> (graphique 28) est resté stabl</w:t>
            </w:r>
            <w:r>
              <w:rPr>
                <w:rFonts w:ascii="Times New Roman" w:hAnsi="Times New Roman"/>
                <w:sz w:val="24"/>
                <w:szCs w:val="24"/>
              </w:rPr>
              <w:t>e, en particulier concernant la publication des décisions des instances suprêmes: 19 États membres publient toutes les décisions civiles/commerciales et administratives et le même nombre d’États membres publient également des décisions pénales des instance</w:t>
            </w:r>
            <w:r>
              <w:rPr>
                <w:rFonts w:ascii="Times New Roman" w:hAnsi="Times New Roman"/>
                <w:sz w:val="24"/>
                <w:szCs w:val="24"/>
              </w:rPr>
              <w:t>s suprêmes.</w:t>
            </w:r>
            <w:r>
              <w:rPr>
                <w:rFonts w:ascii="Times New Roman" w:hAnsi="Times New Roman"/>
                <w:b/>
                <w:sz w:val="24"/>
                <w:szCs w:val="24"/>
              </w:rPr>
              <w:t xml:space="preserve"> </w:t>
            </w:r>
            <w:r>
              <w:rPr>
                <w:rFonts w:ascii="Times New Roman" w:hAnsi="Times New Roman"/>
                <w:sz w:val="24"/>
                <w:szCs w:val="24"/>
              </w:rPr>
              <w:t>Ces chiffres positifs encouragent tous les États membres à s’améliorer davantage, les décisions des instances suprêmes jouant un rôle important dans la cohérence de la jurisprudence. Aux instances inférieures, le nombre d’États membres qui publ</w:t>
            </w:r>
            <w:r>
              <w:rPr>
                <w:rFonts w:ascii="Times New Roman" w:hAnsi="Times New Roman"/>
                <w:sz w:val="24"/>
                <w:szCs w:val="24"/>
              </w:rPr>
              <w:t xml:space="preserve">ient toutes les décisions reste sensiblement inférieur, tant pour les décisions pénales et civiles/commerciales que pour les décisions administratives. Ce chiffre est stable depuis 2017; </w:t>
            </w:r>
          </w:p>
          <w:p w:rsidR="00D23207" w:rsidRDefault="00493C98">
            <w:pPr>
              <w:widowControl w:val="0"/>
              <w:numPr>
                <w:ilvl w:val="0"/>
                <w:numId w:val="5"/>
              </w:numPr>
              <w:spacing w:after="60" w:line="240" w:lineRule="auto"/>
              <w:jc w:val="both"/>
              <w:rPr>
                <w:rFonts w:ascii="Times New Roman" w:eastAsia="Times New Roman" w:hAnsi="Times New Roman" w:cs="Times New Roman"/>
                <w:b/>
                <w:sz w:val="24"/>
                <w:szCs w:val="24"/>
              </w:rPr>
            </w:pPr>
            <w:r>
              <w:rPr>
                <w:rFonts w:ascii="Times New Roman" w:hAnsi="Times New Roman"/>
                <w:sz w:val="24"/>
                <w:szCs w:val="24"/>
              </w:rPr>
              <w:t>le tableau de bord 2020 de la justice dans l’UE approfondit l’examen</w:t>
            </w:r>
            <w:r>
              <w:rPr>
                <w:rFonts w:ascii="Times New Roman" w:hAnsi="Times New Roman"/>
                <w:sz w:val="24"/>
                <w:szCs w:val="24"/>
              </w:rPr>
              <w:t xml:space="preserve"> des </w:t>
            </w:r>
            <w:r>
              <w:rPr>
                <w:rFonts w:ascii="Times New Roman" w:hAnsi="Times New Roman"/>
                <w:b/>
                <w:bCs/>
                <w:sz w:val="24"/>
                <w:szCs w:val="24"/>
              </w:rPr>
              <w:t>dispositions en place dans les États membres qui peuvent faciliter la production de décisions judiciaires lisibles par machine</w:t>
            </w:r>
            <w:r>
              <w:rPr>
                <w:rFonts w:ascii="Times New Roman" w:hAnsi="Times New Roman"/>
                <w:sz w:val="24"/>
                <w:szCs w:val="24"/>
              </w:rPr>
              <w:t xml:space="preserve"> (graphique 29). Tous les États membres ont mis en place au moins quelques dispositions pour les affaires civiles/commerciale</w:t>
            </w:r>
            <w:r>
              <w:rPr>
                <w:rFonts w:ascii="Times New Roman" w:hAnsi="Times New Roman"/>
                <w:sz w:val="24"/>
                <w:szCs w:val="24"/>
              </w:rPr>
              <w:t xml:space="preserve">s, administratives et pénales. Toutefois, des différences considérables sont observées entre les États membres. Il semble que les tribunaux administratifs soient relativement plus avancés en ce qui concerne la création des facteurs favorables à un système </w:t>
            </w:r>
            <w:r>
              <w:rPr>
                <w:rFonts w:ascii="Times New Roman" w:hAnsi="Times New Roman"/>
                <w:sz w:val="24"/>
                <w:szCs w:val="24"/>
              </w:rPr>
              <w:t>de justice compatible avec les algorithmes. Les systèmes judiciaires dans lesquels des dispositions ont été prises pour modéliser les décisions judiciaires selon des normes permettant leur lecture automatique semblent pouvoir obtenir de meilleurs résultats</w:t>
            </w:r>
            <w:r>
              <w:rPr>
                <w:rFonts w:ascii="Times New Roman" w:hAnsi="Times New Roman"/>
                <w:sz w:val="24"/>
                <w:szCs w:val="24"/>
              </w:rPr>
              <w:t xml:space="preserve"> à l’avenir;</w:t>
            </w:r>
          </w:p>
          <w:p w:rsidR="00D23207" w:rsidRDefault="00493C98">
            <w:pPr>
              <w:widowControl w:val="0"/>
              <w:numPr>
                <w:ilvl w:val="0"/>
                <w:numId w:val="5"/>
              </w:numPr>
              <w:spacing w:after="60" w:line="240" w:lineRule="auto"/>
              <w:jc w:val="both"/>
              <w:rPr>
                <w:rFonts w:ascii="Times New Roman" w:eastAsia="Times New Roman" w:hAnsi="Times New Roman" w:cs="Times New Roman"/>
                <w:b/>
                <w:sz w:val="24"/>
                <w:szCs w:val="24"/>
              </w:rPr>
            </w:pPr>
            <w:r>
              <w:rPr>
                <w:rFonts w:ascii="Times New Roman" w:hAnsi="Times New Roman"/>
                <w:sz w:val="24"/>
                <w:szCs w:val="24"/>
              </w:rPr>
              <w:t xml:space="preserve">le nombre d’États membres promouvant le recours volontaire aux </w:t>
            </w:r>
            <w:r>
              <w:rPr>
                <w:rFonts w:ascii="Times New Roman" w:hAnsi="Times New Roman"/>
                <w:b/>
                <w:bCs/>
                <w:sz w:val="24"/>
                <w:szCs w:val="24"/>
              </w:rPr>
              <w:t>méthodes de règlement extrajudiciaire des litiges</w:t>
            </w:r>
            <w:r>
              <w:rPr>
                <w:rFonts w:ascii="Times New Roman" w:hAnsi="Times New Roman"/>
                <w:sz w:val="24"/>
                <w:szCs w:val="24"/>
              </w:rPr>
              <w:t xml:space="preserve"> (REL) (graphique 30) pour les litiges privés continue à nouveau d’augmenter par rapport aux années précédentes. Pour ce faire, ils</w:t>
            </w:r>
            <w:r>
              <w:rPr>
                <w:rFonts w:ascii="Times New Roman" w:hAnsi="Times New Roman"/>
                <w:sz w:val="24"/>
                <w:szCs w:val="24"/>
              </w:rPr>
              <w:t xml:space="preserve"> ont principalement prévu davantage de mesures d’incitation en faveur du recours au REL dans les différents domaines du droit. Les litiges administratifs sont désormais pris en considération pour la deuxième année consécutive, ce qui montre une légère expa</w:t>
            </w:r>
            <w:r>
              <w:rPr>
                <w:rFonts w:ascii="Times New Roman" w:hAnsi="Times New Roman"/>
                <w:sz w:val="24"/>
                <w:szCs w:val="24"/>
              </w:rPr>
              <w:t>nsion puisque plus de la moitié des États membres autorisent désormais le REL dans ce domaine;</w:t>
            </w:r>
          </w:p>
          <w:p w:rsidR="00D23207" w:rsidRDefault="00493C98">
            <w:pPr>
              <w:widowControl w:val="0"/>
              <w:numPr>
                <w:ilvl w:val="0"/>
                <w:numId w:val="5"/>
              </w:numPr>
              <w:spacing w:after="60" w:line="240" w:lineRule="auto"/>
              <w:jc w:val="both"/>
              <w:rPr>
                <w:rFonts w:ascii="Times New Roman" w:eastAsia="Times New Roman" w:hAnsi="Times New Roman" w:cs="Times New Roman"/>
                <w:b/>
                <w:sz w:val="24"/>
                <w:szCs w:val="24"/>
              </w:rPr>
            </w:pPr>
            <w:r>
              <w:rPr>
                <w:rFonts w:ascii="Times New Roman" w:hAnsi="Times New Roman"/>
                <w:sz w:val="24"/>
                <w:szCs w:val="24"/>
              </w:rPr>
              <w:t xml:space="preserve">pour la première fois, le tableau de bord 2020 de la justice dans l’UE présente un aperçu consolidé des mesures prises par les États membres en faveur d’un </w:t>
            </w:r>
            <w:r>
              <w:rPr>
                <w:rFonts w:ascii="Times New Roman" w:hAnsi="Times New Roman"/>
                <w:b/>
                <w:bCs/>
                <w:sz w:val="24"/>
                <w:szCs w:val="24"/>
              </w:rPr>
              <w:t>systè</w:t>
            </w:r>
            <w:r>
              <w:rPr>
                <w:rFonts w:ascii="Times New Roman" w:hAnsi="Times New Roman"/>
                <w:b/>
                <w:bCs/>
                <w:sz w:val="24"/>
                <w:szCs w:val="24"/>
              </w:rPr>
              <w:t>me judiciaire adapté aux enfants</w:t>
            </w:r>
            <w:r>
              <w:rPr>
                <w:rFonts w:ascii="Times New Roman" w:hAnsi="Times New Roman"/>
                <w:sz w:val="24"/>
                <w:szCs w:val="24"/>
              </w:rPr>
              <w:t xml:space="preserve"> (graphique 31). Presque tous les États membres font au moins quelques aménagements pour les enfants, les mesures visant adapter les audiences aux enfants (y compris dans les locaux) et à éviter plusieurs audiences d’un enfa</w:t>
            </w:r>
            <w:r>
              <w:rPr>
                <w:rFonts w:ascii="Times New Roman" w:hAnsi="Times New Roman"/>
                <w:sz w:val="24"/>
                <w:szCs w:val="24"/>
              </w:rPr>
              <w:t>nt étant particulièrement fréquentes. Toutefois, moins de la moitié des États membres disposent de sites internet spécialement conçus pour les enfants et fournissant des informations sur le système judiciaire.</w:t>
            </w:r>
          </w:p>
          <w:p w:rsidR="00D23207" w:rsidRDefault="00493C98">
            <w:pPr>
              <w:widowControl w:val="0"/>
              <w:spacing w:before="120" w:after="60" w:line="240" w:lineRule="auto"/>
              <w:jc w:val="both"/>
              <w:rPr>
                <w:rFonts w:ascii="Times New Roman" w:eastAsia="Calibri" w:hAnsi="Times New Roman" w:cs="Times New Roman"/>
                <w:i/>
                <w:sz w:val="24"/>
              </w:rPr>
            </w:pPr>
            <w:r>
              <w:rPr>
                <w:rFonts w:ascii="Times New Roman" w:hAnsi="Times New Roman"/>
                <w:i/>
                <w:sz w:val="24"/>
              </w:rPr>
              <w:t>Ressources</w:t>
            </w:r>
          </w:p>
          <w:p w:rsidR="00D23207" w:rsidRDefault="00493C98">
            <w:pPr>
              <w:widowControl w:val="0"/>
              <w:spacing w:after="0" w:line="240" w:lineRule="auto"/>
              <w:ind w:left="-20"/>
              <w:jc w:val="both"/>
              <w:rPr>
                <w:rFonts w:ascii="Times New Roman" w:eastAsia="Calibri" w:hAnsi="Times New Roman" w:cs="Times New Roman"/>
              </w:rPr>
            </w:pPr>
            <w:r>
              <w:rPr>
                <w:rFonts w:ascii="Times New Roman" w:hAnsi="Times New Roman"/>
                <w:sz w:val="24"/>
              </w:rPr>
              <w:t>Des systèmes judiciaires de qualité</w:t>
            </w:r>
            <w:r>
              <w:rPr>
                <w:rFonts w:ascii="Times New Roman" w:hAnsi="Times New Roman"/>
                <w:sz w:val="24"/>
              </w:rPr>
              <w:t xml:space="preserve"> dans les États membres requièrent un niveau suffisant de ressources financières et humaines, y compris les investissements nécessaires en infrastructures physiques et techniques, une formation initiale et continue appropriée, ainsi que de la diversité par</w:t>
            </w:r>
            <w:r>
              <w:rPr>
                <w:rFonts w:ascii="Times New Roman" w:hAnsi="Times New Roman"/>
                <w:sz w:val="24"/>
              </w:rPr>
              <w:t>mi les juges, y compris un équilibre hommes-femmes. Le tableau de bord 2020 de la justice dans l’UE révèle ce qui suit:</w:t>
            </w:r>
          </w:p>
          <w:p w:rsidR="00D23207" w:rsidRDefault="00493C98">
            <w:pPr>
              <w:widowControl w:val="0"/>
              <w:numPr>
                <w:ilvl w:val="0"/>
                <w:numId w:val="5"/>
              </w:numPr>
              <w:spacing w:before="120"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en ce qui concerne les </w:t>
            </w:r>
            <w:r>
              <w:rPr>
                <w:rFonts w:ascii="Times New Roman" w:hAnsi="Times New Roman"/>
                <w:b/>
                <w:bCs/>
                <w:sz w:val="24"/>
                <w:szCs w:val="24"/>
              </w:rPr>
              <w:t>ressources financières</w:t>
            </w:r>
            <w:r>
              <w:rPr>
                <w:rFonts w:ascii="Times New Roman" w:hAnsi="Times New Roman"/>
                <w:sz w:val="24"/>
                <w:szCs w:val="24"/>
              </w:rPr>
              <w:t>, les données montrent que, dans l’ensemble, en 2018, le total des dépenses des administrat</w:t>
            </w:r>
            <w:r>
              <w:rPr>
                <w:rFonts w:ascii="Times New Roman" w:hAnsi="Times New Roman"/>
                <w:sz w:val="24"/>
                <w:szCs w:val="24"/>
              </w:rPr>
              <w:t>ions publiques consacrées aux juridictions continue à rester majoritairement stable dans les États membres et d’importantes différences persistent entre les États membres s’agissant des montants réels à la fois en euros par habitant et en pourcentage du PI</w:t>
            </w:r>
            <w:r>
              <w:rPr>
                <w:rFonts w:ascii="Times New Roman" w:hAnsi="Times New Roman"/>
                <w:sz w:val="24"/>
                <w:szCs w:val="24"/>
              </w:rPr>
              <w:t xml:space="preserve">B (graphiques 32 et 33). Presque tous les États membres ont augmenté leurs dépenses par habitant en 2018 (une augmentation par rapport à 2017) et une majorité d’entre eux ont également augmenté leurs dépenses en pourcentage du PIB; </w:t>
            </w:r>
          </w:p>
          <w:p w:rsidR="00D23207" w:rsidRDefault="00493C98">
            <w:pPr>
              <w:widowControl w:val="0"/>
              <w:numPr>
                <w:ilvl w:val="0"/>
                <w:numId w:val="5"/>
              </w:numPr>
              <w:spacing w:before="120" w:after="0" w:line="240" w:lineRule="auto"/>
              <w:jc w:val="both"/>
              <w:rPr>
                <w:rFonts w:ascii="Times New Roman" w:eastAsia="Times New Roman" w:hAnsi="Times New Roman" w:cs="Times New Roman"/>
                <w:sz w:val="24"/>
                <w:szCs w:val="24"/>
              </w:rPr>
            </w:pPr>
            <w:r>
              <w:rPr>
                <w:rFonts w:ascii="Times New Roman" w:hAnsi="Times New Roman"/>
                <w:sz w:val="24"/>
                <w:szCs w:val="24"/>
              </w:rPr>
              <w:t>comme en 2019, le table</w:t>
            </w:r>
            <w:r>
              <w:rPr>
                <w:rFonts w:ascii="Times New Roman" w:hAnsi="Times New Roman"/>
                <w:sz w:val="24"/>
                <w:szCs w:val="24"/>
              </w:rPr>
              <w:t xml:space="preserve">au de bord 2020 de la justice dans l’UE montre également la </w:t>
            </w:r>
            <w:r>
              <w:rPr>
                <w:rFonts w:ascii="Times New Roman" w:hAnsi="Times New Roman"/>
                <w:b/>
                <w:bCs/>
                <w:sz w:val="24"/>
                <w:szCs w:val="24"/>
              </w:rPr>
              <w:t>répartition des dépenses totales en différentes catégories</w:t>
            </w:r>
            <w:r>
              <w:rPr>
                <w:rFonts w:ascii="Times New Roman" w:hAnsi="Times New Roman"/>
                <w:sz w:val="24"/>
                <w:szCs w:val="24"/>
              </w:rPr>
              <w:t xml:space="preserve"> sur la base des données recueillies par Eurostat. Le graphique 34 montre d’importantes différences entre les schémas de dépenses des État</w:t>
            </w:r>
            <w:r>
              <w:rPr>
                <w:rFonts w:ascii="Times New Roman" w:hAnsi="Times New Roman"/>
                <w:sz w:val="24"/>
                <w:szCs w:val="24"/>
              </w:rPr>
              <w:t>s membres. D’une part, tandis que les salaires et traitements des juges et des membres du personnel judiciaire (y compris les cotisations sociales) représentent la part la plus importante dans la majorité des États membres, les investissements en actifs fi</w:t>
            </w:r>
            <w:r>
              <w:rPr>
                <w:rFonts w:ascii="Times New Roman" w:hAnsi="Times New Roman"/>
                <w:sz w:val="24"/>
                <w:szCs w:val="24"/>
              </w:rPr>
              <w:t>xes tels que les palais de justice et les logiciels sont généralement très faibles, voire inexistants dans certains États membres. D’autre part, les dépenses de fonctionnement (location de bâtiments, aide juridictionnelle et autres consommables, par exempl</w:t>
            </w:r>
            <w:r>
              <w:rPr>
                <w:rFonts w:ascii="Times New Roman" w:hAnsi="Times New Roman"/>
                <w:sz w:val="24"/>
                <w:szCs w:val="24"/>
              </w:rPr>
              <w:t xml:space="preserve">e) sont sensiblement plus élevées dans quelques États membres que dans la plupart des autres (graphique 31). Cette ventilation est restée relativement stable d’une année à l’autre (graphique 34); </w:t>
            </w:r>
          </w:p>
          <w:p w:rsidR="00D23207" w:rsidRDefault="00493C98">
            <w:pPr>
              <w:widowControl w:val="0"/>
              <w:numPr>
                <w:ilvl w:val="0"/>
                <w:numId w:val="5"/>
              </w:numPr>
              <w:spacing w:before="120" w:after="0" w:line="240" w:lineRule="auto"/>
              <w:jc w:val="both"/>
              <w:rPr>
                <w:rFonts w:ascii="Times New Roman" w:eastAsia="Times New Roman" w:hAnsi="Times New Roman" w:cs="Times New Roman"/>
                <w:b/>
                <w:i/>
                <w:sz w:val="24"/>
                <w:szCs w:val="24"/>
              </w:rPr>
            </w:pPr>
            <w:r>
              <w:rPr>
                <w:rFonts w:ascii="Times New Roman" w:hAnsi="Times New Roman"/>
                <w:sz w:val="24"/>
                <w:szCs w:val="24"/>
              </w:rPr>
              <w:t xml:space="preserve">les </w:t>
            </w:r>
            <w:r>
              <w:rPr>
                <w:rFonts w:ascii="Times New Roman" w:hAnsi="Times New Roman"/>
                <w:b/>
                <w:bCs/>
                <w:sz w:val="24"/>
                <w:szCs w:val="24"/>
              </w:rPr>
              <w:t>femmes</w:t>
            </w:r>
            <w:r>
              <w:rPr>
                <w:rFonts w:ascii="Times New Roman" w:hAnsi="Times New Roman"/>
                <w:sz w:val="24"/>
                <w:szCs w:val="24"/>
              </w:rPr>
              <w:t xml:space="preserve"> représentent toujours moins de cinquante pour ce</w:t>
            </w:r>
            <w:r>
              <w:rPr>
                <w:rFonts w:ascii="Times New Roman" w:hAnsi="Times New Roman"/>
                <w:sz w:val="24"/>
                <w:szCs w:val="24"/>
              </w:rPr>
              <w:t xml:space="preserve">nt des juges au </w:t>
            </w:r>
            <w:r>
              <w:rPr>
                <w:rFonts w:ascii="Times New Roman" w:hAnsi="Times New Roman"/>
                <w:b/>
                <w:bCs/>
                <w:sz w:val="24"/>
                <w:szCs w:val="24"/>
              </w:rPr>
              <w:t>niveau des cours suprêmes</w:t>
            </w:r>
            <w:r>
              <w:rPr>
                <w:rFonts w:ascii="Times New Roman" w:hAnsi="Times New Roman"/>
                <w:sz w:val="24"/>
                <w:szCs w:val="24"/>
              </w:rPr>
              <w:t xml:space="preserve"> dans la plupart des États membres (graphique 36). L’évolution sur la période de trois ans allant de 2017 à 2019 montre que les tendances divergent d’un État membre à l’autre, mais la proportion de femmes juges aux </w:t>
            </w:r>
            <w:r>
              <w:rPr>
                <w:rFonts w:ascii="Times New Roman" w:hAnsi="Times New Roman"/>
                <w:sz w:val="24"/>
                <w:szCs w:val="24"/>
              </w:rPr>
              <w:t>cours suprêmes a augmenté depuis 2010 dans la plupart des États membres;</w:t>
            </w:r>
          </w:p>
          <w:p w:rsidR="00D23207" w:rsidRDefault="00493C98">
            <w:pPr>
              <w:widowControl w:val="0"/>
              <w:numPr>
                <w:ilvl w:val="0"/>
                <w:numId w:val="5"/>
              </w:numPr>
              <w:spacing w:before="120" w:after="120" w:line="240" w:lineRule="auto"/>
              <w:jc w:val="both"/>
              <w:rPr>
                <w:rFonts w:ascii="Times New Roman" w:eastAsia="Times New Roman" w:hAnsi="Times New Roman" w:cs="Times New Roman"/>
                <w:sz w:val="24"/>
                <w:szCs w:val="24"/>
              </w:rPr>
            </w:pPr>
            <w:r>
              <w:rPr>
                <w:rFonts w:ascii="Times New Roman" w:hAnsi="Times New Roman"/>
                <w:bCs/>
                <w:sz w:val="24"/>
                <w:szCs w:val="24"/>
              </w:rPr>
              <w:t xml:space="preserve">en ce qui concerne la </w:t>
            </w:r>
            <w:r>
              <w:rPr>
                <w:rFonts w:ascii="Times New Roman" w:hAnsi="Times New Roman"/>
                <w:b/>
                <w:bCs/>
                <w:sz w:val="24"/>
                <w:szCs w:val="24"/>
              </w:rPr>
              <w:t>formation des juges</w:t>
            </w:r>
            <w:r>
              <w:rPr>
                <w:rFonts w:ascii="Times New Roman" w:hAnsi="Times New Roman"/>
                <w:bCs/>
                <w:sz w:val="24"/>
                <w:szCs w:val="24"/>
              </w:rPr>
              <w:t>, si presque tous les États membres offrent au moins une certaine formation continue sur le métier de juge, ils sont moins nombreux à proposer</w:t>
            </w:r>
            <w:r>
              <w:rPr>
                <w:rFonts w:ascii="Times New Roman" w:hAnsi="Times New Roman"/>
                <w:bCs/>
                <w:sz w:val="24"/>
                <w:szCs w:val="24"/>
              </w:rPr>
              <w:t xml:space="preserve"> des formations sur les compétences informatiques, la gestion des juridictions et l’éthique judiciaire, et la proportion de juges recevant une telle formation reste faible dans la plupart des pays (graphique 38). En ce qui concerne la formation à la commun</w:t>
            </w:r>
            <w:r>
              <w:rPr>
                <w:rFonts w:ascii="Times New Roman" w:hAnsi="Times New Roman"/>
                <w:bCs/>
                <w:sz w:val="24"/>
                <w:szCs w:val="24"/>
              </w:rPr>
              <w:t>ication avec les groupes de parties vulnérables, une tendance continue à l’amélioration est observée, notamment en ce qui concerne les personnes malvoyantes ou malentendantes, les victimes de violence sexiste et les demandeurs d’asile (graphique 39). La fo</w:t>
            </w:r>
            <w:r>
              <w:rPr>
                <w:rFonts w:ascii="Times New Roman" w:hAnsi="Times New Roman"/>
                <w:bCs/>
                <w:sz w:val="24"/>
                <w:szCs w:val="24"/>
              </w:rPr>
              <w:t>rmation sur la sensibilisation et le traitement de la désinformation est également plus largement disponible par rapport à l’année dernière.</w:t>
            </w:r>
          </w:p>
          <w:p w:rsidR="00D23207" w:rsidRDefault="00493C98">
            <w:pPr>
              <w:widowControl w:val="0"/>
              <w:spacing w:before="120" w:after="60" w:line="240" w:lineRule="auto"/>
              <w:jc w:val="both"/>
              <w:rPr>
                <w:rFonts w:ascii="Times New Roman" w:eastAsia="Calibri" w:hAnsi="Times New Roman" w:cs="Times New Roman"/>
                <w:i/>
                <w:sz w:val="24"/>
              </w:rPr>
            </w:pPr>
            <w:r>
              <w:rPr>
                <w:rFonts w:ascii="Times New Roman" w:hAnsi="Times New Roman"/>
                <w:i/>
                <w:sz w:val="24"/>
              </w:rPr>
              <w:t>Outils d’évaluation</w:t>
            </w:r>
          </w:p>
          <w:p w:rsidR="00D23207" w:rsidRDefault="00493C98">
            <w:pPr>
              <w:widowControl w:val="0"/>
              <w:numPr>
                <w:ilvl w:val="0"/>
                <w:numId w:val="5"/>
              </w:num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Si la plupart des États membres ont pleinement mis en œuvre les </w:t>
            </w:r>
            <w:r>
              <w:rPr>
                <w:rFonts w:ascii="Times New Roman" w:hAnsi="Times New Roman"/>
                <w:b/>
                <w:bCs/>
                <w:sz w:val="24"/>
                <w:szCs w:val="24"/>
              </w:rPr>
              <w:t xml:space="preserve">systèmes informatiques de </w:t>
            </w:r>
            <w:r>
              <w:rPr>
                <w:rFonts w:ascii="Times New Roman" w:hAnsi="Times New Roman"/>
                <w:b/>
                <w:bCs/>
                <w:sz w:val="24"/>
                <w:szCs w:val="24"/>
              </w:rPr>
              <w:t>gestion des affaires</w:t>
            </w:r>
            <w:r>
              <w:rPr>
                <w:rFonts w:ascii="Times New Roman" w:hAnsi="Times New Roman"/>
                <w:sz w:val="24"/>
                <w:szCs w:val="24"/>
              </w:rPr>
              <w:t xml:space="preserve"> (à quelques exceptions près), des lacunes subsistent en ce qui concerne les outils de production de statistiques sur l’activité des juridictions (graphique 40). Ces systèmes ont plusieurs finalités, comme la production de statistiques,</w:t>
            </w:r>
            <w:r>
              <w:rPr>
                <w:rFonts w:ascii="Times New Roman" w:hAnsi="Times New Roman"/>
                <w:sz w:val="24"/>
                <w:szCs w:val="24"/>
              </w:rPr>
              <w:t xml:space="preserve"> et ils doivent être mis en œuvre de manière cohérente dans le système judiciaire. Certains États membres disposent de systèmes d’alerte précoce pour détecter les dysfonctionnements ou le non-respect des normes en matière de traitement des affaires, ce qui</w:t>
            </w:r>
            <w:r>
              <w:rPr>
                <w:rFonts w:ascii="Times New Roman" w:hAnsi="Times New Roman"/>
                <w:sz w:val="24"/>
                <w:szCs w:val="24"/>
              </w:rPr>
              <w:t xml:space="preserve"> permet de trouver des solutions plus facilement et plus rapidement. Dans certains États membres, il n’est toujours pas possible de garantir une collecte nationale de données dans tous les domaines de la justice.</w:t>
            </w:r>
          </w:p>
          <w:p w:rsidR="00D23207" w:rsidRDefault="00493C98">
            <w:pPr>
              <w:widowControl w:val="0"/>
              <w:numPr>
                <w:ilvl w:val="0"/>
                <w:numId w:val="5"/>
              </w:num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 </w:t>
            </w:r>
            <w:r>
              <w:rPr>
                <w:rFonts w:ascii="Times New Roman" w:hAnsi="Times New Roman"/>
                <w:b/>
                <w:bCs/>
                <w:sz w:val="24"/>
                <w:szCs w:val="24"/>
              </w:rPr>
              <w:t>recours aux enquêtes</w:t>
            </w:r>
            <w:r>
              <w:rPr>
                <w:rFonts w:ascii="Times New Roman" w:hAnsi="Times New Roman"/>
                <w:sz w:val="24"/>
                <w:szCs w:val="24"/>
              </w:rPr>
              <w:t xml:space="preserve"> auprès des usagers </w:t>
            </w:r>
            <w:r>
              <w:rPr>
                <w:rFonts w:ascii="Times New Roman" w:hAnsi="Times New Roman"/>
                <w:sz w:val="24"/>
                <w:szCs w:val="24"/>
              </w:rPr>
              <w:t>de la justice et des praticiens du droit (graphique 41) a diminué cette année encore, un nombre croissant d’États membres choisissant de ne mener aucune enquête. Toutefois, il semble y avoir des divergences quant aux États membres qui n’ont pas mené d’enqu</w:t>
            </w:r>
            <w:r>
              <w:rPr>
                <w:rFonts w:ascii="Times New Roman" w:hAnsi="Times New Roman"/>
                <w:sz w:val="24"/>
                <w:szCs w:val="24"/>
              </w:rPr>
              <w:t>êtes, ce qui indique que parfois les enquêtes ne sont menées qu’une année sur deux ou quelques années. L’accessibilité, le service client, les audiences et les décisions de justice, ainsi que le niveau général de confiance dans le système judiciaire, reste</w:t>
            </w:r>
            <w:r>
              <w:rPr>
                <w:rFonts w:ascii="Times New Roman" w:hAnsi="Times New Roman"/>
                <w:sz w:val="24"/>
                <w:szCs w:val="24"/>
              </w:rPr>
              <w:t xml:space="preserve">nt parmi les sujets clés des enquêtes. Cependant, seuls quelques États membres ont mené des enquêtes sur le niveau de satisfaction de groupes présentant des besoins spéciaux et sur la sensibilisation aux droits. La quasi-totalité des États membres qui ont </w:t>
            </w:r>
            <w:r>
              <w:rPr>
                <w:rFonts w:ascii="Times New Roman" w:hAnsi="Times New Roman"/>
                <w:sz w:val="24"/>
                <w:szCs w:val="24"/>
              </w:rPr>
              <w:t>eu recours aux enquêtes ont également assuré un suivi (graphique 42), bien que l’étendue de ce suivi varie encore fortement. Les résultats ont généralement alimenté des rapports annuels ou spécifiques et, dans de nombreux États membres, ils ont alimenté un</w:t>
            </w:r>
            <w:r>
              <w:rPr>
                <w:rFonts w:ascii="Times New Roman" w:hAnsi="Times New Roman"/>
                <w:sz w:val="24"/>
                <w:szCs w:val="24"/>
              </w:rPr>
              <w:t>e évaluation ou ont été utilisés pour déterminer la nécessité de modifier la législation.</w:t>
            </w:r>
          </w:p>
          <w:p w:rsidR="00D23207" w:rsidRDefault="00493C98">
            <w:pPr>
              <w:widowControl w:val="0"/>
              <w:spacing w:before="120" w:after="60" w:line="240" w:lineRule="auto"/>
              <w:jc w:val="both"/>
              <w:rPr>
                <w:rFonts w:ascii="Times New Roman" w:eastAsia="Times New Roman" w:hAnsi="Times New Roman" w:cs="Times New Roman"/>
                <w:bCs/>
                <w:i/>
                <w:iCs/>
                <w:sz w:val="24"/>
                <w:szCs w:val="24"/>
              </w:rPr>
            </w:pPr>
            <w:r>
              <w:rPr>
                <w:rFonts w:ascii="Times New Roman" w:hAnsi="Times New Roman"/>
                <w:i/>
                <w:sz w:val="24"/>
                <w:szCs w:val="24"/>
              </w:rPr>
              <w:t>Normes</w:t>
            </w:r>
          </w:p>
          <w:p w:rsidR="00D23207" w:rsidRDefault="00493C98">
            <w:pPr>
              <w:widowControl w:val="0"/>
              <w:spacing w:after="120" w:line="240" w:lineRule="auto"/>
              <w:jc w:val="both"/>
              <w:rPr>
                <w:rFonts w:ascii="Times New Roman" w:eastAsia="Calibri" w:hAnsi="Times New Roman" w:cs="Times New Roman"/>
                <w:b/>
                <w:sz w:val="24"/>
              </w:rPr>
            </w:pPr>
            <w:r>
              <w:rPr>
                <w:rFonts w:ascii="Times New Roman" w:hAnsi="Times New Roman"/>
                <w:sz w:val="24"/>
              </w:rPr>
              <w:t>Les normes peuvent rehausser le niveau de qualité des systèmes de justice. La présente édition du tableau de bord de la justice dans l’UE continue d’examiner p</w:t>
            </w:r>
            <w:r>
              <w:rPr>
                <w:rFonts w:ascii="Times New Roman" w:hAnsi="Times New Roman"/>
                <w:sz w:val="24"/>
              </w:rPr>
              <w:t xml:space="preserve">lus en détail certaines normes visant à améliorer le calendrier des procédures et décompose ces normes de manière plus précise en tenant compte de l’instance et des domaines du droit où ces normes existent. </w:t>
            </w:r>
          </w:p>
          <w:p w:rsidR="00D23207" w:rsidRDefault="00493C98">
            <w:pPr>
              <w:pStyle w:val="ListParagraph"/>
              <w:widowControl w:val="0"/>
              <w:numPr>
                <w:ilvl w:val="0"/>
                <w:numId w:val="10"/>
              </w:numPr>
              <w:spacing w:after="120"/>
              <w:ind w:left="385"/>
              <w:rPr>
                <w:rFonts w:eastAsia="Calibri"/>
                <w:b w:val="0"/>
                <w:noProof/>
              </w:rPr>
            </w:pPr>
            <w:r>
              <w:rPr>
                <w:b w:val="0"/>
                <w:noProof/>
              </w:rPr>
              <w:t>Presque tous les États membres utilisent des nor</w:t>
            </w:r>
            <w:r>
              <w:rPr>
                <w:b w:val="0"/>
                <w:noProof/>
              </w:rPr>
              <w:t xml:space="preserve">mes sur le calendrier, bien qu’elles ne soient pas toujours développées au même degré à toutes les instances et dans tous les domaines du droit. Les normes en matière de fixation de dates limites (par exemple, durée déterminée entre l’enregistrement d’une </w:t>
            </w:r>
            <w:r>
              <w:rPr>
                <w:b w:val="0"/>
                <w:noProof/>
              </w:rPr>
              <w:t>affaire et la première audience) continuent d’être de plus en plus répandues, tandis que celles portant sur les délais (par exemple, pour préciser qu’une partie prédéfinie des affaires sera achevée en un laps de temps donné) et l’arriéré restent comparativ</w:t>
            </w:r>
            <w:r>
              <w:rPr>
                <w:b w:val="0"/>
                <w:noProof/>
              </w:rPr>
              <w:t xml:space="preserve">ement moins courantes (graphique 43). Toutefois, certains États membres rencontrant des difficultés particulières en termes d’efficience n’utilisent pas ces normes actuellement ou seulement dans une mesure limitée. </w:t>
            </w:r>
          </w:p>
        </w:tc>
      </w:tr>
    </w:tbl>
    <w:p w:rsidR="00D23207" w:rsidRDefault="00D23207">
      <w:pPr>
        <w:keepNext/>
        <w:spacing w:before="360" w:after="120" w:line="240" w:lineRule="auto"/>
        <w:jc w:val="both"/>
        <w:outlineLvl w:val="1"/>
        <w:rPr>
          <w:rFonts w:ascii="Times New Roman" w:eastAsia="Times New Roman" w:hAnsi="Times New Roman" w:cs="Times New Roman"/>
          <w:b/>
          <w:bCs/>
          <w:iCs/>
          <w:sz w:val="24"/>
          <w:szCs w:val="28"/>
        </w:rPr>
      </w:pPr>
    </w:p>
    <w:p w:rsidR="00D23207" w:rsidRDefault="00493C98">
      <w:pPr>
        <w:spacing w:line="240" w:lineRule="auto"/>
        <w:jc w:val="both"/>
        <w:rPr>
          <w:rFonts w:ascii="Times New Roman" w:eastAsia="Times New Roman" w:hAnsi="Times New Roman" w:cs="Times New Roman"/>
          <w:b/>
          <w:bCs/>
          <w:iCs/>
          <w:sz w:val="24"/>
          <w:szCs w:val="28"/>
        </w:rPr>
      </w:pPr>
      <w:r>
        <w:br w:type="page"/>
      </w:r>
    </w:p>
    <w:p w:rsidR="00D23207" w:rsidRDefault="00493C98">
      <w:pPr>
        <w:keepNext/>
        <w:spacing w:before="360" w:after="120" w:line="240" w:lineRule="auto"/>
        <w:jc w:val="both"/>
        <w:outlineLvl w:val="1"/>
        <w:rPr>
          <w:rFonts w:ascii="Times New Roman" w:eastAsia="Times New Roman" w:hAnsi="Times New Roman" w:cs="Times New Roman"/>
          <w:b/>
          <w:bCs/>
          <w:iCs/>
          <w:sz w:val="24"/>
          <w:szCs w:val="28"/>
        </w:rPr>
      </w:pPr>
      <w:r>
        <w:rPr>
          <w:rFonts w:ascii="Times New Roman" w:hAnsi="Times New Roman"/>
          <w:b/>
          <w:bCs/>
          <w:iCs/>
          <w:sz w:val="24"/>
          <w:szCs w:val="28"/>
        </w:rPr>
        <w:t>3.3. Indépendance</w:t>
      </w:r>
    </w:p>
    <w:p w:rsidR="00D23207" w:rsidRDefault="00493C98">
      <w:pPr>
        <w:spacing w:after="120" w:line="240" w:lineRule="auto"/>
        <w:jc w:val="both"/>
        <w:rPr>
          <w:rFonts w:ascii="Times New Roman" w:eastAsia="Calibri" w:hAnsi="Times New Roman" w:cs="Times New Roman"/>
          <w:color w:val="1D1D1D"/>
          <w:sz w:val="24"/>
          <w:szCs w:val="24"/>
          <w:highlight w:val="yellow"/>
        </w:rPr>
      </w:pPr>
      <w:r>
        <w:rPr>
          <w:rFonts w:ascii="Times New Roman" w:hAnsi="Times New Roman"/>
          <w:sz w:val="24"/>
          <w:szCs w:val="24"/>
        </w:rPr>
        <w:t xml:space="preserve">L’indépendance de </w:t>
      </w:r>
      <w:r>
        <w:rPr>
          <w:rFonts w:ascii="Times New Roman" w:hAnsi="Times New Roman"/>
          <w:sz w:val="24"/>
          <w:szCs w:val="24"/>
        </w:rPr>
        <w:t>la justice, qui fait partie intégrante du processus décisionnel judiciaire, est une exigence découlant du principe de protection juridictionnelle effective établi à l’article 19 du TUE et du droit à un recours effectif devant une cour ou un tribunal énoncé</w:t>
      </w:r>
      <w:r>
        <w:rPr>
          <w:rFonts w:ascii="Times New Roman" w:hAnsi="Times New Roman"/>
          <w:sz w:val="24"/>
          <w:szCs w:val="24"/>
        </w:rPr>
        <w:t xml:space="preserve"> dans la Charte des droits fondamentaux de l’UE (article 47) (</w:t>
      </w:r>
      <w:r>
        <w:rPr>
          <w:rFonts w:ascii="Times New Roman" w:eastAsia="Calibri" w:hAnsi="Times New Roman" w:cs="Times New Roman"/>
          <w:sz w:val="24"/>
          <w:szCs w:val="24"/>
          <w:vertAlign w:val="superscript"/>
        </w:rPr>
        <w:footnoteReference w:id="86"/>
      </w:r>
      <w:r>
        <w:rPr>
          <w:rFonts w:ascii="Times New Roman" w:hAnsi="Times New Roman"/>
          <w:sz w:val="24"/>
          <w:szCs w:val="24"/>
        </w:rPr>
        <w:t>). Cette exigence présuppose a) l’indépendance externe, lorsque l’instance concernée exerce ses fonctions en toute autonomie, sans être soumise à aucun lien hiérarchique ou de subordination à l</w:t>
      </w:r>
      <w:r>
        <w:rPr>
          <w:rFonts w:ascii="Times New Roman" w:hAnsi="Times New Roman"/>
          <w:sz w:val="24"/>
          <w:szCs w:val="24"/>
        </w:rPr>
        <w:t>’égard de quiconque et sans recevoir d’ordres ou d’instructions de quelque origine que ce soit, étant ainsi protégée contre les interventions ou les pressions extérieures susceptibles de porter atteinte à l’indépendance de jugement de ses membres et d’infl</w:t>
      </w:r>
      <w:r>
        <w:rPr>
          <w:rFonts w:ascii="Times New Roman" w:hAnsi="Times New Roman"/>
          <w:sz w:val="24"/>
          <w:szCs w:val="24"/>
        </w:rPr>
        <w:t>uencer leurs décisions; et b) l’indépendance interne et l’impartialité, lorsqu’une égale distance est maintenue par rapport aux parties au litige et à leurs intérêts respectifs au regard de l’objet de celui-ci (</w:t>
      </w:r>
      <w:r>
        <w:rPr>
          <w:rStyle w:val="FootnoteReference"/>
          <w:rFonts w:ascii="Times New Roman" w:eastAsia="Calibri" w:hAnsi="Times New Roman" w:cs="Times New Roman"/>
          <w:sz w:val="24"/>
          <w:szCs w:val="24"/>
        </w:rPr>
        <w:footnoteReference w:id="87"/>
      </w:r>
      <w:r>
        <w:rPr>
          <w:rFonts w:ascii="Times New Roman" w:hAnsi="Times New Roman"/>
          <w:sz w:val="24"/>
          <w:szCs w:val="24"/>
        </w:rPr>
        <w:t xml:space="preserve">). L’indépendance judiciaire est </w:t>
      </w:r>
      <w:r>
        <w:rPr>
          <w:rFonts w:ascii="Times New Roman" w:hAnsi="Times New Roman"/>
          <w:color w:val="1D1D1D"/>
          <w:sz w:val="24"/>
          <w:szCs w:val="24"/>
        </w:rPr>
        <w:t>garante</w:t>
      </w:r>
      <w:r>
        <w:rPr>
          <w:rFonts w:ascii="Times New Roman" w:hAnsi="Times New Roman"/>
          <w:sz w:val="24"/>
          <w:szCs w:val="24"/>
        </w:rPr>
        <w:t xml:space="preserve"> de </w:t>
      </w:r>
      <w:r>
        <w:rPr>
          <w:rFonts w:ascii="Times New Roman" w:hAnsi="Times New Roman"/>
          <w:sz w:val="24"/>
          <w:szCs w:val="24"/>
        </w:rPr>
        <w:t>la protection de l’ensemble des droits que les justiciables tirent du droit de l’Union et de la préservation des valeurs communes aux États membres énoncées à l’article 2 TUE, notamment la valeur de l’état de droit (</w:t>
      </w:r>
      <w:r>
        <w:rPr>
          <w:rStyle w:val="FootnoteReference"/>
          <w:rFonts w:ascii="Times New Roman" w:eastAsia="Calibri" w:hAnsi="Times New Roman" w:cs="Times New Roman"/>
          <w:sz w:val="24"/>
          <w:szCs w:val="24"/>
        </w:rPr>
        <w:footnoteReference w:id="88"/>
      </w:r>
      <w:r>
        <w:rPr>
          <w:rFonts w:ascii="Times New Roman" w:hAnsi="Times New Roman"/>
          <w:sz w:val="24"/>
          <w:szCs w:val="24"/>
        </w:rPr>
        <w:t>). La préservation de l’ordre juridique</w:t>
      </w:r>
      <w:r>
        <w:rPr>
          <w:rFonts w:ascii="Times New Roman" w:hAnsi="Times New Roman"/>
          <w:sz w:val="24"/>
          <w:szCs w:val="24"/>
        </w:rPr>
        <w:t xml:space="preserve"> de l’UE est fondamentale pour tous les citoyens et toutes les entreprises dont les droits et les libertés sont protégés en vertu du droit de l’UE.</w:t>
      </w:r>
      <w:r>
        <w:rPr>
          <w:rFonts w:ascii="Times New Roman" w:hAnsi="Times New Roman"/>
          <w:color w:val="1D1D1D"/>
          <w:sz w:val="24"/>
          <w:szCs w:val="24"/>
        </w:rPr>
        <w:t xml:space="preserve"> </w:t>
      </w:r>
    </w:p>
    <w:p w:rsidR="00D23207" w:rsidRDefault="00493C98">
      <w:pPr>
        <w:spacing w:after="120" w:line="240" w:lineRule="auto"/>
        <w:jc w:val="both"/>
        <w:rPr>
          <w:rFonts w:ascii="Times New Roman" w:eastAsia="Calibri" w:hAnsi="Times New Roman" w:cs="Times New Roman"/>
          <w:sz w:val="24"/>
        </w:rPr>
      </w:pPr>
      <w:r>
        <w:rPr>
          <w:rFonts w:ascii="Times New Roman" w:hAnsi="Times New Roman"/>
          <w:color w:val="1D1D1D"/>
          <w:sz w:val="24"/>
          <w:szCs w:val="24"/>
        </w:rPr>
        <w:t>Une justice perçue comme indépendante est un facteur de nature à favoriser la croissance, tandis que la per</w:t>
      </w:r>
      <w:r>
        <w:rPr>
          <w:rFonts w:ascii="Times New Roman" w:hAnsi="Times New Roman"/>
          <w:color w:val="1D1D1D"/>
          <w:sz w:val="24"/>
          <w:szCs w:val="24"/>
        </w:rPr>
        <w:t xml:space="preserve">ception d’un manque d’indépendance peut décourager l’investissement. </w:t>
      </w:r>
      <w:r>
        <w:rPr>
          <w:rFonts w:ascii="Times New Roman" w:hAnsi="Times New Roman"/>
          <w:sz w:val="24"/>
          <w:szCs w:val="24"/>
        </w:rPr>
        <w:t xml:space="preserve">Outre des indicateurs concernant la perception de l’indépendance de la justice, émanant de différentes sources, le tableau de bord 2020 de la justice dans l’UE présente un certain nombre </w:t>
      </w:r>
      <w:r>
        <w:rPr>
          <w:rFonts w:ascii="Times New Roman" w:hAnsi="Times New Roman"/>
          <w:sz w:val="24"/>
          <w:szCs w:val="24"/>
        </w:rPr>
        <w:t>d’indicateurs sur la façon dont les systèmes judiciaires sont organisés pour protéger l’indépendance de la justice dans certains types de situations où elle pourrait être menacée. En reprenant les contributions du Réseau européen des conseils de la justice</w:t>
      </w:r>
      <w:r>
        <w:rPr>
          <w:rFonts w:ascii="Times New Roman" w:hAnsi="Times New Roman"/>
          <w:sz w:val="24"/>
          <w:szCs w:val="24"/>
        </w:rPr>
        <w:t xml:space="preserve"> (RECJ), du Réseau des présidents des Cours suprêmes judiciaires des États membres de l’UE et du groupe d’experts en matière de blanchiment des capitaux et de financement du terrorisme, le tableau de bord 2020 de la justice dans l’UE présente des indicateu</w:t>
      </w:r>
      <w:r>
        <w:rPr>
          <w:rFonts w:ascii="Times New Roman" w:hAnsi="Times New Roman"/>
          <w:sz w:val="24"/>
          <w:szCs w:val="24"/>
        </w:rPr>
        <w:t>rs mis à jour, relatifs aux garanties juridiques des procédures disciplinaires concernant les juges et à la nomination des membres des conseils de la justice, ainsi que deux nouveaux aperçus relatifs aux procédures disciplinaires concernant les procureurs.</w:t>
      </w:r>
      <w:r>
        <w:rPr>
          <w:rFonts w:ascii="Times New Roman" w:hAnsi="Times New Roman"/>
          <w:sz w:val="24"/>
          <w:szCs w:val="24"/>
        </w:rPr>
        <w:t xml:space="preserve"> </w:t>
      </w:r>
    </w:p>
    <w:p w:rsidR="00D23207" w:rsidRDefault="00493C98">
      <w:pPr>
        <w:spacing w:line="240" w:lineRule="auto"/>
        <w:rPr>
          <w:rFonts w:ascii="Times New Roman" w:eastAsia="Times New Roman" w:hAnsi="Times New Roman" w:cs="Times New Roman"/>
          <w:b/>
          <w:sz w:val="24"/>
          <w:szCs w:val="24"/>
        </w:rPr>
      </w:pPr>
      <w:bookmarkStart w:id="478" w:name="_Toc409530231"/>
      <w:bookmarkStart w:id="479" w:name="_Toc438545680"/>
      <w:bookmarkStart w:id="480" w:name="_Toc438548330"/>
      <w:bookmarkStart w:id="481" w:name="_Toc438548516"/>
      <w:bookmarkStart w:id="482" w:name="_Toc440017704"/>
      <w:bookmarkStart w:id="483" w:name="_Toc440018088"/>
      <w:bookmarkStart w:id="484" w:name="_Toc440033386"/>
      <w:bookmarkStart w:id="485" w:name="_Toc440035237"/>
      <w:bookmarkStart w:id="486" w:name="_Toc440036532"/>
      <w:bookmarkStart w:id="487" w:name="_Toc440042474"/>
      <w:bookmarkStart w:id="488" w:name="_Toc440291127"/>
      <w:bookmarkStart w:id="489" w:name="_Toc440294690"/>
      <w:bookmarkStart w:id="490" w:name="_Toc440295192"/>
      <w:bookmarkStart w:id="491" w:name="_Toc440296597"/>
      <w:bookmarkStart w:id="492" w:name="_Toc440625081"/>
      <w:bookmarkStart w:id="493" w:name="_Toc440626411"/>
      <w:bookmarkStart w:id="494" w:name="_Toc440628865"/>
      <w:bookmarkStart w:id="495" w:name="_Toc441571139"/>
      <w:bookmarkStart w:id="496" w:name="_Toc441581641"/>
      <w:bookmarkStart w:id="497" w:name="_Toc441585908"/>
      <w:bookmarkStart w:id="498" w:name="_Toc441595843"/>
      <w:bookmarkStart w:id="499" w:name="_Toc441596020"/>
      <w:bookmarkStart w:id="500" w:name="_Toc441748145"/>
      <w:bookmarkStart w:id="501" w:name="_Toc441755430"/>
      <w:bookmarkStart w:id="502" w:name="_Toc441756467"/>
      <w:bookmarkStart w:id="503" w:name="_Toc441757511"/>
      <w:bookmarkStart w:id="504" w:name="_Toc441766640"/>
      <w:bookmarkStart w:id="505" w:name="_Toc441766979"/>
      <w:bookmarkStart w:id="506" w:name="_Toc442187980"/>
      <w:bookmarkStart w:id="507" w:name="_Toc442262072"/>
      <w:bookmarkStart w:id="508" w:name="_Toc442362479"/>
      <w:bookmarkStart w:id="509" w:name="_Toc442374815"/>
      <w:bookmarkStart w:id="510" w:name="_Toc442425955"/>
      <w:bookmarkStart w:id="511" w:name="_Toc442453081"/>
      <w:bookmarkStart w:id="512" w:name="_Toc443484539"/>
      <w:bookmarkStart w:id="513" w:name="_Toc443484761"/>
      <w:bookmarkStart w:id="514" w:name="_Toc443509502"/>
      <w:bookmarkStart w:id="515" w:name="_Toc446014831"/>
      <w:r>
        <w:br w:type="page"/>
      </w:r>
    </w:p>
    <w:p w:rsidR="00D23207" w:rsidRDefault="00493C98">
      <w:pPr>
        <w:keepNext/>
        <w:tabs>
          <w:tab w:val="left" w:pos="850"/>
        </w:tabs>
        <w:spacing w:before="240" w:after="120" w:line="240" w:lineRule="auto"/>
        <w:ind w:left="850" w:hanging="850"/>
        <w:jc w:val="both"/>
        <w:outlineLvl w:val="2"/>
        <w:rPr>
          <w:rFonts w:ascii="Times New Roman" w:eastAsia="Times New Roman" w:hAnsi="Times New Roman" w:cs="Times New Roman"/>
          <w:b/>
          <w:sz w:val="24"/>
          <w:szCs w:val="24"/>
        </w:rPr>
      </w:pPr>
      <w:r>
        <w:rPr>
          <w:rFonts w:ascii="Times New Roman" w:hAnsi="Times New Roman"/>
          <w:b/>
          <w:sz w:val="24"/>
          <w:szCs w:val="24"/>
        </w:rPr>
        <w:t xml:space="preserve">3.3.1. </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ascii="Times New Roman" w:hAnsi="Times New Roman"/>
          <w:b/>
          <w:sz w:val="24"/>
          <w:szCs w:val="24"/>
        </w:rPr>
        <w:t>Perception de l’indépendance du système de justice</w:t>
      </w:r>
    </w:p>
    <w:p w:rsidR="00D23207" w:rsidRDefault="00493C98">
      <w:pPr>
        <w:spacing w:before="240" w:after="120" w:line="240" w:lineRule="auto"/>
        <w:jc w:val="both"/>
        <w:rPr>
          <w:rFonts w:ascii="Times New Roman" w:eastAsia="Times New Roman" w:hAnsi="Times New Roman" w:cs="Times New Roman"/>
          <w:i/>
          <w:iCs/>
          <w:sz w:val="24"/>
          <w:szCs w:val="24"/>
        </w:rPr>
      </w:pPr>
      <w:bookmarkStart w:id="516" w:name="_Ref441845830"/>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44</w:t>
      </w:r>
      <w:r>
        <w:fldChar w:fldCharType="end"/>
      </w:r>
      <w:bookmarkEnd w:id="516"/>
      <w:r>
        <w:rPr>
          <w:rFonts w:ascii="Times New Roman" w:hAnsi="Times New Roman"/>
          <w:b/>
          <w:bCs/>
          <w:sz w:val="24"/>
          <w:szCs w:val="24"/>
        </w:rPr>
        <w:t>: perception de l’indépendance des tribunaux et des juges par l’opinion publique</w:t>
      </w:r>
      <w:r>
        <w:rPr>
          <w:rFonts w:ascii="Times New Roman" w:hAnsi="Times New Roman"/>
          <w:sz w:val="24"/>
          <w:szCs w:val="24"/>
        </w:rPr>
        <w:t> (*)</w:t>
      </w:r>
      <w:r>
        <w:rPr>
          <w:rFonts w:ascii="Times New Roman" w:hAnsi="Times New Roman"/>
          <w:i/>
          <w:iCs/>
          <w:sz w:val="24"/>
          <w:szCs w:val="24"/>
        </w:rPr>
        <w:t xml:space="preserve"> [source: Eurobaromètre (</w:t>
      </w:r>
      <w:r>
        <w:rPr>
          <w:rFonts w:ascii="Times New Roman" w:eastAsia="Times New Roman" w:hAnsi="Times New Roman" w:cs="Times New Roman"/>
          <w:i/>
          <w:iCs/>
          <w:sz w:val="24"/>
          <w:szCs w:val="24"/>
          <w:vertAlign w:val="superscript"/>
        </w:rPr>
        <w:footnoteReference w:id="89"/>
      </w:r>
      <w:r>
        <w:rPr>
          <w:rFonts w:ascii="Times New Roman" w:hAnsi="Times New Roman"/>
          <w:i/>
          <w:iCs/>
          <w:sz w:val="24"/>
          <w:szCs w:val="24"/>
        </w:rPr>
        <w:t xml:space="preserve">) – en clair: 2016, 2018 et 2019, en foncé: </w:t>
      </w:r>
      <w:r>
        <w:rPr>
          <w:rFonts w:ascii="Times New Roman" w:hAnsi="Times New Roman"/>
          <w:i/>
          <w:iCs/>
          <w:sz w:val="24"/>
          <w:szCs w:val="24"/>
        </w:rPr>
        <w:t>2020]</w:t>
      </w:r>
      <w:bookmarkStart w:id="517" w:name="_Ref441845836"/>
    </w:p>
    <w:p w:rsidR="00D23207" w:rsidRDefault="00493C98">
      <w:pPr>
        <w:spacing w:after="0" w:line="240" w:lineRule="auto"/>
        <w:jc w:val="both"/>
        <w:rPr>
          <w:rFonts w:ascii="Times New Roman" w:eastAsia="Calibri" w:hAnsi="Times New Roman" w:cs="Times New Roman"/>
          <w:i/>
          <w:sz w:val="20"/>
        </w:rPr>
      </w:pPr>
      <w:r>
        <w:rPr>
          <w:rFonts w:ascii="Times New Roman" w:eastAsia="Calibri" w:hAnsi="Times New Roman" w:cs="Times New Roman"/>
          <w:i/>
          <w:sz w:val="20"/>
          <w:lang w:val="en-GB" w:eastAsia="en-GB"/>
        </w:rPr>
        <w:drawing>
          <wp:inline distT="0" distB="0" distL="0" distR="0">
            <wp:extent cx="5977255" cy="2728436"/>
            <wp:effectExtent l="0" t="0" r="4445" b="0"/>
            <wp:docPr id="97318" name="Picture 9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77255" cy="2728436"/>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sz w:val="28"/>
        </w:rPr>
      </w:pPr>
      <w:r>
        <w:rPr>
          <w:rFonts w:ascii="Times New Roman" w:hAnsi="Times New Roman"/>
          <w:i/>
          <w:sz w:val="20"/>
        </w:rPr>
        <w:t>(*) Les États membres sont classés en premier lieu selon le pourcentage de personnes ayant répondu que l’indépendance des juridictions et des juges était très satisfaisante ou plutôt satisfaisante (totalité de la perception positive); lorsque, pour</w:t>
      </w:r>
      <w:r>
        <w:rPr>
          <w:rFonts w:ascii="Times New Roman" w:hAnsi="Times New Roman"/>
          <w:i/>
          <w:sz w:val="20"/>
        </w:rPr>
        <w:t xml:space="preserve"> certains États membres, les pourcentages de la totalité de la perception positive sont identiques, ils sont alors classés en fonction du pourcentage de personnes ayant répondu que l’indépendance des juridictions et des juges était plutôt mauvaise ou très </w:t>
      </w:r>
      <w:r>
        <w:rPr>
          <w:rFonts w:ascii="Times New Roman" w:hAnsi="Times New Roman"/>
          <w:i/>
          <w:sz w:val="20"/>
        </w:rPr>
        <w:t>mauvaise (totalité de la perception négative); lorsque, pour certains États membres, les pourcentages de la totalité de la perception positive et de la totalité de la perception négative sont identiques, ils sont alors classés en fonction du pourcentage de</w:t>
      </w:r>
      <w:r>
        <w:rPr>
          <w:rFonts w:ascii="Times New Roman" w:hAnsi="Times New Roman"/>
          <w:i/>
          <w:sz w:val="20"/>
        </w:rPr>
        <w:t xml:space="preserve"> personnes ayant répondu que l’indépendance des juridictions et des juges était très satisfaisante; lorsque, pour certains États membres, les pourcentages de la totalité de la perception positive, de la totalité de la perception négative et de la catégorie</w:t>
      </w:r>
      <w:r>
        <w:rPr>
          <w:rFonts w:ascii="Times New Roman" w:hAnsi="Times New Roman"/>
          <w:i/>
          <w:sz w:val="20"/>
        </w:rPr>
        <w:t xml:space="preserve"> «très satisfaisante» sont identiques, ils sont alors classés en fonction du pourcentage de personnes ayant répondu que l’indépendance des juridictions et des juges était très mauvaise.</w:t>
      </w:r>
    </w:p>
    <w:p w:rsidR="00D23207" w:rsidRDefault="00493C98">
      <w:pPr>
        <w:spacing w:before="120" w:after="0" w:line="240" w:lineRule="auto"/>
        <w:jc w:val="both"/>
        <w:rPr>
          <w:rFonts w:ascii="Times New Roman" w:eastAsia="Calibri" w:hAnsi="Times New Roman" w:cs="Times New Roman"/>
          <w:sz w:val="24"/>
        </w:rPr>
      </w:pPr>
      <w:r>
        <w:rPr>
          <w:rFonts w:ascii="Times New Roman" w:hAnsi="Times New Roman"/>
          <w:sz w:val="24"/>
        </w:rPr>
        <w:t>Le graphique 45 indique les principales raisons invoquées par les pers</w:t>
      </w:r>
      <w:r>
        <w:rPr>
          <w:rFonts w:ascii="Times New Roman" w:hAnsi="Times New Roman"/>
          <w:sz w:val="24"/>
        </w:rPr>
        <w:t xml:space="preserve">onnes interrogées pour expliquer la perception d’un manque d’indépendance des juridictions et des juges. Les personnes interrogées qui ont évalué l’indépendance du système judiciaire comme étant «plutôt mauvaise» ou «très mauvaise» pouvaient choisir entre </w:t>
      </w:r>
      <w:r>
        <w:rPr>
          <w:rFonts w:ascii="Times New Roman" w:hAnsi="Times New Roman"/>
          <w:sz w:val="24"/>
        </w:rPr>
        <w:t>trois raisons pour expliquer leur opinion. Les États membres sont classés dans le même ordre que dans le graphique 44.</w:t>
      </w:r>
    </w:p>
    <w:p w:rsidR="00D23207" w:rsidRDefault="00493C98">
      <w:pPr>
        <w:keepNext/>
        <w:spacing w:before="240" w:after="120" w:line="240" w:lineRule="auto"/>
        <w:jc w:val="both"/>
        <w:rPr>
          <w:rFonts w:ascii="Times New Roman" w:eastAsia="Times New Roman" w:hAnsi="Times New Roman" w:cs="Times New Roman"/>
          <w:i/>
          <w:sz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45</w:t>
      </w:r>
      <w:r>
        <w:fldChar w:fldCharType="end"/>
      </w:r>
      <w:r>
        <w:rPr>
          <w:rFonts w:ascii="Times New Roman" w:hAnsi="Times New Roman"/>
          <w:b/>
          <w:bCs/>
          <w:sz w:val="24"/>
          <w:szCs w:val="24"/>
        </w:rPr>
        <w:t>: principales raisons indiquées par le grand public pour justifier la perception d’un manque d’indép</w:t>
      </w:r>
      <w:r>
        <w:rPr>
          <w:rFonts w:ascii="Times New Roman" w:hAnsi="Times New Roman"/>
          <w:b/>
          <w:bCs/>
          <w:sz w:val="24"/>
          <w:szCs w:val="24"/>
        </w:rPr>
        <w:t>endance</w:t>
      </w:r>
      <w:r>
        <w:rPr>
          <w:rFonts w:ascii="Times New Roman" w:hAnsi="Times New Roman"/>
          <w:i/>
          <w:iCs/>
          <w:sz w:val="24"/>
          <w:szCs w:val="24"/>
        </w:rPr>
        <w:t xml:space="preserve"> (pourcentage de l’ensemble des personnes interrogées – plus la valeur est élevée, plus la raison est citée par les personnes interrogées) [source: Eurobaromètre (</w:t>
      </w:r>
      <w:r>
        <w:rPr>
          <w:rFonts w:ascii="Times New Roman" w:eastAsia="Times New Roman" w:hAnsi="Times New Roman" w:cs="Times New Roman"/>
          <w:i/>
          <w:iCs/>
          <w:sz w:val="24"/>
          <w:szCs w:val="24"/>
          <w:vertAlign w:val="superscript"/>
        </w:rPr>
        <w:footnoteReference w:id="90"/>
      </w:r>
      <w:r>
        <w:rPr>
          <w:rFonts w:ascii="Times New Roman" w:hAnsi="Times New Roman"/>
          <w:i/>
          <w:iCs/>
          <w:sz w:val="24"/>
          <w:szCs w:val="24"/>
        </w:rPr>
        <w:t>)]</w:t>
      </w:r>
    </w:p>
    <w:p w:rsidR="00D23207" w:rsidRDefault="00493C98">
      <w:pPr>
        <w:keepNext/>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lang w:val="en-GB" w:eastAsia="en-GB"/>
        </w:rPr>
        <w:drawing>
          <wp:inline distT="0" distB="0" distL="0" distR="0">
            <wp:extent cx="5977255" cy="2563338"/>
            <wp:effectExtent l="0" t="0" r="4445" b="8890"/>
            <wp:docPr id="97320" name="Picture 9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7255" cy="2563338"/>
                    </a:xfrm>
                    <a:prstGeom prst="rect">
                      <a:avLst/>
                    </a:prstGeom>
                    <a:noFill/>
                    <a:ln>
                      <a:noFill/>
                    </a:ln>
                  </pic:spPr>
                </pic:pic>
              </a:graphicData>
            </a:graphic>
          </wp:inline>
        </w:drawing>
      </w:r>
    </w:p>
    <w:p w:rsidR="00D23207" w:rsidRDefault="00493C98">
      <w:pPr>
        <w:spacing w:before="240" w:after="120" w:line="240" w:lineRule="auto"/>
        <w:jc w:val="both"/>
        <w:rPr>
          <w:rFonts w:ascii="Times New Roman" w:eastAsia="Times New Roman" w:hAnsi="Times New Roman" w:cs="Times New Roman"/>
          <w:i/>
          <w:i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46</w:t>
      </w:r>
      <w:r>
        <w:fldChar w:fldCharType="end"/>
      </w:r>
      <w:bookmarkEnd w:id="517"/>
      <w:r>
        <w:rPr>
          <w:rFonts w:ascii="Times New Roman" w:hAnsi="Times New Roman"/>
          <w:b/>
          <w:bCs/>
          <w:sz w:val="24"/>
          <w:szCs w:val="24"/>
        </w:rPr>
        <w:t xml:space="preserve">: perception de l’indépendance des </w:t>
      </w:r>
      <w:r>
        <w:rPr>
          <w:rFonts w:ascii="Times New Roman" w:hAnsi="Times New Roman"/>
          <w:b/>
          <w:bCs/>
          <w:sz w:val="24"/>
          <w:szCs w:val="24"/>
        </w:rPr>
        <w:t>juridictions et des juges par les entreprises</w:t>
      </w:r>
      <w:r>
        <w:rPr>
          <w:rFonts w:ascii="Times New Roman" w:hAnsi="Times New Roman"/>
          <w:sz w:val="24"/>
          <w:szCs w:val="24"/>
        </w:rPr>
        <w:t xml:space="preserve"> (*) </w:t>
      </w:r>
      <w:r>
        <w:rPr>
          <w:rFonts w:ascii="Times New Roman" w:hAnsi="Times New Roman"/>
          <w:i/>
          <w:iCs/>
          <w:sz w:val="24"/>
          <w:szCs w:val="24"/>
        </w:rPr>
        <w:t>[source: Eurobaromètre (</w:t>
      </w:r>
      <w:r>
        <w:rPr>
          <w:rFonts w:ascii="Times New Roman" w:eastAsia="Times New Roman" w:hAnsi="Times New Roman" w:cs="Times New Roman"/>
          <w:i/>
          <w:iCs/>
          <w:sz w:val="24"/>
          <w:szCs w:val="24"/>
          <w:vertAlign w:val="superscript"/>
        </w:rPr>
        <w:footnoteReference w:id="91"/>
      </w:r>
      <w:r>
        <w:rPr>
          <w:rFonts w:ascii="Times New Roman" w:hAnsi="Times New Roman"/>
          <w:i/>
          <w:iCs/>
          <w:sz w:val="24"/>
          <w:szCs w:val="24"/>
        </w:rPr>
        <w:t>) –</w:t>
      </w:r>
      <w:r>
        <w:rPr>
          <w:rFonts w:ascii="Times New Roman" w:hAnsi="Times New Roman"/>
          <w:b/>
          <w:bCs/>
          <w:sz w:val="24"/>
          <w:szCs w:val="24"/>
        </w:rPr>
        <w:t xml:space="preserve"> </w:t>
      </w:r>
      <w:r>
        <w:rPr>
          <w:rFonts w:ascii="Times New Roman" w:hAnsi="Times New Roman"/>
          <w:i/>
          <w:iCs/>
          <w:sz w:val="24"/>
          <w:szCs w:val="24"/>
        </w:rPr>
        <w:t>en clair: 2016, 2018 et 2019, en foncé: 2020]</w:t>
      </w:r>
    </w:p>
    <w:p w:rsidR="00D23207" w:rsidRDefault="00493C98">
      <w:pPr>
        <w:spacing w:after="0" w:line="240" w:lineRule="auto"/>
        <w:jc w:val="both"/>
        <w:rPr>
          <w:rFonts w:ascii="Times New Roman" w:eastAsia="Calibri" w:hAnsi="Times New Roman" w:cs="Times New Roman"/>
          <w:i/>
          <w:sz w:val="20"/>
        </w:rPr>
      </w:pPr>
      <w:bookmarkStart w:id="518" w:name="_Ref441845852"/>
      <w:r>
        <w:rPr>
          <w:rFonts w:ascii="Times New Roman" w:eastAsia="Calibri" w:hAnsi="Times New Roman" w:cs="Times New Roman"/>
          <w:i/>
          <w:sz w:val="20"/>
          <w:lang w:val="en-GB" w:eastAsia="en-GB"/>
        </w:rPr>
        <w:drawing>
          <wp:inline distT="0" distB="0" distL="0" distR="0">
            <wp:extent cx="5977255" cy="2682473"/>
            <wp:effectExtent l="0" t="0" r="4445" b="3810"/>
            <wp:docPr id="97321" name="Picture 9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77255" cy="2682473"/>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sz w:val="28"/>
        </w:rPr>
      </w:pPr>
      <w:r>
        <w:rPr>
          <w:rFonts w:ascii="Times New Roman" w:hAnsi="Times New Roman"/>
          <w:i/>
          <w:sz w:val="20"/>
        </w:rPr>
        <w:t>(*) Les États membres sont classés en premier lieu selon le pourcentage de personnes ayant répondu que l’indépendance des juridic</w:t>
      </w:r>
      <w:r>
        <w:rPr>
          <w:rFonts w:ascii="Times New Roman" w:hAnsi="Times New Roman"/>
          <w:i/>
          <w:sz w:val="20"/>
        </w:rPr>
        <w:t>tions et des juges était très satisfaisante ou plutôt satisfaisante (totalité de la perception positive); lorsque, pour certains États membres, les pourcentages de la totalité de la perception positive sont identiques, ils sont alors classés en fonction du</w:t>
      </w:r>
      <w:r>
        <w:rPr>
          <w:rFonts w:ascii="Times New Roman" w:hAnsi="Times New Roman"/>
          <w:i/>
          <w:sz w:val="20"/>
        </w:rPr>
        <w:t xml:space="preserve"> pourcentage de personnes ayant répondu que l’indépendance des juridictions et des juges était plutôt mauvaise ou très mauvaise (totalité de la perception négative); lorsque, pour certains États membres, les pourcentages de la totalité de la perception pos</w:t>
      </w:r>
      <w:r>
        <w:rPr>
          <w:rFonts w:ascii="Times New Roman" w:hAnsi="Times New Roman"/>
          <w:i/>
          <w:sz w:val="20"/>
        </w:rPr>
        <w:t>itive et de la totalité de la perception négative sont identiques, ils sont alors classés en fonction du pourcentage de personnes ayant répondu que l’indépendance des juridictions et des juges était très satisfaisante; lorsque, pour certains États membres,</w:t>
      </w:r>
      <w:r>
        <w:rPr>
          <w:rFonts w:ascii="Times New Roman" w:hAnsi="Times New Roman"/>
          <w:i/>
          <w:sz w:val="20"/>
        </w:rPr>
        <w:t xml:space="preserve"> les pourcentages de la totalité de la perception positive, de la totalité de la perception négative et de la catégorie «très satisfaisante» sont identiques, ils sont alors classés en fonction du pourcentage de personnes ayant répondu que l’indépendance de</w:t>
      </w:r>
      <w:r>
        <w:rPr>
          <w:rFonts w:ascii="Times New Roman" w:hAnsi="Times New Roman"/>
          <w:i/>
          <w:sz w:val="20"/>
        </w:rPr>
        <w:t>s juridictions et des juges était très mauvaise.</w:t>
      </w:r>
    </w:p>
    <w:p w:rsidR="00D23207" w:rsidRDefault="00493C98">
      <w:pPr>
        <w:spacing w:after="0" w:line="240" w:lineRule="auto"/>
        <w:jc w:val="both"/>
        <w:rPr>
          <w:rFonts w:ascii="Times New Roman" w:eastAsia="Calibri" w:hAnsi="Times New Roman" w:cs="Times New Roman"/>
          <w:sz w:val="24"/>
        </w:rPr>
      </w:pPr>
      <w:r>
        <w:rPr>
          <w:rFonts w:ascii="Times New Roman" w:hAnsi="Times New Roman"/>
          <w:sz w:val="24"/>
        </w:rPr>
        <w:t>Le graphique 47 indique les principales raisons invoquées par les personnes interrogées pour expliquer la perception d’un manque d’indépendance des juridictions et des juges. Les personnes interrogées dans l</w:t>
      </w:r>
      <w:r>
        <w:rPr>
          <w:rFonts w:ascii="Times New Roman" w:hAnsi="Times New Roman"/>
          <w:sz w:val="24"/>
        </w:rPr>
        <w:t>es entreprises qui ont évalué l’indépendance du système de justice comme étant «plutôt mauvaise» ou «très mauvaise» pouvaient choisir entre trois raisons pour expliquer leur opinion. Les États membres sont classés dans le même ordre que dans le graphique 4</w:t>
      </w:r>
      <w:r>
        <w:rPr>
          <w:rFonts w:ascii="Times New Roman" w:hAnsi="Times New Roman"/>
          <w:sz w:val="24"/>
        </w:rPr>
        <w:t>6.</w:t>
      </w:r>
    </w:p>
    <w:p w:rsidR="00D23207" w:rsidRDefault="00493C98">
      <w:pPr>
        <w:keepNext/>
        <w:spacing w:before="120" w:after="0" w:line="240" w:lineRule="auto"/>
        <w:jc w:val="both"/>
        <w:rPr>
          <w:rFonts w:ascii="Times New Roman" w:eastAsia="Times New Roman" w:hAnsi="Times New Roman" w:cs="Times New Roman"/>
          <w:i/>
          <w:sz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47</w:t>
      </w:r>
      <w:r>
        <w:fldChar w:fldCharType="end"/>
      </w:r>
      <w:r>
        <w:rPr>
          <w:rFonts w:ascii="Times New Roman" w:hAnsi="Times New Roman"/>
          <w:b/>
          <w:bCs/>
          <w:sz w:val="24"/>
          <w:szCs w:val="24"/>
        </w:rPr>
        <w:t>: principales raisons indiquées par les entreprises pour justifier leur perception d’un manque d’indépendance</w:t>
      </w:r>
      <w:r>
        <w:rPr>
          <w:rFonts w:ascii="Times New Roman" w:hAnsi="Times New Roman"/>
          <w:i/>
          <w:iCs/>
          <w:sz w:val="24"/>
          <w:szCs w:val="24"/>
        </w:rPr>
        <w:t xml:space="preserve"> (pourcentage de l’ensemble des personnes interrogées – plus la valeur est élevée, plus la raison est citée par les personnes interrogées) [source: Eurobaromètre (</w:t>
      </w:r>
      <w:r>
        <w:rPr>
          <w:rFonts w:ascii="Times New Roman" w:eastAsia="Times New Roman" w:hAnsi="Times New Roman" w:cs="Times New Roman"/>
          <w:i/>
          <w:iCs/>
          <w:sz w:val="24"/>
          <w:szCs w:val="24"/>
          <w:vertAlign w:val="superscript"/>
        </w:rPr>
        <w:footnoteReference w:id="92"/>
      </w:r>
      <w:r>
        <w:rPr>
          <w:rFonts w:ascii="Times New Roman" w:hAnsi="Times New Roman"/>
          <w:i/>
          <w:iCs/>
          <w:sz w:val="24"/>
          <w:szCs w:val="24"/>
        </w:rPr>
        <w:t>)]</w:t>
      </w:r>
    </w:p>
    <w:p w:rsidR="00D23207" w:rsidRDefault="00493C9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GB" w:eastAsia="en-GB"/>
        </w:rPr>
        <w:drawing>
          <wp:inline distT="0" distB="0" distL="0" distR="0">
            <wp:extent cx="5977255" cy="2671703"/>
            <wp:effectExtent l="0" t="0" r="4445" b="0"/>
            <wp:docPr id="97322" name="Picture 9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77255" cy="2671703"/>
                    </a:xfrm>
                    <a:prstGeom prst="rect">
                      <a:avLst/>
                    </a:prstGeom>
                    <a:noFill/>
                    <a:ln>
                      <a:noFill/>
                    </a:ln>
                  </pic:spPr>
                </pic:pic>
              </a:graphicData>
            </a:graphic>
          </wp:inline>
        </w:drawing>
      </w:r>
    </w:p>
    <w:p w:rsidR="00D23207" w:rsidRDefault="00493C98">
      <w:pPr>
        <w:rPr>
          <w:rFonts w:ascii="Times New Roman" w:hAnsi="Times New Roman"/>
          <w:b/>
          <w:bCs/>
          <w:sz w:val="24"/>
          <w:szCs w:val="24"/>
        </w:rPr>
      </w:pPr>
      <w:r>
        <w:rPr>
          <w:rFonts w:ascii="Times New Roman" w:hAnsi="Times New Roman"/>
          <w:b/>
          <w:bCs/>
          <w:sz w:val="24"/>
          <w:szCs w:val="24"/>
        </w:rPr>
        <w:br w:type="page"/>
      </w:r>
    </w:p>
    <w:p w:rsidR="00D23207" w:rsidRDefault="00493C98">
      <w:pPr>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rPr>
        <w:instrText xml:space="preserve"> SEQ Figure \* ARABIC </w:instrText>
      </w:r>
      <w:r>
        <w:rPr>
          <w:rFonts w:ascii="Times New Roman" w:eastAsia="Calibri" w:hAnsi="Times New Roman" w:cs="Times New Roman"/>
          <w:b/>
          <w:sz w:val="24"/>
        </w:rPr>
        <w:fldChar w:fldCharType="separate"/>
      </w:r>
      <w:r>
        <w:rPr>
          <w:rFonts w:ascii="Times New Roman" w:eastAsia="Calibri" w:hAnsi="Times New Roman" w:cs="Times New Roman"/>
          <w:b/>
          <w:sz w:val="24"/>
        </w:rPr>
        <w:t>48</w:t>
      </w:r>
      <w:r>
        <w:fldChar w:fldCharType="end"/>
      </w:r>
      <w:bookmarkEnd w:id="518"/>
      <w:r>
        <w:rPr>
          <w:b/>
          <w:bCs/>
          <w:sz w:val="24"/>
          <w:szCs w:val="24"/>
        </w:rPr>
        <w:t>:</w:t>
      </w:r>
      <w:r>
        <w:rPr>
          <w:rFonts w:ascii="Times New Roman" w:hAnsi="Times New Roman"/>
          <w:b/>
          <w:bCs/>
          <w:sz w:val="24"/>
          <w:szCs w:val="24"/>
        </w:rPr>
        <w:t xml:space="preserve"> FEM: perception de l’indépendance de la justice par les entreprises, 2010-2019</w:t>
      </w:r>
      <w:r>
        <w:rPr>
          <w:rFonts w:ascii="Times New Roman" w:hAnsi="Times New Roman"/>
          <w:sz w:val="24"/>
          <w:szCs w:val="24"/>
        </w:rPr>
        <w:t xml:space="preserve"> </w:t>
      </w:r>
      <w:r>
        <w:rPr>
          <w:rFonts w:ascii="Times New Roman" w:hAnsi="Times New Roman"/>
          <w:i/>
          <w:iCs/>
          <w:sz w:val="24"/>
          <w:szCs w:val="24"/>
        </w:rPr>
        <w:t xml:space="preserve">(perception – plus la valeur est élevée, meilleure est la perception) [source: </w:t>
      </w:r>
      <w:r>
        <w:rPr>
          <w:rFonts w:ascii="Times New Roman" w:hAnsi="Times New Roman"/>
          <w:i/>
          <w:iCs/>
        </w:rPr>
        <w:t>Forum économique mondial (</w:t>
      </w:r>
      <w:r>
        <w:rPr>
          <w:rFonts w:ascii="Times New Roman" w:eastAsia="Calibri" w:hAnsi="Times New Roman" w:cs="Times New Roman"/>
          <w:vertAlign w:val="superscript"/>
        </w:rPr>
        <w:footnoteReference w:id="93"/>
      </w:r>
      <w:r>
        <w:rPr>
          <w:rFonts w:ascii="Times New Roman" w:hAnsi="Times New Roman"/>
          <w:i/>
          <w:iCs/>
        </w:rPr>
        <w:t>)]</w:t>
      </w:r>
    </w:p>
    <w:p w:rsidR="00D23207" w:rsidRDefault="00493C98">
      <w:pPr>
        <w:spacing w:after="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lang w:val="en-GB" w:eastAsia="en-GB"/>
        </w:rPr>
        <w:drawing>
          <wp:inline distT="0" distB="0" distL="0" distR="0">
            <wp:extent cx="5977255" cy="2883147"/>
            <wp:effectExtent l="0" t="0" r="4445" b="0"/>
            <wp:docPr id="97323" name="Picture 9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77255" cy="2883147"/>
                    </a:xfrm>
                    <a:prstGeom prst="rect">
                      <a:avLst/>
                    </a:prstGeom>
                    <a:noFill/>
                    <a:ln>
                      <a:noFill/>
                    </a:ln>
                  </pic:spPr>
                </pic:pic>
              </a:graphicData>
            </a:graphic>
          </wp:inline>
        </w:drawing>
      </w:r>
    </w:p>
    <w:p w:rsidR="00D23207" w:rsidRDefault="00493C98">
      <w:pPr>
        <w:keepNext/>
        <w:tabs>
          <w:tab w:val="left" w:pos="850"/>
        </w:tabs>
        <w:spacing w:before="240" w:after="120" w:line="240" w:lineRule="auto"/>
        <w:ind w:left="850" w:hanging="850"/>
        <w:jc w:val="both"/>
        <w:outlineLvl w:val="2"/>
        <w:rPr>
          <w:rFonts w:ascii="Times New Roman" w:eastAsia="Times New Roman" w:hAnsi="Times New Roman" w:cs="Times New Roman"/>
          <w:b/>
          <w:sz w:val="24"/>
          <w:szCs w:val="24"/>
        </w:rPr>
      </w:pPr>
      <w:bookmarkStart w:id="519" w:name="_Toc409530232"/>
      <w:bookmarkStart w:id="520" w:name="_Toc438545681"/>
      <w:bookmarkStart w:id="521" w:name="_Toc438548331"/>
      <w:bookmarkStart w:id="522" w:name="_Toc438548517"/>
      <w:bookmarkStart w:id="523" w:name="_Toc440017705"/>
      <w:bookmarkStart w:id="524" w:name="_Toc440018089"/>
      <w:bookmarkStart w:id="525" w:name="_Toc440033387"/>
      <w:bookmarkStart w:id="526" w:name="_Toc440035238"/>
      <w:bookmarkStart w:id="527" w:name="_Toc440036533"/>
      <w:bookmarkStart w:id="528" w:name="_Toc440042475"/>
      <w:bookmarkStart w:id="529" w:name="_Toc440291128"/>
      <w:bookmarkStart w:id="530" w:name="_Toc440294691"/>
      <w:bookmarkStart w:id="531" w:name="_Toc440295193"/>
      <w:bookmarkStart w:id="532" w:name="_Toc440296598"/>
      <w:bookmarkStart w:id="533" w:name="_Toc440625082"/>
      <w:bookmarkStart w:id="534" w:name="_Toc440626412"/>
      <w:bookmarkStart w:id="535" w:name="_Toc440628866"/>
      <w:bookmarkStart w:id="536" w:name="_Toc441571140"/>
      <w:bookmarkStart w:id="537" w:name="_Toc441581642"/>
      <w:bookmarkStart w:id="538" w:name="_Toc441585909"/>
      <w:bookmarkStart w:id="539" w:name="_Toc441595844"/>
      <w:bookmarkStart w:id="540" w:name="_Toc441596021"/>
      <w:bookmarkStart w:id="541" w:name="_Toc441748146"/>
      <w:bookmarkStart w:id="542" w:name="_Toc441755431"/>
      <w:bookmarkStart w:id="543" w:name="_Toc441756468"/>
      <w:bookmarkStart w:id="544" w:name="_Toc441757512"/>
      <w:bookmarkStart w:id="545" w:name="_Toc441766641"/>
      <w:bookmarkStart w:id="546" w:name="_Toc441766980"/>
      <w:bookmarkStart w:id="547" w:name="_Toc442187981"/>
      <w:bookmarkStart w:id="548" w:name="_Toc442262073"/>
      <w:bookmarkStart w:id="549" w:name="_Toc442362480"/>
      <w:bookmarkStart w:id="550" w:name="_Toc442374816"/>
      <w:bookmarkStart w:id="551" w:name="_Toc442425956"/>
      <w:bookmarkStart w:id="552" w:name="_Toc442453082"/>
      <w:bookmarkStart w:id="553" w:name="_Toc443484540"/>
      <w:bookmarkStart w:id="554" w:name="_Toc443484762"/>
      <w:bookmarkStart w:id="555" w:name="_Toc443509503"/>
      <w:bookmarkStart w:id="556" w:name="_Toc446014832"/>
      <w:r>
        <w:rPr>
          <w:rFonts w:ascii="Times New Roman" w:hAnsi="Times New Roman"/>
          <w:b/>
          <w:sz w:val="24"/>
          <w:szCs w:val="24"/>
        </w:rPr>
        <w:t>3.3.2. Indépendance structurelle</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Pr>
          <w:rFonts w:ascii="Times New Roman" w:hAnsi="Times New Roman"/>
          <w:b/>
          <w:sz w:val="24"/>
          <w:szCs w:val="24"/>
        </w:rPr>
        <w:t xml:space="preserve"> </w:t>
      </w:r>
    </w:p>
    <w:p w:rsidR="00D23207" w:rsidRDefault="00493C98">
      <w:pPr>
        <w:spacing w:after="120" w:line="240" w:lineRule="auto"/>
        <w:jc w:val="both"/>
        <w:rPr>
          <w:rFonts w:ascii="Times New Roman" w:eastAsia="Times New Roman" w:hAnsi="Times New Roman" w:cs="Times New Roman"/>
          <w:sz w:val="24"/>
        </w:rPr>
      </w:pPr>
      <w:r>
        <w:rPr>
          <w:rFonts w:ascii="Times New Roman" w:hAnsi="Times New Roman"/>
          <w:sz w:val="24"/>
          <w:szCs w:val="24"/>
        </w:rPr>
        <w:t xml:space="preserve">Les garanties d’indépendance </w:t>
      </w:r>
      <w:r>
        <w:rPr>
          <w:rFonts w:ascii="Times New Roman" w:hAnsi="Times New Roman"/>
          <w:sz w:val="24"/>
          <w:szCs w:val="24"/>
        </w:rPr>
        <w:t>structurelle postulent l’existence de règles, notamment en ce qui concerne la composition de la juridiction, la nomination, la durée des fonctions ainsi que les causes d’abstention, de récusation et de révocation de ses membres, qui permettent d’écarter to</w:t>
      </w:r>
      <w:r>
        <w:rPr>
          <w:rFonts w:ascii="Times New Roman" w:hAnsi="Times New Roman"/>
          <w:sz w:val="24"/>
          <w:szCs w:val="24"/>
        </w:rPr>
        <w:t>ut doute légitime, dans l’esprit des justiciables, quant à l’imperméabilité de ladite juridiction à l’égard d’éléments extérieurs et à sa neutralité par rapport aux intérêts qui s’affrontent (</w:t>
      </w:r>
      <w:r>
        <w:rPr>
          <w:rFonts w:ascii="Times New Roman" w:eastAsia="Times New Roman" w:hAnsi="Times New Roman" w:cs="Times New Roman"/>
          <w:sz w:val="24"/>
          <w:szCs w:val="24"/>
          <w:vertAlign w:val="superscript"/>
        </w:rPr>
        <w:footnoteReference w:id="94"/>
      </w:r>
      <w:r>
        <w:rPr>
          <w:rFonts w:ascii="Times New Roman" w:hAnsi="Times New Roman"/>
          <w:sz w:val="24"/>
          <w:szCs w:val="24"/>
        </w:rPr>
        <w:t>). De tels rôles doivent, ainsi, en particulier, permettre d’ex</w:t>
      </w:r>
      <w:r>
        <w:rPr>
          <w:rFonts w:ascii="Times New Roman" w:hAnsi="Times New Roman"/>
          <w:sz w:val="24"/>
          <w:szCs w:val="24"/>
        </w:rPr>
        <w:t>clure non seulement toute influence directe, sous forme d’instructions, mais également les formes d’influence plus indirecte susceptibles d’orienter les décisions des juges concernés (</w:t>
      </w:r>
      <w:r>
        <w:rPr>
          <w:rStyle w:val="FootnoteReference"/>
          <w:rFonts w:ascii="Times New Roman" w:eastAsia="Times New Roman" w:hAnsi="Times New Roman" w:cs="Times New Roman"/>
          <w:sz w:val="24"/>
          <w:szCs w:val="24"/>
        </w:rPr>
        <w:footnoteReference w:id="95"/>
      </w:r>
      <w:r>
        <w:rPr>
          <w:rFonts w:ascii="Times New Roman" w:hAnsi="Times New Roman"/>
          <w:sz w:val="24"/>
          <w:szCs w:val="24"/>
        </w:rPr>
        <w:t>).</w:t>
      </w:r>
    </w:p>
    <w:p w:rsidR="00D23207" w:rsidRDefault="00493C98">
      <w:pPr>
        <w:spacing w:after="120" w:line="240" w:lineRule="auto"/>
        <w:jc w:val="both"/>
        <w:rPr>
          <w:rFonts w:ascii="Times New Roman" w:eastAsia="Times New Roman" w:hAnsi="Times New Roman" w:cs="Times New Roman"/>
          <w:sz w:val="24"/>
        </w:rPr>
      </w:pPr>
      <w:r>
        <w:rPr>
          <w:rFonts w:ascii="Times New Roman" w:hAnsi="Times New Roman"/>
          <w:sz w:val="24"/>
          <w:szCs w:val="24"/>
        </w:rPr>
        <w:t>Des normes européennes ont été élaborées, en particulier par le Cons</w:t>
      </w:r>
      <w:r>
        <w:rPr>
          <w:rFonts w:ascii="Times New Roman" w:hAnsi="Times New Roman"/>
          <w:sz w:val="24"/>
          <w:szCs w:val="24"/>
        </w:rPr>
        <w:t xml:space="preserve">eil de l’Europe, par exemple dans la </w:t>
      </w:r>
      <w:r>
        <w:rPr>
          <w:rFonts w:ascii="Times New Roman" w:hAnsi="Times New Roman"/>
          <w:i/>
          <w:iCs/>
          <w:sz w:val="24"/>
          <w:szCs w:val="24"/>
        </w:rPr>
        <w:t>recommandation faite en 2010 par le Conseil de l’Europe, intitulée «Les juges</w:t>
      </w:r>
      <w:r>
        <w:rPr>
          <w:rFonts w:ascii="Times New Roman" w:hAnsi="Times New Roman"/>
          <w:sz w:val="24"/>
          <w:szCs w:val="24"/>
        </w:rPr>
        <w:t>:</w:t>
      </w:r>
      <w:r>
        <w:rPr>
          <w:rFonts w:ascii="Times New Roman" w:hAnsi="Times New Roman"/>
          <w:i/>
          <w:iCs/>
          <w:sz w:val="24"/>
          <w:szCs w:val="24"/>
        </w:rPr>
        <w:t xml:space="preserve"> indépendance, efficacité et responsabilités»</w:t>
      </w:r>
      <w:r>
        <w:rPr>
          <w:rFonts w:ascii="Times New Roman" w:hAnsi="Times New Roman"/>
          <w:sz w:val="24"/>
          <w:szCs w:val="24"/>
        </w:rPr>
        <w:t> (</w:t>
      </w:r>
      <w:r>
        <w:rPr>
          <w:rFonts w:ascii="Times New Roman" w:eastAsia="Calibri" w:hAnsi="Times New Roman" w:cs="Times New Roman"/>
          <w:sz w:val="24"/>
          <w:szCs w:val="24"/>
          <w:vertAlign w:val="superscript"/>
        </w:rPr>
        <w:footnoteReference w:id="96"/>
      </w:r>
      <w:r>
        <w:rPr>
          <w:rFonts w:ascii="Times New Roman" w:hAnsi="Times New Roman"/>
          <w:sz w:val="24"/>
          <w:szCs w:val="24"/>
        </w:rPr>
        <w:t>). Le tableau de bord 2020 de la justice dans l’UE présente certains indicateurs sur la maniè</w:t>
      </w:r>
      <w:r>
        <w:rPr>
          <w:rFonts w:ascii="Times New Roman" w:hAnsi="Times New Roman"/>
          <w:sz w:val="24"/>
          <w:szCs w:val="24"/>
        </w:rPr>
        <w:t>re dont les systèmes judiciaires sont organisés pour garantir l’indépendance de la justice.</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La présente édition du tableau de bord de la justice dans l’UE comprend des indicateurs mis à jour sur les organismes et autorités associés aux procédures disciplin</w:t>
      </w:r>
      <w:r>
        <w:rPr>
          <w:rFonts w:ascii="Times New Roman" w:hAnsi="Times New Roman"/>
          <w:sz w:val="24"/>
          <w:szCs w:val="24"/>
        </w:rPr>
        <w:t>aires concernant les juges (graphiques 49 et 50) et sur la nomination des membres des conseils de la justice (graphique 51 et 52) (</w:t>
      </w:r>
      <w:r>
        <w:rPr>
          <w:rFonts w:ascii="Times New Roman" w:eastAsia="Calibri" w:hAnsi="Times New Roman" w:cs="Times New Roman"/>
          <w:sz w:val="24"/>
          <w:szCs w:val="24"/>
          <w:vertAlign w:val="superscript"/>
        </w:rPr>
        <w:footnoteReference w:id="97"/>
      </w:r>
      <w:r>
        <w:rPr>
          <w:rFonts w:ascii="Times New Roman" w:hAnsi="Times New Roman"/>
          <w:sz w:val="24"/>
          <w:szCs w:val="24"/>
        </w:rPr>
        <w:t>). Le tableau de bord 2020 de la justice dans l’UE présente également des informations relatives aux organismes et autorités</w:t>
      </w:r>
      <w:r>
        <w:rPr>
          <w:rFonts w:ascii="Times New Roman" w:hAnsi="Times New Roman"/>
          <w:sz w:val="24"/>
          <w:szCs w:val="24"/>
        </w:rPr>
        <w:t xml:space="preserve"> associés aux procédures disciplinaires concernant les procureurs (graphiques 53 et 54) et un graphique plus détaillé et actualisé sur les instructions données aux procureurs dans des affaires particulières (graphique 55) (</w:t>
      </w:r>
      <w:r>
        <w:rPr>
          <w:rFonts w:ascii="Times New Roman" w:eastAsia="Calibri" w:hAnsi="Times New Roman" w:cs="Times New Roman"/>
          <w:sz w:val="24"/>
          <w:szCs w:val="24"/>
          <w:vertAlign w:val="superscript"/>
        </w:rPr>
        <w:footnoteReference w:id="98"/>
      </w:r>
      <w:r>
        <w:rPr>
          <w:rFonts w:ascii="Times New Roman" w:hAnsi="Times New Roman"/>
          <w:sz w:val="24"/>
          <w:szCs w:val="24"/>
        </w:rPr>
        <w:t>). Ces graphiques présentent les</w:t>
      </w:r>
      <w:r>
        <w:rPr>
          <w:rFonts w:ascii="Times New Roman" w:hAnsi="Times New Roman"/>
          <w:sz w:val="24"/>
          <w:szCs w:val="24"/>
        </w:rPr>
        <w:t xml:space="preserve"> cadres nationaux en place au mois de décembre 2019.</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rPr>
        <w:t>Les graphiques du tableau de bord ne présentent pas d’évaluation ni de données quantitatives concernant l’utilité des garanties. Ils ne visent pas à refléter la complexité et les modalités de ces garanti</w:t>
      </w:r>
      <w:r>
        <w:rPr>
          <w:rFonts w:ascii="Times New Roman" w:hAnsi="Times New Roman"/>
          <w:sz w:val="24"/>
        </w:rPr>
        <w:t xml:space="preserve">es. Disposer d’un grand nombre de garanties n’assure pas, en soi, l’effectivité du système de justice. Il convient également de noter que la mise en œuvre de politiques et de pratiques visant à promouvoir l’intégrité et à empêcher la corruption au sein de </w:t>
      </w:r>
      <w:r>
        <w:rPr>
          <w:rFonts w:ascii="Times New Roman" w:hAnsi="Times New Roman"/>
          <w:sz w:val="24"/>
        </w:rPr>
        <w:t>l’appareil judiciaire est également indispensable pour garantir l’indépendance de la justice. Enfin, la protection effective de l’indépendance de la justice exige une culture d’intégrité et d’impartialité, partagée par les magistrats et respectée par la so</w:t>
      </w:r>
      <w:r>
        <w:rPr>
          <w:rFonts w:ascii="Times New Roman" w:hAnsi="Times New Roman"/>
          <w:sz w:val="24"/>
        </w:rPr>
        <w:t>ciété dans son ensemble.</w:t>
      </w:r>
    </w:p>
    <w:p w:rsidR="00D23207" w:rsidRDefault="00493C98">
      <w:pPr>
        <w:spacing w:before="240" w:after="120" w:line="240" w:lineRule="auto"/>
        <w:jc w:val="both"/>
        <w:rPr>
          <w:rFonts w:ascii="Times New Roman" w:eastAsia="Calibri" w:hAnsi="Times New Roman" w:cs="Times New Roman"/>
          <w:i/>
          <w:sz w:val="24"/>
        </w:rPr>
      </w:pPr>
      <w:r>
        <w:rPr>
          <w:rFonts w:ascii="Times New Roman" w:hAnsi="Times New Roman"/>
          <w:i/>
          <w:sz w:val="24"/>
          <w:szCs w:val="24"/>
        </w:rPr>
        <w:t>–</w:t>
      </w:r>
      <w:r>
        <w:rPr>
          <w:rFonts w:ascii="Times New Roman" w:hAnsi="Times New Roman"/>
          <w:sz w:val="24"/>
        </w:rPr>
        <w:t xml:space="preserve"> </w:t>
      </w:r>
      <w:r>
        <w:rPr>
          <w:rFonts w:ascii="Times New Roman" w:hAnsi="Times New Roman"/>
          <w:i/>
          <w:iCs/>
          <w:sz w:val="24"/>
        </w:rPr>
        <w:t>Garanties relatives aux procédures disciplinaires concernant les juges</w:t>
      </w:r>
      <w:r>
        <w:rPr>
          <w:rFonts w:ascii="Times New Roman" w:hAnsi="Times New Roman"/>
          <w:sz w:val="24"/>
        </w:rPr>
        <w:t xml:space="preserve"> </w:t>
      </w:r>
      <w:r>
        <w:rPr>
          <w:rFonts w:ascii="Times New Roman" w:hAnsi="Times New Roman"/>
          <w:i/>
          <w:sz w:val="24"/>
          <w:szCs w:val="24"/>
        </w:rPr>
        <w:t>–</w:t>
      </w:r>
    </w:p>
    <w:p w:rsidR="00D23207" w:rsidRDefault="00493C98">
      <w:pPr>
        <w:spacing w:after="120" w:line="240" w:lineRule="auto"/>
        <w:jc w:val="both"/>
        <w:rPr>
          <w:rFonts w:ascii="Times New Roman" w:eastAsia="Times New Roman" w:hAnsi="Times New Roman" w:cs="Times New Roman"/>
          <w:sz w:val="24"/>
        </w:rPr>
      </w:pPr>
      <w:r>
        <w:rPr>
          <w:rFonts w:ascii="Times New Roman" w:hAnsi="Times New Roman"/>
          <w:sz w:val="24"/>
          <w:szCs w:val="24"/>
        </w:rPr>
        <w:t>Les procédures disciplinaires concernant les juges relèvent de l’une des situations les plus délicates en matière d’indépendance de la justice. D’après la C</w:t>
      </w:r>
      <w:r>
        <w:rPr>
          <w:rFonts w:ascii="Times New Roman" w:hAnsi="Times New Roman"/>
          <w:sz w:val="24"/>
          <w:szCs w:val="24"/>
        </w:rPr>
        <w:t>our de justice de l’Union européenne, «les règles gouvernant le régime disciplinaire […] de ceux qui ont pour tâche de juger présentent les garanties nécessaires afin d’éviter tout risque d’utilisation d’un tel régime en tant que système de contrôle politi</w:t>
      </w:r>
      <w:r>
        <w:rPr>
          <w:rFonts w:ascii="Times New Roman" w:hAnsi="Times New Roman"/>
          <w:sz w:val="24"/>
          <w:szCs w:val="24"/>
        </w:rPr>
        <w:t>que du contenu des décisions judiciaires» (</w:t>
      </w:r>
      <w:r>
        <w:rPr>
          <w:rFonts w:ascii="Times New Roman" w:eastAsia="Times New Roman" w:hAnsi="Times New Roman" w:cs="Times New Roman"/>
          <w:sz w:val="24"/>
          <w:szCs w:val="24"/>
          <w:vertAlign w:val="superscript"/>
        </w:rPr>
        <w:footnoteReference w:id="99"/>
      </w:r>
      <w:r>
        <w:rPr>
          <w:rFonts w:ascii="Times New Roman" w:hAnsi="Times New Roman"/>
          <w:sz w:val="24"/>
          <w:szCs w:val="24"/>
        </w:rPr>
        <w:t>). L’ensemble de garanties définies par la Cour de justice comme essentielles aux fins de la préservation de l’indépendance du pouvoir judiciaire comprend «l’édiction de règles qui définissent tant les comporteme</w:t>
      </w:r>
      <w:r>
        <w:rPr>
          <w:rFonts w:ascii="Times New Roman" w:hAnsi="Times New Roman"/>
          <w:sz w:val="24"/>
          <w:szCs w:val="24"/>
        </w:rPr>
        <w:t>nts constitutifs d’infractions disciplinaires que les sanctions concrètement applicables, qui prévoient l’intervention d’une instance indépendante conformément à une procédure qui garantit pleinement les droits consacrés aux articles 47 et 48 de la Charte,</w:t>
      </w:r>
      <w:r>
        <w:rPr>
          <w:rFonts w:ascii="Times New Roman" w:hAnsi="Times New Roman"/>
          <w:sz w:val="24"/>
          <w:szCs w:val="24"/>
        </w:rPr>
        <w:t xml:space="preserve"> notamment les droits de la défense, et qui consacrent la possibilité de contester en justice les décisions des organes disciplinaires» (</w:t>
      </w:r>
      <w:r>
        <w:rPr>
          <w:rFonts w:ascii="Times New Roman" w:eastAsia="Times New Roman" w:hAnsi="Times New Roman" w:cs="Times New Roman"/>
          <w:sz w:val="24"/>
          <w:szCs w:val="24"/>
          <w:vertAlign w:val="superscript"/>
        </w:rPr>
        <w:footnoteReference w:id="100"/>
      </w:r>
      <w:r>
        <w:rPr>
          <w:rFonts w:ascii="Times New Roman" w:hAnsi="Times New Roman"/>
          <w:sz w:val="24"/>
          <w:szCs w:val="24"/>
        </w:rPr>
        <w:t xml:space="preserve">). La Cour de justice a estimé que «l’article 267 TFUE confère aux juridictions nationales la faculté la plus étendue </w:t>
      </w:r>
      <w:r>
        <w:rPr>
          <w:rFonts w:ascii="Times New Roman" w:hAnsi="Times New Roman"/>
          <w:sz w:val="24"/>
          <w:szCs w:val="24"/>
        </w:rPr>
        <w:t>de saisir la Cour [...] à tout moment de la procédure qu’elles jugent approprié» (</w:t>
      </w:r>
      <w:r>
        <w:rPr>
          <w:rFonts w:ascii="Times New Roman" w:eastAsia="Times New Roman" w:hAnsi="Times New Roman" w:cs="Times New Roman"/>
          <w:sz w:val="24"/>
          <w:szCs w:val="24"/>
          <w:vertAlign w:val="superscript"/>
        </w:rPr>
        <w:footnoteReference w:id="101"/>
      </w:r>
      <w:r>
        <w:rPr>
          <w:rFonts w:ascii="Times New Roman" w:hAnsi="Times New Roman"/>
          <w:sz w:val="24"/>
          <w:szCs w:val="24"/>
        </w:rPr>
        <w:t>). D’après la Cour de justice, dans la mesure où une règle nationale entrave cette faculté «pour éviter [...] d’encourir des sanctions disciplinaires», alors celle-ci «porte</w:t>
      </w:r>
      <w:r>
        <w:rPr>
          <w:rFonts w:ascii="Times New Roman" w:hAnsi="Times New Roman"/>
          <w:sz w:val="24"/>
          <w:szCs w:val="24"/>
        </w:rPr>
        <w:t xml:space="preserve"> atteinte aux prérogatives reconnues aux juridictions nationales par l’article 267 TFUE et, par conséquent, à l’efficacité de la coopération entre la Cour et les juridictions nationales instituée par le mécanisme du renvoi préjudiciel» (</w:t>
      </w:r>
      <w:r>
        <w:rPr>
          <w:rFonts w:ascii="Times New Roman" w:eastAsia="Times New Roman" w:hAnsi="Times New Roman" w:cs="Times New Roman"/>
          <w:sz w:val="24"/>
          <w:szCs w:val="24"/>
          <w:vertAlign w:val="superscript"/>
        </w:rPr>
        <w:footnoteReference w:id="102"/>
      </w:r>
      <w:r>
        <w:rPr>
          <w:rFonts w:ascii="Times New Roman" w:hAnsi="Times New Roman"/>
          <w:sz w:val="24"/>
          <w:szCs w:val="24"/>
        </w:rPr>
        <w:t>). La Cour a égale</w:t>
      </w:r>
      <w:r>
        <w:rPr>
          <w:rFonts w:ascii="Times New Roman" w:hAnsi="Times New Roman"/>
          <w:sz w:val="24"/>
          <w:szCs w:val="24"/>
        </w:rPr>
        <w:t>ment déclaré que «[c]onstitue une garantie inhérente à l’indépendance des juges le fait de ne pas être exposés à des sanctions disciplinaires pour [une faculté] telle que celle de transmettre à la Cour une demande de décision préjudicielle» (</w:t>
      </w:r>
      <w:r>
        <w:rPr>
          <w:rFonts w:ascii="Times New Roman" w:eastAsia="Times New Roman" w:hAnsi="Times New Roman" w:cs="Times New Roman"/>
          <w:sz w:val="24"/>
          <w:szCs w:val="24"/>
          <w:vertAlign w:val="superscript"/>
        </w:rPr>
        <w:footnoteReference w:id="103"/>
      </w:r>
      <w:r>
        <w:rPr>
          <w:rFonts w:ascii="Times New Roman" w:hAnsi="Times New Roman"/>
          <w:sz w:val="24"/>
          <w:szCs w:val="24"/>
        </w:rPr>
        <w:t>).</w:t>
      </w:r>
    </w:p>
    <w:p w:rsidR="00D23207" w:rsidRDefault="00493C98">
      <w:pPr>
        <w:spacing w:after="120" w:line="240" w:lineRule="auto"/>
        <w:jc w:val="both"/>
        <w:rPr>
          <w:rFonts w:ascii="Times New Roman" w:eastAsia="Times New Roman" w:hAnsi="Times New Roman" w:cs="Times New Roman"/>
          <w:sz w:val="24"/>
          <w:highlight w:val="yellow"/>
        </w:rPr>
      </w:pPr>
      <w:r>
        <w:rPr>
          <w:rFonts w:ascii="Times New Roman" w:hAnsi="Times New Roman"/>
          <w:sz w:val="24"/>
          <w:szCs w:val="24"/>
        </w:rPr>
        <w:t xml:space="preserve">D’après </w:t>
      </w:r>
      <w:r>
        <w:rPr>
          <w:rFonts w:ascii="Times New Roman" w:hAnsi="Times New Roman"/>
          <w:sz w:val="24"/>
          <w:szCs w:val="24"/>
        </w:rPr>
        <w:t>les normes du Conseil de l’Europe, les procédures disciplinaires concernant les juges peuvent être exercées à l’encontre de ceux qui ne s’acquittent pas de leurs obligations de manière efficace et adéquate (</w:t>
      </w:r>
      <w:r>
        <w:rPr>
          <w:rFonts w:ascii="Times New Roman" w:eastAsia="Times New Roman" w:hAnsi="Times New Roman" w:cs="Times New Roman"/>
          <w:sz w:val="24"/>
          <w:szCs w:val="24"/>
          <w:vertAlign w:val="superscript"/>
        </w:rPr>
        <w:footnoteReference w:id="104"/>
      </w:r>
      <w:r>
        <w:rPr>
          <w:rFonts w:ascii="Times New Roman" w:hAnsi="Times New Roman"/>
          <w:sz w:val="24"/>
          <w:szCs w:val="24"/>
        </w:rPr>
        <w:t>). L’interprétation du droit, l’appréciation des</w:t>
      </w:r>
      <w:r>
        <w:rPr>
          <w:rFonts w:ascii="Times New Roman" w:hAnsi="Times New Roman"/>
          <w:sz w:val="24"/>
          <w:szCs w:val="24"/>
        </w:rPr>
        <w:t xml:space="preserve"> faits ou l’évaluation des preuves, auxquelles procèdent les juges pour le jugement des affaires, ne devraient pas donner lieu à l’engagement de leur responsabilité civile ou disciplinaire, sauf en cas de malveillance et de négligence grossière (</w:t>
      </w:r>
      <w:r>
        <w:rPr>
          <w:rFonts w:ascii="Times New Roman" w:eastAsia="Times New Roman" w:hAnsi="Times New Roman" w:cs="Times New Roman"/>
          <w:sz w:val="24"/>
          <w:szCs w:val="24"/>
          <w:vertAlign w:val="superscript"/>
        </w:rPr>
        <w:footnoteReference w:id="105"/>
      </w:r>
      <w:r>
        <w:rPr>
          <w:rFonts w:ascii="Times New Roman" w:hAnsi="Times New Roman"/>
          <w:sz w:val="24"/>
          <w:szCs w:val="24"/>
        </w:rPr>
        <w:t>). En out</w:t>
      </w:r>
      <w:r>
        <w:rPr>
          <w:rFonts w:ascii="Times New Roman" w:hAnsi="Times New Roman"/>
          <w:sz w:val="24"/>
          <w:szCs w:val="24"/>
        </w:rPr>
        <w:t>re, les procédures disciplinaires devraient être conduites par une autorité indépendante telle qu’un tribunal disposant de toutes les garanties d’un procès équitable. Le juge soumis à une procédure disciplinaire devrait être en droit d’exercer un recours à</w:t>
      </w:r>
      <w:r>
        <w:rPr>
          <w:rFonts w:ascii="Times New Roman" w:hAnsi="Times New Roman"/>
          <w:sz w:val="24"/>
          <w:szCs w:val="24"/>
        </w:rPr>
        <w:t xml:space="preserve"> la fois contre la décision et contre la sanction. Les sanctions disciplinaires devraient être proportionnelles à la faute commise (</w:t>
      </w:r>
      <w:r>
        <w:rPr>
          <w:rFonts w:ascii="Times New Roman" w:eastAsia="Times New Roman" w:hAnsi="Times New Roman" w:cs="Times New Roman"/>
          <w:sz w:val="24"/>
          <w:szCs w:val="24"/>
          <w:vertAlign w:val="superscript"/>
        </w:rPr>
        <w:footnoteReference w:id="106"/>
      </w:r>
      <w:r>
        <w:rPr>
          <w:rFonts w:ascii="Times New Roman" w:hAnsi="Times New Roman"/>
          <w:sz w:val="24"/>
          <w:szCs w:val="24"/>
        </w:rPr>
        <w:t>).</w:t>
      </w:r>
    </w:p>
    <w:p w:rsidR="00D23207" w:rsidRDefault="00493C98">
      <w:pPr>
        <w:spacing w:after="0" w:line="240" w:lineRule="auto"/>
        <w:jc w:val="both"/>
        <w:rPr>
          <w:rFonts w:ascii="Times New Roman" w:eastAsia="Times New Roman" w:hAnsi="Times New Roman" w:cs="Times New Roman"/>
          <w:sz w:val="24"/>
        </w:rPr>
      </w:pPr>
      <w:r>
        <w:rPr>
          <w:rFonts w:ascii="Times New Roman" w:hAnsi="Times New Roman"/>
          <w:sz w:val="24"/>
        </w:rPr>
        <w:t>Le graphique 49 présente une vue d’ensemble actualisée des autorités qui statuent sur les sanctions disciplinaires conce</w:t>
      </w:r>
      <w:r>
        <w:rPr>
          <w:rFonts w:ascii="Times New Roman" w:hAnsi="Times New Roman"/>
          <w:sz w:val="24"/>
        </w:rPr>
        <w:t>rnant les juges ordinaires, qui peuvent être soit a) des autorités traditionnelles indépendantes comme des juridictions (Cour suprême, cour administrative ou président de juridiction) ou des conseils de la justice, soit b) d’autres autorités dont les membr</w:t>
      </w:r>
      <w:r>
        <w:rPr>
          <w:rFonts w:ascii="Times New Roman" w:hAnsi="Times New Roman"/>
          <w:sz w:val="24"/>
        </w:rPr>
        <w:t>es sont spécifiquement nommés par le Conseil de la justice, par des juges ou par le pouvoir exécutif.</w:t>
      </w:r>
    </w:p>
    <w:p w:rsidR="00D23207" w:rsidRDefault="00493C98">
      <w:pPr>
        <w:rPr>
          <w:rFonts w:ascii="Times New Roman" w:hAnsi="Times New Roman"/>
          <w:b/>
          <w:sz w:val="24"/>
          <w:szCs w:val="24"/>
        </w:rPr>
      </w:pPr>
      <w:r>
        <w:rPr>
          <w:rFonts w:ascii="Times New Roman" w:hAnsi="Times New Roman"/>
          <w:b/>
          <w:sz w:val="24"/>
          <w:szCs w:val="24"/>
        </w:rPr>
        <w:br w:type="page"/>
      </w:r>
    </w:p>
    <w:p w:rsidR="00D23207" w:rsidRDefault="00493C98">
      <w:pPr>
        <w:spacing w:before="240" w:after="120" w:line="240" w:lineRule="auto"/>
        <w:jc w:val="both"/>
        <w:rPr>
          <w:rFonts w:ascii="Times New Roman" w:eastAsia="Times New Roman" w:hAnsi="Times New Roman" w:cs="Times New Roman"/>
          <w:i/>
          <w:iCs/>
          <w:sz w:val="24"/>
          <w:szCs w:val="24"/>
        </w:rPr>
      </w:pPr>
      <w:r>
        <w:rPr>
          <w:rFonts w:ascii="Times New Roman" w:hAnsi="Times New Roman"/>
          <w:b/>
          <w:sz w:val="24"/>
          <w:szCs w:val="24"/>
        </w:rPr>
        <w:t>Graphique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49</w:t>
      </w:r>
      <w:r>
        <w:fldChar w:fldCharType="end"/>
      </w:r>
      <w:r>
        <w:rPr>
          <w:rFonts w:ascii="Times New Roman" w:hAnsi="Times New Roman"/>
          <w:b/>
          <w:bCs/>
          <w:sz w:val="24"/>
          <w:szCs w:val="24"/>
        </w:rPr>
        <w:t>: autorité statuant sur les sanctions disciplinaires concernant les juges</w:t>
      </w:r>
      <w:r>
        <w:rPr>
          <w:rFonts w:ascii="Times New Roman" w:hAnsi="Times New Roman"/>
          <w:sz w:val="24"/>
          <w:szCs w:val="24"/>
        </w:rPr>
        <w:t> (*) (</w:t>
      </w:r>
      <w:r>
        <w:rPr>
          <w:rFonts w:ascii="Times New Roman" w:eastAsia="Times New Roman" w:hAnsi="Times New Roman" w:cs="Times New Roman"/>
          <w:i/>
          <w:iCs/>
          <w:sz w:val="24"/>
          <w:szCs w:val="24"/>
          <w:vertAlign w:val="superscript"/>
        </w:rPr>
        <w:footnoteReference w:id="107"/>
      </w:r>
      <w:r>
        <w:rPr>
          <w:rFonts w:ascii="Times New Roman" w:hAnsi="Times New Roman"/>
          <w:sz w:val="24"/>
          <w:szCs w:val="24"/>
        </w:rPr>
        <w:t>)</w:t>
      </w:r>
    </w:p>
    <w:p w:rsidR="00D23207" w:rsidRDefault="00493C98">
      <w:pPr>
        <w:spacing w:after="0" w:line="240" w:lineRule="auto"/>
        <w:jc w:val="both"/>
        <w:rPr>
          <w:rFonts w:ascii="Times New Roman" w:eastAsia="Calibri" w:hAnsi="Times New Roman" w:cs="Times New Roman"/>
          <w:i/>
          <w:sz w:val="16"/>
          <w:szCs w:val="16"/>
        </w:rPr>
      </w:pPr>
      <w:r>
        <w:rPr>
          <w:rFonts w:ascii="Times New Roman" w:hAnsi="Times New Roman"/>
          <w:i/>
          <w:sz w:val="16"/>
          <w:szCs w:val="16"/>
          <w:lang w:val="en-GB" w:eastAsia="en-GB"/>
        </w:rPr>
        <w:drawing>
          <wp:inline distT="0" distB="0" distL="0" distR="0">
            <wp:extent cx="6021217" cy="1362866"/>
            <wp:effectExtent l="0" t="0" r="0" b="8890"/>
            <wp:docPr id="97324" name="Picture 9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80938" cy="1376384"/>
                    </a:xfrm>
                    <a:prstGeom prst="rect">
                      <a:avLst/>
                    </a:prstGeom>
                    <a:noFill/>
                    <a:ln>
                      <a:noFill/>
                    </a:ln>
                  </pic:spPr>
                </pic:pic>
              </a:graphicData>
            </a:graphic>
          </wp:inline>
        </w:drawing>
      </w:r>
      <w:r>
        <w:rPr>
          <w:rFonts w:ascii="Times New Roman" w:hAnsi="Times New Roman"/>
          <w:i/>
          <w:sz w:val="16"/>
          <w:szCs w:val="16"/>
        </w:rPr>
        <w:t xml:space="preserve"> (*) </w:t>
      </w:r>
      <w:r>
        <w:rPr>
          <w:rFonts w:ascii="Times New Roman" w:hAnsi="Times New Roman"/>
          <w:b/>
          <w:i/>
          <w:sz w:val="16"/>
          <w:szCs w:val="16"/>
        </w:rPr>
        <w:t>BG:</w:t>
      </w:r>
      <w:r>
        <w:rPr>
          <w:rFonts w:ascii="Times New Roman" w:hAnsi="Times New Roman"/>
          <w:i/>
          <w:sz w:val="16"/>
          <w:szCs w:val="16"/>
        </w:rPr>
        <w:t xml:space="preserve"> des sanctions disciplinaires plus légères peuvent être imposées par le président de la juridiction.</w:t>
      </w:r>
      <w:r>
        <w:rPr>
          <w:rFonts w:ascii="Times New Roman" w:hAnsi="Times New Roman"/>
          <w:i/>
          <w:sz w:val="15"/>
          <w:szCs w:val="15"/>
        </w:rPr>
        <w:t xml:space="preserve"> </w:t>
      </w:r>
      <w:r>
        <w:rPr>
          <w:rFonts w:ascii="Times New Roman" w:hAnsi="Times New Roman"/>
          <w:i/>
          <w:sz w:val="16"/>
          <w:szCs w:val="16"/>
        </w:rPr>
        <w:t xml:space="preserve">Toute décision relative à des sanctions disciplinaires est soumise au contrôle juridictionnel devant la Cour administrative suprême. </w:t>
      </w:r>
      <w:r>
        <w:rPr>
          <w:rFonts w:ascii="Times New Roman" w:hAnsi="Times New Roman"/>
          <w:b/>
          <w:i/>
          <w:sz w:val="16"/>
          <w:szCs w:val="16"/>
        </w:rPr>
        <w:t>CZ:</w:t>
      </w:r>
      <w:r>
        <w:rPr>
          <w:rFonts w:ascii="Times New Roman" w:hAnsi="Times New Roman"/>
          <w:i/>
          <w:sz w:val="16"/>
          <w:szCs w:val="16"/>
        </w:rPr>
        <w:t xml:space="preserve"> les affaires disci</w:t>
      </w:r>
      <w:r>
        <w:rPr>
          <w:rFonts w:ascii="Times New Roman" w:hAnsi="Times New Roman"/>
          <w:i/>
          <w:sz w:val="16"/>
          <w:szCs w:val="16"/>
        </w:rPr>
        <w:t xml:space="preserve">plinaires sont examinées par les chambres disciplinaires de la Cour administrative suprême. Les membres sont proposés par le président de la Cour à partir d’une liste de juges et sont choisis par tirage au sort. </w:t>
      </w:r>
      <w:r>
        <w:rPr>
          <w:rFonts w:ascii="Times New Roman" w:hAnsi="Times New Roman"/>
          <w:b/>
          <w:i/>
          <w:sz w:val="16"/>
          <w:szCs w:val="16"/>
        </w:rPr>
        <w:t>DK:</w:t>
      </w:r>
      <w:r>
        <w:rPr>
          <w:rFonts w:ascii="Times New Roman" w:hAnsi="Times New Roman"/>
          <w:i/>
          <w:sz w:val="16"/>
          <w:szCs w:val="16"/>
        </w:rPr>
        <w:t xml:space="preserve"> La Cour spéciale de mise en accusation e</w:t>
      </w:r>
      <w:r>
        <w:rPr>
          <w:rFonts w:ascii="Times New Roman" w:hAnsi="Times New Roman"/>
          <w:i/>
          <w:sz w:val="16"/>
          <w:szCs w:val="16"/>
        </w:rPr>
        <w:t>t de révision, composée de cinq membres, officiellement nommés par le ministre de la justice mais proposés respectivement par la Cour suprême, les juridictions supérieures, l’association des juges et le Barreau, en plus d’un éminent universitaire, statue s</w:t>
      </w:r>
      <w:r>
        <w:rPr>
          <w:rFonts w:ascii="Times New Roman" w:hAnsi="Times New Roman"/>
          <w:i/>
          <w:sz w:val="16"/>
          <w:szCs w:val="16"/>
        </w:rPr>
        <w:t>ur les sanctions disciplinaires.</w:t>
      </w:r>
      <w:r>
        <w:rPr>
          <w:sz w:val="16"/>
          <w:szCs w:val="16"/>
        </w:rPr>
        <w:t xml:space="preserve"> </w:t>
      </w:r>
      <w:r>
        <w:rPr>
          <w:rFonts w:ascii="Times New Roman" w:hAnsi="Times New Roman"/>
          <w:i/>
          <w:sz w:val="16"/>
          <w:szCs w:val="16"/>
        </w:rPr>
        <w:t xml:space="preserve">Le président d’une juridiction de première instance peut émettre un avertissement. </w:t>
      </w:r>
      <w:r>
        <w:rPr>
          <w:rFonts w:ascii="Times New Roman" w:hAnsi="Times New Roman"/>
          <w:b/>
          <w:i/>
          <w:sz w:val="16"/>
          <w:szCs w:val="16"/>
        </w:rPr>
        <w:t>DE:</w:t>
      </w:r>
      <w:r>
        <w:rPr>
          <w:rFonts w:ascii="Times New Roman" w:hAnsi="Times New Roman"/>
          <w:i/>
          <w:sz w:val="16"/>
          <w:szCs w:val="16"/>
        </w:rPr>
        <w:t xml:space="preserve"> des mesures disciplinaires peuvent être appliquées dans le cadre de procédures disciplinaires formelles (voir section 63 de la loi allem</w:t>
      </w:r>
      <w:r>
        <w:rPr>
          <w:rFonts w:ascii="Times New Roman" w:hAnsi="Times New Roman"/>
          <w:i/>
          <w:sz w:val="16"/>
          <w:szCs w:val="16"/>
        </w:rPr>
        <w:t xml:space="preserve">ande sur l’organisation judiciaire pour les juges fédéraux et la disposition équivalente au niveau des Länder) par des tribunaux de la fonction publique («Dienstgericht des Bundes» si la mesure concerne des juges fédéraux et «Dienstgerichte der Länder» si </w:t>
      </w:r>
      <w:r>
        <w:rPr>
          <w:rFonts w:ascii="Times New Roman" w:hAnsi="Times New Roman"/>
          <w:i/>
          <w:sz w:val="16"/>
          <w:szCs w:val="16"/>
        </w:rPr>
        <w:t>la mesure concerne des juges relevant des Länder), qui constituent des commissions spéciales au sein des juridictions traditionnelles. Les membres de ces commissions sont nommés par les juges («Präsidium») d’une juridiction spécifique (Cour fédérale de jus</w:t>
      </w:r>
      <w:r>
        <w:rPr>
          <w:rFonts w:ascii="Times New Roman" w:hAnsi="Times New Roman"/>
          <w:i/>
          <w:sz w:val="16"/>
          <w:szCs w:val="16"/>
        </w:rPr>
        <w:t>tice ou tribunal régional supérieur ou tribunal régional). Des mesures disciplinaires moins lourdes telles que les blâmes peuvent être émises dans le cadre d’une ordonnance disciplinaire (voir section 64 de la loi allemande sur l’organisation judiciaire po</w:t>
      </w:r>
      <w:r>
        <w:rPr>
          <w:rFonts w:ascii="Times New Roman" w:hAnsi="Times New Roman"/>
          <w:i/>
          <w:sz w:val="16"/>
          <w:szCs w:val="16"/>
        </w:rPr>
        <w:t xml:space="preserve">ur les juges fédéraux et la disposition équivalente au niveau des Länder) par un président de juridiction ou par le ministère de la justice (tant au niveau des Länder qu’au niveau fédéral). </w:t>
      </w:r>
      <w:r>
        <w:rPr>
          <w:rFonts w:ascii="Times New Roman" w:hAnsi="Times New Roman"/>
          <w:b/>
          <w:i/>
          <w:sz w:val="16"/>
          <w:szCs w:val="16"/>
        </w:rPr>
        <w:t>EE:</w:t>
      </w:r>
      <w:r>
        <w:rPr>
          <w:rFonts w:ascii="Times New Roman" w:hAnsi="Times New Roman"/>
          <w:i/>
          <w:sz w:val="16"/>
          <w:szCs w:val="16"/>
        </w:rPr>
        <w:t xml:space="preserve"> les affaires disciplinaires sont examinées par la chambre disc</w:t>
      </w:r>
      <w:r>
        <w:rPr>
          <w:rFonts w:ascii="Times New Roman" w:hAnsi="Times New Roman"/>
          <w:i/>
          <w:sz w:val="16"/>
          <w:szCs w:val="16"/>
        </w:rPr>
        <w:t xml:space="preserve">iplinaire des juges, lesquels sont nommés par la Cour suprême et par l’assemblée générale regroupant l’ensemble des juges estoniens. </w:t>
      </w:r>
      <w:r>
        <w:rPr>
          <w:rFonts w:ascii="Times New Roman" w:hAnsi="Times New Roman"/>
          <w:b/>
          <w:i/>
          <w:sz w:val="16"/>
          <w:szCs w:val="16"/>
        </w:rPr>
        <w:t>IE:</w:t>
      </w:r>
      <w:r>
        <w:rPr>
          <w:rFonts w:ascii="Times New Roman" w:hAnsi="Times New Roman"/>
          <w:i/>
          <w:sz w:val="16"/>
          <w:szCs w:val="16"/>
        </w:rPr>
        <w:t xml:space="preserve"> c’est le comité de déontologie qui prend les décisions, lequel est établi par le Conseil judiciaire et est composé de t</w:t>
      </w:r>
      <w:r>
        <w:rPr>
          <w:rFonts w:ascii="Times New Roman" w:hAnsi="Times New Roman"/>
          <w:i/>
          <w:sz w:val="16"/>
          <w:szCs w:val="16"/>
        </w:rPr>
        <w:t>rois juges élus par leurs pairs, de cinq présidents de juridictions (membres de droit) et de cinq membres du grand public nommés par le gouvernement. En vertu de la Constitution, un juge peut être démis de ses fonctions pour inconduite ou incapacité notoir</w:t>
      </w:r>
      <w:r>
        <w:rPr>
          <w:rFonts w:ascii="Times New Roman" w:hAnsi="Times New Roman"/>
          <w:i/>
          <w:sz w:val="16"/>
          <w:szCs w:val="16"/>
        </w:rPr>
        <w:t xml:space="preserve">e sur la base de résolutions adoptées par les deux chambres du Parlement (les Oireachtas) et exigeant sa révocation. </w:t>
      </w:r>
      <w:r>
        <w:rPr>
          <w:rFonts w:ascii="Times New Roman" w:hAnsi="Times New Roman"/>
          <w:b/>
          <w:i/>
          <w:sz w:val="16"/>
          <w:szCs w:val="16"/>
        </w:rPr>
        <w:t>EL:</w:t>
      </w:r>
      <w:r>
        <w:rPr>
          <w:rFonts w:ascii="Times New Roman" w:hAnsi="Times New Roman"/>
          <w:i/>
          <w:sz w:val="16"/>
          <w:szCs w:val="16"/>
        </w:rPr>
        <w:t xml:space="preserve"> le pouvoir disciplinaire à l’égard des juges est exercé, en première et deuxième instances, par des conseils composés de juges ordinair</w:t>
      </w:r>
      <w:r>
        <w:rPr>
          <w:rFonts w:ascii="Times New Roman" w:hAnsi="Times New Roman"/>
          <w:i/>
          <w:sz w:val="16"/>
          <w:szCs w:val="16"/>
        </w:rPr>
        <w:t xml:space="preserve">es hiérarchiquement supérieurs tirés au sort. L’autorité disciplinaire à laquelle sont soumis les juges d’instances supérieures est exercée par le Conseil suprême de discipline. </w:t>
      </w:r>
      <w:r>
        <w:rPr>
          <w:rFonts w:ascii="Times New Roman" w:hAnsi="Times New Roman"/>
          <w:b/>
          <w:i/>
          <w:sz w:val="16"/>
          <w:szCs w:val="16"/>
        </w:rPr>
        <w:t>IT:</w:t>
      </w:r>
      <w:r>
        <w:rPr>
          <w:rFonts w:ascii="Times New Roman" w:hAnsi="Times New Roman"/>
          <w:i/>
          <w:sz w:val="16"/>
          <w:szCs w:val="16"/>
        </w:rPr>
        <w:t xml:space="preserve"> </w:t>
      </w:r>
      <w:r>
        <w:rPr>
          <w:rFonts w:ascii="Times New Roman" w:hAnsi="Times New Roman"/>
          <w:i/>
          <w:iCs/>
          <w:sz w:val="16"/>
          <w:szCs w:val="16"/>
        </w:rPr>
        <w:t>les décisions du Conseil de la justice relatives aux mesures disciplinaire</w:t>
      </w:r>
      <w:r>
        <w:rPr>
          <w:rFonts w:ascii="Times New Roman" w:hAnsi="Times New Roman"/>
          <w:i/>
          <w:iCs/>
          <w:sz w:val="16"/>
          <w:szCs w:val="16"/>
        </w:rPr>
        <w:t>s sont soumises à un contrôle juridictionnel devant la Cour suprême.</w:t>
      </w:r>
      <w:r>
        <w:rPr>
          <w:rFonts w:ascii="Times New Roman" w:hAnsi="Times New Roman"/>
          <w:i/>
          <w:sz w:val="16"/>
          <w:szCs w:val="16"/>
        </w:rPr>
        <w:t xml:space="preserve"> </w:t>
      </w:r>
      <w:r>
        <w:rPr>
          <w:rFonts w:ascii="Times New Roman" w:hAnsi="Times New Roman"/>
          <w:b/>
          <w:i/>
          <w:sz w:val="16"/>
          <w:szCs w:val="16"/>
        </w:rPr>
        <w:t>LV:</w:t>
      </w:r>
      <w:r>
        <w:rPr>
          <w:rFonts w:ascii="Times New Roman" w:hAnsi="Times New Roman"/>
          <w:i/>
          <w:sz w:val="16"/>
          <w:szCs w:val="16"/>
        </w:rPr>
        <w:t xml:space="preserve"> les affaires disciplinaires sont examinées par le Conseil de discipline des juges, dont les membres sont nommés par l’assemblée générale des juges. </w:t>
      </w:r>
      <w:r>
        <w:rPr>
          <w:rFonts w:ascii="Times New Roman" w:hAnsi="Times New Roman"/>
          <w:b/>
          <w:i/>
          <w:sz w:val="16"/>
          <w:szCs w:val="16"/>
        </w:rPr>
        <w:t>ES:</w:t>
      </w:r>
      <w:r>
        <w:rPr>
          <w:rFonts w:ascii="Times New Roman" w:hAnsi="Times New Roman"/>
          <w:i/>
          <w:sz w:val="16"/>
          <w:szCs w:val="16"/>
        </w:rPr>
        <w:t xml:space="preserve"> les décisions disciplinaires re</w:t>
      </w:r>
      <w:r>
        <w:rPr>
          <w:rFonts w:ascii="Times New Roman" w:hAnsi="Times New Roman"/>
          <w:i/>
          <w:sz w:val="16"/>
          <w:szCs w:val="16"/>
        </w:rPr>
        <w:t>latives aux infractions disciplinaires mineures sont prises par la chambre de gouvernement de la juridiction concernée de la circonscription juridictionnelle dans laquelle exerce le juge faisant l’objet de mesures disciplinaires [Cour supérieure de justice</w:t>
      </w:r>
      <w:r>
        <w:rPr>
          <w:rFonts w:ascii="Times New Roman" w:hAnsi="Times New Roman"/>
          <w:i/>
          <w:sz w:val="16"/>
          <w:szCs w:val="16"/>
        </w:rPr>
        <w:t>, Audiencia nacional et Cour suprême, et même par les présidents de la Cour suprême, de l’Audiencia nacional et de la Cour de justice supérieure dans laquelle exerce le juge faisant l’objet de mesures disciplinaires, conformément à l’article 421.1.a) de la</w:t>
      </w:r>
      <w:r>
        <w:rPr>
          <w:rFonts w:ascii="Times New Roman" w:hAnsi="Times New Roman"/>
          <w:i/>
          <w:sz w:val="16"/>
          <w:szCs w:val="16"/>
        </w:rPr>
        <w:t xml:space="preserve"> loi organique sur le pouvoir judiciaire]. </w:t>
      </w:r>
      <w:r>
        <w:rPr>
          <w:rFonts w:ascii="Times New Roman" w:hAnsi="Times New Roman"/>
          <w:b/>
          <w:i/>
          <w:sz w:val="16"/>
          <w:szCs w:val="16"/>
        </w:rPr>
        <w:t>LT:</w:t>
      </w:r>
      <w:r>
        <w:rPr>
          <w:rFonts w:ascii="Times New Roman" w:hAnsi="Times New Roman"/>
          <w:sz w:val="16"/>
          <w:szCs w:val="16"/>
        </w:rPr>
        <w:t xml:space="preserve"> </w:t>
      </w:r>
      <w:r>
        <w:rPr>
          <w:rFonts w:ascii="Times New Roman" w:hAnsi="Times New Roman"/>
          <w:i/>
          <w:sz w:val="16"/>
          <w:szCs w:val="16"/>
        </w:rPr>
        <w:t xml:space="preserve">en première instance, la Cour d’honneur judiciaire, dont les membres et le président (qui est un juge élu par le Conseil de la justice) relèvent de la décision sur le Conseil de la justice, détient le pouvoir </w:t>
      </w:r>
      <w:r>
        <w:rPr>
          <w:rFonts w:ascii="Times New Roman" w:hAnsi="Times New Roman"/>
          <w:i/>
          <w:sz w:val="16"/>
          <w:szCs w:val="16"/>
        </w:rPr>
        <w:t>de décision. Elle est composée de six juges sélectionnés et nommés par le Conseil de la justice, de deux membres nommés par le président de la République et de deux autres membres nommés par le président du Parlement (Seimas). En deuxième instance, c’est l</w:t>
      </w:r>
      <w:r>
        <w:rPr>
          <w:rFonts w:ascii="Times New Roman" w:hAnsi="Times New Roman"/>
          <w:i/>
          <w:sz w:val="16"/>
          <w:szCs w:val="16"/>
        </w:rPr>
        <w:t xml:space="preserve">a Cour suprême qui décide. </w:t>
      </w:r>
      <w:r>
        <w:rPr>
          <w:rFonts w:ascii="Times New Roman" w:hAnsi="Times New Roman"/>
          <w:b/>
          <w:i/>
          <w:sz w:val="16"/>
          <w:szCs w:val="16"/>
        </w:rPr>
        <w:t>HU:</w:t>
      </w:r>
      <w:r>
        <w:rPr>
          <w:rFonts w:ascii="Times New Roman" w:hAnsi="Times New Roman"/>
          <w:i/>
          <w:sz w:val="16"/>
          <w:szCs w:val="16"/>
        </w:rPr>
        <w:t xml:space="preserve"> les affaires disciplinaires sont examinées par le tribunal de la fonction publique, dont les membres sont nommés par le Conseil national de la justice. Le président du tribunal peut imposer la sanction la plus légère («averti</w:t>
      </w:r>
      <w:r>
        <w:rPr>
          <w:rFonts w:ascii="Times New Roman" w:hAnsi="Times New Roman"/>
          <w:i/>
          <w:sz w:val="16"/>
          <w:szCs w:val="16"/>
        </w:rPr>
        <w:t xml:space="preserve">ssement»), laquelle peut être contestée devant le tribunal de la fonction publique. </w:t>
      </w:r>
      <w:r>
        <w:rPr>
          <w:rFonts w:ascii="Times New Roman" w:hAnsi="Times New Roman"/>
          <w:b/>
          <w:i/>
          <w:sz w:val="16"/>
          <w:szCs w:val="16"/>
        </w:rPr>
        <w:t>MT:</w:t>
      </w:r>
      <w:r>
        <w:rPr>
          <w:rFonts w:ascii="Times New Roman" w:hAnsi="Times New Roman"/>
          <w:i/>
          <w:sz w:val="16"/>
          <w:szCs w:val="16"/>
        </w:rPr>
        <w:t xml:space="preserve"> le Comité des juges et magistrats, qui est un sous-comité de la Commission d’administration de la justice, a le pouvoir de décision. Le Comité se compose de trois juges</w:t>
      </w:r>
      <w:r>
        <w:rPr>
          <w:rFonts w:ascii="Times New Roman" w:hAnsi="Times New Roman"/>
          <w:i/>
          <w:sz w:val="16"/>
          <w:szCs w:val="16"/>
        </w:rPr>
        <w:t xml:space="preserve"> ou magistrats élus par leurs pairs. </w:t>
      </w:r>
      <w:r>
        <w:rPr>
          <w:rFonts w:ascii="Times New Roman" w:hAnsi="Times New Roman"/>
          <w:b/>
          <w:i/>
          <w:sz w:val="16"/>
          <w:szCs w:val="16"/>
        </w:rPr>
        <w:t>PL:</w:t>
      </w:r>
      <w:r>
        <w:rPr>
          <w:rFonts w:ascii="Times New Roman" w:hAnsi="Times New Roman"/>
          <w:i/>
          <w:sz w:val="16"/>
          <w:szCs w:val="16"/>
        </w:rPr>
        <w:t xml:space="preserve"> le ministre de la justice choisit les juges disciplinaires après une consultation non contraignante avec le Conseil national de la justice. La chambre disciplinaire de la Cour suprême, chargée de statuer notamment s</w:t>
      </w:r>
      <w:r>
        <w:rPr>
          <w:rFonts w:ascii="Times New Roman" w:hAnsi="Times New Roman"/>
          <w:i/>
          <w:sz w:val="16"/>
          <w:szCs w:val="16"/>
        </w:rPr>
        <w:t xml:space="preserve">ur les affaires disciplinaires des juges en deuxième instance, a été jugée non indépendante au sens du droit de l’UE dans trois arrêts de la Cour suprême, en application de l’arrêt de la Cour de justice du 19 novembre 2019. </w:t>
      </w:r>
      <w:r>
        <w:rPr>
          <w:rFonts w:ascii="Times New Roman" w:hAnsi="Times New Roman"/>
          <w:b/>
          <w:i/>
          <w:sz w:val="16"/>
          <w:szCs w:val="16"/>
        </w:rPr>
        <w:t>SI:</w:t>
      </w:r>
      <w:r>
        <w:rPr>
          <w:rFonts w:ascii="Times New Roman" w:hAnsi="Times New Roman"/>
          <w:i/>
          <w:sz w:val="16"/>
          <w:szCs w:val="16"/>
        </w:rPr>
        <w:t xml:space="preserve"> le tribunal disciplinaire es</w:t>
      </w:r>
      <w:r>
        <w:rPr>
          <w:rFonts w:ascii="Times New Roman" w:hAnsi="Times New Roman"/>
          <w:i/>
          <w:sz w:val="16"/>
          <w:szCs w:val="16"/>
        </w:rPr>
        <w:t xml:space="preserve">t nommé par le Conseil de la justice parmi les membres du Conseil lui-même et parmi les juges proposés par la Cour suprême. </w:t>
      </w:r>
      <w:r>
        <w:rPr>
          <w:rFonts w:ascii="Times New Roman" w:hAnsi="Times New Roman"/>
          <w:b/>
          <w:i/>
          <w:sz w:val="16"/>
          <w:szCs w:val="16"/>
        </w:rPr>
        <w:t>SK:</w:t>
      </w:r>
      <w:r>
        <w:rPr>
          <w:rFonts w:ascii="Times New Roman" w:hAnsi="Times New Roman"/>
          <w:i/>
          <w:sz w:val="16"/>
          <w:szCs w:val="16"/>
        </w:rPr>
        <w:t xml:space="preserve"> les présidents des juridictions de première instance ont le pouvoir d’imposer la sanction disciplinaire d’un «avertissement écri</w:t>
      </w:r>
      <w:r>
        <w:rPr>
          <w:rFonts w:ascii="Times New Roman" w:hAnsi="Times New Roman"/>
          <w:i/>
          <w:sz w:val="16"/>
          <w:szCs w:val="16"/>
        </w:rPr>
        <w:t xml:space="preserve">t». Les commissions disciplinaires sont nommées par le Conseil de la justice. Pour ce qui est des procédures disciplinaires concernant le président et le vice-président de la Cour suprême, la Cour constitutionnelle est compétente. </w:t>
      </w:r>
      <w:r>
        <w:rPr>
          <w:rFonts w:ascii="Times New Roman" w:hAnsi="Times New Roman"/>
          <w:b/>
          <w:i/>
          <w:sz w:val="16"/>
          <w:szCs w:val="16"/>
        </w:rPr>
        <w:t>SE:</w:t>
      </w:r>
      <w:r>
        <w:rPr>
          <w:rFonts w:ascii="Times New Roman" w:hAnsi="Times New Roman"/>
          <w:i/>
          <w:sz w:val="16"/>
          <w:szCs w:val="16"/>
        </w:rPr>
        <w:t xml:space="preserve"> un juge permanent peu</w:t>
      </w:r>
      <w:r>
        <w:rPr>
          <w:rFonts w:ascii="Times New Roman" w:hAnsi="Times New Roman"/>
          <w:i/>
          <w:sz w:val="16"/>
          <w:szCs w:val="16"/>
        </w:rPr>
        <w:t>t être démis de ses fonctions seulement s’il a commis une infraction grave ou s’il a manqué de façon répétée à ses obligations et a ainsi manifestement montré qu’il ne pouvait dûment exercer ses fonctions. Si la décision de révocation du juge a été prise p</w:t>
      </w:r>
      <w:r>
        <w:rPr>
          <w:rFonts w:ascii="Times New Roman" w:hAnsi="Times New Roman"/>
          <w:i/>
          <w:sz w:val="16"/>
          <w:szCs w:val="16"/>
        </w:rPr>
        <w:t>ar une autorité autre qu’une juridiction (dans la pratique, par le Bureau national des sanctions disciplinaires), le juge concerné peut demander à une juridiction de revoir la décision. La décision peut être contestée par le juge seul au tribunal de distri</w:t>
      </w:r>
      <w:r>
        <w:rPr>
          <w:rFonts w:ascii="Times New Roman" w:hAnsi="Times New Roman"/>
          <w:i/>
          <w:sz w:val="16"/>
          <w:szCs w:val="16"/>
        </w:rPr>
        <w:t>ct ou, avec le soutien du syndicat, au tribunal du travail en tant que juridiction de première instance.</w:t>
      </w:r>
    </w:p>
    <w:p w:rsidR="00D23207" w:rsidRDefault="00493C98">
      <w:pPr>
        <w:spacing w:before="120" w:after="120" w:line="240" w:lineRule="auto"/>
        <w:jc w:val="both"/>
        <w:rPr>
          <w:rFonts w:ascii="Times New Roman" w:eastAsia="Times New Roman" w:hAnsi="Times New Roman" w:cs="Times New Roman"/>
          <w:sz w:val="24"/>
        </w:rPr>
      </w:pPr>
      <w:r>
        <w:rPr>
          <w:rFonts w:ascii="Times New Roman" w:hAnsi="Times New Roman"/>
          <w:sz w:val="24"/>
        </w:rPr>
        <w:t>Le graphique 50 présente une vue d’ensemble actualisée des organismes d’enquête, qui mènent les enquêtes formelles au cours des procédures disciplinair</w:t>
      </w:r>
      <w:r>
        <w:rPr>
          <w:rFonts w:ascii="Times New Roman" w:hAnsi="Times New Roman"/>
          <w:sz w:val="24"/>
        </w:rPr>
        <w:t>es concernant les juges. Les enquêtes préliminaires visant à décider de l’ouverture ou non d’une procédure disciplinaire formelle ne sont pas concernées. L’enquête, étape particulièrement délicate dans le cadre des procédures disciplinaires, est susceptibl</w:t>
      </w:r>
      <w:r>
        <w:rPr>
          <w:rFonts w:ascii="Times New Roman" w:hAnsi="Times New Roman"/>
          <w:sz w:val="24"/>
        </w:rPr>
        <w:t xml:space="preserve">e d’avoir une incidence sur l’indépendance de la justice. Le pouvoir d’enquête peut être exercé soit a) par des autorités traditionnelles indépendantes comme les présidents de juridictions ou les conseils de la justice, soit b) par d’autres enquêteurs qui </w:t>
      </w:r>
      <w:r>
        <w:rPr>
          <w:rFonts w:ascii="Times New Roman" w:hAnsi="Times New Roman"/>
          <w:sz w:val="24"/>
        </w:rPr>
        <w:t>sont spécifiquement nommés (par le Conseil de la justice, par des juges ou par d’autres autorités) afin de mener les enquêtes aux fins des procédures disciplinaires concernant les juges.</w:t>
      </w:r>
    </w:p>
    <w:p w:rsidR="00D23207" w:rsidRDefault="00493C98">
      <w:pPr>
        <w:spacing w:before="240" w:after="120" w:line="240" w:lineRule="auto"/>
        <w:jc w:val="both"/>
        <w:rPr>
          <w:rFonts w:ascii="Times New Roman" w:eastAsia="Times New Roman" w:hAnsi="Times New Roman" w:cs="Times New Roman"/>
          <w:sz w:val="24"/>
          <w:szCs w:val="24"/>
        </w:rPr>
      </w:pPr>
      <w:r>
        <w:rPr>
          <w:rFonts w:ascii="Times New Roman" w:hAnsi="Times New Roman"/>
          <w:b/>
          <w:sz w:val="24"/>
          <w:szCs w:val="24"/>
        </w:rPr>
        <w:t>Graphique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50</w:t>
      </w:r>
      <w:r>
        <w:fldChar w:fldCharType="end"/>
      </w:r>
      <w:r>
        <w:rPr>
          <w:rFonts w:ascii="Times New Roman" w:hAnsi="Times New Roman"/>
          <w:b/>
          <w:bCs/>
          <w:sz w:val="24"/>
          <w:szCs w:val="24"/>
        </w:rPr>
        <w:t>: enquêteur chargé des procédure</w:t>
      </w:r>
      <w:r>
        <w:rPr>
          <w:rFonts w:ascii="Times New Roman" w:hAnsi="Times New Roman"/>
          <w:b/>
          <w:bCs/>
          <w:sz w:val="24"/>
          <w:szCs w:val="24"/>
        </w:rPr>
        <w:t>s disciplinaires officielles concernant les juges</w:t>
      </w:r>
      <w:r>
        <w:rPr>
          <w:rFonts w:ascii="Times New Roman" w:hAnsi="Times New Roman"/>
          <w:sz w:val="24"/>
          <w:szCs w:val="24"/>
        </w:rPr>
        <w:t> (*) (</w:t>
      </w:r>
      <w:r>
        <w:rPr>
          <w:rFonts w:ascii="Times New Roman" w:eastAsia="Times New Roman" w:hAnsi="Times New Roman" w:cs="Times New Roman"/>
          <w:sz w:val="24"/>
          <w:szCs w:val="24"/>
          <w:vertAlign w:val="superscript"/>
        </w:rPr>
        <w:footnoteReference w:id="108"/>
      </w:r>
      <w:r>
        <w:rPr>
          <w:rFonts w:ascii="Times New Roman" w:hAnsi="Times New Roman"/>
          <w:sz w:val="24"/>
          <w:szCs w:val="24"/>
        </w:rPr>
        <w:t>)</w:t>
      </w:r>
    </w:p>
    <w:p w:rsidR="00D23207" w:rsidRDefault="00493C98">
      <w:pPr>
        <w:spacing w:after="0" w:line="240" w:lineRule="auto"/>
        <w:jc w:val="both"/>
        <w:rPr>
          <w:rFonts w:ascii="Times New Roman" w:eastAsia="Times New Roman" w:hAnsi="Times New Roman" w:cs="Times New Roman"/>
          <w:sz w:val="24"/>
          <w:szCs w:val="24"/>
        </w:rPr>
      </w:pPr>
      <w:r>
        <w:rPr>
          <w:rFonts w:ascii="Times New Roman" w:hAnsi="Times New Roman"/>
          <w:i/>
          <w:sz w:val="18"/>
          <w:szCs w:val="18"/>
          <w:lang w:val="en-GB" w:eastAsia="en-GB"/>
        </w:rPr>
        <w:drawing>
          <wp:inline distT="0" distB="0" distL="0" distR="0">
            <wp:extent cx="6070454" cy="1322802"/>
            <wp:effectExtent l="0" t="0" r="6985" b="0"/>
            <wp:docPr id="97326" name="Picture 9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08972" cy="1331195"/>
                    </a:xfrm>
                    <a:prstGeom prst="rect">
                      <a:avLst/>
                    </a:prstGeom>
                    <a:noFill/>
                    <a:ln>
                      <a:noFill/>
                    </a:ln>
                  </pic:spPr>
                </pic:pic>
              </a:graphicData>
            </a:graphic>
          </wp:inline>
        </w:drawing>
      </w:r>
      <w:r>
        <w:rPr>
          <w:rFonts w:ascii="Times New Roman" w:hAnsi="Times New Roman"/>
          <w:i/>
          <w:sz w:val="18"/>
          <w:szCs w:val="18"/>
        </w:rPr>
        <w:t xml:space="preserve"> (*) </w:t>
      </w:r>
      <w:r>
        <w:rPr>
          <w:rFonts w:ascii="Times New Roman" w:hAnsi="Times New Roman"/>
          <w:b/>
          <w:i/>
          <w:sz w:val="18"/>
          <w:szCs w:val="18"/>
        </w:rPr>
        <w:t>BG:</w:t>
      </w:r>
      <w:r>
        <w:rPr>
          <w:rFonts w:ascii="Times New Roman" w:hAnsi="Times New Roman"/>
          <w:i/>
          <w:sz w:val="18"/>
          <w:szCs w:val="18"/>
        </w:rPr>
        <w:t xml:space="preserve"> l’enquête est menée par le responsable administratif de juridiction compétent [pour les faits qui pourraient conduire à la sanction du blâme] ou le collège de juges (commission disciplinaire) près le Conseil supérieur de la magistrature. L’Inspection du C</w:t>
      </w:r>
      <w:r>
        <w:rPr>
          <w:rFonts w:ascii="Times New Roman" w:hAnsi="Times New Roman"/>
          <w:i/>
          <w:sz w:val="18"/>
          <w:szCs w:val="18"/>
        </w:rPr>
        <w:t xml:space="preserve">onseil supérieur de la magistrature effectue des inspections sur la base desquelles elle peut faire des propositions de procédures disciplinaires. </w:t>
      </w:r>
      <w:r>
        <w:rPr>
          <w:rFonts w:ascii="Times New Roman" w:hAnsi="Times New Roman"/>
          <w:b/>
          <w:i/>
          <w:sz w:val="18"/>
          <w:szCs w:val="18"/>
        </w:rPr>
        <w:t>CZ:</w:t>
      </w:r>
      <w:r>
        <w:rPr>
          <w:rFonts w:ascii="Times New Roman" w:hAnsi="Times New Roman"/>
          <w:i/>
          <w:sz w:val="18"/>
          <w:szCs w:val="18"/>
        </w:rPr>
        <w:t xml:space="preserve"> le ministre de la justice peut également conduire certaines enquêtes préliminaires en vue de préparer la </w:t>
      </w:r>
      <w:r>
        <w:rPr>
          <w:rFonts w:ascii="Times New Roman" w:hAnsi="Times New Roman"/>
          <w:i/>
          <w:sz w:val="18"/>
          <w:szCs w:val="18"/>
        </w:rPr>
        <w:t>requête d’ouverture des procédures disciplinaires, normalement en consultation avec le président de la juridiction où siège le juge concerné.</w:t>
      </w:r>
      <w:r>
        <w:rPr>
          <w:rFonts w:ascii="Times New Roman" w:hAnsi="Times New Roman"/>
          <w:i/>
          <w:color w:val="000000" w:themeColor="text1"/>
          <w:sz w:val="18"/>
          <w:szCs w:val="18"/>
        </w:rPr>
        <w:t xml:space="preserve"> </w:t>
      </w:r>
      <w:r>
        <w:rPr>
          <w:rFonts w:ascii="Times New Roman" w:hAnsi="Times New Roman"/>
          <w:b/>
          <w:bCs/>
          <w:i/>
          <w:color w:val="000000" w:themeColor="text1"/>
          <w:sz w:val="18"/>
          <w:szCs w:val="18"/>
        </w:rPr>
        <w:t>DK:</w:t>
      </w:r>
      <w:r>
        <w:rPr>
          <w:rFonts w:ascii="Times New Roman" w:hAnsi="Times New Roman"/>
          <w:i/>
          <w:color w:val="000000" w:themeColor="text1"/>
          <w:sz w:val="18"/>
          <w:szCs w:val="18"/>
        </w:rPr>
        <w:t xml:space="preserve"> toute personne peut porter plainte devant la Cour spéciale de mise en accusation et de révision, qui est situé</w:t>
      </w:r>
      <w:r>
        <w:rPr>
          <w:rFonts w:ascii="Times New Roman" w:hAnsi="Times New Roman"/>
          <w:i/>
          <w:color w:val="000000" w:themeColor="text1"/>
          <w:sz w:val="18"/>
          <w:szCs w:val="18"/>
        </w:rPr>
        <w:t xml:space="preserve">e et administrée à la Cour suprême, et qui statue après avoir entendu les deux parties. Le procureur général peut également mener les enquêtes. </w:t>
      </w:r>
      <w:r>
        <w:rPr>
          <w:rFonts w:ascii="Times New Roman" w:hAnsi="Times New Roman"/>
          <w:b/>
          <w:i/>
          <w:color w:val="000000" w:themeColor="text1"/>
          <w:sz w:val="18"/>
          <w:szCs w:val="18"/>
        </w:rPr>
        <w:t>DE:</w:t>
      </w:r>
      <w:r>
        <w:rPr>
          <w:rFonts w:ascii="Times New Roman" w:hAnsi="Times New Roman"/>
          <w:i/>
          <w:color w:val="000000" w:themeColor="text1"/>
          <w:sz w:val="18"/>
          <w:szCs w:val="18"/>
        </w:rPr>
        <w:t xml:space="preserve"> il n’existe pas de phase préliminaire à l’enquête. Dans les ordonnances disciplinaires, pour les mesures dis</w:t>
      </w:r>
      <w:r>
        <w:rPr>
          <w:rFonts w:ascii="Times New Roman" w:hAnsi="Times New Roman"/>
          <w:i/>
          <w:color w:val="000000" w:themeColor="text1"/>
          <w:sz w:val="18"/>
          <w:szCs w:val="18"/>
        </w:rPr>
        <w:t>ciplinaires les moins lourdes comme le blâme, le président de la juridiction et la plus haute autorité de services judiciaires (généralement le ministère de la justice, tant au niveau des Länder que de l’État fédéral) évaluent les faits. La plus haute auto</w:t>
      </w:r>
      <w:r>
        <w:rPr>
          <w:rFonts w:ascii="Times New Roman" w:hAnsi="Times New Roman"/>
          <w:i/>
          <w:color w:val="000000" w:themeColor="text1"/>
          <w:sz w:val="18"/>
          <w:szCs w:val="18"/>
        </w:rPr>
        <w:t>rité des services judiciaires décide d’engager ou non une procédure disciplinaire devant la juridiction. Cette dernière mène ensuite des enquêtes formelles.</w:t>
      </w:r>
      <w:r>
        <w:rPr>
          <w:rFonts w:ascii="Times New Roman" w:hAnsi="Times New Roman"/>
          <w:i/>
          <w:color w:val="943634" w:themeColor="accent2" w:themeShade="BF"/>
          <w:sz w:val="18"/>
          <w:szCs w:val="18"/>
        </w:rPr>
        <w:t xml:space="preserve"> </w:t>
      </w:r>
      <w:r>
        <w:rPr>
          <w:rFonts w:ascii="Times New Roman" w:hAnsi="Times New Roman"/>
          <w:b/>
          <w:i/>
          <w:sz w:val="18"/>
          <w:szCs w:val="18"/>
        </w:rPr>
        <w:t>EE:</w:t>
      </w:r>
      <w:r>
        <w:rPr>
          <w:rFonts w:ascii="Times New Roman" w:hAnsi="Times New Roman"/>
          <w:i/>
          <w:sz w:val="18"/>
          <w:szCs w:val="18"/>
        </w:rPr>
        <w:t xml:space="preserve"> le président d’une juridiction ou le chancelier du droit (médiateur) peut mener une enquête. </w:t>
      </w:r>
      <w:r>
        <w:rPr>
          <w:rFonts w:ascii="Times New Roman" w:hAnsi="Times New Roman"/>
          <w:b/>
          <w:i/>
          <w:sz w:val="18"/>
          <w:szCs w:val="18"/>
        </w:rPr>
        <w:t>IE</w:t>
      </w:r>
      <w:r>
        <w:rPr>
          <w:rFonts w:ascii="Times New Roman" w:hAnsi="Times New Roman"/>
          <w:b/>
          <w:i/>
          <w:sz w:val="18"/>
          <w:szCs w:val="18"/>
        </w:rPr>
        <w:t>:</w:t>
      </w:r>
      <w:r>
        <w:rPr>
          <w:rFonts w:ascii="Times New Roman" w:hAnsi="Times New Roman"/>
          <w:i/>
          <w:sz w:val="18"/>
          <w:szCs w:val="18"/>
        </w:rPr>
        <w:t xml:space="preserve"> les juges ne sont pas soumis à un organisme ni à un régime disciplinaire, à l’exception d’une procédure prévue par la Constitution, selon laquelle un juge peut être démis de ses fonctions pour inconduite ou incapacité notoire sur la base de résolutions a</w:t>
      </w:r>
      <w:r>
        <w:rPr>
          <w:rFonts w:ascii="Times New Roman" w:hAnsi="Times New Roman"/>
          <w:i/>
          <w:sz w:val="18"/>
          <w:szCs w:val="18"/>
        </w:rPr>
        <w:t xml:space="preserve">doptées par les deux chambres du Parlement (les Oireachtas) et exigeant sa révocation. </w:t>
      </w:r>
      <w:r>
        <w:rPr>
          <w:rFonts w:ascii="Times New Roman" w:hAnsi="Times New Roman"/>
          <w:b/>
          <w:i/>
          <w:sz w:val="18"/>
          <w:szCs w:val="18"/>
        </w:rPr>
        <w:t>EL:</w:t>
      </w:r>
      <w:r>
        <w:rPr>
          <w:rFonts w:ascii="Times New Roman" w:hAnsi="Times New Roman"/>
          <w:i/>
          <w:sz w:val="18"/>
          <w:szCs w:val="18"/>
        </w:rPr>
        <w:t xml:space="preserve"> pour les juridictions civile et pénale: organe d’inspection judiciaire, élu parmi des juges tirés au sort. Pour les juridictions administratives: l’enquêteur est tir</w:t>
      </w:r>
      <w:r>
        <w:rPr>
          <w:rFonts w:ascii="Times New Roman" w:hAnsi="Times New Roman"/>
          <w:i/>
          <w:sz w:val="18"/>
          <w:szCs w:val="18"/>
        </w:rPr>
        <w:t xml:space="preserve">é au sort parmi les membres du Conseil d’État. </w:t>
      </w:r>
      <w:r>
        <w:rPr>
          <w:rFonts w:ascii="Times New Roman" w:hAnsi="Times New Roman"/>
          <w:b/>
          <w:i/>
          <w:sz w:val="18"/>
          <w:szCs w:val="18"/>
        </w:rPr>
        <w:t>ES:</w:t>
      </w:r>
      <w:r>
        <w:rPr>
          <w:rFonts w:ascii="Times New Roman" w:hAnsi="Times New Roman"/>
          <w:i/>
          <w:sz w:val="18"/>
          <w:szCs w:val="18"/>
        </w:rPr>
        <w:t xml:space="preserve"> l’instigateur de l’action disciplinaire est nommé par le Conseil général de la justice; il est choisi à partir d’un groupe de juges de la Cour suprême et de magistrats comptant plus de 25 ans d’expérience </w:t>
      </w:r>
      <w:r>
        <w:rPr>
          <w:rFonts w:ascii="Times New Roman" w:hAnsi="Times New Roman"/>
          <w:i/>
          <w:sz w:val="18"/>
          <w:szCs w:val="18"/>
        </w:rPr>
        <w:t xml:space="preserve">dans le domaine du droit, mais il exerce uniquement ses fonctions d’instigateur au cours de son mandat. </w:t>
      </w:r>
      <w:r>
        <w:rPr>
          <w:rFonts w:ascii="Times New Roman" w:hAnsi="Times New Roman"/>
          <w:b/>
          <w:i/>
          <w:sz w:val="18"/>
          <w:szCs w:val="18"/>
        </w:rPr>
        <w:t>FR:</w:t>
      </w:r>
      <w:r>
        <w:rPr>
          <w:rFonts w:ascii="Times New Roman" w:hAnsi="Times New Roman"/>
          <w:i/>
          <w:sz w:val="18"/>
          <w:szCs w:val="18"/>
        </w:rPr>
        <w:t xml:space="preserve"> le président du Conseil de la justice choisit un ou deux membres du Conseil de la justice pour mener les enquêtes pertinentes. Le ministère peut dem</w:t>
      </w:r>
      <w:r>
        <w:rPr>
          <w:rFonts w:ascii="Times New Roman" w:hAnsi="Times New Roman"/>
          <w:i/>
          <w:sz w:val="18"/>
          <w:szCs w:val="18"/>
        </w:rPr>
        <w:t xml:space="preserve">ander un rapport à l’organe d’inspection judiciaire avant la décision de porter l’affaire devant le Conseil. </w:t>
      </w:r>
      <w:r>
        <w:rPr>
          <w:rFonts w:ascii="Times New Roman" w:hAnsi="Times New Roman"/>
          <w:b/>
          <w:i/>
          <w:sz w:val="18"/>
          <w:szCs w:val="18"/>
        </w:rPr>
        <w:t>IT:</w:t>
      </w:r>
      <w:r>
        <w:rPr>
          <w:rFonts w:ascii="Times New Roman" w:hAnsi="Times New Roman"/>
          <w:i/>
          <w:sz w:val="18"/>
          <w:szCs w:val="18"/>
        </w:rPr>
        <w:t xml:space="preserve"> le procureur général près la Cour suprême est habilité à mener l’enquête.</w:t>
      </w:r>
      <w:r>
        <w:t xml:space="preserve"> </w:t>
      </w:r>
      <w:r>
        <w:rPr>
          <w:rFonts w:ascii="Times New Roman" w:hAnsi="Times New Roman"/>
          <w:i/>
          <w:sz w:val="18"/>
          <w:szCs w:val="18"/>
        </w:rPr>
        <w:t>L’inspection générale près le ministère de la justice est habilitée à</w:t>
      </w:r>
      <w:r>
        <w:rPr>
          <w:rFonts w:ascii="Times New Roman" w:hAnsi="Times New Roman"/>
          <w:i/>
          <w:sz w:val="18"/>
          <w:szCs w:val="18"/>
        </w:rPr>
        <w:t xml:space="preserve"> effectuer des enquêtes administratives. </w:t>
      </w:r>
      <w:r>
        <w:rPr>
          <w:rFonts w:ascii="Times New Roman" w:hAnsi="Times New Roman"/>
          <w:b/>
          <w:i/>
          <w:sz w:val="18"/>
          <w:szCs w:val="18"/>
        </w:rPr>
        <w:t>CY:</w:t>
      </w:r>
      <w:r>
        <w:rPr>
          <w:rFonts w:ascii="Times New Roman" w:hAnsi="Times New Roman"/>
          <w:i/>
          <w:sz w:val="18"/>
          <w:szCs w:val="18"/>
        </w:rPr>
        <w:t xml:space="preserve"> le juge enquêteur, qui est nommé par la Cour suprême, conduit l’enquête. </w:t>
      </w:r>
      <w:r>
        <w:rPr>
          <w:rFonts w:ascii="Times New Roman" w:hAnsi="Times New Roman"/>
          <w:b/>
          <w:i/>
          <w:sz w:val="18"/>
          <w:szCs w:val="18"/>
        </w:rPr>
        <w:t>LV:</w:t>
      </w:r>
      <w:r>
        <w:rPr>
          <w:rFonts w:ascii="Times New Roman" w:hAnsi="Times New Roman"/>
          <w:i/>
          <w:sz w:val="18"/>
          <w:szCs w:val="18"/>
        </w:rPr>
        <w:t xml:space="preserve"> le Conseil de discipline des juges mène l’enquête. </w:t>
      </w:r>
      <w:r>
        <w:rPr>
          <w:rFonts w:ascii="Times New Roman" w:hAnsi="Times New Roman"/>
          <w:b/>
          <w:i/>
          <w:sz w:val="18"/>
          <w:szCs w:val="18"/>
        </w:rPr>
        <w:t>HU:</w:t>
      </w:r>
      <w:r>
        <w:rPr>
          <w:rFonts w:ascii="Times New Roman" w:hAnsi="Times New Roman"/>
          <w:i/>
          <w:sz w:val="18"/>
          <w:szCs w:val="18"/>
        </w:rPr>
        <w:t xml:space="preserve"> le commissaire disciplinaire, nommé par le tribunal de la fonction publique (tr</w:t>
      </w:r>
      <w:r>
        <w:rPr>
          <w:rFonts w:ascii="Times New Roman" w:hAnsi="Times New Roman"/>
          <w:i/>
          <w:sz w:val="18"/>
          <w:szCs w:val="18"/>
        </w:rPr>
        <w:t xml:space="preserve">ibunal disciplinaire), mène l’enquête. </w:t>
      </w:r>
      <w:r>
        <w:rPr>
          <w:rFonts w:ascii="Times New Roman" w:hAnsi="Times New Roman"/>
          <w:b/>
          <w:i/>
          <w:sz w:val="18"/>
          <w:szCs w:val="18"/>
        </w:rPr>
        <w:t>LT:</w:t>
      </w:r>
      <w:r>
        <w:rPr>
          <w:rFonts w:ascii="Times New Roman" w:hAnsi="Times New Roman"/>
          <w:i/>
          <w:sz w:val="18"/>
          <w:szCs w:val="18"/>
        </w:rPr>
        <w:t xml:space="preserve"> l’enquête est menée par la commission de déontologie et de discipline judiciaire, dont les membres et le président (élus par le Conseil de la justice) relèvent de la décision sur le Conseil de la justice, et qui est composée de quatre juges nommés par le </w:t>
      </w:r>
      <w:r>
        <w:rPr>
          <w:rFonts w:ascii="Times New Roman" w:hAnsi="Times New Roman"/>
          <w:i/>
          <w:sz w:val="18"/>
          <w:szCs w:val="18"/>
        </w:rPr>
        <w:t>Conseil de la justice, de deux membres nommés par le président de la République et d’un membre nommé par le président du Parlement (Seimas). Le président de la commission de déontologie et de discipline judiciaire est en droit de déléguer au président de l</w:t>
      </w:r>
      <w:r>
        <w:rPr>
          <w:rFonts w:ascii="Times New Roman" w:hAnsi="Times New Roman"/>
          <w:i/>
          <w:sz w:val="18"/>
          <w:szCs w:val="18"/>
        </w:rPr>
        <w:t xml:space="preserve">a juridiction dans laquelle travaille le juge ou au président d’une juridiction supérieure la conduite de l’enquête et la présentation des conclusions de celle-ci. </w:t>
      </w:r>
      <w:r>
        <w:rPr>
          <w:rFonts w:ascii="Times New Roman" w:hAnsi="Times New Roman"/>
          <w:b/>
          <w:i/>
          <w:sz w:val="18"/>
          <w:szCs w:val="18"/>
        </w:rPr>
        <w:t>MT:</w:t>
      </w:r>
      <w:r>
        <w:rPr>
          <w:rFonts w:ascii="Times New Roman" w:hAnsi="Times New Roman"/>
          <w:i/>
          <w:sz w:val="18"/>
          <w:szCs w:val="18"/>
        </w:rPr>
        <w:t xml:space="preserve"> le Comité des juges et magistrats mène les enquêtes. </w:t>
      </w:r>
      <w:r>
        <w:rPr>
          <w:rFonts w:ascii="Times New Roman" w:hAnsi="Times New Roman"/>
          <w:b/>
          <w:i/>
          <w:sz w:val="18"/>
          <w:szCs w:val="18"/>
        </w:rPr>
        <w:t>NL:</w:t>
      </w:r>
      <w:r>
        <w:rPr>
          <w:rFonts w:ascii="Times New Roman" w:hAnsi="Times New Roman"/>
          <w:i/>
          <w:sz w:val="18"/>
          <w:szCs w:val="18"/>
        </w:rPr>
        <w:t xml:space="preserve"> le procureur général conduit l’</w:t>
      </w:r>
      <w:r>
        <w:rPr>
          <w:rFonts w:ascii="Times New Roman" w:hAnsi="Times New Roman"/>
          <w:i/>
          <w:sz w:val="18"/>
          <w:szCs w:val="18"/>
        </w:rPr>
        <w:t xml:space="preserve">enquête. </w:t>
      </w:r>
      <w:r>
        <w:rPr>
          <w:rFonts w:ascii="Times New Roman" w:hAnsi="Times New Roman"/>
          <w:b/>
          <w:i/>
          <w:sz w:val="18"/>
          <w:szCs w:val="18"/>
        </w:rPr>
        <w:t xml:space="preserve">PL: </w:t>
      </w:r>
      <w:r>
        <w:rPr>
          <w:rFonts w:ascii="Times New Roman" w:hAnsi="Times New Roman"/>
          <w:i/>
          <w:sz w:val="18"/>
          <w:szCs w:val="18"/>
        </w:rPr>
        <w:t>le ministre de la justice nomme l’agent disciplinaire pour les juges des juridictions ordinaires ainsi que ses deux adjoints (qui, à leur tour, nomment leurs propres adjoints parmi des juges), lesquels mènent l’enquête. Le ministre de la justi</w:t>
      </w:r>
      <w:r>
        <w:rPr>
          <w:rFonts w:ascii="Times New Roman" w:hAnsi="Times New Roman"/>
          <w:i/>
          <w:sz w:val="18"/>
          <w:szCs w:val="18"/>
        </w:rPr>
        <w:t xml:space="preserve">ce peut reprendre toute enquête en cours en nommant un agent disciplinaire ad hoc de son ministère. </w:t>
      </w:r>
      <w:r>
        <w:rPr>
          <w:rFonts w:ascii="Times New Roman" w:hAnsi="Times New Roman"/>
          <w:b/>
          <w:i/>
          <w:sz w:val="18"/>
          <w:szCs w:val="18"/>
        </w:rPr>
        <w:t>PT:</w:t>
      </w:r>
      <w:r>
        <w:rPr>
          <w:rFonts w:ascii="Times New Roman" w:hAnsi="Times New Roman"/>
          <w:i/>
          <w:sz w:val="18"/>
          <w:szCs w:val="18"/>
        </w:rPr>
        <w:t xml:space="preserve"> le Conseil de la justice nomme l’organe d’inspection judiciaire, lequel mène l’enquête. </w:t>
      </w:r>
      <w:r>
        <w:rPr>
          <w:rFonts w:ascii="Times New Roman" w:hAnsi="Times New Roman"/>
          <w:b/>
          <w:bCs/>
          <w:i/>
          <w:sz w:val="18"/>
          <w:szCs w:val="18"/>
        </w:rPr>
        <w:t>RO:</w:t>
      </w:r>
      <w:r>
        <w:rPr>
          <w:rFonts w:ascii="Times New Roman" w:hAnsi="Times New Roman"/>
          <w:i/>
          <w:sz w:val="18"/>
          <w:szCs w:val="18"/>
        </w:rPr>
        <w:t xml:space="preserve"> l’organe d’inspection judiciaire conduit l’enquête. </w:t>
      </w:r>
      <w:r>
        <w:rPr>
          <w:rFonts w:ascii="Times New Roman" w:hAnsi="Times New Roman"/>
          <w:b/>
          <w:i/>
          <w:sz w:val="18"/>
          <w:szCs w:val="18"/>
        </w:rPr>
        <w:t>SI:</w:t>
      </w:r>
      <w:r>
        <w:rPr>
          <w:rFonts w:ascii="Times New Roman" w:hAnsi="Times New Roman"/>
          <w:i/>
          <w:sz w:val="18"/>
          <w:szCs w:val="18"/>
        </w:rPr>
        <w:t xml:space="preserve"> le C</w:t>
      </w:r>
      <w:r>
        <w:rPr>
          <w:rFonts w:ascii="Times New Roman" w:hAnsi="Times New Roman"/>
          <w:i/>
          <w:sz w:val="18"/>
          <w:szCs w:val="18"/>
        </w:rPr>
        <w:t xml:space="preserve">onseil judiciaire nomme parmi les candidats proposés par la Cour suprême un procureur disciplinaire qui mène l’enquête. </w:t>
      </w:r>
      <w:r>
        <w:rPr>
          <w:rFonts w:ascii="Times New Roman" w:hAnsi="Times New Roman"/>
          <w:b/>
          <w:i/>
          <w:sz w:val="18"/>
          <w:szCs w:val="18"/>
        </w:rPr>
        <w:t>SK:</w:t>
      </w:r>
      <w:r>
        <w:rPr>
          <w:rFonts w:ascii="Times New Roman" w:hAnsi="Times New Roman"/>
          <w:i/>
          <w:sz w:val="18"/>
          <w:szCs w:val="18"/>
        </w:rPr>
        <w:t xml:space="preserve"> la commission disciplinaire, nommée par le Conseil de la justice, mène l’enquête. </w:t>
      </w:r>
      <w:r>
        <w:rPr>
          <w:rFonts w:ascii="Times New Roman" w:hAnsi="Times New Roman"/>
          <w:b/>
          <w:i/>
          <w:sz w:val="18"/>
          <w:szCs w:val="18"/>
        </w:rPr>
        <w:t>SE:</w:t>
      </w:r>
      <w:r>
        <w:rPr>
          <w:rFonts w:ascii="Times New Roman" w:hAnsi="Times New Roman"/>
          <w:i/>
          <w:sz w:val="18"/>
          <w:szCs w:val="18"/>
        </w:rPr>
        <w:t xml:space="preserve"> le médiateur parlementaire et le chancelier du</w:t>
      </w:r>
      <w:r>
        <w:rPr>
          <w:rFonts w:ascii="Times New Roman" w:hAnsi="Times New Roman"/>
          <w:i/>
          <w:sz w:val="18"/>
          <w:szCs w:val="18"/>
        </w:rPr>
        <w:t xml:space="preserve"> droit agissent en qualité de procureurs dans les cas de négligence grave.</w:t>
      </w:r>
    </w:p>
    <w:p w:rsidR="00D23207" w:rsidRDefault="00493C98">
      <w:pPr>
        <w:spacing w:before="240" w:after="120" w:line="240" w:lineRule="auto"/>
        <w:jc w:val="both"/>
        <w:rPr>
          <w:rFonts w:ascii="Times New Roman" w:eastAsia="Calibri" w:hAnsi="Times New Roman" w:cs="Times New Roman"/>
          <w:i/>
          <w:sz w:val="24"/>
        </w:rPr>
      </w:pPr>
      <w:r>
        <w:rPr>
          <w:rFonts w:ascii="Times New Roman" w:hAnsi="Times New Roman"/>
          <w:i/>
        </w:rPr>
        <w:t>– Garanties protégeant la nomination des membres-juges des conseils de la justice –</w:t>
      </w:r>
    </w:p>
    <w:p w:rsidR="00D23207" w:rsidRDefault="00493C9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Les conseils de la justice sont des organes essentiels pour assurer l’indépendance de la justice.</w:t>
      </w:r>
      <w:r>
        <w:rPr>
          <w:rFonts w:ascii="Times New Roman" w:hAnsi="Times New Roman"/>
          <w:sz w:val="24"/>
          <w:szCs w:val="24"/>
        </w:rPr>
        <w:t xml:space="preserve"> Il incombe aux États membres de structurer leur système judiciaire, et notamment d’instituer, ou non, un conseil de la justice. Néanmoins, des normes européennes bien établies, et notamment la recommandation CM/Rec(2010)12, préconisent qu’«[a]u moins la m</w:t>
      </w:r>
      <w:r>
        <w:rPr>
          <w:rFonts w:ascii="Times New Roman" w:hAnsi="Times New Roman"/>
          <w:sz w:val="24"/>
          <w:szCs w:val="24"/>
        </w:rPr>
        <w:t>oitié des membres [des conseils de la justice] devraient être des juges choisis par leurs pairs issus de tous les niveaux du pouvoir judiciaire et dans le plein respect du pluralisme au sein du système judiciaire» (</w:t>
      </w:r>
      <w:r>
        <w:rPr>
          <w:rFonts w:ascii="Times New Roman" w:eastAsia="Times New Roman" w:hAnsi="Times New Roman" w:cs="Times New Roman"/>
          <w:sz w:val="24"/>
          <w:szCs w:val="24"/>
          <w:vertAlign w:val="superscript"/>
        </w:rPr>
        <w:footnoteReference w:id="109"/>
      </w:r>
      <w:r>
        <w:rPr>
          <w:rFonts w:ascii="Times New Roman" w:hAnsi="Times New Roman"/>
          <w:sz w:val="24"/>
          <w:szCs w:val="24"/>
        </w:rPr>
        <w:t>). Le graphique ci-dessous montre la par</w:t>
      </w:r>
      <w:r>
        <w:rPr>
          <w:rFonts w:ascii="Times New Roman" w:hAnsi="Times New Roman"/>
          <w:sz w:val="24"/>
          <w:szCs w:val="24"/>
        </w:rPr>
        <w:t xml:space="preserve">ticipation ou non du pouvoir judiciaire dans la nomination des membres-juges des conseils de la justice. </w:t>
      </w:r>
    </w:p>
    <w:p w:rsidR="00D23207" w:rsidRDefault="00493C98">
      <w:pPr>
        <w:spacing w:before="240" w:after="120" w:line="240" w:lineRule="auto"/>
        <w:jc w:val="both"/>
        <w:rPr>
          <w:rFonts w:ascii="Times New Roman" w:eastAsia="Times New Roman" w:hAnsi="Times New Roman" w:cs="Times New Roman"/>
          <w:b/>
          <w:sz w:val="24"/>
          <w:szCs w:val="24"/>
        </w:rPr>
      </w:pPr>
      <w:r>
        <w:rPr>
          <w:rFonts w:ascii="Times New Roman" w:hAnsi="Times New Roman"/>
          <w:b/>
          <w:bCs/>
          <w:sz w:val="24"/>
          <w:szCs w:val="24"/>
        </w:rPr>
        <w:t>Graphique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51</w:t>
      </w:r>
      <w:r>
        <w:fldChar w:fldCharType="end"/>
      </w:r>
      <w:r>
        <w:rPr>
          <w:rFonts w:ascii="Times New Roman" w:hAnsi="Times New Roman"/>
          <w:b/>
          <w:bCs/>
          <w:sz w:val="24"/>
          <w:szCs w:val="24"/>
        </w:rPr>
        <w:t>: nomination des membres-juges des conseils de la justice: participation du pouvoir judiciaire </w:t>
      </w:r>
      <w:r>
        <w:rPr>
          <w:rFonts w:ascii="Times New Roman" w:hAnsi="Times New Roman"/>
          <w:sz w:val="24"/>
          <w:szCs w:val="24"/>
        </w:rPr>
        <w:t>(*) (</w:t>
      </w:r>
      <w:r>
        <w:rPr>
          <w:rFonts w:ascii="Times New Roman" w:eastAsia="Times New Roman" w:hAnsi="Times New Roman" w:cs="Times New Roman"/>
          <w:sz w:val="24"/>
          <w:szCs w:val="24"/>
          <w:vertAlign w:val="superscript"/>
        </w:rPr>
        <w:footnoteReference w:id="110"/>
      </w:r>
      <w:r>
        <w:rPr>
          <w:rFonts w:ascii="Times New Roman" w:hAnsi="Times New Roman"/>
          <w:sz w:val="24"/>
          <w:szCs w:val="24"/>
        </w:rPr>
        <w:t>)</w:t>
      </w:r>
    </w:p>
    <w:p w:rsidR="00D23207" w:rsidRDefault="00493C98">
      <w:pPr>
        <w:spacing w:after="0" w:line="240" w:lineRule="auto"/>
        <w:jc w:val="both"/>
        <w:rPr>
          <w:rFonts w:ascii="Times New Roman" w:eastAsia="Times New Roman" w:hAnsi="Times New Roman" w:cs="Times New Roman"/>
          <w:sz w:val="24"/>
          <w:highlight w:val="yellow"/>
        </w:rPr>
      </w:pPr>
      <w:r>
        <w:rPr>
          <w:lang w:val="en-GB" w:eastAsia="en-GB"/>
        </w:rPr>
        <w:drawing>
          <wp:inline distT="0" distB="0" distL="0" distR="0">
            <wp:extent cx="5977255" cy="1694180"/>
            <wp:effectExtent l="0" t="0" r="4445" b="1270"/>
            <wp:docPr id="97327" name="Picture 9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977255" cy="1694180"/>
                    </a:xfrm>
                    <a:prstGeom prst="rect">
                      <a:avLst/>
                    </a:prstGeom>
                  </pic:spPr>
                </pic:pic>
              </a:graphicData>
            </a:graphic>
          </wp:inline>
        </w:drawing>
      </w:r>
    </w:p>
    <w:p w:rsidR="00D23207" w:rsidRDefault="00493C98">
      <w:pPr>
        <w:spacing w:after="0" w:line="240" w:lineRule="auto"/>
        <w:jc w:val="both"/>
        <w:rPr>
          <w:rFonts w:ascii="Times New Roman" w:eastAsia="Times New Roman" w:hAnsi="Times New Roman" w:cs="Times New Roman"/>
          <w:sz w:val="24"/>
        </w:rPr>
      </w:pPr>
      <w:r>
        <w:rPr>
          <w:rFonts w:ascii="Times New Roman" w:hAnsi="Times New Roman"/>
          <w:i/>
          <w:sz w:val="20"/>
        </w:rPr>
        <w:t xml:space="preserve">(*) Les États membres apparaissent dans l’ordre alphabétique de leur appellation géographique en langue originale. Ce graphique présente les cadres nationaux en place au mois de décembre 2019. </w:t>
      </w:r>
      <w:r>
        <w:rPr>
          <w:rFonts w:ascii="Times New Roman" w:hAnsi="Times New Roman"/>
          <w:b/>
          <w:i/>
          <w:sz w:val="20"/>
        </w:rPr>
        <w:t>DK:</w:t>
      </w:r>
      <w:r>
        <w:rPr>
          <w:rFonts w:ascii="Times New Roman" w:hAnsi="Times New Roman"/>
          <w:i/>
          <w:sz w:val="20"/>
        </w:rPr>
        <w:t xml:space="preserve"> les membres-juges du Conseil sont sélectionnés par des juge</w:t>
      </w:r>
      <w:r>
        <w:rPr>
          <w:rFonts w:ascii="Times New Roman" w:hAnsi="Times New Roman"/>
          <w:i/>
          <w:sz w:val="20"/>
        </w:rPr>
        <w:t xml:space="preserve">s. Tous les membres sont officiellement nommés par le ministre de la justice. </w:t>
      </w:r>
      <w:r>
        <w:rPr>
          <w:rFonts w:ascii="Times New Roman" w:hAnsi="Times New Roman"/>
          <w:b/>
          <w:i/>
          <w:sz w:val="20"/>
        </w:rPr>
        <w:t>EL:</w:t>
      </w:r>
      <w:r>
        <w:rPr>
          <w:rFonts w:ascii="Times New Roman" w:hAnsi="Times New Roman"/>
          <w:i/>
          <w:sz w:val="20"/>
        </w:rPr>
        <w:t xml:space="preserve"> les membres-juges sont sélectionnés par tirage au sort. </w:t>
      </w:r>
      <w:r>
        <w:rPr>
          <w:rFonts w:ascii="Times New Roman" w:hAnsi="Times New Roman"/>
          <w:b/>
          <w:i/>
          <w:sz w:val="20"/>
        </w:rPr>
        <w:t>ES</w:t>
      </w:r>
      <w:r>
        <w:rPr>
          <w:rFonts w:ascii="Times New Roman" w:hAnsi="Times New Roman"/>
          <w:i/>
          <w:sz w:val="20"/>
        </w:rPr>
        <w:t>: les membres-juges sont nommés par le Parlement – le Conseil communique au Parlement la liste des candidats qui ont</w:t>
      </w:r>
      <w:r>
        <w:rPr>
          <w:rFonts w:ascii="Times New Roman" w:hAnsi="Times New Roman"/>
          <w:i/>
          <w:sz w:val="20"/>
        </w:rPr>
        <w:t xml:space="preserve"> obtenu le soutien d’une association de juges ou de 25 juges. </w:t>
      </w:r>
      <w:r>
        <w:rPr>
          <w:rFonts w:ascii="Times New Roman" w:hAnsi="Times New Roman"/>
          <w:b/>
          <w:i/>
          <w:sz w:val="20"/>
        </w:rPr>
        <w:t>NL:</w:t>
      </w:r>
      <w:r>
        <w:rPr>
          <w:rFonts w:ascii="Times New Roman" w:hAnsi="Times New Roman"/>
          <w:i/>
          <w:sz w:val="20"/>
        </w:rPr>
        <w:t xml:space="preserve"> les membres-juges sont sélectionnés par le pouvoir judiciaire et nommés sur proposition du Conseil, sur la base notamment de l’avis d’un comité de sélection (composé principalement de juges </w:t>
      </w:r>
      <w:r>
        <w:rPr>
          <w:rFonts w:ascii="Times New Roman" w:hAnsi="Times New Roman"/>
          <w:i/>
          <w:sz w:val="20"/>
        </w:rPr>
        <w:t xml:space="preserve">et de membres du personnel des tribunaux). Tous les membres du Conseil sont officiellement nommés par arrêté royal, un acte administratif qui ne laisse aucune marge d’appréciation à l’exécutif. </w:t>
      </w:r>
      <w:r>
        <w:rPr>
          <w:rFonts w:ascii="Times New Roman" w:hAnsi="Times New Roman"/>
          <w:b/>
          <w:i/>
          <w:sz w:val="20"/>
        </w:rPr>
        <w:t>PL:</w:t>
      </w:r>
      <w:r>
        <w:rPr>
          <w:rFonts w:ascii="Times New Roman" w:hAnsi="Times New Roman"/>
          <w:i/>
          <w:sz w:val="20"/>
        </w:rPr>
        <w:t xml:space="preserve"> les candidats sont proposés par des groupes d’au moins 2 0</w:t>
      </w:r>
      <w:r>
        <w:rPr>
          <w:rFonts w:ascii="Times New Roman" w:hAnsi="Times New Roman"/>
          <w:i/>
          <w:sz w:val="20"/>
        </w:rPr>
        <w:t>00 citoyens ou de 25 juges. Parmi ces candidats, les groupes parlementaires choisissent jusqu’à neuf candidats, à partir desquels une commission de la chambre basse du Parlement (Sejm) établit une liste définitive de 15 candidats, qui sont nommés par le Se</w:t>
      </w:r>
      <w:r>
        <w:rPr>
          <w:rFonts w:ascii="Times New Roman" w:hAnsi="Times New Roman"/>
          <w:i/>
          <w:sz w:val="20"/>
        </w:rPr>
        <w:t xml:space="preserve">jm. </w:t>
      </w:r>
      <w:r>
        <w:rPr>
          <w:rFonts w:ascii="Times New Roman" w:hAnsi="Times New Roman"/>
          <w:b/>
          <w:i/>
          <w:sz w:val="20"/>
        </w:rPr>
        <w:t>RO:</w:t>
      </w:r>
      <w:r>
        <w:rPr>
          <w:rFonts w:ascii="Times New Roman" w:hAnsi="Times New Roman"/>
          <w:i/>
          <w:sz w:val="20"/>
        </w:rPr>
        <w:t xml:space="preserve"> la campagne et l’élection des membres-juges sont organisées par le Conseil supérieur de la magistrature. Une fois que la liste définitive des membres-juges élus est confirmée, le Sénat valide celle-ci en bloc. Le Sénat ne peut refuser de valider la</w:t>
      </w:r>
      <w:r>
        <w:rPr>
          <w:rFonts w:ascii="Times New Roman" w:hAnsi="Times New Roman"/>
          <w:i/>
          <w:sz w:val="20"/>
        </w:rPr>
        <w:t xml:space="preserve"> liste que si la loi n’a pas été respectée au cours de la procédure d’élection des membres du Conseil, et uniquement si l’infraction a eu une incidence sur le résultat de l’élection. Le Sénat ne dispose d’aucun pouvoir d’appréciation sur le choix des candi</w:t>
      </w:r>
      <w:r>
        <w:rPr>
          <w:rFonts w:ascii="Times New Roman" w:hAnsi="Times New Roman"/>
          <w:i/>
          <w:sz w:val="20"/>
        </w:rPr>
        <w:t xml:space="preserve">dats. </w:t>
      </w:r>
    </w:p>
    <w:p w:rsidR="00D23207" w:rsidRDefault="00493C98">
      <w:pPr>
        <w:spacing w:before="120" w:after="120" w:line="240" w:lineRule="auto"/>
        <w:jc w:val="both"/>
        <w:rPr>
          <w:rFonts w:ascii="Arial" w:hAnsi="Arial" w:cs="Arial"/>
          <w:sz w:val="23"/>
          <w:szCs w:val="23"/>
        </w:rPr>
      </w:pPr>
      <w:r>
        <w:rPr>
          <w:rFonts w:ascii="Times New Roman" w:hAnsi="Times New Roman"/>
          <w:sz w:val="24"/>
        </w:rPr>
        <w:t>Le graphique montre la composition des conseils de la justice (</w:t>
      </w:r>
      <w:r>
        <w:rPr>
          <w:rStyle w:val="FootnoteReference"/>
          <w:rFonts w:ascii="Times New Roman" w:eastAsia="Times New Roman" w:hAnsi="Times New Roman" w:cs="Times New Roman"/>
          <w:sz w:val="24"/>
        </w:rPr>
        <w:footnoteReference w:id="111"/>
      </w:r>
      <w:r>
        <w:rPr>
          <w:rFonts w:ascii="Times New Roman" w:hAnsi="Times New Roman"/>
          <w:sz w:val="24"/>
        </w:rPr>
        <w:t>) selon le processus de désignation. Il montre notamment si les membres des conseils sont des juges/procureurs proposés et sélectionnés/élus par leurs pairs, des membres nommés par le p</w:t>
      </w:r>
      <w:r>
        <w:rPr>
          <w:rFonts w:ascii="Times New Roman" w:hAnsi="Times New Roman"/>
          <w:sz w:val="24"/>
        </w:rPr>
        <w:t>ouvoir exécutif ou législatif, ou des membres nommés par d’autres organes et autorités. Au moins la moitié des membres des conseils de la justice devraient être des juges choisis par leurs pairs à tous les niveaux de l’appareil judiciaire et dans le respec</w:t>
      </w:r>
      <w:r>
        <w:rPr>
          <w:rFonts w:ascii="Times New Roman" w:hAnsi="Times New Roman"/>
          <w:sz w:val="24"/>
        </w:rPr>
        <w:t>t du pluralisme au sein de la justice (</w:t>
      </w:r>
      <w:r>
        <w:rPr>
          <w:rStyle w:val="FootnoteReference"/>
          <w:rFonts w:ascii="Times New Roman" w:eastAsia="Times New Roman" w:hAnsi="Times New Roman" w:cs="Times New Roman"/>
          <w:sz w:val="24"/>
        </w:rPr>
        <w:footnoteReference w:id="112"/>
      </w:r>
      <w:r>
        <w:rPr>
          <w:rFonts w:ascii="Times New Roman" w:hAnsi="Times New Roman"/>
          <w:sz w:val="24"/>
        </w:rPr>
        <w:t xml:space="preserve">). Ce graphique est une représentation factuelle de la composition des conseils de la justice et ne constitue pas une évaluation qualitative de leur fonctionnement effectif. </w:t>
      </w:r>
    </w:p>
    <w:p w:rsidR="00D23207" w:rsidRDefault="00493C98">
      <w:pPr>
        <w:spacing w:before="240" w:after="120" w:line="240" w:lineRule="auto"/>
        <w:jc w:val="both"/>
        <w:rPr>
          <w:rFonts w:ascii="Times New Roman" w:eastAsia="Times New Roman" w:hAnsi="Times New Roman" w:cs="Times New Roman"/>
          <w:b/>
          <w:bCs/>
          <w:sz w:val="24"/>
          <w:szCs w:val="24"/>
        </w:rPr>
      </w:pPr>
      <w:r>
        <w:rPr>
          <w:rFonts w:ascii="Times New Roman" w:hAnsi="Times New Roman"/>
          <w:b/>
          <w:sz w:val="24"/>
          <w:szCs w:val="24"/>
        </w:rPr>
        <w:t>Graphique</w:t>
      </w:r>
      <w:r>
        <w:rPr>
          <w:rFonts w:ascii="Times New Roman" w:hAnsi="Times New Roman"/>
          <w:b/>
          <w:bCs/>
          <w:sz w:val="24"/>
          <w:szCs w:val="24"/>
        </w:rPr>
        <w:t>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52</w:t>
      </w:r>
      <w:r>
        <w:fldChar w:fldCharType="end"/>
      </w:r>
      <w:r>
        <w:rPr>
          <w:rFonts w:ascii="Times New Roman" w:hAnsi="Times New Roman"/>
          <w:b/>
          <w:bCs/>
          <w:sz w:val="24"/>
          <w:szCs w:val="24"/>
        </w:rPr>
        <w:t>: co</w:t>
      </w:r>
      <w:r>
        <w:rPr>
          <w:rFonts w:ascii="Times New Roman" w:hAnsi="Times New Roman"/>
          <w:b/>
          <w:bCs/>
          <w:sz w:val="24"/>
          <w:szCs w:val="24"/>
        </w:rPr>
        <w:t>mposition des conseils de la justice selon le processus de désignation (*)</w:t>
      </w:r>
    </w:p>
    <w:p w:rsidR="00D23207" w:rsidRDefault="00493C98">
      <w:pPr>
        <w:spacing w:after="0" w:line="240" w:lineRule="auto"/>
        <w:jc w:val="both"/>
      </w:pPr>
      <w:r>
        <w:rPr>
          <w:lang w:val="en-GB" w:eastAsia="en-GB"/>
        </w:rPr>
        <w:drawing>
          <wp:inline distT="0" distB="0" distL="0" distR="0">
            <wp:extent cx="5977255" cy="3457983"/>
            <wp:effectExtent l="0" t="0" r="4445" b="9525"/>
            <wp:docPr id="97328" name="Picture 9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77255" cy="3457983"/>
                    </a:xfrm>
                    <a:prstGeom prst="rect">
                      <a:avLst/>
                    </a:prstGeom>
                    <a:noFill/>
                    <a:ln>
                      <a:noFill/>
                    </a:ln>
                  </pic:spPr>
                </pic:pic>
              </a:graphicData>
            </a:graphic>
          </wp:inline>
        </w:drawing>
      </w:r>
    </w:p>
    <w:p w:rsidR="00D23207" w:rsidRDefault="00493C98">
      <w:pPr>
        <w:spacing w:after="0" w:line="240" w:lineRule="auto"/>
        <w:jc w:val="both"/>
        <w:rPr>
          <w:rFonts w:ascii="Times New Roman" w:eastAsia="Calibri" w:hAnsi="Times New Roman" w:cs="Times New Roman"/>
          <w:i/>
        </w:rPr>
      </w:pPr>
      <w:r>
        <w:rPr>
          <w:rFonts w:ascii="Times New Roman" w:hAnsi="Times New Roman"/>
          <w:i/>
          <w:sz w:val="16"/>
          <w:szCs w:val="18"/>
        </w:rPr>
        <w:t xml:space="preserve">(*) </w:t>
      </w:r>
      <w:r>
        <w:rPr>
          <w:rFonts w:ascii="Times New Roman" w:hAnsi="Times New Roman"/>
          <w:b/>
          <w:i/>
          <w:sz w:val="16"/>
          <w:szCs w:val="18"/>
        </w:rPr>
        <w:t>BE:</w:t>
      </w:r>
      <w:r>
        <w:rPr>
          <w:rFonts w:ascii="Times New Roman" w:hAnsi="Times New Roman"/>
          <w:i/>
          <w:sz w:val="16"/>
          <w:szCs w:val="18"/>
        </w:rPr>
        <w:t xml:space="preserve"> les magistrats sont soit des juges, soit des procureurs; </w:t>
      </w:r>
      <w:r>
        <w:rPr>
          <w:rFonts w:ascii="Times New Roman" w:hAnsi="Times New Roman"/>
          <w:b/>
          <w:i/>
          <w:sz w:val="16"/>
          <w:szCs w:val="18"/>
        </w:rPr>
        <w:t>BG:</w:t>
      </w:r>
      <w:r>
        <w:rPr>
          <w:rFonts w:ascii="Times New Roman" w:hAnsi="Times New Roman"/>
          <w:i/>
          <w:sz w:val="16"/>
          <w:szCs w:val="18"/>
        </w:rPr>
        <w:t xml:space="preserve"> le Conseil supérieur de la magistrature est composé de la Chambre des juges (quatorze membres, dont les présidents de la Cour suprême de cassation et de la Cour suprême administrative, six membres élus directement par les juges et six membres élus par l’A</w:t>
      </w:r>
      <w:r>
        <w:rPr>
          <w:rFonts w:ascii="Times New Roman" w:hAnsi="Times New Roman"/>
          <w:i/>
          <w:sz w:val="16"/>
          <w:szCs w:val="18"/>
        </w:rPr>
        <w:t xml:space="preserve">ssemblée nationale) et de la Chambre des procureurs (onze membres, dont le procureur général, quatre membres élus directement par les procureurs, un membre élu directement par les enquêteurs et cinq membres élus par l’Assemblée nationale). </w:t>
      </w:r>
      <w:r>
        <w:rPr>
          <w:rFonts w:ascii="Times New Roman" w:hAnsi="Times New Roman"/>
          <w:b/>
          <w:i/>
          <w:sz w:val="16"/>
          <w:szCs w:val="18"/>
        </w:rPr>
        <w:t>DK:</w:t>
      </w:r>
      <w:r>
        <w:rPr>
          <w:rFonts w:ascii="Times New Roman" w:hAnsi="Times New Roman"/>
          <w:i/>
          <w:sz w:val="16"/>
          <w:szCs w:val="18"/>
        </w:rPr>
        <w:t xml:space="preserve"> tous les mem</w:t>
      </w:r>
      <w:r>
        <w:rPr>
          <w:rFonts w:ascii="Times New Roman" w:hAnsi="Times New Roman"/>
          <w:i/>
          <w:sz w:val="16"/>
          <w:szCs w:val="18"/>
        </w:rPr>
        <w:t xml:space="preserve">bres du conseil d’administration des cours et tribunaux sont officiellement nommés par le ministre de la justice; la catégorie «nommés/désignés par d’autres organismes/autorités» comprend deux représentants des tribunaux (désignés par l’union du personnel </w:t>
      </w:r>
      <w:r>
        <w:rPr>
          <w:rFonts w:ascii="Times New Roman" w:hAnsi="Times New Roman"/>
          <w:i/>
          <w:sz w:val="16"/>
          <w:szCs w:val="18"/>
        </w:rPr>
        <w:t xml:space="preserve">administratif et par l’union de la police). En outre, il existe une commission des nominations judiciaires, qui prépare des propositions de nominations judiciaires (la moitié de ses membres sont des juges sélectionnés par leurs pairs). </w:t>
      </w:r>
      <w:r>
        <w:rPr>
          <w:rFonts w:ascii="Times New Roman" w:hAnsi="Times New Roman"/>
          <w:b/>
          <w:i/>
          <w:sz w:val="16"/>
          <w:szCs w:val="18"/>
        </w:rPr>
        <w:t>IE:</w:t>
      </w:r>
      <w:r>
        <w:rPr>
          <w:rFonts w:ascii="Times New Roman" w:hAnsi="Times New Roman"/>
          <w:i/>
          <w:sz w:val="16"/>
          <w:szCs w:val="18"/>
        </w:rPr>
        <w:t xml:space="preserve"> le graphique ref</w:t>
      </w:r>
      <w:r>
        <w:rPr>
          <w:rFonts w:ascii="Times New Roman" w:hAnsi="Times New Roman"/>
          <w:i/>
          <w:sz w:val="16"/>
          <w:szCs w:val="18"/>
        </w:rPr>
        <w:t xml:space="preserve">lète la composition de l’administration des tribunaux, membre du Réseau européen des conseils de la justice, selon le cadre en vigueur au début du mois de décembre 2019. Le 17 décembre 2019, un nouveau Conseil judiciaire a été officiellement créé en vertu </w:t>
      </w:r>
      <w:r>
        <w:rPr>
          <w:rFonts w:ascii="Times New Roman" w:hAnsi="Times New Roman"/>
          <w:i/>
          <w:sz w:val="16"/>
          <w:szCs w:val="18"/>
        </w:rPr>
        <w:t xml:space="preserve">de la loi sur le Conseil judiciaire de 2019. La première séance plénière du Conseil judiciaire, composé de tous les juges d’Irlande, s’est tenue le 7 février 2020. </w:t>
      </w:r>
      <w:r>
        <w:rPr>
          <w:rFonts w:ascii="Times New Roman" w:hAnsi="Times New Roman"/>
          <w:b/>
          <w:i/>
          <w:sz w:val="16"/>
          <w:szCs w:val="18"/>
        </w:rPr>
        <w:t>ES:</w:t>
      </w:r>
      <w:r>
        <w:rPr>
          <w:rFonts w:ascii="Times New Roman" w:hAnsi="Times New Roman"/>
          <w:i/>
          <w:sz w:val="16"/>
          <w:szCs w:val="18"/>
        </w:rPr>
        <w:t xml:space="preserve"> les membres du Conseil venant de l’appareil judiciaire sont nommés par le Parlement – le</w:t>
      </w:r>
      <w:r>
        <w:rPr>
          <w:rFonts w:ascii="Times New Roman" w:hAnsi="Times New Roman"/>
          <w:i/>
          <w:sz w:val="16"/>
          <w:szCs w:val="18"/>
        </w:rPr>
        <w:t xml:space="preserve"> Conseil communique au Parlement la liste des candidats qui ont reçu l’appui d’une association de juges ou de vingt-cinq juges. </w:t>
      </w:r>
      <w:r>
        <w:rPr>
          <w:rFonts w:ascii="Times New Roman" w:hAnsi="Times New Roman"/>
          <w:b/>
          <w:i/>
          <w:sz w:val="16"/>
          <w:szCs w:val="18"/>
        </w:rPr>
        <w:t>EL (justice civile et pénale):</w:t>
      </w:r>
      <w:r>
        <w:rPr>
          <w:rFonts w:ascii="Times New Roman" w:hAnsi="Times New Roman"/>
          <w:i/>
          <w:sz w:val="16"/>
          <w:szCs w:val="18"/>
        </w:rPr>
        <w:t xml:space="preserve"> le conseil compte au total 11/15 membres, dont 7/11 sont des juges. Les juges et procureurs sont </w:t>
      </w:r>
      <w:r>
        <w:rPr>
          <w:rFonts w:ascii="Times New Roman" w:hAnsi="Times New Roman"/>
          <w:i/>
          <w:sz w:val="16"/>
          <w:szCs w:val="18"/>
        </w:rPr>
        <w:t xml:space="preserve">sélectionnés par tirage au sort. </w:t>
      </w:r>
      <w:r>
        <w:rPr>
          <w:rFonts w:ascii="Times New Roman" w:hAnsi="Times New Roman"/>
          <w:b/>
          <w:bCs/>
          <w:i/>
          <w:sz w:val="16"/>
          <w:szCs w:val="18"/>
        </w:rPr>
        <w:t>EL</w:t>
      </w:r>
      <w:r>
        <w:rPr>
          <w:rFonts w:ascii="Times New Roman" w:hAnsi="Times New Roman"/>
          <w:i/>
          <w:sz w:val="16"/>
          <w:szCs w:val="18"/>
        </w:rPr>
        <w:t xml:space="preserve"> </w:t>
      </w:r>
      <w:r>
        <w:rPr>
          <w:rFonts w:ascii="Times New Roman" w:hAnsi="Times New Roman"/>
          <w:b/>
          <w:bCs/>
          <w:i/>
          <w:sz w:val="16"/>
          <w:szCs w:val="18"/>
        </w:rPr>
        <w:t>(justice administrative)</w:t>
      </w:r>
      <w:r>
        <w:rPr>
          <w:rFonts w:ascii="Times New Roman" w:hAnsi="Times New Roman"/>
          <w:i/>
          <w:sz w:val="16"/>
          <w:szCs w:val="18"/>
        </w:rPr>
        <w:t xml:space="preserve">: le conseil compte au total 11/15 membres, dont 10/14 sont des juges, qui sont sélectionnés par tirage au sort. </w:t>
      </w:r>
      <w:r>
        <w:rPr>
          <w:rFonts w:ascii="Times New Roman" w:hAnsi="Times New Roman"/>
          <w:b/>
          <w:bCs/>
          <w:i/>
          <w:sz w:val="16"/>
          <w:szCs w:val="18"/>
        </w:rPr>
        <w:t>FR</w:t>
      </w:r>
      <w:r>
        <w:rPr>
          <w:rFonts w:ascii="Times New Roman" w:hAnsi="Times New Roman"/>
          <w:i/>
          <w:sz w:val="16"/>
          <w:szCs w:val="18"/>
        </w:rPr>
        <w:t>: le conseil a deux formations, l’une compétente pour la magistrature assise et l</w:t>
      </w:r>
      <w:r>
        <w:rPr>
          <w:rFonts w:ascii="Times New Roman" w:hAnsi="Times New Roman"/>
          <w:i/>
          <w:sz w:val="16"/>
          <w:szCs w:val="18"/>
        </w:rPr>
        <w:t xml:space="preserve">’autre pour les procureurs; le conseil comprend un membre du Conseil d’État élu par l’Assemblée générale du Conseil d’État. </w:t>
      </w:r>
      <w:r>
        <w:rPr>
          <w:rFonts w:ascii="Times New Roman" w:hAnsi="Times New Roman"/>
          <w:b/>
          <w:i/>
          <w:sz w:val="16"/>
          <w:szCs w:val="18"/>
        </w:rPr>
        <w:t>IT-CSM:</w:t>
      </w:r>
      <w:r>
        <w:rPr>
          <w:rFonts w:ascii="Times New Roman" w:hAnsi="Times New Roman"/>
          <w:i/>
          <w:sz w:val="16"/>
          <w:szCs w:val="18"/>
        </w:rPr>
        <w:t xml:space="preserve"> Consiglio Superiore della Magistratura (couvrant les juridictions civiles et pénales, et le ministère public); selon la Cons</w:t>
      </w:r>
      <w:r>
        <w:rPr>
          <w:rFonts w:ascii="Times New Roman" w:hAnsi="Times New Roman"/>
          <w:i/>
          <w:sz w:val="16"/>
          <w:szCs w:val="18"/>
        </w:rPr>
        <w:t xml:space="preserve">titution, le président de la République, le premier président de la Haute Cour de cassation et le procureur général près la Haute Cour de cassation sont des membres de droit. </w:t>
      </w:r>
      <w:r>
        <w:rPr>
          <w:rFonts w:ascii="Times New Roman" w:hAnsi="Times New Roman"/>
          <w:b/>
          <w:i/>
          <w:sz w:val="16"/>
          <w:szCs w:val="18"/>
        </w:rPr>
        <w:t>IT-CPGA:</w:t>
      </w:r>
      <w:r>
        <w:rPr>
          <w:rFonts w:ascii="Times New Roman" w:hAnsi="Times New Roman"/>
          <w:i/>
          <w:sz w:val="16"/>
          <w:szCs w:val="18"/>
        </w:rPr>
        <w:t xml:space="preserve"> Consiglio di presidenza della giustizia amministrativa (couvrant la just</w:t>
      </w:r>
      <w:r>
        <w:rPr>
          <w:rFonts w:ascii="Times New Roman" w:hAnsi="Times New Roman"/>
          <w:i/>
          <w:sz w:val="16"/>
          <w:szCs w:val="18"/>
        </w:rPr>
        <w:t xml:space="preserve">ice administrative). </w:t>
      </w:r>
      <w:r>
        <w:rPr>
          <w:rFonts w:ascii="Times New Roman" w:hAnsi="Times New Roman"/>
          <w:b/>
          <w:i/>
          <w:sz w:val="16"/>
          <w:szCs w:val="18"/>
        </w:rPr>
        <w:t>MT:</w:t>
      </w:r>
      <w:r>
        <w:rPr>
          <w:rFonts w:ascii="Times New Roman" w:hAnsi="Times New Roman"/>
          <w:i/>
          <w:sz w:val="16"/>
          <w:szCs w:val="18"/>
        </w:rPr>
        <w:t xml:space="preserve"> le chef de l’opposition nomme un membre non professionnel. </w:t>
      </w:r>
      <w:r>
        <w:rPr>
          <w:rFonts w:ascii="Times New Roman" w:hAnsi="Times New Roman"/>
          <w:b/>
          <w:i/>
          <w:sz w:val="16"/>
          <w:szCs w:val="18"/>
        </w:rPr>
        <w:t>NL:</w:t>
      </w:r>
      <w:r>
        <w:rPr>
          <w:rFonts w:ascii="Times New Roman" w:hAnsi="Times New Roman"/>
          <w:i/>
          <w:sz w:val="16"/>
          <w:szCs w:val="18"/>
        </w:rPr>
        <w:t xml:space="preserve"> les membres sont formellement nommés par décret royal sur proposition du ministre de la sécurité et de la justice. </w:t>
      </w:r>
      <w:r>
        <w:rPr>
          <w:rFonts w:ascii="Times New Roman" w:hAnsi="Times New Roman"/>
          <w:b/>
          <w:i/>
          <w:sz w:val="16"/>
          <w:szCs w:val="18"/>
        </w:rPr>
        <w:t>PL:</w:t>
      </w:r>
      <w:r>
        <w:rPr>
          <w:rFonts w:ascii="Times New Roman" w:hAnsi="Times New Roman"/>
          <w:i/>
          <w:sz w:val="16"/>
          <w:szCs w:val="18"/>
        </w:rPr>
        <w:t xml:space="preserve"> les candidats sont proposés par des groupes d’au </w:t>
      </w:r>
      <w:r>
        <w:rPr>
          <w:rFonts w:ascii="Times New Roman" w:hAnsi="Times New Roman"/>
          <w:i/>
          <w:sz w:val="16"/>
          <w:szCs w:val="18"/>
        </w:rPr>
        <w:t xml:space="preserve">moins 2 000 citoyens ou de 25 juges. Parmi ces candidats, les groupes parlementaires choisissent jusqu’à neuf candidats, à partir desquels une commission de la chambre basse du Parlement (Sejm) établit une liste définitive de 15 candidats, qui sont nommés </w:t>
      </w:r>
      <w:r>
        <w:rPr>
          <w:rFonts w:ascii="Times New Roman" w:hAnsi="Times New Roman"/>
          <w:i/>
          <w:sz w:val="16"/>
          <w:szCs w:val="18"/>
        </w:rPr>
        <w:t>par le Sejm. Le 23 janvier 2020, la Cour suprême, en application de la décision préjudicielle de la Cour de justice rendue dans les affaires jointes C-585/18, C-624/18 et C-625/18, a décidé que dans sa composition actuelle, le Conseil n’est pas indépendant</w:t>
      </w:r>
      <w:r>
        <w:rPr>
          <w:rFonts w:ascii="Times New Roman" w:hAnsi="Times New Roman"/>
          <w:i/>
          <w:sz w:val="16"/>
          <w:szCs w:val="18"/>
        </w:rPr>
        <w:t xml:space="preserve"> des pouvoirs exécutif et législatif et que les juges nommés à sa demande ne peuvent pas statuer sur les affaires. Le 17 septembre 2018, une Assemblée générale extraordinaire du Réseau européen des conseils de la justice a décidé de suspendre l’adhésion du</w:t>
      </w:r>
      <w:r>
        <w:rPr>
          <w:rFonts w:ascii="Times New Roman" w:hAnsi="Times New Roman"/>
          <w:i/>
          <w:sz w:val="16"/>
          <w:szCs w:val="18"/>
        </w:rPr>
        <w:t xml:space="preserve"> Conseil national de la justice (KRS) parce qu’il ne répondait plus aux exigences du RECJ selon lesquelles il doit être indépendant du pouvoir exécutif et législatif de manière à garantir l’indépendance du pouvoir judiciaire polonais. </w:t>
      </w:r>
      <w:r>
        <w:rPr>
          <w:rFonts w:ascii="Times New Roman" w:hAnsi="Times New Roman"/>
          <w:b/>
          <w:i/>
          <w:sz w:val="16"/>
          <w:szCs w:val="18"/>
        </w:rPr>
        <w:t>PT:</w:t>
      </w:r>
      <w:r>
        <w:rPr>
          <w:rFonts w:ascii="Times New Roman" w:hAnsi="Times New Roman"/>
          <w:i/>
          <w:sz w:val="16"/>
          <w:szCs w:val="18"/>
        </w:rPr>
        <w:t xml:space="preserve"> le graphique renv</w:t>
      </w:r>
      <w:r>
        <w:rPr>
          <w:rFonts w:ascii="Times New Roman" w:hAnsi="Times New Roman"/>
          <w:i/>
          <w:sz w:val="16"/>
          <w:szCs w:val="18"/>
        </w:rPr>
        <w:t>oie à la composition du Conselho Superior da Magistratura. En outre, un Conseil supérieur des juridictions administratives et fiscales (Conselho Superior dos Tribunais Administrativos e Fiscais) et un Conseil supérieur du ministère public (Conselho Superio</w:t>
      </w:r>
      <w:r>
        <w:rPr>
          <w:rFonts w:ascii="Times New Roman" w:hAnsi="Times New Roman"/>
          <w:i/>
          <w:sz w:val="16"/>
          <w:szCs w:val="18"/>
        </w:rPr>
        <w:t xml:space="preserve">r do Ministério Público) existent également. </w:t>
      </w:r>
      <w:r>
        <w:rPr>
          <w:rFonts w:ascii="Times New Roman" w:hAnsi="Times New Roman"/>
          <w:b/>
          <w:i/>
          <w:sz w:val="16"/>
          <w:szCs w:val="18"/>
        </w:rPr>
        <w:t>RO:</w:t>
      </w:r>
      <w:r>
        <w:rPr>
          <w:rFonts w:ascii="Times New Roman" w:hAnsi="Times New Roman"/>
          <w:i/>
          <w:sz w:val="16"/>
          <w:szCs w:val="18"/>
        </w:rPr>
        <w:t xml:space="preserve"> les magistrats élus sont validés par le Sénat. </w:t>
      </w:r>
      <w:r>
        <w:rPr>
          <w:rFonts w:ascii="Times New Roman" w:hAnsi="Times New Roman"/>
          <w:b/>
          <w:i/>
          <w:sz w:val="16"/>
          <w:szCs w:val="18"/>
        </w:rPr>
        <w:t>SI:</w:t>
      </w:r>
      <w:r>
        <w:rPr>
          <w:rFonts w:ascii="Times New Roman" w:hAnsi="Times New Roman"/>
          <w:i/>
          <w:sz w:val="16"/>
          <w:szCs w:val="18"/>
        </w:rPr>
        <w:t xml:space="preserve"> les membres non juges sont élus par l’Assemblée nationale sur proposition du président de la République.</w:t>
      </w:r>
    </w:p>
    <w:p w:rsidR="00D23207" w:rsidRDefault="00493C98">
      <w:pPr>
        <w:keepNext/>
        <w:spacing w:before="240" w:after="120" w:line="240" w:lineRule="auto"/>
        <w:jc w:val="both"/>
        <w:rPr>
          <w:rFonts w:ascii="Times New Roman" w:eastAsia="Calibri" w:hAnsi="Times New Roman" w:cs="Times New Roman"/>
          <w:i/>
          <w:sz w:val="24"/>
        </w:rPr>
      </w:pPr>
      <w:r>
        <w:rPr>
          <w:rFonts w:ascii="Times New Roman" w:hAnsi="Times New Roman"/>
          <w:i/>
          <w:sz w:val="24"/>
        </w:rPr>
        <w:t xml:space="preserve"> – Garanties relatives au fonctionnement des minist</w:t>
      </w:r>
      <w:r>
        <w:rPr>
          <w:rFonts w:ascii="Times New Roman" w:hAnsi="Times New Roman"/>
          <w:i/>
          <w:sz w:val="24"/>
        </w:rPr>
        <w:t>ères publics nationaux au sein de l’UE –</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Le ministère public joue un rôle majeur dans le système judiciaire pénal, ainsi que dans la coopération entre États membres en matière pénale. Le bon fonctionnement du ministère public national est essentiel pour lu</w:t>
      </w:r>
      <w:r>
        <w:rPr>
          <w:rFonts w:ascii="Times New Roman" w:hAnsi="Times New Roman"/>
          <w:sz w:val="24"/>
          <w:szCs w:val="24"/>
        </w:rPr>
        <w:t>tter efficacement contre la criminalité, y compris la criminalité économique et financière, telle que le blanchiment de capitaux et la corruption. Selon la jurisprudence de la Cour de justice, dans le contexte de la décision-cadre relative au mandat d’arrê</w:t>
      </w:r>
      <w:r>
        <w:rPr>
          <w:rFonts w:ascii="Times New Roman" w:hAnsi="Times New Roman"/>
          <w:sz w:val="24"/>
          <w:szCs w:val="24"/>
        </w:rPr>
        <w:t>t européen (</w:t>
      </w:r>
      <w:r>
        <w:rPr>
          <w:rFonts w:ascii="Times New Roman" w:eastAsia="Times New Roman" w:hAnsi="Times New Roman" w:cs="Times New Roman"/>
          <w:sz w:val="24"/>
          <w:szCs w:val="24"/>
          <w:vertAlign w:val="superscript"/>
        </w:rPr>
        <w:footnoteReference w:id="113"/>
      </w:r>
      <w:r>
        <w:rPr>
          <w:rFonts w:ascii="Times New Roman" w:hAnsi="Times New Roman"/>
          <w:sz w:val="24"/>
          <w:szCs w:val="24"/>
        </w:rPr>
        <w:t>), le parquet peut être considéré comme une «autorité judiciaire» d’un État membre aux fins de l’émission d’un mandat d’arrêt européen lorsqu’il agit de manière indépendante dans l’exercice de ses fonctions inhérentes sans être soumis, directe</w:t>
      </w:r>
      <w:r>
        <w:rPr>
          <w:rFonts w:ascii="Times New Roman" w:hAnsi="Times New Roman"/>
          <w:sz w:val="24"/>
          <w:szCs w:val="24"/>
        </w:rPr>
        <w:t>ment ou indirectement, à des ordres ou à des instructions individuels de la part du pouvoir exécutif, tel qu’un ministre de la justice (</w:t>
      </w:r>
      <w:r>
        <w:rPr>
          <w:rFonts w:ascii="Times New Roman" w:eastAsia="Times New Roman" w:hAnsi="Times New Roman" w:cs="Times New Roman"/>
          <w:sz w:val="24"/>
          <w:szCs w:val="24"/>
          <w:vertAlign w:val="superscript"/>
        </w:rPr>
        <w:footnoteReference w:id="114"/>
      </w:r>
      <w:r>
        <w:rPr>
          <w:rFonts w:ascii="Times New Roman" w:hAnsi="Times New Roman"/>
          <w:sz w:val="24"/>
          <w:szCs w:val="24"/>
        </w:rPr>
        <w:t xml:space="preserve">). </w:t>
      </w:r>
    </w:p>
    <w:p w:rsidR="00D23207" w:rsidRDefault="00493C98">
      <w:pPr>
        <w:spacing w:after="120" w:line="240" w:lineRule="auto"/>
        <w:jc w:val="both"/>
        <w:rPr>
          <w:rFonts w:ascii="Times New Roman" w:eastAsia="Times New Roman" w:hAnsi="Times New Roman" w:cs="Times New Roman"/>
          <w:sz w:val="24"/>
          <w:highlight w:val="yellow"/>
        </w:rPr>
      </w:pPr>
      <w:r>
        <w:rPr>
          <w:rFonts w:ascii="Times New Roman" w:hAnsi="Times New Roman"/>
          <w:sz w:val="24"/>
          <w:szCs w:val="24"/>
        </w:rPr>
        <w:t xml:space="preserve">L’organisation du ministère public national varie dans l’ensemble de l’Union et il n’existe pas de modèle uniforme </w:t>
      </w:r>
      <w:r>
        <w:rPr>
          <w:rFonts w:ascii="Times New Roman" w:hAnsi="Times New Roman"/>
          <w:sz w:val="24"/>
          <w:szCs w:val="24"/>
        </w:rPr>
        <w:t>pour tous les États membres. Toutefois, on note une tendance générale à un ministère public plus indépendant plutôt qu’à un ministère public subordonné ou lié à l’exécutif (</w:t>
      </w:r>
      <w:r>
        <w:rPr>
          <w:rFonts w:ascii="Times New Roman" w:eastAsia="Times New Roman" w:hAnsi="Times New Roman" w:cs="Times New Roman"/>
          <w:sz w:val="24"/>
          <w:szCs w:val="24"/>
          <w:vertAlign w:val="superscript"/>
        </w:rPr>
        <w:footnoteReference w:id="115"/>
      </w:r>
      <w:r>
        <w:rPr>
          <w:rFonts w:ascii="Times New Roman" w:hAnsi="Times New Roman"/>
          <w:sz w:val="24"/>
          <w:szCs w:val="24"/>
        </w:rPr>
        <w:t>). D’après le Conseil consultatif de procureurs européens, aux fins de la lutte ef</w:t>
      </w:r>
      <w:r>
        <w:rPr>
          <w:rFonts w:ascii="Times New Roman" w:hAnsi="Times New Roman"/>
          <w:sz w:val="24"/>
          <w:szCs w:val="24"/>
        </w:rPr>
        <w:t>ficace contre la corruption et le blanchiment de capitaux et la criminalité économique et financière qui en découle, une indépendance et une autonomie renforcées du parquet, ainsi que sa responsabilisation, peuvent être une autre garantie du respect de l’é</w:t>
      </w:r>
      <w:r>
        <w:rPr>
          <w:rFonts w:ascii="Times New Roman" w:hAnsi="Times New Roman"/>
          <w:sz w:val="24"/>
          <w:szCs w:val="24"/>
        </w:rPr>
        <w:t>tat de droit (</w:t>
      </w:r>
      <w:r>
        <w:rPr>
          <w:rStyle w:val="FootnoteReference"/>
          <w:rFonts w:ascii="Times New Roman" w:eastAsia="Times New Roman" w:hAnsi="Times New Roman" w:cs="Times New Roman"/>
          <w:iCs/>
          <w:sz w:val="24"/>
          <w:szCs w:val="24"/>
        </w:rPr>
        <w:footnoteReference w:id="116"/>
      </w:r>
      <w:r>
        <w:rPr>
          <w:rFonts w:ascii="Times New Roman" w:hAnsi="Times New Roman"/>
          <w:sz w:val="24"/>
          <w:szCs w:val="24"/>
        </w:rPr>
        <w:t>). Quel que soit le modèle de système judiciaire national ou la tradition juridique dans laquelle il s’inscrit, les normes européennes exigent que les États membres prennent toutes mesures utiles pour permettre aux membres du ministère publi</w:t>
      </w:r>
      <w:r>
        <w:rPr>
          <w:rFonts w:ascii="Times New Roman" w:hAnsi="Times New Roman"/>
          <w:sz w:val="24"/>
          <w:szCs w:val="24"/>
        </w:rPr>
        <w:t>c d’accomplir leurs devoirs et responsabilités professionnelles dans des conditions de statut et d’organisation appropriées (</w:t>
      </w:r>
      <w:r>
        <w:rPr>
          <w:rFonts w:ascii="Times New Roman" w:eastAsia="Times New Roman" w:hAnsi="Times New Roman" w:cs="Times New Roman"/>
          <w:sz w:val="24"/>
          <w:szCs w:val="24"/>
          <w:vertAlign w:val="superscript"/>
        </w:rPr>
        <w:footnoteReference w:id="117"/>
      </w:r>
      <w:r>
        <w:rPr>
          <w:rFonts w:ascii="Times New Roman" w:hAnsi="Times New Roman"/>
          <w:sz w:val="24"/>
          <w:szCs w:val="24"/>
        </w:rPr>
        <w:t>) et sans ingérence injustifiée (</w:t>
      </w:r>
      <w:r>
        <w:rPr>
          <w:rFonts w:ascii="Times New Roman" w:eastAsia="Times New Roman" w:hAnsi="Times New Roman" w:cs="Times New Roman"/>
          <w:sz w:val="24"/>
          <w:szCs w:val="24"/>
          <w:vertAlign w:val="superscript"/>
        </w:rPr>
        <w:footnoteReference w:id="118"/>
      </w:r>
      <w:r>
        <w:rPr>
          <w:rFonts w:ascii="Times New Roman" w:hAnsi="Times New Roman"/>
          <w:sz w:val="24"/>
          <w:szCs w:val="24"/>
        </w:rPr>
        <w:t xml:space="preserve">). En particulier, toute instruction à caractère général émanant du gouvernement, par exemple </w:t>
      </w:r>
      <w:r>
        <w:rPr>
          <w:rFonts w:ascii="Times New Roman" w:hAnsi="Times New Roman"/>
          <w:sz w:val="24"/>
          <w:szCs w:val="24"/>
        </w:rPr>
        <w:t>sur la politique pénale, doit revêtir une forme écrite et être publiée selon des modalités appropriées (</w:t>
      </w:r>
      <w:r>
        <w:rPr>
          <w:rFonts w:ascii="Times New Roman" w:eastAsia="Times New Roman" w:hAnsi="Times New Roman" w:cs="Times New Roman"/>
          <w:sz w:val="24"/>
          <w:szCs w:val="24"/>
          <w:vertAlign w:val="superscript"/>
        </w:rPr>
        <w:footnoteReference w:id="119"/>
      </w:r>
      <w:r>
        <w:rPr>
          <w:rFonts w:ascii="Times New Roman" w:hAnsi="Times New Roman"/>
          <w:sz w:val="24"/>
          <w:szCs w:val="24"/>
        </w:rPr>
        <w:t>). Lorsque le gouvernement est habilité à donner des instructions de poursuite dans une affaire spécifique, celles-ci s’accompagnent de garanties suffi</w:t>
      </w:r>
      <w:r>
        <w:rPr>
          <w:rFonts w:ascii="Times New Roman" w:hAnsi="Times New Roman"/>
          <w:sz w:val="24"/>
          <w:szCs w:val="24"/>
        </w:rPr>
        <w:t>santes (</w:t>
      </w:r>
      <w:r>
        <w:rPr>
          <w:rFonts w:ascii="Times New Roman" w:eastAsia="Times New Roman" w:hAnsi="Times New Roman" w:cs="Times New Roman"/>
          <w:sz w:val="24"/>
          <w:szCs w:val="24"/>
          <w:vertAlign w:val="superscript"/>
        </w:rPr>
        <w:footnoteReference w:id="120"/>
      </w:r>
      <w:r>
        <w:rPr>
          <w:rFonts w:ascii="Times New Roman" w:hAnsi="Times New Roman"/>
          <w:sz w:val="24"/>
          <w:szCs w:val="24"/>
        </w:rPr>
        <w:t>). D’après la recommandation de 2000 du Comité des ministres du Conseil de l’Europe, les instructions individuelles de non-poursuite doivent être prohibées (</w:t>
      </w:r>
      <w:r>
        <w:rPr>
          <w:rFonts w:ascii="Times New Roman" w:eastAsia="Times New Roman" w:hAnsi="Times New Roman" w:cs="Times New Roman"/>
          <w:sz w:val="24"/>
          <w:szCs w:val="24"/>
          <w:vertAlign w:val="superscript"/>
        </w:rPr>
        <w:footnoteReference w:id="121"/>
      </w:r>
      <w:r>
        <w:rPr>
          <w:rFonts w:ascii="Times New Roman" w:hAnsi="Times New Roman"/>
          <w:sz w:val="24"/>
          <w:szCs w:val="24"/>
        </w:rPr>
        <w:t>). Les parties intéressées à l’affaire, y compris les victimes, doivent avoir la possibil</w:t>
      </w:r>
      <w:r>
        <w:rPr>
          <w:rFonts w:ascii="Times New Roman" w:hAnsi="Times New Roman"/>
          <w:sz w:val="24"/>
          <w:szCs w:val="24"/>
        </w:rPr>
        <w:t>ité de contester la décision prise par le ministère public de ne pas engager de poursuites dans une affaire (</w:t>
      </w:r>
      <w:r>
        <w:rPr>
          <w:rFonts w:ascii="Times New Roman" w:eastAsia="Times New Roman" w:hAnsi="Times New Roman" w:cs="Times New Roman"/>
          <w:sz w:val="24"/>
          <w:szCs w:val="24"/>
          <w:vertAlign w:val="superscript"/>
        </w:rPr>
        <w:footnoteReference w:id="122"/>
      </w:r>
      <w:r>
        <w:rPr>
          <w:rFonts w:ascii="Times New Roman" w:hAnsi="Times New Roman"/>
          <w:sz w:val="24"/>
          <w:szCs w:val="24"/>
        </w:rPr>
        <w:t>).</w:t>
      </w:r>
    </w:p>
    <w:p w:rsidR="00D23207" w:rsidRDefault="00493C98">
      <w:pPr>
        <w:spacing w:before="240"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Les graphiques ci-dessous présentent une vue d’ensemble factuelle de certains aspects du cadre applicable aux ministères publics et n’évaluent </w:t>
      </w:r>
      <w:r>
        <w:rPr>
          <w:rFonts w:ascii="Times New Roman" w:hAnsi="Times New Roman"/>
          <w:sz w:val="24"/>
          <w:szCs w:val="24"/>
        </w:rPr>
        <w:t>pas leur bon fonctionnement; il faudrait pour cela mener une évaluation qualitative en tenant compte des circonstances particulières de chaque État membre.</w:t>
      </w:r>
    </w:p>
    <w:p w:rsidR="00D23207" w:rsidRDefault="00493C98">
      <w:pPr>
        <w:spacing w:before="240" w:after="0" w:line="240" w:lineRule="auto"/>
        <w:jc w:val="both"/>
        <w:rPr>
          <w:rFonts w:ascii="Times New Roman" w:eastAsia="Times New Roman" w:hAnsi="Times New Roman" w:cs="Times New Roman"/>
          <w:sz w:val="24"/>
          <w:szCs w:val="24"/>
        </w:rPr>
      </w:pPr>
      <w:r>
        <w:rPr>
          <w:rFonts w:ascii="Times New Roman" w:hAnsi="Times New Roman"/>
          <w:sz w:val="24"/>
          <w:szCs w:val="24"/>
        </w:rPr>
        <w:t>Le graphique 53 présente une vue d’ensemble des autorités chargées de statuer sur les sanctions disc</w:t>
      </w:r>
      <w:r>
        <w:rPr>
          <w:rFonts w:ascii="Times New Roman" w:hAnsi="Times New Roman"/>
          <w:sz w:val="24"/>
          <w:szCs w:val="24"/>
        </w:rPr>
        <w:t>iplinaires concernant les juges de rang de base. Il peut s’agir soit a) d’autorités indépendantes telles que les juridictions ou les conseils de la magistrature ou les conseils des procureurs, soit b) d’autres organes ou autorités, tels que le procureur gé</w:t>
      </w:r>
      <w:r>
        <w:rPr>
          <w:rFonts w:ascii="Times New Roman" w:hAnsi="Times New Roman"/>
          <w:sz w:val="24"/>
          <w:szCs w:val="24"/>
        </w:rPr>
        <w:t>néral ou un procureur supérieur, des organes indépendants, des organes spéciaux composés de procureurs ou du ministre de la justice. Sauf indication contraire dans l’explication sous le graphique, une décision de l’autorité sur les mesures disciplinaires c</w:t>
      </w:r>
      <w:r>
        <w:rPr>
          <w:rFonts w:ascii="Times New Roman" w:hAnsi="Times New Roman"/>
          <w:sz w:val="24"/>
          <w:szCs w:val="24"/>
        </w:rPr>
        <w:t>oncernant un procureur est susceptible de faire l’objet d’un contrôle juridictionnel (</w:t>
      </w:r>
      <w:r>
        <w:rPr>
          <w:rFonts w:ascii="Times New Roman" w:eastAsia="Times New Roman" w:hAnsi="Times New Roman" w:cs="Times New Roman"/>
          <w:sz w:val="24"/>
          <w:szCs w:val="24"/>
          <w:vertAlign w:val="superscript"/>
        </w:rPr>
        <w:footnoteReference w:id="123"/>
      </w:r>
      <w:r>
        <w:rPr>
          <w:rFonts w:ascii="Times New Roman" w:hAnsi="Times New Roman"/>
          <w:sz w:val="24"/>
          <w:szCs w:val="24"/>
        </w:rPr>
        <w:t>).</w:t>
      </w:r>
    </w:p>
    <w:p w:rsidR="00D23207" w:rsidRDefault="00493C98">
      <w:pPr>
        <w:spacing w:before="240" w:after="120" w:line="240" w:lineRule="auto"/>
        <w:jc w:val="both"/>
        <w:rPr>
          <w:rFonts w:ascii="Times New Roman" w:eastAsia="Times New Roman" w:hAnsi="Times New Roman" w:cs="Times New Roman"/>
          <w:b/>
          <w:bCs/>
          <w:sz w:val="20"/>
          <w:szCs w:val="20"/>
        </w:rPr>
      </w:pPr>
      <w:r>
        <w:rPr>
          <w:rFonts w:ascii="Times New Roman" w:hAnsi="Times New Roman"/>
          <w:b/>
          <w:bCs/>
          <w:sz w:val="24"/>
          <w:szCs w:val="24"/>
        </w:rPr>
        <w:t>Graphique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53</w:t>
      </w:r>
      <w:r>
        <w:fldChar w:fldCharType="end"/>
      </w:r>
      <w:r>
        <w:rPr>
          <w:rFonts w:ascii="Times New Roman" w:hAnsi="Times New Roman"/>
          <w:b/>
          <w:bCs/>
          <w:sz w:val="24"/>
          <w:szCs w:val="24"/>
        </w:rPr>
        <w:t>: autorité statuant sur les sanctions disciplinaires concernant les procureurs</w:t>
      </w:r>
      <w:r>
        <w:rPr>
          <w:rFonts w:ascii="Times New Roman" w:hAnsi="Times New Roman"/>
          <w:bCs/>
          <w:sz w:val="24"/>
          <w:szCs w:val="24"/>
        </w:rPr>
        <w:t xml:space="preserve"> (*) </w:t>
      </w:r>
      <w:r>
        <w:rPr>
          <w:rFonts w:ascii="Times New Roman" w:hAnsi="Times New Roman"/>
          <w:bCs/>
          <w:i/>
          <w:sz w:val="24"/>
          <w:szCs w:val="24"/>
        </w:rPr>
        <w:t xml:space="preserve">(Source: Commission européenne avec le groupe </w:t>
      </w:r>
      <w:r>
        <w:rPr>
          <w:rFonts w:ascii="Times New Roman" w:hAnsi="Times New Roman"/>
          <w:bCs/>
          <w:i/>
          <w:sz w:val="24"/>
          <w:szCs w:val="24"/>
        </w:rPr>
        <w:t>d’experts en matière de blanchiment des capitaux et de financement du terrorisme)</w:t>
      </w:r>
    </w:p>
    <w:p w:rsidR="00D23207" w:rsidRDefault="00493C98">
      <w:pPr>
        <w:spacing w:after="0" w:line="240" w:lineRule="auto"/>
        <w:jc w:val="both"/>
        <w:rPr>
          <w:rFonts w:ascii="Times New Roman" w:hAnsi="Times New Roman" w:cs="Times New Roman"/>
          <w:i/>
          <w:sz w:val="15"/>
          <w:szCs w:val="15"/>
        </w:rPr>
      </w:pPr>
      <w:r>
        <w:rPr>
          <w:rFonts w:ascii="Times New Roman" w:hAnsi="Times New Roman" w:cs="Times New Roman"/>
          <w:i/>
          <w:sz w:val="15"/>
          <w:szCs w:val="15"/>
          <w:lang w:val="en-GB" w:eastAsia="en-GB"/>
        </w:rPr>
        <w:drawing>
          <wp:inline distT="0" distB="0" distL="0" distR="0">
            <wp:extent cx="5977255" cy="2004091"/>
            <wp:effectExtent l="0" t="0" r="4445" b="0"/>
            <wp:docPr id="97329" name="Picture 9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7255" cy="2004091"/>
                    </a:xfrm>
                    <a:prstGeom prst="rect">
                      <a:avLst/>
                    </a:prstGeom>
                    <a:noFill/>
                    <a:ln>
                      <a:noFill/>
                    </a:ln>
                  </pic:spPr>
                </pic:pic>
              </a:graphicData>
            </a:graphic>
          </wp:inline>
        </w:drawing>
      </w:r>
    </w:p>
    <w:p w:rsidR="00D23207" w:rsidRDefault="00493C98">
      <w:pPr>
        <w:spacing w:after="0" w:line="240" w:lineRule="auto"/>
        <w:jc w:val="both"/>
        <w:rPr>
          <w:rFonts w:ascii="Times New Roman" w:hAnsi="Times New Roman" w:cs="Times New Roman"/>
          <w:i/>
          <w:sz w:val="15"/>
          <w:szCs w:val="15"/>
        </w:rPr>
      </w:pPr>
      <w:r>
        <w:rPr>
          <w:rFonts w:ascii="Times New Roman" w:hAnsi="Times New Roman"/>
          <w:i/>
          <w:sz w:val="15"/>
          <w:szCs w:val="15"/>
        </w:rPr>
        <w:t xml:space="preserve">(*) </w:t>
      </w:r>
      <w:r>
        <w:rPr>
          <w:rFonts w:ascii="Times New Roman" w:hAnsi="Times New Roman"/>
          <w:b/>
          <w:i/>
          <w:sz w:val="15"/>
          <w:szCs w:val="15"/>
        </w:rPr>
        <w:t>BE</w:t>
      </w:r>
      <w:r>
        <w:rPr>
          <w:rFonts w:ascii="Times New Roman" w:hAnsi="Times New Roman"/>
          <w:i/>
          <w:sz w:val="15"/>
          <w:szCs w:val="15"/>
        </w:rPr>
        <w:t>: le procureur général (chef du parquet) a le pouvoir de statuer sur les sanctions disciplinaires mineures, tandis que les sanctions majeures sont infligées par le tr</w:t>
      </w:r>
      <w:r>
        <w:rPr>
          <w:rFonts w:ascii="Times New Roman" w:hAnsi="Times New Roman"/>
          <w:i/>
          <w:sz w:val="15"/>
          <w:szCs w:val="15"/>
        </w:rPr>
        <w:t xml:space="preserve">ibunal disciplinaire de première instance. Les décisions relatives aux mesures disciplinaires sont susceptibles de recours devant une cour d’appel disciplinaire. </w:t>
      </w:r>
      <w:r>
        <w:rPr>
          <w:rFonts w:ascii="Times New Roman" w:hAnsi="Times New Roman"/>
          <w:b/>
          <w:i/>
          <w:sz w:val="15"/>
          <w:szCs w:val="15"/>
        </w:rPr>
        <w:t>BG</w:t>
      </w:r>
      <w:r>
        <w:rPr>
          <w:rFonts w:ascii="Times New Roman" w:hAnsi="Times New Roman"/>
          <w:i/>
          <w:sz w:val="15"/>
          <w:szCs w:val="15"/>
        </w:rPr>
        <w:t>: la Chambre des procureurs du Conseil supérieur de la magistrature est composée du procureur général, de quatre membres élus par les procureurs, d’un membre élu par les magistrats instructeurs et de cinq membres élus par l’Assemblée nationale. Ses décisio</w:t>
      </w:r>
      <w:r>
        <w:rPr>
          <w:rFonts w:ascii="Times New Roman" w:hAnsi="Times New Roman"/>
          <w:i/>
          <w:sz w:val="15"/>
          <w:szCs w:val="15"/>
        </w:rPr>
        <w:t>ns relatives à des sanctions disciplinaires concernant un procureur sont soumises au contrôle juridictionnel devant la Cour administrative suprême. Le chef administratif du procureur ne peut imposer qu’un blâme, en notifiant cette sanction à la Chambre des</w:t>
      </w:r>
      <w:r>
        <w:rPr>
          <w:rFonts w:ascii="Times New Roman" w:hAnsi="Times New Roman"/>
          <w:i/>
          <w:sz w:val="15"/>
          <w:szCs w:val="15"/>
        </w:rPr>
        <w:t xml:space="preserve"> procureurs, qui peut la confirmer ou la révoquer. </w:t>
      </w:r>
      <w:r>
        <w:rPr>
          <w:rFonts w:ascii="Times New Roman" w:hAnsi="Times New Roman"/>
          <w:b/>
          <w:i/>
          <w:sz w:val="15"/>
          <w:szCs w:val="15"/>
        </w:rPr>
        <w:t>CZ</w:t>
      </w:r>
      <w:r>
        <w:rPr>
          <w:rFonts w:ascii="Times New Roman" w:hAnsi="Times New Roman"/>
          <w:i/>
          <w:sz w:val="15"/>
          <w:szCs w:val="15"/>
        </w:rPr>
        <w:t>: les affaires disciplinaires sont examinées par une chambre disciplinaire de la Cour administrative suprême. La chambre est composée de deux juges (un juge de la Cour administrative suprême et un juge d</w:t>
      </w:r>
      <w:r>
        <w:rPr>
          <w:rFonts w:ascii="Times New Roman" w:hAnsi="Times New Roman"/>
          <w:i/>
          <w:sz w:val="15"/>
          <w:szCs w:val="15"/>
        </w:rPr>
        <w:t>e la Cour suprême), de deux procureurs, d’un avocat et d’une personne d’une autre profession juridique. Les membres de la chambre sont tirés au sort par le président de la Cour administrative suprême à partir de listes de candidats fournies par les représe</w:t>
      </w:r>
      <w:r>
        <w:rPr>
          <w:rFonts w:ascii="Times New Roman" w:hAnsi="Times New Roman"/>
          <w:i/>
          <w:sz w:val="15"/>
          <w:szCs w:val="15"/>
        </w:rPr>
        <w:t>ntants des différentes professions juridiques (par la Cour administrative suprême, le président de la Cour suprême, le procureur général, le président du barreau et les doyens des facultés de droit). Aucun recours n’est possible à l’encontre de la décision</w:t>
      </w:r>
      <w:r>
        <w:rPr>
          <w:rFonts w:ascii="Times New Roman" w:hAnsi="Times New Roman"/>
          <w:i/>
          <w:sz w:val="15"/>
          <w:szCs w:val="15"/>
        </w:rPr>
        <w:t xml:space="preserve"> de la chambre disciplinaire. </w:t>
      </w:r>
      <w:r>
        <w:rPr>
          <w:rFonts w:ascii="Times New Roman" w:hAnsi="Times New Roman"/>
          <w:b/>
          <w:i/>
          <w:sz w:val="15"/>
          <w:szCs w:val="15"/>
        </w:rPr>
        <w:t>DK</w:t>
      </w:r>
      <w:r>
        <w:rPr>
          <w:rFonts w:ascii="Times New Roman" w:hAnsi="Times New Roman"/>
          <w:i/>
          <w:sz w:val="15"/>
          <w:szCs w:val="15"/>
        </w:rPr>
        <w:t>: le ministère danois de la justice a le pouvoir de décider de mesures disciplinaires spécifiques à l’encontre des procureurs. Toutefois, dans la pratique, le ministère de la justice habilite le ministère public à prendre de</w:t>
      </w:r>
      <w:r>
        <w:rPr>
          <w:rFonts w:ascii="Times New Roman" w:hAnsi="Times New Roman"/>
          <w:i/>
          <w:sz w:val="15"/>
          <w:szCs w:val="15"/>
        </w:rPr>
        <w:t>s mesures disciplinaires à l’encontre des procureurs. Toutes les décisions relatives aux mesures disciplinaires prises par le ministère public peuvent faire l’objet d’un recours auprès du ministère de la justice. Le contrôle juridictionnel est possible à l</w:t>
      </w:r>
      <w:r>
        <w:rPr>
          <w:rFonts w:ascii="Times New Roman" w:hAnsi="Times New Roman"/>
          <w:i/>
          <w:sz w:val="15"/>
          <w:szCs w:val="15"/>
        </w:rPr>
        <w:t>’encontre des mesures disciplinaires prises par le ministère de la justice et un procureur peut porter plainte auprès du médiateur parlementaire.</w:t>
      </w:r>
      <w:r>
        <w:rPr>
          <w:rFonts w:ascii="Times New Roman" w:hAnsi="Times New Roman"/>
          <w:b/>
          <w:i/>
          <w:sz w:val="15"/>
          <w:szCs w:val="15"/>
        </w:rPr>
        <w:t xml:space="preserve"> DE</w:t>
      </w:r>
      <w:r>
        <w:rPr>
          <w:rFonts w:ascii="Times New Roman" w:hAnsi="Times New Roman"/>
          <w:i/>
          <w:sz w:val="15"/>
          <w:szCs w:val="15"/>
        </w:rPr>
        <w:t>: le procureur supérieur peut imposer une mesure disciplinaire de nature plus légère. En raison de la compét</w:t>
      </w:r>
      <w:r>
        <w:rPr>
          <w:rFonts w:ascii="Times New Roman" w:hAnsi="Times New Roman"/>
          <w:i/>
          <w:sz w:val="15"/>
          <w:szCs w:val="15"/>
        </w:rPr>
        <w:t xml:space="preserve">ence des Länder pour réglementer le droit disciplinaire des fonctionnaires de l’État, les lois des Länder présentent diverses particularités. </w:t>
      </w:r>
      <w:r>
        <w:rPr>
          <w:rFonts w:ascii="Times New Roman" w:hAnsi="Times New Roman"/>
          <w:b/>
          <w:i/>
          <w:sz w:val="15"/>
          <w:szCs w:val="15"/>
        </w:rPr>
        <w:t>EE</w:t>
      </w:r>
      <w:r>
        <w:rPr>
          <w:rFonts w:ascii="Times New Roman" w:hAnsi="Times New Roman"/>
          <w:i/>
          <w:sz w:val="15"/>
          <w:szCs w:val="15"/>
        </w:rPr>
        <w:t xml:space="preserve">: le procureur général décide des mesures disciplinaires, y compris la révocation, sur proposition du comité de </w:t>
      </w:r>
      <w:r>
        <w:rPr>
          <w:rFonts w:ascii="Times New Roman" w:hAnsi="Times New Roman"/>
          <w:i/>
          <w:sz w:val="15"/>
          <w:szCs w:val="15"/>
        </w:rPr>
        <w:t xml:space="preserve">discipline des procureurs. Les décisions relatives aux mesures disciplinaires sont susceptibles de recours devant un tribunal administratif. </w:t>
      </w:r>
      <w:r>
        <w:rPr>
          <w:rFonts w:ascii="Times New Roman" w:hAnsi="Times New Roman"/>
          <w:b/>
          <w:i/>
          <w:sz w:val="15"/>
          <w:szCs w:val="15"/>
        </w:rPr>
        <w:t>IE</w:t>
      </w:r>
      <w:r>
        <w:rPr>
          <w:rFonts w:ascii="Times New Roman" w:hAnsi="Times New Roman"/>
          <w:i/>
          <w:sz w:val="15"/>
          <w:szCs w:val="15"/>
        </w:rPr>
        <w:t>: Le bureau du directeur adjoint du ministère public statue sur les mesures disciplinaires à l’encontre des procu</w:t>
      </w:r>
      <w:r>
        <w:rPr>
          <w:rFonts w:ascii="Times New Roman" w:hAnsi="Times New Roman"/>
          <w:i/>
          <w:sz w:val="15"/>
          <w:szCs w:val="15"/>
        </w:rPr>
        <w:t xml:space="preserve">reurs de rang de base. La recommandation du responsable concerné d’adopter une mesure disciplinaire est susceptible de recours devant un comité de recours disciplinaire externe, avant que la décision disciplinaire ne soit adoptée. </w:t>
      </w:r>
      <w:r>
        <w:rPr>
          <w:rFonts w:ascii="Times New Roman" w:hAnsi="Times New Roman"/>
          <w:b/>
          <w:i/>
          <w:sz w:val="15"/>
          <w:szCs w:val="15"/>
        </w:rPr>
        <w:t>EL</w:t>
      </w:r>
      <w:r>
        <w:rPr>
          <w:rFonts w:ascii="Times New Roman" w:hAnsi="Times New Roman"/>
          <w:i/>
          <w:sz w:val="15"/>
          <w:szCs w:val="15"/>
        </w:rPr>
        <w:t>: les conseils de disci</w:t>
      </w:r>
      <w:r>
        <w:rPr>
          <w:rFonts w:ascii="Times New Roman" w:hAnsi="Times New Roman"/>
          <w:i/>
          <w:sz w:val="15"/>
          <w:szCs w:val="15"/>
        </w:rPr>
        <w:t>pline des cours d’appel, composés de cinq membres, sont principalement chargés de juger les infractions disciplinaires et d’infliger toutes les sanctions disciplinaires aux procureurs, à l’exception de la révocation, qui est décidée par la Cour de cassatio</w:t>
      </w:r>
      <w:r>
        <w:rPr>
          <w:rFonts w:ascii="Times New Roman" w:hAnsi="Times New Roman"/>
          <w:i/>
          <w:sz w:val="15"/>
          <w:szCs w:val="15"/>
        </w:rPr>
        <w:t xml:space="preserve">n en séance plénière. Les décisions des conseils de discipline composés de cinq membres sont susceptibles de recours devant un conseil de discipline de la Cour suprême composé de sept membres. </w:t>
      </w:r>
      <w:r>
        <w:rPr>
          <w:rFonts w:ascii="Times New Roman" w:hAnsi="Times New Roman"/>
          <w:b/>
          <w:i/>
          <w:sz w:val="15"/>
          <w:szCs w:val="15"/>
        </w:rPr>
        <w:t>ES</w:t>
      </w:r>
      <w:r>
        <w:rPr>
          <w:rFonts w:ascii="Times New Roman" w:hAnsi="Times New Roman"/>
          <w:i/>
          <w:sz w:val="15"/>
          <w:szCs w:val="15"/>
        </w:rPr>
        <w:t xml:space="preserve">: les procureurs en chef des différents organes du ministère </w:t>
      </w:r>
      <w:r>
        <w:rPr>
          <w:rFonts w:ascii="Times New Roman" w:hAnsi="Times New Roman"/>
          <w:i/>
          <w:sz w:val="15"/>
          <w:szCs w:val="15"/>
        </w:rPr>
        <w:t xml:space="preserve">public décident des mesures disciplinaires, qui peuvent faire l’objet d’un recours auprès du Consejo Fiscal. Cet organe est composé du procureur général, du procureur général adjoint, de l’inspecteur en chef et de six autres procureurs. Ses décisions sont </w:t>
      </w:r>
      <w:r>
        <w:rPr>
          <w:rFonts w:ascii="Times New Roman" w:hAnsi="Times New Roman"/>
          <w:i/>
          <w:sz w:val="15"/>
          <w:szCs w:val="15"/>
        </w:rPr>
        <w:t xml:space="preserve">susceptibles d’être soumises au contrôle juridictionnel de l’Audiencia Nacional. </w:t>
      </w:r>
      <w:r>
        <w:rPr>
          <w:rFonts w:ascii="Times New Roman" w:hAnsi="Times New Roman"/>
          <w:b/>
          <w:i/>
          <w:sz w:val="15"/>
          <w:szCs w:val="15"/>
        </w:rPr>
        <w:t>FR</w:t>
      </w:r>
      <w:r>
        <w:rPr>
          <w:rFonts w:ascii="Times New Roman" w:hAnsi="Times New Roman"/>
          <w:i/>
          <w:sz w:val="15"/>
          <w:szCs w:val="15"/>
        </w:rPr>
        <w:t>: le ministère de la justice décide de la mesure après que le Conseil supérieur de la magistrature a émis un avis non contraignant. Les décisions relatives aux mesures disci</w:t>
      </w:r>
      <w:r>
        <w:rPr>
          <w:rFonts w:ascii="Times New Roman" w:hAnsi="Times New Roman"/>
          <w:i/>
          <w:sz w:val="15"/>
          <w:szCs w:val="15"/>
        </w:rPr>
        <w:t xml:space="preserve">plinaires peuvent faire l’objet d’un recours devant le Conseil d’État. </w:t>
      </w:r>
      <w:r>
        <w:rPr>
          <w:rFonts w:ascii="Times New Roman" w:hAnsi="Times New Roman"/>
          <w:b/>
          <w:i/>
          <w:sz w:val="15"/>
          <w:szCs w:val="15"/>
        </w:rPr>
        <w:t>HR:</w:t>
      </w:r>
      <w:r>
        <w:rPr>
          <w:rFonts w:ascii="Times New Roman" w:hAnsi="Times New Roman"/>
          <w:i/>
          <w:sz w:val="15"/>
          <w:szCs w:val="15"/>
        </w:rPr>
        <w:t xml:space="preserve"> le Conseil des procureurs prend les décisions relatives aux mesures disciplinaires, qui peuvent faire l’objet d’un recours devant les juridictions administratives. </w:t>
      </w:r>
      <w:r>
        <w:rPr>
          <w:rFonts w:ascii="Times New Roman" w:hAnsi="Times New Roman"/>
          <w:b/>
          <w:i/>
          <w:sz w:val="15"/>
          <w:szCs w:val="15"/>
        </w:rPr>
        <w:t>IT</w:t>
      </w:r>
      <w:r>
        <w:rPr>
          <w:rFonts w:ascii="Times New Roman" w:hAnsi="Times New Roman"/>
          <w:i/>
          <w:sz w:val="15"/>
          <w:szCs w:val="15"/>
        </w:rPr>
        <w:t>: les décisions</w:t>
      </w:r>
      <w:r>
        <w:rPr>
          <w:rFonts w:ascii="Times New Roman" w:hAnsi="Times New Roman"/>
          <w:i/>
          <w:sz w:val="15"/>
          <w:szCs w:val="15"/>
        </w:rPr>
        <w:t xml:space="preserve"> du Conseil de la justice relatives aux mesures disciplinaires sont soumises à un contrôle juridictionnel devant la Cour suprême. </w:t>
      </w:r>
      <w:r>
        <w:rPr>
          <w:rFonts w:ascii="Times New Roman" w:hAnsi="Times New Roman"/>
          <w:b/>
          <w:i/>
          <w:sz w:val="15"/>
          <w:szCs w:val="15"/>
        </w:rPr>
        <w:t>CY</w:t>
      </w:r>
      <w:r>
        <w:rPr>
          <w:rFonts w:ascii="Times New Roman" w:hAnsi="Times New Roman"/>
          <w:i/>
          <w:sz w:val="15"/>
          <w:szCs w:val="15"/>
        </w:rPr>
        <w:t>: les mesures disciplinaires sont adoptées par la Commission du service public, un organe constitutionnel composé de cinq me</w:t>
      </w:r>
      <w:r>
        <w:rPr>
          <w:rFonts w:ascii="Times New Roman" w:hAnsi="Times New Roman"/>
          <w:i/>
          <w:sz w:val="15"/>
          <w:szCs w:val="15"/>
        </w:rPr>
        <w:t xml:space="preserve">mbres nommés par le président de la République pour une période de six ans. Les décisions relatives aux mesures disciplinaires sont susceptibles de recours devant le tribunal administratif, puis devant la Cour suprême. </w:t>
      </w:r>
      <w:r>
        <w:rPr>
          <w:rFonts w:ascii="Times New Roman" w:hAnsi="Times New Roman"/>
          <w:b/>
          <w:i/>
          <w:sz w:val="15"/>
          <w:szCs w:val="15"/>
        </w:rPr>
        <w:t>LV</w:t>
      </w:r>
      <w:r>
        <w:rPr>
          <w:rFonts w:ascii="Times New Roman" w:hAnsi="Times New Roman"/>
          <w:i/>
          <w:sz w:val="15"/>
          <w:szCs w:val="15"/>
        </w:rPr>
        <w:t>: le procureur général peut décider</w:t>
      </w:r>
      <w:r>
        <w:rPr>
          <w:rFonts w:ascii="Times New Roman" w:hAnsi="Times New Roman"/>
          <w:i/>
          <w:sz w:val="15"/>
          <w:szCs w:val="15"/>
        </w:rPr>
        <w:t xml:space="preserve"> de toute mesure disciplinaire à l’encontre de tout procureur. Les procureurs en chef peuvent faire un commentaire ou infliger un blâme aux procureurs qui relèvent de leur responsabilité. En cas de violation plus grave, le procureur en chef peut soumettre </w:t>
      </w:r>
      <w:r>
        <w:rPr>
          <w:rFonts w:ascii="Times New Roman" w:hAnsi="Times New Roman"/>
          <w:i/>
          <w:sz w:val="15"/>
          <w:szCs w:val="15"/>
        </w:rPr>
        <w:t>au procureur général une proposition visant à appliquer une autre mesure disciplinaire. Les décisions relatives aux mesures disciplinaires adoptées par un procureur en chef peuvent faire l’objet d’un recours auprès du procureur général. Les décisions relat</w:t>
      </w:r>
      <w:r>
        <w:rPr>
          <w:rFonts w:ascii="Times New Roman" w:hAnsi="Times New Roman"/>
          <w:i/>
          <w:sz w:val="15"/>
          <w:szCs w:val="15"/>
        </w:rPr>
        <w:t xml:space="preserve">ives aux mesures disciplinaires adoptées par le procureur général sont susceptibles de recours devant un tribunal disciplinaire. </w:t>
      </w:r>
      <w:r>
        <w:rPr>
          <w:rFonts w:ascii="Times New Roman" w:hAnsi="Times New Roman"/>
          <w:b/>
          <w:i/>
          <w:sz w:val="15"/>
          <w:szCs w:val="15"/>
        </w:rPr>
        <w:t>LT</w:t>
      </w:r>
      <w:r>
        <w:rPr>
          <w:rFonts w:ascii="Times New Roman" w:hAnsi="Times New Roman"/>
          <w:i/>
          <w:sz w:val="15"/>
          <w:szCs w:val="15"/>
        </w:rPr>
        <w:t>: le procureur général décide des mesures disciplinaires. Les décisions relatives aux mesures disciplinaires sont susceptible</w:t>
      </w:r>
      <w:r>
        <w:rPr>
          <w:rFonts w:ascii="Times New Roman" w:hAnsi="Times New Roman"/>
          <w:i/>
          <w:sz w:val="15"/>
          <w:szCs w:val="15"/>
        </w:rPr>
        <w:t xml:space="preserve">s de recours devant un tribunal administratif. </w:t>
      </w:r>
      <w:r>
        <w:rPr>
          <w:rFonts w:ascii="Times New Roman" w:hAnsi="Times New Roman"/>
          <w:b/>
          <w:i/>
          <w:sz w:val="15"/>
          <w:szCs w:val="15"/>
        </w:rPr>
        <w:t>LU</w:t>
      </w:r>
      <w:r>
        <w:rPr>
          <w:rFonts w:ascii="Times New Roman" w:hAnsi="Times New Roman"/>
          <w:i/>
          <w:sz w:val="15"/>
          <w:szCs w:val="15"/>
        </w:rPr>
        <w:t xml:space="preserve">: le procureur général décide des mesures disciplinaires. </w:t>
      </w:r>
      <w:r>
        <w:rPr>
          <w:rFonts w:ascii="Times New Roman" w:hAnsi="Times New Roman"/>
          <w:b/>
          <w:i/>
          <w:sz w:val="15"/>
          <w:szCs w:val="15"/>
        </w:rPr>
        <w:t>HU</w:t>
      </w:r>
      <w:r>
        <w:rPr>
          <w:rFonts w:ascii="Times New Roman" w:hAnsi="Times New Roman"/>
          <w:i/>
          <w:sz w:val="15"/>
          <w:szCs w:val="15"/>
        </w:rPr>
        <w:t>: le procureur général décide des mesures de retrait d’une distinction, de rétrogradation par salaire ou par grade ou de révocation. Le chef d’unit</w:t>
      </w:r>
      <w:r>
        <w:rPr>
          <w:rFonts w:ascii="Times New Roman" w:hAnsi="Times New Roman"/>
          <w:i/>
          <w:sz w:val="15"/>
          <w:szCs w:val="15"/>
        </w:rPr>
        <w:t>é (procureur de niveau supérieur) peut adopter des mesures plus légères (blâme, réprimande) concernant un procureur relevant de sa responsabilité. Les décisions relatives aux mesures disciplinaires sont susceptibles de recours devant un tribunal du travail</w:t>
      </w:r>
      <w:r>
        <w:rPr>
          <w:rFonts w:ascii="Times New Roman" w:hAnsi="Times New Roman"/>
          <w:i/>
          <w:sz w:val="15"/>
          <w:szCs w:val="15"/>
        </w:rPr>
        <w:t xml:space="preserve">. </w:t>
      </w:r>
      <w:r>
        <w:rPr>
          <w:rFonts w:ascii="Times New Roman" w:hAnsi="Times New Roman"/>
          <w:b/>
          <w:i/>
          <w:sz w:val="15"/>
          <w:szCs w:val="15"/>
        </w:rPr>
        <w:t>MT</w:t>
      </w:r>
      <w:r>
        <w:rPr>
          <w:rFonts w:ascii="Times New Roman" w:hAnsi="Times New Roman"/>
          <w:i/>
          <w:sz w:val="15"/>
          <w:szCs w:val="15"/>
        </w:rPr>
        <w:t xml:space="preserve">: le Comité des avocats et des procureurs se compose d’un avocat désigné par la Commission d’administration de la justice, d’un avocat désigné par le procureur général et de trois procureurs désignés par la Chambre des procureurs. Il peut infliger une </w:t>
      </w:r>
      <w:r>
        <w:rPr>
          <w:rFonts w:ascii="Times New Roman" w:hAnsi="Times New Roman"/>
          <w:i/>
          <w:sz w:val="15"/>
          <w:szCs w:val="15"/>
        </w:rPr>
        <w:t>sanction pécuniaire, émettre une remontrance et adresser des recommandations au procureur. Il peut demander à la Commission de recommander au Premier ministre de conseiller au président de Malte de suspendre ou de révoquer un procureur. Les mesures adoptée</w:t>
      </w:r>
      <w:r>
        <w:rPr>
          <w:rFonts w:ascii="Times New Roman" w:hAnsi="Times New Roman"/>
          <w:i/>
          <w:sz w:val="15"/>
          <w:szCs w:val="15"/>
        </w:rPr>
        <w:t xml:space="preserve">s par le Comité peuvent faire l’objet d’un recours auprès de la Commission d’administration de la justice. </w:t>
      </w:r>
      <w:r>
        <w:rPr>
          <w:rFonts w:ascii="Times New Roman" w:hAnsi="Times New Roman"/>
          <w:b/>
          <w:i/>
          <w:sz w:val="15"/>
          <w:szCs w:val="15"/>
        </w:rPr>
        <w:t>NL</w:t>
      </w:r>
      <w:r>
        <w:rPr>
          <w:rFonts w:ascii="Times New Roman" w:hAnsi="Times New Roman"/>
          <w:i/>
          <w:sz w:val="15"/>
          <w:szCs w:val="15"/>
        </w:rPr>
        <w:t>: le procureur hiérarchiquement supérieur peut imposer certaines mesures de nature plus légère (réprimande écrite, réduction du congé annuel, heure</w:t>
      </w:r>
      <w:r>
        <w:rPr>
          <w:rFonts w:ascii="Times New Roman" w:hAnsi="Times New Roman"/>
          <w:i/>
          <w:sz w:val="15"/>
          <w:szCs w:val="15"/>
        </w:rPr>
        <w:t>s de travail supplémentaires). Le ministre de la justice peut décider d’une mutation sans consentement, d’une suspension, d’une amende financière et de mesures relatives au salaire, après que le procureur hiérarchiquement supérieur a proposé cette mesure o</w:t>
      </w:r>
      <w:r>
        <w:rPr>
          <w:rFonts w:ascii="Times New Roman" w:hAnsi="Times New Roman"/>
          <w:i/>
          <w:sz w:val="15"/>
          <w:szCs w:val="15"/>
        </w:rPr>
        <w:t>u émis un avis. Le gouvernement a le pouvoir de révoquer un procureur, après que le procureur hiérarchiquement supérieur a proposé sa révocation ou émis un avis. Les décisions relatives aux mesures disciplinaires sont susceptibles de recours devant le Cent</w:t>
      </w:r>
      <w:r>
        <w:rPr>
          <w:rFonts w:ascii="Times New Roman" w:hAnsi="Times New Roman"/>
          <w:i/>
          <w:sz w:val="15"/>
          <w:szCs w:val="15"/>
        </w:rPr>
        <w:t xml:space="preserve">rale Raad van Beroep. </w:t>
      </w:r>
      <w:r>
        <w:rPr>
          <w:rFonts w:ascii="Times New Roman" w:hAnsi="Times New Roman"/>
          <w:b/>
          <w:i/>
          <w:sz w:val="15"/>
          <w:szCs w:val="15"/>
        </w:rPr>
        <w:t>AT</w:t>
      </w:r>
      <w:r>
        <w:rPr>
          <w:rFonts w:ascii="Times New Roman" w:hAnsi="Times New Roman"/>
          <w:i/>
          <w:sz w:val="15"/>
          <w:szCs w:val="15"/>
        </w:rPr>
        <w:t xml:space="preserve">: une chambre spéciale d’une juridiction statue sur les mesures disciplinaires. </w:t>
      </w:r>
      <w:r>
        <w:rPr>
          <w:rFonts w:ascii="Times New Roman" w:hAnsi="Times New Roman"/>
          <w:b/>
          <w:i/>
          <w:sz w:val="15"/>
          <w:szCs w:val="15"/>
        </w:rPr>
        <w:t>PL</w:t>
      </w:r>
      <w:r>
        <w:rPr>
          <w:rFonts w:ascii="Times New Roman" w:hAnsi="Times New Roman"/>
          <w:i/>
          <w:sz w:val="15"/>
          <w:szCs w:val="15"/>
        </w:rPr>
        <w:t>: en première instance, les mesures disciplinaires sont généralement décidées par un organe disciplinaire près le ministère public, composé de trois p</w:t>
      </w:r>
      <w:r>
        <w:rPr>
          <w:rFonts w:ascii="Times New Roman" w:hAnsi="Times New Roman"/>
          <w:i/>
          <w:sz w:val="15"/>
          <w:szCs w:val="15"/>
        </w:rPr>
        <w:t xml:space="preserve">rocureurs désignés par des assemblées de procureurs. Ces mesures sont susceptibles de recours devant la chambre disciplinaire de la Cour suprême qui, dans certains cas, joue le rôle d’autorité décisionnelle en première instance. Lorsqu’elle fait office de </w:t>
      </w:r>
      <w:r>
        <w:rPr>
          <w:rFonts w:ascii="Times New Roman" w:hAnsi="Times New Roman"/>
          <w:i/>
          <w:sz w:val="15"/>
          <w:szCs w:val="15"/>
        </w:rPr>
        <w:t>juridiction de deuxième instance, cette chambre est composée de deux juges de la chambre disciplinaire et d’un juge non professionnel. Un procureur qui s’est vu infliger deux fois une sanction autre qu’un blâme peut être démis de ses fonctions par le procu</w:t>
      </w:r>
      <w:r>
        <w:rPr>
          <w:rFonts w:ascii="Times New Roman" w:hAnsi="Times New Roman"/>
          <w:i/>
          <w:sz w:val="15"/>
          <w:szCs w:val="15"/>
        </w:rPr>
        <w:t>reur général (qui est également le ministre de la justice) en cas de commission d’une nouvelle infraction disciplinaire (qui ne doit pas être constatée par le tribunal disciplinaire et sans possibilité de contrôle juridictionnel de la décision du procureur</w:t>
      </w:r>
      <w:r>
        <w:rPr>
          <w:rFonts w:ascii="Times New Roman" w:hAnsi="Times New Roman"/>
          <w:i/>
          <w:sz w:val="15"/>
          <w:szCs w:val="15"/>
        </w:rPr>
        <w:t xml:space="preserve"> général). </w:t>
      </w:r>
      <w:r>
        <w:rPr>
          <w:rFonts w:ascii="Times New Roman" w:hAnsi="Times New Roman"/>
          <w:b/>
          <w:i/>
          <w:sz w:val="15"/>
          <w:szCs w:val="15"/>
        </w:rPr>
        <w:t>PT</w:t>
      </w:r>
      <w:r>
        <w:rPr>
          <w:rFonts w:ascii="Times New Roman" w:hAnsi="Times New Roman"/>
          <w:i/>
          <w:sz w:val="15"/>
          <w:szCs w:val="15"/>
        </w:rPr>
        <w:t>: la section disciplinaire du Conseil supérieur du ministère public décide de l’adoption de mesures disciplinaires. Ses décisions peuvent faire l’objet d’un recours devant l’assemblée plénière du Conseil supérieur du ministère public, puis dev</w:t>
      </w:r>
      <w:r>
        <w:rPr>
          <w:rFonts w:ascii="Times New Roman" w:hAnsi="Times New Roman"/>
          <w:i/>
          <w:sz w:val="15"/>
          <w:szCs w:val="15"/>
        </w:rPr>
        <w:t xml:space="preserve">ant la Cour administrative suprême. </w:t>
      </w:r>
      <w:r>
        <w:rPr>
          <w:rFonts w:ascii="Times New Roman" w:hAnsi="Times New Roman"/>
          <w:b/>
          <w:i/>
          <w:sz w:val="15"/>
          <w:szCs w:val="15"/>
        </w:rPr>
        <w:t>RO</w:t>
      </w:r>
      <w:r>
        <w:rPr>
          <w:rFonts w:ascii="Times New Roman" w:hAnsi="Times New Roman"/>
          <w:i/>
          <w:sz w:val="15"/>
          <w:szCs w:val="15"/>
        </w:rPr>
        <w:t xml:space="preserve">: le Conseil supérieur de la magistrature statue sur les mesures disciplinaires. Les décisions relatives aux mesures disciplinaires sont susceptibles de recours devant la Cour suprême. </w:t>
      </w:r>
      <w:r>
        <w:rPr>
          <w:rFonts w:ascii="Times New Roman" w:hAnsi="Times New Roman"/>
          <w:b/>
          <w:i/>
          <w:sz w:val="15"/>
          <w:szCs w:val="15"/>
        </w:rPr>
        <w:t xml:space="preserve">SI: </w:t>
      </w:r>
      <w:r>
        <w:rPr>
          <w:rFonts w:ascii="Times New Roman" w:hAnsi="Times New Roman"/>
          <w:i/>
          <w:sz w:val="15"/>
          <w:szCs w:val="15"/>
        </w:rPr>
        <w:t>le tribunal disciplinaire nom</w:t>
      </w:r>
      <w:r>
        <w:rPr>
          <w:rFonts w:ascii="Times New Roman" w:hAnsi="Times New Roman"/>
          <w:i/>
          <w:sz w:val="15"/>
          <w:szCs w:val="15"/>
        </w:rPr>
        <w:t>mé par le Conseil des procureurs décide des sanctions disciplinaires. Le tribunal disciplinaire de premier degré est composé de six procureurs d’État proposés par le procureur général et de trois juges proposés par le président du tribunal disciplinaire de</w:t>
      </w:r>
      <w:r>
        <w:rPr>
          <w:rFonts w:ascii="Times New Roman" w:hAnsi="Times New Roman"/>
          <w:i/>
          <w:sz w:val="15"/>
          <w:szCs w:val="15"/>
        </w:rPr>
        <w:t xml:space="preserve"> première instance pour les juges parmi les membres de ce tribunal. Le tribunal disciplinaire de deuxième instance est composé de six membres nommés par le Conseil des procureurs: le président, le vice-président et deux membres proposés par le président du</w:t>
      </w:r>
      <w:r>
        <w:rPr>
          <w:rFonts w:ascii="Times New Roman" w:hAnsi="Times New Roman"/>
          <w:i/>
          <w:sz w:val="15"/>
          <w:szCs w:val="15"/>
        </w:rPr>
        <w:t xml:space="preserve"> tribunal disciplinaire pour les juges de deuxième instance parmi les membres de ce tribunal; deux procureurs d’État suprêmes sont proposés par le procureur général. </w:t>
      </w:r>
      <w:r>
        <w:rPr>
          <w:rFonts w:ascii="Times New Roman" w:hAnsi="Times New Roman"/>
          <w:b/>
          <w:i/>
          <w:sz w:val="15"/>
          <w:szCs w:val="15"/>
        </w:rPr>
        <w:t>SK</w:t>
      </w:r>
      <w:r>
        <w:rPr>
          <w:rFonts w:ascii="Times New Roman" w:hAnsi="Times New Roman"/>
          <w:i/>
          <w:sz w:val="15"/>
          <w:szCs w:val="15"/>
        </w:rPr>
        <w:t xml:space="preserve">: un conseil de discipline composé de trois procureurs, nommés par le procureur général </w:t>
      </w:r>
      <w:r>
        <w:rPr>
          <w:rFonts w:ascii="Times New Roman" w:hAnsi="Times New Roman"/>
          <w:i/>
          <w:sz w:val="15"/>
          <w:szCs w:val="15"/>
        </w:rPr>
        <w:t>à partir d’une base de données d’au moins 40 personnes proposées par le conseil des procureurs, décide des mesures disciplinaires. Ces décisions sont susceptibles de recours devant un conseil de discipline du parquet général, composé de cinq procureurs nom</w:t>
      </w:r>
      <w:r>
        <w:rPr>
          <w:rFonts w:ascii="Times New Roman" w:hAnsi="Times New Roman"/>
          <w:i/>
          <w:sz w:val="15"/>
          <w:szCs w:val="15"/>
        </w:rPr>
        <w:t xml:space="preserve">més par le procureur général à partir d’une base de données de personnes proposées par le conseil des procureurs. Le contrôle juridictionnel des décisions de la commission de recours disciplinaire est possible devant les juridictions régionales. </w:t>
      </w:r>
      <w:r>
        <w:rPr>
          <w:rFonts w:ascii="Times New Roman" w:hAnsi="Times New Roman"/>
          <w:b/>
          <w:i/>
          <w:sz w:val="15"/>
          <w:szCs w:val="15"/>
        </w:rPr>
        <w:t>FI</w:t>
      </w:r>
      <w:r>
        <w:rPr>
          <w:rFonts w:ascii="Times New Roman" w:hAnsi="Times New Roman"/>
          <w:i/>
          <w:sz w:val="15"/>
          <w:szCs w:val="15"/>
        </w:rPr>
        <w:t>: le pro</w:t>
      </w:r>
      <w:r>
        <w:rPr>
          <w:rFonts w:ascii="Times New Roman" w:hAnsi="Times New Roman"/>
          <w:i/>
          <w:sz w:val="15"/>
          <w:szCs w:val="15"/>
        </w:rPr>
        <w:t>cureur général décide des mesures disciplinaires. Les décisions relatives aux mesures disciplinaires sont susceptibles de recours devant un tribunal administratif.</w:t>
      </w:r>
    </w:p>
    <w:p w:rsidR="00D23207" w:rsidRDefault="00493C98">
      <w:pPr>
        <w:spacing w:before="120" w:after="0" w:line="240" w:lineRule="auto"/>
        <w:jc w:val="both"/>
        <w:rPr>
          <w:rFonts w:ascii="Times New Roman" w:hAnsi="Times New Roman"/>
          <w:sz w:val="23"/>
          <w:szCs w:val="23"/>
        </w:rPr>
      </w:pPr>
      <w:r>
        <w:rPr>
          <w:rFonts w:ascii="Times New Roman" w:hAnsi="Times New Roman"/>
          <w:sz w:val="23"/>
          <w:szCs w:val="23"/>
        </w:rPr>
        <w:t>Le graphique 54 présente une vue d’ensemble des organismes d’enquête qui mènent les enquêtes</w:t>
      </w:r>
      <w:r>
        <w:rPr>
          <w:rFonts w:ascii="Times New Roman" w:hAnsi="Times New Roman"/>
          <w:sz w:val="23"/>
          <w:szCs w:val="23"/>
        </w:rPr>
        <w:t xml:space="preserve"> formelles au cours des procédures disciplinaires concernant les procureurs. Sauf disposition contraire dans la note de bas de page relative au graphique, les enquêtes préliminaires visant à décider de l’ouverture ou non d’une procédure disciplinaire forme</w:t>
      </w:r>
      <w:r>
        <w:rPr>
          <w:rFonts w:ascii="Times New Roman" w:hAnsi="Times New Roman"/>
          <w:sz w:val="23"/>
          <w:szCs w:val="23"/>
        </w:rPr>
        <w:t xml:space="preserve">lle ne sont pas concernées. L’enquête, étape importante de la procédure disciplinaire, est susceptible d’avoir une incidence sur l’autonomie du ministère public. Le pouvoir d’enquête peut être exercé soit a) par des autorités traditionnelles indépendantes </w:t>
      </w:r>
      <w:r>
        <w:rPr>
          <w:rFonts w:ascii="Times New Roman" w:hAnsi="Times New Roman"/>
          <w:sz w:val="23"/>
          <w:szCs w:val="23"/>
        </w:rPr>
        <w:t>comme une juridiction ou le conseil de la justice ou le ministère public, soit b) par le procureur général ou un procureur supérieur, soit c) par d’autres organes.</w:t>
      </w:r>
    </w:p>
    <w:p w:rsidR="00D23207" w:rsidRDefault="00493C98">
      <w:pPr>
        <w:rPr>
          <w:rFonts w:ascii="Times New Roman" w:hAnsi="Times New Roman"/>
          <w:sz w:val="23"/>
          <w:szCs w:val="23"/>
        </w:rPr>
      </w:pPr>
      <w:r>
        <w:rPr>
          <w:rFonts w:ascii="Times New Roman" w:hAnsi="Times New Roman"/>
          <w:sz w:val="23"/>
          <w:szCs w:val="23"/>
        </w:rPr>
        <w:br w:type="page"/>
      </w:r>
    </w:p>
    <w:p w:rsidR="00D23207" w:rsidRDefault="00493C98">
      <w:pPr>
        <w:spacing w:before="240" w:after="120" w:line="240" w:lineRule="auto"/>
        <w:jc w:val="both"/>
        <w:rPr>
          <w:rFonts w:ascii="Times New Roman" w:eastAsia="Times New Roman" w:hAnsi="Times New Roman" w:cs="Times New Roman"/>
          <w:bCs/>
          <w:sz w:val="20"/>
          <w:szCs w:val="20"/>
        </w:rPr>
      </w:pPr>
      <w:r>
        <w:rPr>
          <w:rFonts w:ascii="Times New Roman" w:hAnsi="Times New Roman"/>
          <w:b/>
          <w:bCs/>
          <w:sz w:val="24"/>
          <w:szCs w:val="24"/>
        </w:rPr>
        <w:t>Graphique </w:t>
      </w:r>
      <w: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54</w:t>
      </w:r>
      <w:r>
        <w:fldChar w:fldCharType="end"/>
      </w:r>
      <w:r>
        <w:rPr>
          <w:rFonts w:ascii="Times New Roman" w:hAnsi="Times New Roman"/>
          <w:b/>
          <w:bCs/>
          <w:sz w:val="24"/>
          <w:szCs w:val="24"/>
        </w:rPr>
        <w:t xml:space="preserve">: enquêteur chargé des procédures disciplinaires </w:t>
      </w:r>
      <w:r>
        <w:rPr>
          <w:rFonts w:ascii="Times New Roman" w:hAnsi="Times New Roman"/>
          <w:b/>
          <w:bCs/>
          <w:sz w:val="24"/>
          <w:szCs w:val="24"/>
        </w:rPr>
        <w:t>officielles concernant les procureurs</w:t>
      </w:r>
      <w:r>
        <w:rPr>
          <w:rFonts w:ascii="Times New Roman" w:hAnsi="Times New Roman"/>
          <w:bCs/>
          <w:sz w:val="24"/>
          <w:szCs w:val="24"/>
        </w:rPr>
        <w:t xml:space="preserve"> (*) </w:t>
      </w:r>
      <w:r>
        <w:rPr>
          <w:rFonts w:ascii="Times New Roman" w:hAnsi="Times New Roman"/>
          <w:bCs/>
          <w:i/>
          <w:sz w:val="24"/>
          <w:szCs w:val="24"/>
        </w:rPr>
        <w:t>(Source: Commission européenne avec le groupe d’experts en matière de blanchiment des capitaux et de financement du terrorisme)</w:t>
      </w:r>
      <w:bookmarkStart w:id="557" w:name="_Toc442362481"/>
      <w:bookmarkStart w:id="558" w:name="_Toc442374817"/>
      <w:bookmarkStart w:id="559" w:name="_Toc442425957"/>
      <w:bookmarkStart w:id="560" w:name="_Toc442453083"/>
      <w:bookmarkStart w:id="561" w:name="_Toc443484542"/>
      <w:bookmarkStart w:id="562" w:name="_Toc443484764"/>
      <w:bookmarkStart w:id="563" w:name="_Toc443509505"/>
      <w:bookmarkStart w:id="564" w:name="_Toc446014834"/>
      <w:bookmarkStart w:id="565" w:name="_Toc441755432"/>
      <w:bookmarkStart w:id="566" w:name="_Toc441756469"/>
      <w:bookmarkStart w:id="567" w:name="_Toc441757513"/>
      <w:bookmarkStart w:id="568" w:name="_Toc441766642"/>
      <w:bookmarkStart w:id="569" w:name="_Toc441766981"/>
      <w:bookmarkStart w:id="570" w:name="_Toc442187982"/>
      <w:bookmarkStart w:id="571" w:name="_Toc442262074"/>
      <w:r>
        <w:rPr>
          <w:rFonts w:ascii="Times New Roman" w:hAnsi="Times New Roman"/>
          <w:bCs/>
          <w:i/>
          <w:sz w:val="24"/>
          <w:szCs w:val="24"/>
        </w:rPr>
        <w:t xml:space="preserve"> </w:t>
      </w:r>
    </w:p>
    <w:p w:rsidR="00D23207" w:rsidRDefault="00493C98">
      <w:pPr>
        <w:spacing w:after="0" w:line="240" w:lineRule="auto"/>
        <w:jc w:val="both"/>
        <w:rPr>
          <w:rFonts w:ascii="Times New Roman" w:hAnsi="Times New Roman" w:cs="Times New Roman"/>
          <w:i/>
          <w:sz w:val="15"/>
          <w:szCs w:val="15"/>
        </w:rPr>
      </w:pPr>
      <w:r>
        <w:rPr>
          <w:rFonts w:ascii="Times New Roman" w:hAnsi="Times New Roman" w:cs="Times New Roman"/>
          <w:i/>
          <w:sz w:val="15"/>
          <w:szCs w:val="15"/>
          <w:lang w:val="en-GB" w:eastAsia="en-GB"/>
        </w:rPr>
        <w:drawing>
          <wp:inline distT="0" distB="0" distL="0" distR="0">
            <wp:extent cx="5977255" cy="1708941"/>
            <wp:effectExtent l="0" t="0" r="4445" b="5715"/>
            <wp:docPr id="97330" name="Picture 9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77255" cy="1708941"/>
                    </a:xfrm>
                    <a:prstGeom prst="rect">
                      <a:avLst/>
                    </a:prstGeom>
                    <a:noFill/>
                    <a:ln>
                      <a:noFill/>
                    </a:ln>
                  </pic:spPr>
                </pic:pic>
              </a:graphicData>
            </a:graphic>
          </wp:inline>
        </w:drawing>
      </w:r>
    </w:p>
    <w:p w:rsidR="00D23207" w:rsidRDefault="00493C98">
      <w:pPr>
        <w:spacing w:after="0" w:line="240" w:lineRule="auto"/>
        <w:jc w:val="both"/>
        <w:rPr>
          <w:rFonts w:ascii="Times New Roman" w:hAnsi="Times New Roman" w:cs="Times New Roman"/>
          <w:i/>
          <w:sz w:val="15"/>
          <w:szCs w:val="15"/>
        </w:rPr>
      </w:pPr>
      <w:r>
        <w:rPr>
          <w:rFonts w:ascii="Times New Roman" w:hAnsi="Times New Roman"/>
          <w:i/>
          <w:sz w:val="15"/>
          <w:szCs w:val="15"/>
        </w:rPr>
        <w:t xml:space="preserve">(*) </w:t>
      </w:r>
      <w:r>
        <w:rPr>
          <w:rFonts w:ascii="Times New Roman" w:hAnsi="Times New Roman"/>
          <w:b/>
          <w:i/>
          <w:sz w:val="15"/>
          <w:szCs w:val="15"/>
        </w:rPr>
        <w:t>BE</w:t>
      </w:r>
      <w:r>
        <w:rPr>
          <w:rFonts w:ascii="Times New Roman" w:hAnsi="Times New Roman"/>
          <w:i/>
          <w:sz w:val="15"/>
          <w:szCs w:val="15"/>
        </w:rPr>
        <w:t xml:space="preserve">: le procureur hiérarchiquement supérieur mène les enquêtes. </w:t>
      </w:r>
      <w:r>
        <w:rPr>
          <w:rFonts w:ascii="Times New Roman" w:hAnsi="Times New Roman"/>
          <w:b/>
          <w:i/>
          <w:sz w:val="15"/>
          <w:szCs w:val="15"/>
        </w:rPr>
        <w:t>BG</w:t>
      </w:r>
      <w:r>
        <w:rPr>
          <w:rFonts w:ascii="Times New Roman" w:hAnsi="Times New Roman"/>
          <w:i/>
          <w:sz w:val="15"/>
          <w:szCs w:val="15"/>
        </w:rPr>
        <w:t>: le chef administratif du procureur mène l’enquête en cas de blâme. Pour toutes les autres sanctions, l’enquête est menée par une commission disciplinaire de trois membres élus par la Chambre des procureurs du Conseil supérieur de la magistrature parmi se</w:t>
      </w:r>
      <w:r>
        <w:rPr>
          <w:rFonts w:ascii="Times New Roman" w:hAnsi="Times New Roman"/>
          <w:i/>
          <w:sz w:val="15"/>
          <w:szCs w:val="15"/>
        </w:rPr>
        <w:t>s membres. La Chambre des procureurs du Conseil supérieur de la magistrature est composée du procureur général, de quatre membres élus par les procureurs, d’un membre élu par les magistrats instructeurs et de cinq membres élus par l’Assemblée nationale. L’</w:t>
      </w:r>
      <w:r>
        <w:rPr>
          <w:rFonts w:ascii="Times New Roman" w:hAnsi="Times New Roman"/>
          <w:i/>
          <w:sz w:val="15"/>
          <w:szCs w:val="15"/>
        </w:rPr>
        <w:t xml:space="preserve">Inspection du Conseil supérieur de la magistrature effectue des inspections sur la base desquelles elle peut faire des propositions de procédures disciplinaires. </w:t>
      </w:r>
      <w:r>
        <w:rPr>
          <w:rFonts w:ascii="Times New Roman" w:hAnsi="Times New Roman"/>
          <w:b/>
          <w:i/>
          <w:sz w:val="15"/>
          <w:szCs w:val="15"/>
        </w:rPr>
        <w:t>CZ</w:t>
      </w:r>
      <w:r>
        <w:rPr>
          <w:rFonts w:ascii="Times New Roman" w:hAnsi="Times New Roman"/>
          <w:i/>
          <w:sz w:val="15"/>
          <w:szCs w:val="15"/>
        </w:rPr>
        <w:t xml:space="preserve">: le procureur général et le procureur en chef peuvent consulter le dossier du procureur et </w:t>
      </w:r>
      <w:r>
        <w:rPr>
          <w:rFonts w:ascii="Times New Roman" w:hAnsi="Times New Roman"/>
          <w:i/>
          <w:sz w:val="15"/>
          <w:szCs w:val="15"/>
        </w:rPr>
        <w:t xml:space="preserve">l’inviter à formuler ses observations. </w:t>
      </w:r>
      <w:r>
        <w:rPr>
          <w:rFonts w:ascii="Times New Roman" w:hAnsi="Times New Roman"/>
          <w:b/>
          <w:i/>
          <w:sz w:val="15"/>
          <w:szCs w:val="15"/>
        </w:rPr>
        <w:t>DK</w:t>
      </w:r>
      <w:r>
        <w:rPr>
          <w:rFonts w:ascii="Times New Roman" w:hAnsi="Times New Roman"/>
          <w:i/>
          <w:sz w:val="15"/>
          <w:szCs w:val="15"/>
        </w:rPr>
        <w:t xml:space="preserve">: le ministère public mène les enquêtes. </w:t>
      </w:r>
      <w:r>
        <w:rPr>
          <w:rFonts w:ascii="Times New Roman" w:hAnsi="Times New Roman"/>
          <w:b/>
          <w:i/>
          <w:sz w:val="15"/>
          <w:szCs w:val="15"/>
        </w:rPr>
        <w:t>DE</w:t>
      </w:r>
      <w:r>
        <w:rPr>
          <w:rFonts w:ascii="Times New Roman" w:hAnsi="Times New Roman"/>
          <w:i/>
          <w:sz w:val="15"/>
          <w:szCs w:val="15"/>
        </w:rPr>
        <w:t>: le chef du ministère public décide non seulement de l’ouverture d’une procédure disciplinaire à l’encontre d’un procureur, mais conduit également la procédure disciplinai</w:t>
      </w:r>
      <w:r>
        <w:rPr>
          <w:rFonts w:ascii="Times New Roman" w:hAnsi="Times New Roman"/>
          <w:i/>
          <w:sz w:val="15"/>
          <w:szCs w:val="15"/>
        </w:rPr>
        <w:t xml:space="preserve">re. En raison de la compétence des Länder pour réglementer le droit disciplinaire des fonctionnaires de l’État, les lois des Länder présentent diverses particularités. </w:t>
      </w:r>
      <w:r>
        <w:rPr>
          <w:rFonts w:ascii="Times New Roman" w:hAnsi="Times New Roman"/>
          <w:b/>
          <w:i/>
          <w:sz w:val="15"/>
          <w:szCs w:val="15"/>
        </w:rPr>
        <w:t>EE</w:t>
      </w:r>
      <w:r>
        <w:rPr>
          <w:rFonts w:ascii="Times New Roman" w:hAnsi="Times New Roman"/>
          <w:i/>
          <w:sz w:val="15"/>
          <w:szCs w:val="15"/>
        </w:rPr>
        <w:t>: le procureur hiérarchiquement supérieur ou le procureur général mène les enquêtes, e</w:t>
      </w:r>
      <w:r>
        <w:rPr>
          <w:rFonts w:ascii="Times New Roman" w:hAnsi="Times New Roman"/>
          <w:i/>
          <w:sz w:val="15"/>
          <w:szCs w:val="15"/>
        </w:rPr>
        <w:t>n fonction de la personne qui a engagé la procédure disciplinaire. Il peut également confier la tâche de rassembler des preuves et d’exiger des explications à un autre procureur, qui n’est ni membre de la commission disciplinaire, ni le procureur contre le</w:t>
      </w:r>
      <w:r>
        <w:rPr>
          <w:rFonts w:ascii="Times New Roman" w:hAnsi="Times New Roman"/>
          <w:i/>
          <w:sz w:val="15"/>
          <w:szCs w:val="15"/>
        </w:rPr>
        <w:t>quel la procédure est engagée, ni un subordonné de ce procureur. L’affaire est entendue par la commission disciplinaire des procureurs, qui est composée de deux procureurs du bureau du procureur général, de deux procureurs des bureaux des procureurs de dis</w:t>
      </w:r>
      <w:r>
        <w:rPr>
          <w:rFonts w:ascii="Times New Roman" w:hAnsi="Times New Roman"/>
          <w:i/>
          <w:sz w:val="15"/>
          <w:szCs w:val="15"/>
        </w:rPr>
        <w:t xml:space="preserve">trict et d’un juge. </w:t>
      </w:r>
      <w:r>
        <w:rPr>
          <w:rFonts w:ascii="Times New Roman" w:hAnsi="Times New Roman"/>
          <w:b/>
          <w:i/>
          <w:sz w:val="15"/>
          <w:szCs w:val="15"/>
        </w:rPr>
        <w:t>IE</w:t>
      </w:r>
      <w:r>
        <w:rPr>
          <w:rFonts w:ascii="Times New Roman" w:hAnsi="Times New Roman"/>
          <w:i/>
          <w:sz w:val="15"/>
          <w:szCs w:val="15"/>
        </w:rPr>
        <w:t xml:space="preserve">: un procureur hiérarchiquement supérieur mène les enquêtes. Dans les cas où les faits sont complexes ou si la faute présumée est grave, le département des ressources humaines fera en sorte qu’une enquête soit menée. </w:t>
      </w:r>
      <w:r>
        <w:rPr>
          <w:rFonts w:ascii="Times New Roman" w:hAnsi="Times New Roman"/>
          <w:b/>
          <w:bCs/>
          <w:i/>
          <w:sz w:val="15"/>
          <w:szCs w:val="15"/>
        </w:rPr>
        <w:t>EL</w:t>
      </w:r>
      <w:r>
        <w:rPr>
          <w:rFonts w:ascii="Times New Roman" w:hAnsi="Times New Roman"/>
          <w:i/>
          <w:sz w:val="15"/>
          <w:szCs w:val="15"/>
        </w:rPr>
        <w:t xml:space="preserve">: le procureur </w:t>
      </w:r>
      <w:r>
        <w:rPr>
          <w:rFonts w:ascii="Times New Roman" w:hAnsi="Times New Roman"/>
          <w:i/>
          <w:sz w:val="15"/>
          <w:szCs w:val="15"/>
        </w:rPr>
        <w:t xml:space="preserve">hiérarchiquement supérieur mène les enquêtes. </w:t>
      </w:r>
      <w:r>
        <w:rPr>
          <w:rFonts w:ascii="Times New Roman" w:hAnsi="Times New Roman"/>
          <w:b/>
          <w:i/>
          <w:sz w:val="15"/>
          <w:szCs w:val="15"/>
        </w:rPr>
        <w:t>ES</w:t>
      </w:r>
      <w:r>
        <w:rPr>
          <w:rFonts w:ascii="Times New Roman" w:hAnsi="Times New Roman"/>
          <w:i/>
          <w:sz w:val="15"/>
          <w:szCs w:val="15"/>
        </w:rPr>
        <w:t xml:space="preserve">: le procureur hiérarchiquement supérieur mène les enquêtes. </w:t>
      </w:r>
      <w:r>
        <w:rPr>
          <w:rFonts w:ascii="Times New Roman" w:hAnsi="Times New Roman"/>
          <w:b/>
          <w:i/>
          <w:sz w:val="15"/>
          <w:szCs w:val="15"/>
        </w:rPr>
        <w:t>FR</w:t>
      </w:r>
      <w:r>
        <w:rPr>
          <w:rFonts w:ascii="Times New Roman" w:hAnsi="Times New Roman"/>
          <w:i/>
          <w:sz w:val="15"/>
          <w:szCs w:val="15"/>
        </w:rPr>
        <w:t>: à la suite d’une enquête administrative, le ministre de la justice peut décider de saisir le Conseil supérieur de la magistrature pour enquêter</w:t>
      </w:r>
      <w:r>
        <w:rPr>
          <w:rFonts w:ascii="Times New Roman" w:hAnsi="Times New Roman"/>
          <w:i/>
          <w:sz w:val="15"/>
          <w:szCs w:val="15"/>
        </w:rPr>
        <w:t xml:space="preserve"> sur l’affaire. </w:t>
      </w:r>
      <w:r>
        <w:rPr>
          <w:rFonts w:ascii="Times New Roman" w:hAnsi="Times New Roman"/>
          <w:b/>
          <w:i/>
          <w:sz w:val="15"/>
          <w:szCs w:val="15"/>
        </w:rPr>
        <w:t>HR:</w:t>
      </w:r>
      <w:r>
        <w:rPr>
          <w:rFonts w:ascii="Times New Roman" w:hAnsi="Times New Roman"/>
          <w:i/>
          <w:sz w:val="15"/>
          <w:szCs w:val="15"/>
        </w:rPr>
        <w:t xml:space="preserve"> le procureur général mène les enquêtes. </w:t>
      </w:r>
      <w:r>
        <w:rPr>
          <w:rFonts w:ascii="Times New Roman" w:hAnsi="Times New Roman"/>
          <w:b/>
          <w:i/>
          <w:sz w:val="15"/>
          <w:szCs w:val="15"/>
        </w:rPr>
        <w:t>IT</w:t>
      </w:r>
      <w:r>
        <w:rPr>
          <w:rFonts w:ascii="Times New Roman" w:hAnsi="Times New Roman"/>
          <w:i/>
          <w:sz w:val="15"/>
          <w:szCs w:val="15"/>
        </w:rPr>
        <w:t xml:space="preserve">: le procureur général près la Cour suprême est habilité à mener l’enquête. L’inspection générale près le ministère de la justice est habilitée à effectuer des enquêtes administratives. </w:t>
      </w:r>
      <w:r>
        <w:rPr>
          <w:rFonts w:ascii="Times New Roman" w:hAnsi="Times New Roman"/>
          <w:b/>
          <w:i/>
          <w:sz w:val="15"/>
          <w:szCs w:val="15"/>
        </w:rPr>
        <w:t>CY</w:t>
      </w:r>
      <w:r>
        <w:rPr>
          <w:rFonts w:ascii="Times New Roman" w:hAnsi="Times New Roman"/>
          <w:i/>
          <w:sz w:val="15"/>
          <w:szCs w:val="15"/>
        </w:rPr>
        <w:t>: le p</w:t>
      </w:r>
      <w:r>
        <w:rPr>
          <w:rFonts w:ascii="Times New Roman" w:hAnsi="Times New Roman"/>
          <w:i/>
          <w:sz w:val="15"/>
          <w:szCs w:val="15"/>
        </w:rPr>
        <w:t xml:space="preserve">rocureur général nomme un ou plusieurs agents de rang supérieur autres que l’agent en question, qui mènent l’enquête et produisent un rapport. Le procureur général décide alors, sur la base des preuves, s’il faut renvoyer l’affaire devant la Commission du </w:t>
      </w:r>
      <w:r>
        <w:rPr>
          <w:rFonts w:ascii="Times New Roman" w:hAnsi="Times New Roman"/>
          <w:i/>
          <w:sz w:val="15"/>
          <w:szCs w:val="15"/>
        </w:rPr>
        <w:t xml:space="preserve">service public. </w:t>
      </w:r>
      <w:r>
        <w:rPr>
          <w:rFonts w:ascii="Times New Roman" w:hAnsi="Times New Roman"/>
          <w:b/>
          <w:i/>
          <w:sz w:val="15"/>
          <w:szCs w:val="15"/>
        </w:rPr>
        <w:t>LV</w:t>
      </w:r>
      <w:r>
        <w:rPr>
          <w:rFonts w:ascii="Times New Roman" w:hAnsi="Times New Roman"/>
          <w:i/>
          <w:sz w:val="15"/>
          <w:szCs w:val="15"/>
        </w:rPr>
        <w:t>: un fonctionnaire, qui a le droit d’appliquer une sanction disciplinaire (le procureur général ou les procureurs principaux), examine tous les documents reçus et demande une explication à un procureur et, si nécessaire, organise l’enquêt</w:t>
      </w:r>
      <w:r>
        <w:rPr>
          <w:rFonts w:ascii="Times New Roman" w:hAnsi="Times New Roman"/>
          <w:i/>
          <w:sz w:val="15"/>
          <w:szCs w:val="15"/>
        </w:rPr>
        <w:t xml:space="preserve">e sur les circonstances d’une infraction disciplinaire. L’enquête peut être menée par le procureur du parquet général ou par les procureurs en chef. </w:t>
      </w:r>
      <w:r>
        <w:rPr>
          <w:rFonts w:ascii="Times New Roman" w:hAnsi="Times New Roman"/>
          <w:b/>
          <w:i/>
          <w:sz w:val="15"/>
          <w:szCs w:val="15"/>
        </w:rPr>
        <w:t>LT</w:t>
      </w:r>
      <w:r>
        <w:rPr>
          <w:rFonts w:ascii="Times New Roman" w:hAnsi="Times New Roman"/>
          <w:i/>
          <w:sz w:val="15"/>
          <w:szCs w:val="15"/>
        </w:rPr>
        <w:t>: la division d’enquête interne du Bureau du procureur général ou la commission d’enquête officielle créé</w:t>
      </w:r>
      <w:r>
        <w:rPr>
          <w:rFonts w:ascii="Times New Roman" w:hAnsi="Times New Roman"/>
          <w:i/>
          <w:sz w:val="15"/>
          <w:szCs w:val="15"/>
        </w:rPr>
        <w:t xml:space="preserve">e sur ordre du procureur général mène l’enquête. </w:t>
      </w:r>
      <w:r>
        <w:rPr>
          <w:rFonts w:ascii="Times New Roman" w:hAnsi="Times New Roman"/>
          <w:b/>
          <w:i/>
          <w:sz w:val="15"/>
          <w:szCs w:val="15"/>
        </w:rPr>
        <w:t>LU</w:t>
      </w:r>
      <w:r>
        <w:rPr>
          <w:rFonts w:ascii="Times New Roman" w:hAnsi="Times New Roman"/>
          <w:i/>
          <w:sz w:val="15"/>
          <w:szCs w:val="15"/>
        </w:rPr>
        <w:t xml:space="preserve">: une chambre du Conseil de la Cour supérieure de justice mène l’enquête. </w:t>
      </w:r>
      <w:r>
        <w:rPr>
          <w:rFonts w:ascii="Times New Roman" w:hAnsi="Times New Roman"/>
          <w:b/>
          <w:i/>
          <w:sz w:val="15"/>
          <w:szCs w:val="15"/>
        </w:rPr>
        <w:t>HU</w:t>
      </w:r>
      <w:r>
        <w:rPr>
          <w:rFonts w:ascii="Times New Roman" w:hAnsi="Times New Roman"/>
          <w:i/>
          <w:sz w:val="15"/>
          <w:szCs w:val="15"/>
        </w:rPr>
        <w:t>: le commissaire disciplinaire chargé de l’enquête est un procureur nommé pour enquêter par le chef d’unité (procureur supérieur)</w:t>
      </w:r>
      <w:r>
        <w:rPr>
          <w:rFonts w:ascii="Times New Roman" w:hAnsi="Times New Roman"/>
          <w:i/>
          <w:sz w:val="15"/>
          <w:szCs w:val="15"/>
        </w:rPr>
        <w:t xml:space="preserve"> du procureur faisant l’objet de l’enquête. </w:t>
      </w:r>
      <w:r>
        <w:rPr>
          <w:rFonts w:ascii="Times New Roman" w:hAnsi="Times New Roman"/>
          <w:b/>
          <w:i/>
          <w:sz w:val="15"/>
          <w:szCs w:val="15"/>
        </w:rPr>
        <w:t>MT</w:t>
      </w:r>
      <w:r>
        <w:rPr>
          <w:rFonts w:ascii="Times New Roman" w:hAnsi="Times New Roman"/>
          <w:i/>
          <w:sz w:val="15"/>
          <w:szCs w:val="15"/>
        </w:rPr>
        <w:t>: le Comité des avocats et des procureurs enquête sur l’affaire. Cet organe se compose d’un avocat désigné par la Commission d’administration de la justice, d’un avocat désigné par le procureur général et de tr</w:t>
      </w:r>
      <w:r>
        <w:rPr>
          <w:rFonts w:ascii="Times New Roman" w:hAnsi="Times New Roman"/>
          <w:i/>
          <w:sz w:val="15"/>
          <w:szCs w:val="15"/>
        </w:rPr>
        <w:t xml:space="preserve">ois procureurs désignés par la Chambre des procureurs. </w:t>
      </w:r>
      <w:r>
        <w:rPr>
          <w:rFonts w:ascii="Times New Roman" w:hAnsi="Times New Roman"/>
          <w:b/>
          <w:i/>
          <w:sz w:val="15"/>
          <w:szCs w:val="15"/>
        </w:rPr>
        <w:t>NL</w:t>
      </w:r>
      <w:r>
        <w:rPr>
          <w:rFonts w:ascii="Times New Roman" w:hAnsi="Times New Roman"/>
          <w:i/>
          <w:sz w:val="15"/>
          <w:szCs w:val="15"/>
        </w:rPr>
        <w:t>: le procureur hiérarchiquement supérieur mène les enquêtes.</w:t>
      </w:r>
      <w:r>
        <w:rPr>
          <w:sz w:val="15"/>
          <w:szCs w:val="15"/>
        </w:rPr>
        <w:t xml:space="preserve"> </w:t>
      </w:r>
      <w:r>
        <w:rPr>
          <w:rFonts w:ascii="Times New Roman" w:hAnsi="Times New Roman"/>
          <w:b/>
          <w:i/>
          <w:sz w:val="15"/>
          <w:szCs w:val="15"/>
        </w:rPr>
        <w:t>AT</w:t>
      </w:r>
      <w:r>
        <w:rPr>
          <w:rFonts w:ascii="Times New Roman" w:hAnsi="Times New Roman"/>
          <w:i/>
          <w:sz w:val="15"/>
          <w:szCs w:val="15"/>
        </w:rPr>
        <w:t xml:space="preserve">: la chambre spéciale d’une juridiction mène les enquêtes. </w:t>
      </w:r>
      <w:r>
        <w:rPr>
          <w:rFonts w:ascii="Times New Roman" w:hAnsi="Times New Roman"/>
          <w:b/>
          <w:i/>
          <w:sz w:val="15"/>
          <w:szCs w:val="15"/>
        </w:rPr>
        <w:t>PL:</w:t>
      </w:r>
      <w:r>
        <w:rPr>
          <w:rFonts w:ascii="Times New Roman" w:hAnsi="Times New Roman"/>
          <w:i/>
          <w:sz w:val="15"/>
          <w:szCs w:val="15"/>
        </w:rPr>
        <w:t xml:space="preserve"> l’affaire est instruite par un agent disciplinaire, qui est un procureur </w:t>
      </w:r>
      <w:r>
        <w:rPr>
          <w:rFonts w:ascii="Times New Roman" w:hAnsi="Times New Roman"/>
          <w:i/>
          <w:sz w:val="15"/>
          <w:szCs w:val="15"/>
        </w:rPr>
        <w:t>nommé à cette fonction par le procureur général (qui est également le ministre de la justice). Le ministre de la justice peut également nommer, au cas par cas, un procureur en tant qu’agent disciplinaire du ministre de la justice habilité à prendre en char</w:t>
      </w:r>
      <w:r>
        <w:rPr>
          <w:rFonts w:ascii="Times New Roman" w:hAnsi="Times New Roman"/>
          <w:i/>
          <w:sz w:val="15"/>
          <w:szCs w:val="15"/>
        </w:rPr>
        <w:t xml:space="preserve">ge toute enquête disciplinaire en cours ou à ouvrir une enquête ou une procédure disciplinaire. </w:t>
      </w:r>
      <w:r>
        <w:rPr>
          <w:rFonts w:ascii="Times New Roman" w:hAnsi="Times New Roman"/>
          <w:b/>
          <w:i/>
          <w:sz w:val="15"/>
          <w:szCs w:val="15"/>
        </w:rPr>
        <w:t>PT</w:t>
      </w:r>
      <w:r>
        <w:rPr>
          <w:rFonts w:ascii="Times New Roman" w:hAnsi="Times New Roman"/>
          <w:i/>
          <w:sz w:val="15"/>
          <w:szCs w:val="15"/>
        </w:rPr>
        <w:t xml:space="preserve">: l’inspection des procureurs mène les enquêtes. Cet organe est composé de procureurs nommés par le Conseil supérieur du ministère public. </w:t>
      </w:r>
      <w:r>
        <w:rPr>
          <w:rFonts w:ascii="Times New Roman" w:hAnsi="Times New Roman"/>
          <w:b/>
          <w:i/>
          <w:sz w:val="15"/>
          <w:szCs w:val="15"/>
        </w:rPr>
        <w:t>RO</w:t>
      </w:r>
      <w:r>
        <w:rPr>
          <w:rFonts w:ascii="Times New Roman" w:hAnsi="Times New Roman"/>
          <w:i/>
          <w:sz w:val="15"/>
          <w:szCs w:val="15"/>
        </w:rPr>
        <w:t>: l’organe d’insp</w:t>
      </w:r>
      <w:r>
        <w:rPr>
          <w:rFonts w:ascii="Times New Roman" w:hAnsi="Times New Roman"/>
          <w:i/>
          <w:sz w:val="15"/>
          <w:szCs w:val="15"/>
        </w:rPr>
        <w:t>ection judiciaire est un organe du Conseil supérieur de la magistrature. La section chargée d’enquêter sur les mesures disciplinaires concernant les procureurs est composée de 13 procureurs, nommés par l’inspecteur en chef de l’organe d’inspection judiciai</w:t>
      </w:r>
      <w:r>
        <w:rPr>
          <w:rFonts w:ascii="Times New Roman" w:hAnsi="Times New Roman"/>
          <w:i/>
          <w:sz w:val="15"/>
          <w:szCs w:val="15"/>
        </w:rPr>
        <w:t xml:space="preserve">re à la suite d’un concours. </w:t>
      </w:r>
      <w:r>
        <w:rPr>
          <w:rFonts w:ascii="Times New Roman" w:hAnsi="Times New Roman"/>
          <w:b/>
          <w:i/>
          <w:sz w:val="15"/>
          <w:szCs w:val="15"/>
        </w:rPr>
        <w:t>SI:</w:t>
      </w:r>
      <w:r>
        <w:rPr>
          <w:rFonts w:ascii="Times New Roman" w:hAnsi="Times New Roman"/>
          <w:i/>
          <w:sz w:val="15"/>
          <w:szCs w:val="15"/>
        </w:rPr>
        <w:t xml:space="preserve"> un procureur disciplinaire et son adjoint mènent les enquêtes. Ce sont des procureurs suprêmes nommés par le Conseil des procureurs sur proposition du procureur général et avec leur accord. </w:t>
      </w:r>
      <w:r>
        <w:rPr>
          <w:rFonts w:ascii="Times New Roman" w:hAnsi="Times New Roman"/>
          <w:b/>
          <w:i/>
          <w:sz w:val="15"/>
          <w:szCs w:val="15"/>
        </w:rPr>
        <w:t>SK</w:t>
      </w:r>
      <w:r>
        <w:rPr>
          <w:rFonts w:ascii="Times New Roman" w:hAnsi="Times New Roman"/>
          <w:i/>
          <w:sz w:val="15"/>
          <w:szCs w:val="15"/>
        </w:rPr>
        <w:t>: un conseil de discipline comp</w:t>
      </w:r>
      <w:r>
        <w:rPr>
          <w:rFonts w:ascii="Times New Roman" w:hAnsi="Times New Roman"/>
          <w:i/>
          <w:sz w:val="15"/>
          <w:szCs w:val="15"/>
        </w:rPr>
        <w:t xml:space="preserve">osé de trois procureurs, nommés par le procureur général à partir d’une base de données d’au moins 40 personnes proposées par le conseil des procureurs mène les enquêtes. </w:t>
      </w:r>
      <w:r>
        <w:rPr>
          <w:rFonts w:ascii="Times New Roman" w:hAnsi="Times New Roman"/>
          <w:b/>
          <w:i/>
          <w:sz w:val="15"/>
          <w:szCs w:val="15"/>
        </w:rPr>
        <w:t>FI</w:t>
      </w:r>
      <w:r>
        <w:rPr>
          <w:rFonts w:ascii="Times New Roman" w:hAnsi="Times New Roman"/>
          <w:i/>
          <w:sz w:val="15"/>
          <w:szCs w:val="15"/>
        </w:rPr>
        <w:t xml:space="preserve">: le procureur général mène les enquêtes. </w:t>
      </w:r>
      <w:r>
        <w:rPr>
          <w:rFonts w:ascii="Times New Roman" w:hAnsi="Times New Roman"/>
          <w:b/>
          <w:i/>
          <w:sz w:val="15"/>
          <w:szCs w:val="15"/>
        </w:rPr>
        <w:t>SE</w:t>
      </w:r>
      <w:r>
        <w:rPr>
          <w:rFonts w:ascii="Times New Roman" w:hAnsi="Times New Roman"/>
          <w:i/>
          <w:sz w:val="15"/>
          <w:szCs w:val="15"/>
        </w:rPr>
        <w:t xml:space="preserve">: le ministère public suédois mène les </w:t>
      </w:r>
      <w:r>
        <w:rPr>
          <w:rFonts w:ascii="Times New Roman" w:hAnsi="Times New Roman"/>
          <w:i/>
          <w:sz w:val="15"/>
          <w:szCs w:val="15"/>
        </w:rPr>
        <w:t>enquêtes.</w:t>
      </w:r>
    </w:p>
    <w:p w:rsidR="00D23207" w:rsidRDefault="00493C98">
      <w:pPr>
        <w:spacing w:before="60" w:after="0" w:line="240" w:lineRule="auto"/>
        <w:jc w:val="both"/>
        <w:rPr>
          <w:rFonts w:ascii="Times New Roman" w:hAnsi="Times New Roman"/>
          <w:sz w:val="24"/>
          <w:szCs w:val="24"/>
        </w:rPr>
      </w:pPr>
      <w:r>
        <w:rPr>
          <w:rFonts w:ascii="Times New Roman" w:hAnsi="Times New Roman"/>
          <w:sz w:val="24"/>
          <w:szCs w:val="24"/>
        </w:rPr>
        <w:t xml:space="preserve">Le graphique 55 montre dans quels États membres le procureur général ou le ministre de la justice peut donner des instructions aux procureurs dans des affaires particulières (autorité qui peut donner des instructions) et présente certaines des </w:t>
      </w:r>
      <w:r>
        <w:rPr>
          <w:rFonts w:ascii="Times New Roman" w:hAnsi="Times New Roman"/>
          <w:sz w:val="24"/>
          <w:szCs w:val="24"/>
        </w:rPr>
        <w:t>garanties qui sont en place si de telles instructions sont données dans une affaire. Outre les garanties présentées dans le graphique (</w:t>
      </w:r>
      <w:r>
        <w:rPr>
          <w:rStyle w:val="FootnoteReference"/>
          <w:rFonts w:ascii="Times New Roman" w:eastAsia="Times New Roman" w:hAnsi="Times New Roman" w:cs="Times New Roman"/>
          <w:sz w:val="24"/>
          <w:szCs w:val="24"/>
        </w:rPr>
        <w:footnoteReference w:id="124"/>
      </w:r>
      <w:r>
        <w:rPr>
          <w:rFonts w:ascii="Times New Roman" w:hAnsi="Times New Roman"/>
          <w:sz w:val="24"/>
          <w:szCs w:val="24"/>
        </w:rPr>
        <w:t xml:space="preserve">), d’autres pourraient exister. Dans les pays où les instructions du ministre de la justice sont autorisées par la loi, </w:t>
      </w:r>
      <w:r>
        <w:rPr>
          <w:rFonts w:ascii="Times New Roman" w:hAnsi="Times New Roman"/>
          <w:sz w:val="24"/>
          <w:szCs w:val="24"/>
        </w:rPr>
        <w:t>ce pouvoir peut avoir été, ou n’est que rarement, exercé dans la pratique (voir note de bas de page explicative sous le graphique).</w:t>
      </w:r>
    </w:p>
    <w:p w:rsidR="00D23207" w:rsidRDefault="00493C98">
      <w:pPr>
        <w:rPr>
          <w:rFonts w:ascii="Times New Roman" w:hAnsi="Times New Roman"/>
          <w:sz w:val="24"/>
          <w:szCs w:val="24"/>
        </w:rPr>
      </w:pPr>
      <w:r>
        <w:rPr>
          <w:rFonts w:ascii="Times New Roman" w:hAnsi="Times New Roman"/>
          <w:sz w:val="24"/>
          <w:szCs w:val="24"/>
        </w:rPr>
        <w:br w:type="page"/>
      </w:r>
    </w:p>
    <w:p w:rsidR="00D23207" w:rsidRDefault="00D23207">
      <w:pPr>
        <w:spacing w:before="60" w:after="0" w:line="240" w:lineRule="auto"/>
        <w:jc w:val="both"/>
        <w:rPr>
          <w:rFonts w:ascii="Times New Roman" w:eastAsia="Times New Roman" w:hAnsi="Times New Roman" w:cs="Times New Roman"/>
          <w:b/>
          <w:bCs/>
          <w:sz w:val="24"/>
          <w:szCs w:val="24"/>
        </w:rPr>
      </w:pPr>
    </w:p>
    <w:p w:rsidR="00D23207" w:rsidRDefault="00493C98">
      <w:pPr>
        <w:spacing w:before="240" w:after="120" w:line="240" w:lineRule="auto"/>
        <w:jc w:val="both"/>
        <w:rPr>
          <w:rFonts w:ascii="Times New Roman" w:eastAsia="Times New Roman" w:hAnsi="Times New Roman" w:cs="Times New Roman"/>
          <w:bCs/>
          <w:i/>
          <w:sz w:val="24"/>
          <w:szCs w:val="24"/>
        </w:rPr>
      </w:pPr>
      <w:r>
        <w:rPr>
          <w:rFonts w:ascii="Times New Roman" w:hAnsi="Times New Roman"/>
          <w:b/>
          <w:sz w:val="24"/>
          <w:szCs w:val="24"/>
        </w:rPr>
        <w:t>Graphique </w:t>
      </w:r>
      <w:r>
        <w:rPr>
          <w:rFonts w:ascii="Times New Roman" w:hAnsi="Times New Roman" w:cs="Times New Roman"/>
          <w:sz w:val="24"/>
          <w:szCs w:val="24"/>
        </w:rPr>
        <w:fldChar w:fldCharType="begin"/>
      </w:r>
      <w:r>
        <w:rPr>
          <w:rFonts w:ascii="Times New Roman" w:eastAsia="Calibri" w:hAnsi="Times New Roman" w:cs="Times New Roman"/>
          <w:b/>
          <w:sz w:val="24"/>
          <w:szCs w:val="24"/>
        </w:rPr>
        <w:instrText xml:space="preserve"> SEQ Figure \* ARABIC </w:instrText>
      </w:r>
      <w:r>
        <w:rPr>
          <w:rFonts w:ascii="Times New Roman" w:eastAsia="Calibri" w:hAnsi="Times New Roman" w:cs="Times New Roman"/>
          <w:b/>
          <w:sz w:val="24"/>
          <w:szCs w:val="24"/>
        </w:rPr>
        <w:fldChar w:fldCharType="separate"/>
      </w:r>
      <w:r>
        <w:rPr>
          <w:rFonts w:ascii="Times New Roman" w:eastAsia="Calibri" w:hAnsi="Times New Roman" w:cs="Times New Roman"/>
          <w:b/>
          <w:sz w:val="24"/>
          <w:szCs w:val="24"/>
        </w:rPr>
        <w:t>55</w:t>
      </w:r>
      <w:r>
        <w:rPr>
          <w:rFonts w:ascii="Times New Roman" w:hAnsi="Times New Roman" w:cs="Times New Roman"/>
          <w:sz w:val="24"/>
          <w:szCs w:val="24"/>
        </w:rPr>
        <w:fldChar w:fldCharType="end"/>
      </w:r>
      <w:r>
        <w:rPr>
          <w:rFonts w:ascii="Times New Roman" w:hAnsi="Times New Roman"/>
          <w:b/>
          <w:bCs/>
          <w:sz w:val="24"/>
          <w:szCs w:val="24"/>
        </w:rPr>
        <w:t>: instructions aux procureurs dans des affaires particulières – autorité habilitée à</w:t>
      </w:r>
      <w:r>
        <w:rPr>
          <w:rFonts w:ascii="Times New Roman" w:hAnsi="Times New Roman"/>
          <w:b/>
          <w:bCs/>
          <w:sz w:val="24"/>
          <w:szCs w:val="24"/>
        </w:rPr>
        <w:t xml:space="preserve"> donner des instructions et garanties (*)</w:t>
      </w:r>
      <w:r>
        <w:rPr>
          <w:rFonts w:ascii="Times New Roman" w:hAnsi="Times New Roman"/>
          <w:bCs/>
          <w:sz w:val="24"/>
          <w:szCs w:val="24"/>
        </w:rPr>
        <w:t xml:space="preserve"> (</w:t>
      </w:r>
      <w:r>
        <w:rPr>
          <w:rFonts w:ascii="Times New Roman" w:hAnsi="Times New Roman"/>
          <w:bCs/>
          <w:i/>
          <w:iCs/>
          <w:sz w:val="24"/>
          <w:szCs w:val="24"/>
        </w:rPr>
        <w:t>Source:</w:t>
      </w:r>
      <w:r>
        <w:rPr>
          <w:rFonts w:ascii="Times New Roman" w:hAnsi="Times New Roman"/>
          <w:bCs/>
          <w:i/>
          <w:sz w:val="24"/>
          <w:szCs w:val="24"/>
        </w:rPr>
        <w:t xml:space="preserve"> Commission européenne avec le groupe d’experts en matière de blanchiment des capitaux et de financement du terrorisme)</w:t>
      </w:r>
    </w:p>
    <w:p w:rsidR="00D23207" w:rsidRDefault="00493C98">
      <w:pPr>
        <w:spacing w:after="0" w:line="240" w:lineRule="auto"/>
        <w:jc w:val="both"/>
        <w:rPr>
          <w:rFonts w:ascii="Times New Roman" w:eastAsia="Times New Roman" w:hAnsi="Times New Roman" w:cs="Times New Roman"/>
          <w:i/>
          <w:sz w:val="24"/>
          <w:szCs w:val="24"/>
        </w:rPr>
      </w:pPr>
      <w:r>
        <w:rPr>
          <w:rFonts w:ascii="Times New Roman" w:hAnsi="Times New Roman"/>
          <w:sz w:val="24"/>
          <w:szCs w:val="16"/>
          <w:lang w:val="en-GB" w:eastAsia="en-GB"/>
        </w:rPr>
        <w:drawing>
          <wp:inline distT="0" distB="0" distL="0" distR="0">
            <wp:extent cx="5976020" cy="1378634"/>
            <wp:effectExtent l="0" t="0" r="5715" b="0"/>
            <wp:docPr id="97332" name="Picture 9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72">
                      <a:extLst>
                        <a:ext uri="{28A0092B-C50C-407E-A947-70E740481C1C}">
                          <a14:useLocalDpi xmlns:a14="http://schemas.microsoft.com/office/drawing/2010/main" val="0"/>
                        </a:ext>
                      </a:extLst>
                    </a:blip>
                    <a:srcRect b="38058"/>
                    <a:stretch/>
                  </pic:blipFill>
                  <pic:spPr bwMode="auto">
                    <a:xfrm>
                      <a:off x="0" y="0"/>
                      <a:ext cx="5977255" cy="137891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16"/>
        </w:rPr>
        <w:t>Autorité habilitée à donner des instructions aux procureurs dans des affaires particu</w:t>
      </w:r>
      <w:r>
        <w:rPr>
          <w:rFonts w:ascii="Times New Roman" w:hAnsi="Times New Roman"/>
          <w:sz w:val="24"/>
          <w:szCs w:val="16"/>
        </w:rPr>
        <w:t>lières:</w:t>
      </w:r>
    </w:p>
    <w:p w:rsidR="00D23207" w:rsidRDefault="00493C98">
      <w:pPr>
        <w:spacing w:after="0" w:line="240" w:lineRule="auto"/>
        <w:jc w:val="both"/>
        <w:rPr>
          <w:rFonts w:ascii="Times New Roman" w:hAnsi="Times New Roman" w:cs="Times New Roman"/>
          <w:sz w:val="18"/>
          <w:szCs w:val="16"/>
        </w:rPr>
      </w:pPr>
      <w:r>
        <w:rPr>
          <w:lang w:val="en-GB" w:eastAsia="en-GB"/>
        </w:rPr>
        <w:drawing>
          <wp:inline distT="0" distB="0" distL="0" distR="0">
            <wp:extent cx="3431893" cy="52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517931" cy="534062"/>
                    </a:xfrm>
                    <a:prstGeom prst="rect">
                      <a:avLst/>
                    </a:prstGeom>
                  </pic:spPr>
                </pic:pic>
              </a:graphicData>
            </a:graphic>
          </wp:inline>
        </w:drawing>
      </w:r>
    </w:p>
    <w:p w:rsidR="00D23207" w:rsidRDefault="00493C98">
      <w:pPr>
        <w:spacing w:before="120" w:after="0" w:line="240" w:lineRule="auto"/>
        <w:jc w:val="both"/>
        <w:rPr>
          <w:rFonts w:ascii="Times New Roman" w:hAnsi="Times New Roman" w:cs="Times New Roman"/>
          <w:sz w:val="24"/>
          <w:szCs w:val="16"/>
        </w:rPr>
      </w:pPr>
      <w:r>
        <w:rPr>
          <w:rFonts w:ascii="Times New Roman" w:hAnsi="Times New Roman"/>
          <w:sz w:val="24"/>
          <w:szCs w:val="16"/>
        </w:rPr>
        <w:t>garanties choisies dans le cas où des instructions sont données dans une affaire particulière:</w:t>
      </w:r>
    </w:p>
    <w:p w:rsidR="00D23207" w:rsidRDefault="00493C98">
      <w:pPr>
        <w:spacing w:after="0" w:line="240" w:lineRule="auto"/>
        <w:jc w:val="both"/>
        <w:rPr>
          <w:rFonts w:ascii="Times New Roman" w:hAnsi="Times New Roman" w:cs="Times New Roman"/>
          <w:sz w:val="18"/>
          <w:szCs w:val="16"/>
        </w:rPr>
      </w:pPr>
      <w:r>
        <w:rPr>
          <w:rFonts w:ascii="Times New Roman" w:hAnsi="Times New Roman"/>
          <w:sz w:val="18"/>
          <w:szCs w:val="16"/>
          <w:lang w:val="en-GB" w:eastAsia="en-GB"/>
        </w:rPr>
        <w:drawing>
          <wp:inline distT="0" distB="0" distL="0" distR="0">
            <wp:extent cx="5228518"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4">
                      <a:extLst>
                        <a:ext uri="{28A0092B-C50C-407E-A947-70E740481C1C}">
                          <a14:useLocalDpi xmlns:a14="http://schemas.microsoft.com/office/drawing/2010/main" val="0"/>
                        </a:ext>
                      </a:extLst>
                    </a:blip>
                    <a:srcRect l="23179" t="57995" r="169" b="16813"/>
                    <a:stretch/>
                  </pic:blipFill>
                  <pic:spPr bwMode="auto">
                    <a:xfrm>
                      <a:off x="0" y="0"/>
                      <a:ext cx="5234113" cy="807313"/>
                    </a:xfrm>
                    <a:prstGeom prst="rect">
                      <a:avLst/>
                    </a:prstGeom>
                    <a:noFill/>
                    <a:ln>
                      <a:noFill/>
                    </a:ln>
                    <a:extLst>
                      <a:ext uri="{53640926-AAD7-44D8-BBD7-CCE9431645EC}">
                        <a14:shadowObscured xmlns:a14="http://schemas.microsoft.com/office/drawing/2010/main"/>
                      </a:ext>
                    </a:extLst>
                  </pic:spPr>
                </pic:pic>
              </a:graphicData>
            </a:graphic>
          </wp:inline>
        </w:drawing>
      </w:r>
    </w:p>
    <w:p w:rsidR="00D23207" w:rsidRDefault="00493C98">
      <w:pPr>
        <w:spacing w:after="0" w:line="240" w:lineRule="auto"/>
        <w:jc w:val="both"/>
        <w:rPr>
          <w:rFonts w:ascii="Times New Roman" w:hAnsi="Times New Roman" w:cs="Times New Roman"/>
          <w:i/>
          <w:sz w:val="18"/>
          <w:szCs w:val="15"/>
        </w:rPr>
      </w:pPr>
      <w:r>
        <w:rPr>
          <w:rFonts w:ascii="Times New Roman" w:hAnsi="Times New Roman"/>
          <w:i/>
          <w:sz w:val="18"/>
          <w:szCs w:val="15"/>
        </w:rPr>
        <w:t xml:space="preserve">(*) </w:t>
      </w:r>
      <w:r>
        <w:rPr>
          <w:rFonts w:ascii="Times New Roman" w:hAnsi="Times New Roman"/>
          <w:b/>
          <w:i/>
          <w:sz w:val="18"/>
          <w:szCs w:val="15"/>
        </w:rPr>
        <w:t>BE:</w:t>
      </w:r>
      <w:r>
        <w:rPr>
          <w:rFonts w:ascii="Times New Roman" w:hAnsi="Times New Roman"/>
          <w:i/>
          <w:sz w:val="18"/>
          <w:szCs w:val="15"/>
        </w:rPr>
        <w:t xml:space="preserve"> le ministre de la justice a le pouvoir de donner des instructions concernant les poursuites dans des affaires particulières (un droit d’injonction positive en vue d’une poursuite est prévu par l’article 364 du code d’instruction criminelle et à l’article </w:t>
      </w:r>
      <w:r>
        <w:rPr>
          <w:rFonts w:ascii="Times New Roman" w:hAnsi="Times New Roman"/>
          <w:i/>
          <w:sz w:val="18"/>
          <w:szCs w:val="15"/>
        </w:rPr>
        <w:t xml:space="preserve">151, paragraphe 1, de la Constitution). Des instructions sont jointes au dossier de l’affaire, mais leur lecture par les parties dépend du motif du jugement et du stade actuel de l’affaire. </w:t>
      </w:r>
      <w:r>
        <w:rPr>
          <w:rFonts w:ascii="Times New Roman" w:hAnsi="Times New Roman"/>
          <w:b/>
          <w:i/>
          <w:sz w:val="18"/>
          <w:szCs w:val="15"/>
        </w:rPr>
        <w:t>BG:</w:t>
      </w:r>
      <w:r>
        <w:rPr>
          <w:rFonts w:ascii="Times New Roman" w:hAnsi="Times New Roman"/>
          <w:i/>
          <w:sz w:val="18"/>
          <w:szCs w:val="15"/>
        </w:rPr>
        <w:t xml:space="preserve"> un recours est possible, sauf pour les actes du procureur géné</w:t>
      </w:r>
      <w:r>
        <w:rPr>
          <w:rFonts w:ascii="Times New Roman" w:hAnsi="Times New Roman"/>
          <w:i/>
          <w:sz w:val="18"/>
          <w:szCs w:val="15"/>
        </w:rPr>
        <w:t xml:space="preserve">ral. </w:t>
      </w:r>
      <w:r>
        <w:rPr>
          <w:rFonts w:ascii="Times New Roman" w:hAnsi="Times New Roman"/>
          <w:b/>
          <w:i/>
          <w:sz w:val="18"/>
          <w:szCs w:val="15"/>
        </w:rPr>
        <w:t>CZ:</w:t>
      </w:r>
      <w:r>
        <w:rPr>
          <w:rFonts w:ascii="Times New Roman" w:hAnsi="Times New Roman"/>
          <w:i/>
          <w:sz w:val="18"/>
          <w:szCs w:val="15"/>
        </w:rPr>
        <w:t xml:space="preserve"> le procureur général a le pouvoir de donner des instructions concernant les poursuites dans des affaires particulières uniquement au sein du ministère public et à l’égard des ministères publics supérieurs. </w:t>
      </w:r>
      <w:r>
        <w:rPr>
          <w:rFonts w:ascii="Times New Roman" w:hAnsi="Times New Roman"/>
          <w:b/>
          <w:i/>
          <w:sz w:val="18"/>
          <w:szCs w:val="15"/>
        </w:rPr>
        <w:t>DE</w:t>
      </w:r>
      <w:r>
        <w:rPr>
          <w:rFonts w:ascii="Times New Roman" w:hAnsi="Times New Roman"/>
          <w:i/>
          <w:sz w:val="18"/>
          <w:szCs w:val="15"/>
        </w:rPr>
        <w:t>: #: les garanties diffèrent, selon qu’</w:t>
      </w:r>
      <w:r>
        <w:rPr>
          <w:rFonts w:ascii="Times New Roman" w:hAnsi="Times New Roman"/>
          <w:i/>
          <w:sz w:val="18"/>
          <w:szCs w:val="15"/>
        </w:rPr>
        <w:t>elles concernent les Länder ou le niveau fédéral. Le procureur général fédéral est le seul procureur au niveau fédéral qui est sous la supervision et la direction du ministre fédéral de la justice et de la protection des consommateurs et les procureurs gén</w:t>
      </w:r>
      <w:r>
        <w:rPr>
          <w:rFonts w:ascii="Times New Roman" w:hAnsi="Times New Roman"/>
          <w:i/>
          <w:sz w:val="18"/>
          <w:szCs w:val="15"/>
        </w:rPr>
        <w:t>éraux des 16 Länder allemands sont sous la supervision et la direction des ministères de la justice des Länder respectifs. Le droit de supervision et de direction comprend le pouvoir de donner des instructions au procureur général concerné, mais il est lim</w:t>
      </w:r>
      <w:r>
        <w:rPr>
          <w:rFonts w:ascii="Times New Roman" w:hAnsi="Times New Roman"/>
          <w:i/>
          <w:sz w:val="18"/>
          <w:szCs w:val="15"/>
        </w:rPr>
        <w:t xml:space="preserve">ité par le principe de légalité (c’est-à-dire le principe de l’obligation de poursuivre). Les instructions dans des affaires particulières sont rares. Par exemple, le ministère fédéral et les partis du gouvernement de Saxe se sont engagés à ne pas exercer </w:t>
      </w:r>
      <w:r>
        <w:rPr>
          <w:rFonts w:ascii="Times New Roman" w:hAnsi="Times New Roman"/>
          <w:i/>
          <w:sz w:val="18"/>
          <w:szCs w:val="15"/>
        </w:rPr>
        <w:t>leur droit de donner des instructions. Le ministère de Thuringe s’est engagé à ne pas donner d’instructions dans des affaires particulières, le ministère de Rhénanie-du-Nord – Westphalie et le gouvernement de Basse-Saxe se sont engagés à ne donner des inst</w:t>
      </w:r>
      <w:r>
        <w:rPr>
          <w:rFonts w:ascii="Times New Roman" w:hAnsi="Times New Roman"/>
          <w:i/>
          <w:sz w:val="18"/>
          <w:szCs w:val="15"/>
        </w:rPr>
        <w:t>ructions individuelles que dans des cas exceptionnels. Il n’y a pas de lois fédérales, mais il existe certaines lois au niveau des Länder ainsi que des réglementations et des directives fédérales et des Länder établissant des règles sur les instructions. P</w:t>
      </w:r>
      <w:r>
        <w:rPr>
          <w:rFonts w:ascii="Times New Roman" w:hAnsi="Times New Roman"/>
          <w:i/>
          <w:sz w:val="18"/>
          <w:szCs w:val="15"/>
        </w:rPr>
        <w:t>ar exemple, les instructions du ministère fédéral et des ministères de Rhénanie-du-Nord – Westphalie et de Thuringe doivent être écrites; en Thuringe, elles doivent également être motivées; en Basse-Saxe, elles doivent être écrites si aucun accord n’est co</w:t>
      </w:r>
      <w:r>
        <w:rPr>
          <w:rFonts w:ascii="Times New Roman" w:hAnsi="Times New Roman"/>
          <w:i/>
          <w:sz w:val="18"/>
          <w:szCs w:val="15"/>
        </w:rPr>
        <w:t>nclu; et au Schleswig-Holstein, elles doivent être documentées par écrit et communiquées au président du Parlement. Au niveau fédéral et au niveau des Länder, les instructions d’un fonctionnaire supérieur ne sont contraignantes que dans le cadre de la rela</w:t>
      </w:r>
      <w:r>
        <w:rPr>
          <w:rFonts w:ascii="Times New Roman" w:hAnsi="Times New Roman"/>
          <w:i/>
          <w:sz w:val="18"/>
          <w:szCs w:val="15"/>
        </w:rPr>
        <w:t>tion de travail interne du procureur et les actes qui sont en violation d’une instruction restent en vigueur. Un procureur ayant le devoir de respecter les lois, il doit refuser de suivre des instructions illégales. Il peut s’opposer aux instructions et de</w:t>
      </w:r>
      <w:r>
        <w:rPr>
          <w:rFonts w:ascii="Times New Roman" w:hAnsi="Times New Roman"/>
          <w:i/>
          <w:sz w:val="18"/>
          <w:szCs w:val="15"/>
        </w:rPr>
        <w:t>mander qu’elles soient réexaminées par le supérieur hiérarchique suivant. Si l’instruction est confirmée et que le procureur a encore des doutes quant à sa légalité, il peut demander un réexamen par le supérieur hiérarchique suivant. Si l’instruction est à</w:t>
      </w:r>
      <w:r>
        <w:rPr>
          <w:rFonts w:ascii="Times New Roman" w:hAnsi="Times New Roman"/>
          <w:i/>
          <w:sz w:val="18"/>
          <w:szCs w:val="15"/>
        </w:rPr>
        <w:t xml:space="preserve"> nouveau confirmée, le procureur doit suivre l’instruction et il ne manquera pas à ses devoirs si l’instruction est illégale. Toutefois, à titre d’exception, les procureurs ne doivent jamais se conformer à des instructions si de tels actes constituent un c</w:t>
      </w:r>
      <w:r>
        <w:rPr>
          <w:rFonts w:ascii="Times New Roman" w:hAnsi="Times New Roman"/>
          <w:i/>
          <w:sz w:val="18"/>
          <w:szCs w:val="15"/>
        </w:rPr>
        <w:t>rime, une infraction administrative ou une atteinte à la dignité humaine. Il n’existe pas de voie de recours juridique particulière permettant de faire examiner les instructions par une juridiction. Toutefois, les tribunaux peuvent contrôler la légalité de</w:t>
      </w:r>
      <w:r>
        <w:rPr>
          <w:rFonts w:ascii="Times New Roman" w:hAnsi="Times New Roman"/>
          <w:i/>
          <w:sz w:val="18"/>
          <w:szCs w:val="15"/>
        </w:rPr>
        <w:t xml:space="preserve">s instructions au cours des procédures disciplinaires engagées contre les procureurs, par exemple s’ils doivent décider si le non-respect des instructions constitue un manquement aux obligations professionnelles. </w:t>
      </w:r>
      <w:r>
        <w:rPr>
          <w:rFonts w:ascii="Times New Roman" w:hAnsi="Times New Roman"/>
          <w:b/>
          <w:i/>
          <w:sz w:val="18"/>
          <w:szCs w:val="15"/>
        </w:rPr>
        <w:t>DK:</w:t>
      </w:r>
      <w:r>
        <w:rPr>
          <w:rFonts w:ascii="Times New Roman" w:hAnsi="Times New Roman"/>
          <w:i/>
          <w:sz w:val="18"/>
          <w:szCs w:val="15"/>
        </w:rPr>
        <w:t xml:space="preserve"> le ministère de la justice a le pouvoir</w:t>
      </w:r>
      <w:r>
        <w:rPr>
          <w:rFonts w:ascii="Times New Roman" w:hAnsi="Times New Roman"/>
          <w:i/>
          <w:sz w:val="18"/>
          <w:szCs w:val="15"/>
        </w:rPr>
        <w:t xml:space="preserve"> de donner des instructions concernant les poursuites dans des affaires particulières (loi relative à l’administration de la justice, section 98, paragraphe 3). Différents ministres de la justice ont cependant été très réticents à utiliser cette option, et</w:t>
      </w:r>
      <w:r>
        <w:rPr>
          <w:rFonts w:ascii="Times New Roman" w:hAnsi="Times New Roman"/>
          <w:i/>
          <w:sz w:val="18"/>
          <w:szCs w:val="15"/>
        </w:rPr>
        <w:t xml:space="preserve"> une telle instruction n’a pas été donnée depuis les années 1990. Le président du Parlement danois doit être informé par écrit de la ou des instructions données (loi relative à l’administration de la justice, section 98, paragraphe 3). Les procureurs régio</w:t>
      </w:r>
      <w:r>
        <w:rPr>
          <w:rFonts w:ascii="Times New Roman" w:hAnsi="Times New Roman"/>
          <w:i/>
          <w:sz w:val="18"/>
          <w:szCs w:val="15"/>
        </w:rPr>
        <w:t xml:space="preserve">naux peuvent examiner les décisions des districts de police et le directeur du ministère public peut examiner les décisions des procureurs régionaux. </w:t>
      </w:r>
      <w:r>
        <w:rPr>
          <w:rFonts w:ascii="Times New Roman" w:hAnsi="Times New Roman"/>
          <w:b/>
          <w:i/>
          <w:sz w:val="18"/>
          <w:szCs w:val="15"/>
        </w:rPr>
        <w:t>IE:</w:t>
      </w:r>
      <w:r>
        <w:rPr>
          <w:rFonts w:ascii="Times New Roman" w:hAnsi="Times New Roman"/>
          <w:i/>
          <w:sz w:val="18"/>
          <w:szCs w:val="15"/>
        </w:rPr>
        <w:t xml:space="preserve"> non spécifié dans la section 4.1 de la loi relative à la poursuite des délits de 1974. </w:t>
      </w:r>
      <w:r>
        <w:rPr>
          <w:rFonts w:ascii="Times New Roman" w:hAnsi="Times New Roman"/>
          <w:b/>
          <w:i/>
          <w:sz w:val="18"/>
          <w:szCs w:val="15"/>
        </w:rPr>
        <w:t>ES:</w:t>
      </w:r>
      <w:r>
        <w:rPr>
          <w:rFonts w:ascii="Times New Roman" w:hAnsi="Times New Roman"/>
          <w:i/>
          <w:sz w:val="18"/>
          <w:szCs w:val="15"/>
        </w:rPr>
        <w:t xml:space="preserve"> le procureu</w:t>
      </w:r>
      <w:r>
        <w:rPr>
          <w:rFonts w:ascii="Times New Roman" w:hAnsi="Times New Roman"/>
          <w:i/>
          <w:sz w:val="18"/>
          <w:szCs w:val="15"/>
        </w:rPr>
        <w:t xml:space="preserve">r général établit des ordres et des instructions adaptés au service et à l’exercice des fonctions de poursuite, qui peuvent être d’ordre général ou porter sur des sujets spécifiques. </w:t>
      </w:r>
      <w:r>
        <w:rPr>
          <w:rFonts w:ascii="Times New Roman" w:hAnsi="Times New Roman"/>
          <w:b/>
          <w:i/>
          <w:sz w:val="18"/>
          <w:szCs w:val="15"/>
        </w:rPr>
        <w:t>LT:</w:t>
      </w:r>
      <w:r>
        <w:rPr>
          <w:rFonts w:ascii="Times New Roman" w:hAnsi="Times New Roman"/>
          <w:i/>
          <w:sz w:val="18"/>
          <w:szCs w:val="15"/>
        </w:rPr>
        <w:t xml:space="preserve"> les instructions données par le procureur général peuvent faire l’obj</w:t>
      </w:r>
      <w:r>
        <w:rPr>
          <w:rFonts w:ascii="Times New Roman" w:hAnsi="Times New Roman"/>
          <w:i/>
          <w:sz w:val="18"/>
          <w:szCs w:val="15"/>
        </w:rPr>
        <w:t xml:space="preserve">et d’un recours devant le tribunal. Le procureur général ne peut donner des instructions sur la décision à rendre. </w:t>
      </w:r>
      <w:r>
        <w:rPr>
          <w:rFonts w:ascii="Times New Roman" w:hAnsi="Times New Roman"/>
          <w:b/>
          <w:i/>
          <w:sz w:val="18"/>
          <w:szCs w:val="15"/>
        </w:rPr>
        <w:t>LU:</w:t>
      </w:r>
      <w:r>
        <w:rPr>
          <w:rFonts w:ascii="Times New Roman" w:hAnsi="Times New Roman"/>
          <w:i/>
          <w:sz w:val="18"/>
          <w:szCs w:val="15"/>
        </w:rPr>
        <w:t xml:space="preserve"> le procureur général et le ministre de la justice peuvent donner au ministère public une instruction de poursuite dans une affaire (mais </w:t>
      </w:r>
      <w:r>
        <w:rPr>
          <w:rFonts w:ascii="Times New Roman" w:hAnsi="Times New Roman"/>
          <w:i/>
          <w:sz w:val="18"/>
          <w:szCs w:val="15"/>
        </w:rPr>
        <w:t>non une instruction de non-poursuite). Toutefois, aucune instruction en ce sens n’a été donnée par le ministre de la justice depuis plus de 20 ans. Aucune exigence légale n’est requise pour consulter un procureur ou pour demander l’avis du procureur généra</w:t>
      </w:r>
      <w:r>
        <w:rPr>
          <w:rFonts w:ascii="Times New Roman" w:hAnsi="Times New Roman"/>
          <w:i/>
          <w:sz w:val="18"/>
          <w:szCs w:val="15"/>
        </w:rPr>
        <w:t xml:space="preserve">l sur ce type d’instructions. </w:t>
      </w:r>
      <w:r>
        <w:rPr>
          <w:rFonts w:ascii="Times New Roman" w:hAnsi="Times New Roman"/>
          <w:b/>
          <w:i/>
          <w:sz w:val="18"/>
          <w:szCs w:val="15"/>
        </w:rPr>
        <w:t>HR:</w:t>
      </w:r>
      <w:r>
        <w:rPr>
          <w:rFonts w:ascii="Times New Roman" w:hAnsi="Times New Roman"/>
          <w:i/>
          <w:sz w:val="18"/>
          <w:szCs w:val="15"/>
        </w:rPr>
        <w:t xml:space="preserve"> les instructions du procureur général peuvent être examinées afin d’en vérifier la légalité, l’efficacité, etc. </w:t>
      </w:r>
      <w:r>
        <w:rPr>
          <w:rFonts w:ascii="Times New Roman" w:hAnsi="Times New Roman"/>
          <w:b/>
          <w:bCs/>
          <w:i/>
          <w:sz w:val="18"/>
          <w:szCs w:val="15"/>
        </w:rPr>
        <w:t>HU</w:t>
      </w:r>
      <w:r>
        <w:rPr>
          <w:rFonts w:ascii="Times New Roman" w:hAnsi="Times New Roman"/>
          <w:i/>
          <w:sz w:val="18"/>
          <w:szCs w:val="15"/>
        </w:rPr>
        <w:t xml:space="preserve">: conformément à l’article 53 de la loi </w:t>
      </w:r>
      <w:r>
        <w:rPr>
          <w:rFonts w:ascii="Times New Roman" w:hAnsi="Times New Roman" w:cs="Times New Roman"/>
          <w:i/>
          <w:sz w:val="18"/>
          <w:szCs w:val="15"/>
          <w:lang w:val="fr-BE"/>
        </w:rPr>
        <w:t>CLXIV de 2011 relative au statut du procureur général, des procureur</w:t>
      </w:r>
      <w:r>
        <w:rPr>
          <w:rFonts w:ascii="Times New Roman" w:hAnsi="Times New Roman" w:cs="Times New Roman"/>
          <w:i/>
          <w:sz w:val="18"/>
          <w:szCs w:val="15"/>
          <w:lang w:val="fr-BE"/>
        </w:rPr>
        <w:t>s et des autres agents du parquet, ainsi qu’à la carrière professionnelle au sein du parquet de la Hongrie, le procureur</w:t>
      </w:r>
      <w:r>
        <w:rPr>
          <w:rFonts w:ascii="Times New Roman" w:hAnsi="Times New Roman"/>
          <w:i/>
          <w:sz w:val="18"/>
          <w:szCs w:val="15"/>
        </w:rPr>
        <w:t xml:space="preserve"> peut demander au procureur général une confirmation écrite des instructions données dans une affaire particulière. Le procureur peut re</w:t>
      </w:r>
      <w:r>
        <w:rPr>
          <w:rFonts w:ascii="Times New Roman" w:hAnsi="Times New Roman"/>
          <w:i/>
          <w:sz w:val="18"/>
          <w:szCs w:val="15"/>
        </w:rPr>
        <w:t>fuser explicitement de suivre les instructions dans l’hypothèse où elles constitueraient une infraction pénale ou administrative ou mettraient le procureur en danger; si le procureur est en désaccord avec les instructions, il/elle peut demander le transfer</w:t>
      </w:r>
      <w:r>
        <w:rPr>
          <w:rFonts w:ascii="Times New Roman" w:hAnsi="Times New Roman"/>
          <w:i/>
          <w:sz w:val="18"/>
          <w:szCs w:val="15"/>
        </w:rPr>
        <w:t>t de l’affaire à un autre procureur. Une telle demande ne peut être rejetée.</w:t>
      </w:r>
      <w:r>
        <w:rPr>
          <w:rFonts w:ascii="Times New Roman" w:hAnsi="Times New Roman"/>
          <w:i/>
          <w:sz w:val="18"/>
          <w:szCs w:val="15"/>
          <w:lang w:val="fr-BE"/>
        </w:rPr>
        <w:t xml:space="preserve"> </w:t>
      </w:r>
      <w:r>
        <w:rPr>
          <w:rFonts w:ascii="Times New Roman" w:hAnsi="Times New Roman"/>
          <w:b/>
          <w:i/>
          <w:sz w:val="18"/>
          <w:szCs w:val="15"/>
        </w:rPr>
        <w:t>MT:</w:t>
      </w:r>
      <w:r>
        <w:rPr>
          <w:rFonts w:ascii="Times New Roman" w:hAnsi="Times New Roman"/>
          <w:i/>
          <w:sz w:val="18"/>
          <w:szCs w:val="15"/>
        </w:rPr>
        <w:t xml:space="preserve"> en ce qui concerne les questions relatives au rôle des procureurs individuels, par opposition au rôle du procureur général, la Constitution de Malte établit le bureau du procu</w:t>
      </w:r>
      <w:r>
        <w:rPr>
          <w:rFonts w:ascii="Times New Roman" w:hAnsi="Times New Roman"/>
          <w:i/>
          <w:sz w:val="18"/>
          <w:szCs w:val="15"/>
        </w:rPr>
        <w:t>reur général lui-même. Elle lui confère également des droits et des obligations et lui confère l’inamovibilité prévue en vertu des articles 91 et 97 de la Constitution. Conformément au chapitre 90 des lois de Malte, «Injonction du procureur général», le pr</w:t>
      </w:r>
      <w:r>
        <w:rPr>
          <w:rFonts w:ascii="Times New Roman" w:hAnsi="Times New Roman"/>
          <w:i/>
          <w:sz w:val="18"/>
          <w:szCs w:val="15"/>
        </w:rPr>
        <w:t>ocureur général emploie des agents pour le représenter dans ses fonctions et devoirs conformément à la loi. Ces agents représentent le procureur général dans ses fonctions et exercent son pouvoir discrétionnaire. Lorsqu’ils représentent le procureur généra</w:t>
      </w:r>
      <w:r>
        <w:rPr>
          <w:rFonts w:ascii="Times New Roman" w:hAnsi="Times New Roman"/>
          <w:i/>
          <w:sz w:val="18"/>
          <w:szCs w:val="15"/>
        </w:rPr>
        <w:t xml:space="preserve">l dans ses fonctions, les agents sont couverts par la même protection juridique. Par conséquent, en droit maltais, les procureurs ne bénéficient pas de garanties spécifiques, car, dans les fonctions que leur confère la loi, ils sont réputés représenter le </w:t>
      </w:r>
      <w:r>
        <w:rPr>
          <w:rFonts w:ascii="Times New Roman" w:hAnsi="Times New Roman"/>
          <w:i/>
          <w:sz w:val="18"/>
          <w:szCs w:val="15"/>
        </w:rPr>
        <w:t xml:space="preserve">procureur général lui-même et, dans ces fonctions, ils bénéficient de la protection que la loi accorde au procureur général lui-même. </w:t>
      </w:r>
      <w:r>
        <w:rPr>
          <w:rFonts w:ascii="Times New Roman" w:hAnsi="Times New Roman"/>
          <w:b/>
          <w:i/>
          <w:sz w:val="18"/>
          <w:szCs w:val="15"/>
        </w:rPr>
        <w:t xml:space="preserve">NL: </w:t>
      </w:r>
      <w:r>
        <w:rPr>
          <w:rFonts w:ascii="Times New Roman" w:hAnsi="Times New Roman"/>
          <w:i/>
          <w:sz w:val="18"/>
          <w:szCs w:val="15"/>
        </w:rPr>
        <w:t>le ministre de la justice peut donner au ministère public une instruction de poursuite ou de non-poursuite dans une af</w:t>
      </w:r>
      <w:r>
        <w:rPr>
          <w:rFonts w:ascii="Times New Roman" w:hAnsi="Times New Roman"/>
          <w:i/>
          <w:sz w:val="18"/>
          <w:szCs w:val="15"/>
        </w:rPr>
        <w:t>faire, mais il doit avoir obtenu au préalable un avis motivé par écrit du Collège des procureurs généraux (College van procureurs-generaal) au sujet de l’instruction proposée, et il est nécessaire de transmettre une notification au Parlement en cas d’instr</w:t>
      </w:r>
      <w:r>
        <w:rPr>
          <w:rFonts w:ascii="Times New Roman" w:hAnsi="Times New Roman"/>
          <w:i/>
          <w:sz w:val="18"/>
          <w:szCs w:val="15"/>
        </w:rPr>
        <w:t>uction de non-poursuite. Toutefois, ce cas de figure ne s’est présenté qu’une seule fois en plus de vingt ans. Il n’y a pas de règles spécifiques concernant les instructions données par le procureur général dans des affaires particulières. Le Collège des p</w:t>
      </w:r>
      <w:r>
        <w:rPr>
          <w:rFonts w:ascii="Times New Roman" w:hAnsi="Times New Roman"/>
          <w:i/>
          <w:sz w:val="18"/>
          <w:szCs w:val="15"/>
        </w:rPr>
        <w:t>rocureurs généraux peut donner des instructions à un procureur dans une affaire spécifique. Cet organe est composé de trois à cinq membres, et décide à la majorité avec au moins trois membres présents. Il n’existe pas de garanties spécifiques en place, dan</w:t>
      </w:r>
      <w:r>
        <w:rPr>
          <w:rFonts w:ascii="Times New Roman" w:hAnsi="Times New Roman"/>
          <w:i/>
          <w:sz w:val="18"/>
          <w:szCs w:val="15"/>
        </w:rPr>
        <w:t xml:space="preserve">s les cas où le Collège donne des instructions dans une affaire spécifique. </w:t>
      </w:r>
      <w:r>
        <w:rPr>
          <w:rFonts w:ascii="Times New Roman" w:hAnsi="Times New Roman"/>
          <w:b/>
          <w:i/>
          <w:sz w:val="18"/>
          <w:szCs w:val="15"/>
        </w:rPr>
        <w:t>AT:</w:t>
      </w:r>
      <w:r>
        <w:rPr>
          <w:rFonts w:ascii="Times New Roman" w:hAnsi="Times New Roman"/>
          <w:i/>
          <w:sz w:val="18"/>
          <w:szCs w:val="15"/>
        </w:rPr>
        <w:t xml:space="preserve"> le ministre de la justice a le pouvoir de donner des instructions concernant les poursuites dans des affaires particulières, après avis non contraignant d’un organe indépendant</w:t>
      </w:r>
      <w:r>
        <w:rPr>
          <w:rFonts w:ascii="Times New Roman" w:hAnsi="Times New Roman"/>
          <w:i/>
          <w:sz w:val="18"/>
          <w:szCs w:val="15"/>
        </w:rPr>
        <w:t xml:space="preserve"> (Weisungsrat) établi au sein du bureau du procureur général. Le ministre de la justice doit faire rapport chaque année au Parlement sur toutes les instructions données dans des affaires particulières, une fois que les affaires concernées ont été conclues,</w:t>
      </w:r>
      <w:r>
        <w:rPr>
          <w:rFonts w:ascii="Times New Roman" w:hAnsi="Times New Roman"/>
          <w:i/>
          <w:sz w:val="18"/>
          <w:szCs w:val="15"/>
        </w:rPr>
        <w:t xml:space="preserve"> y compris sur les raisons pour lesquelles il n’a pas suivi un avis du Weisungsrat, le cas échéant [§29a.(3) de la loi sur le ministère public]. Pour la période 2012-2017, 54 instructions dans des affaires particulières ont été signalées (Weisungsbericht 2</w:t>
      </w:r>
      <w:r>
        <w:rPr>
          <w:rFonts w:ascii="Times New Roman" w:hAnsi="Times New Roman"/>
          <w:i/>
          <w:sz w:val="18"/>
          <w:szCs w:val="15"/>
        </w:rPr>
        <w:t xml:space="preserve">018). </w:t>
      </w:r>
      <w:r>
        <w:rPr>
          <w:rFonts w:ascii="Times New Roman" w:hAnsi="Times New Roman"/>
          <w:b/>
          <w:i/>
          <w:sz w:val="18"/>
          <w:szCs w:val="15"/>
        </w:rPr>
        <w:t>PL:</w:t>
      </w:r>
      <w:r>
        <w:rPr>
          <w:rFonts w:ascii="Times New Roman" w:hAnsi="Times New Roman"/>
          <w:i/>
          <w:sz w:val="18"/>
          <w:szCs w:val="15"/>
        </w:rPr>
        <w:t xml:space="preserve"> le procureur général est également ministre de la justice. Si un procureur est en désaccord avec une instruction dans une affaire particulière, il peut demander que l’instruction soit modifiée ou qu’il soit lui-même exclu de l’administration de l</w:t>
      </w:r>
      <w:r>
        <w:rPr>
          <w:rFonts w:ascii="Times New Roman" w:hAnsi="Times New Roman"/>
          <w:i/>
          <w:sz w:val="18"/>
          <w:szCs w:val="15"/>
        </w:rPr>
        <w:t xml:space="preserve">’acte ou de la participation à l’affaire. La décision finale sur l’exclusion revient au procureur qui est le supérieur immédiat du procureur qui a donné l’ordre. </w:t>
      </w:r>
      <w:r>
        <w:rPr>
          <w:rFonts w:ascii="Times New Roman" w:hAnsi="Times New Roman"/>
          <w:b/>
          <w:i/>
          <w:sz w:val="18"/>
          <w:szCs w:val="15"/>
        </w:rPr>
        <w:t xml:space="preserve">SK: </w:t>
      </w:r>
      <w:r>
        <w:rPr>
          <w:rFonts w:ascii="Times New Roman" w:hAnsi="Times New Roman"/>
          <w:i/>
          <w:sz w:val="18"/>
          <w:szCs w:val="15"/>
        </w:rPr>
        <w:t>les instructions dans des affaires particulières doivent être jointes au dossier de l’affa</w:t>
      </w:r>
      <w:r>
        <w:rPr>
          <w:rFonts w:ascii="Times New Roman" w:hAnsi="Times New Roman"/>
          <w:i/>
          <w:sz w:val="18"/>
          <w:szCs w:val="15"/>
        </w:rPr>
        <w:t>ire afin que les autres parties puissent les lire et formuler leurs observations uniquement dans des conditions spécifiques.</w:t>
      </w:r>
    </w:p>
    <w:p w:rsidR="00D23207" w:rsidRDefault="00493C98">
      <w:pPr>
        <w:jc w:val="both"/>
      </w:pPr>
      <w:r>
        <w:br w:type="page"/>
      </w:r>
    </w:p>
    <w:tbl>
      <w:tblPr>
        <w:tblW w:w="0" w:type="auto"/>
        <w:tblInd w:w="-1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9"/>
      </w:tblGrid>
      <w:tr w:rsidR="00D23207">
        <w:trPr>
          <w:trHeight w:val="345"/>
        </w:trPr>
        <w:tc>
          <w:tcPr>
            <w:tcW w:w="9729" w:type="dxa"/>
            <w:shd w:val="clear" w:color="auto" w:fill="auto"/>
          </w:tcPr>
          <w:p w:rsidR="00D23207" w:rsidRDefault="00493C98">
            <w:pPr>
              <w:widowControl w:val="0"/>
              <w:tabs>
                <w:tab w:val="left" w:pos="850"/>
              </w:tabs>
              <w:spacing w:before="120" w:after="40" w:line="240" w:lineRule="auto"/>
              <w:ind w:left="850" w:hanging="850"/>
              <w:jc w:val="both"/>
              <w:outlineLvl w:val="2"/>
              <w:rPr>
                <w:rFonts w:ascii="Times New Roman" w:eastAsia="Times New Roman" w:hAnsi="Times New Roman" w:cs="Times New Roman"/>
                <w:b/>
                <w:sz w:val="24"/>
                <w:szCs w:val="24"/>
                <w:u w:val="single"/>
              </w:rPr>
            </w:pPr>
            <w:r>
              <w:rPr>
                <w:rFonts w:ascii="Times New Roman" w:hAnsi="Times New Roman"/>
                <w:b/>
                <w:sz w:val="24"/>
                <w:szCs w:val="24"/>
              </w:rPr>
              <w:t>3.3.3. Résumé sur l’indépendance de la justice</w:t>
            </w:r>
            <w:bookmarkEnd w:id="557"/>
            <w:bookmarkEnd w:id="558"/>
            <w:bookmarkEnd w:id="559"/>
            <w:bookmarkEnd w:id="560"/>
            <w:bookmarkEnd w:id="561"/>
            <w:bookmarkEnd w:id="562"/>
            <w:bookmarkEnd w:id="563"/>
            <w:bookmarkEnd w:id="564"/>
          </w:p>
          <w:p w:rsidR="00D23207" w:rsidRDefault="00493C98">
            <w:pPr>
              <w:widowControl w:val="0"/>
              <w:spacing w:before="60" w:after="120" w:line="240" w:lineRule="auto"/>
              <w:contextualSpacing/>
              <w:jc w:val="both"/>
              <w:rPr>
                <w:rFonts w:ascii="Times New Roman" w:eastAsia="Times New Roman" w:hAnsi="Times New Roman" w:cs="Times New Roman"/>
                <w:sz w:val="24"/>
              </w:rPr>
            </w:pPr>
            <w:r>
              <w:rPr>
                <w:rFonts w:ascii="Times New Roman" w:hAnsi="Times New Roman"/>
                <w:sz w:val="24"/>
                <w:szCs w:val="24"/>
              </w:rPr>
              <w:t>L’indépendance de la justice constitue un aspect fondamental de tout système de justice effectif. Elle est indispensable pour préserver l’état de droit, l’équité des procédures judiciaires et la confiance des citoyens et des entreprises dans leur système j</w:t>
            </w:r>
            <w:r>
              <w:rPr>
                <w:rFonts w:ascii="Times New Roman" w:hAnsi="Times New Roman"/>
                <w:sz w:val="24"/>
                <w:szCs w:val="24"/>
              </w:rPr>
              <w:t xml:space="preserve">udiciaire. C’est pourquoi toute réforme de la justice doit respecter l’état de droit et les normes européennes en matière d’indépendance de la justice. </w:t>
            </w:r>
            <w:r>
              <w:rPr>
                <w:rFonts w:ascii="Times New Roman" w:hAnsi="Times New Roman"/>
                <w:sz w:val="24"/>
                <w:szCs w:val="24"/>
                <w:shd w:val="clear" w:color="auto" w:fill="FFFFFF" w:themeFill="background1"/>
              </w:rPr>
              <w:t>Le tableau de bord révèle des tendances relatives à la perception de l’indépendance de la justice par le</w:t>
            </w:r>
            <w:r>
              <w:rPr>
                <w:rFonts w:ascii="Times New Roman" w:hAnsi="Times New Roman"/>
                <w:sz w:val="24"/>
                <w:szCs w:val="24"/>
                <w:shd w:val="clear" w:color="auto" w:fill="FFFFFF" w:themeFill="background1"/>
              </w:rPr>
              <w:t xml:space="preserve"> grand public et par les entreprises. La présente édition</w:t>
            </w:r>
            <w:r>
              <w:rPr>
                <w:rFonts w:ascii="Times New Roman" w:hAnsi="Times New Roman"/>
                <w:sz w:val="24"/>
                <w:szCs w:val="24"/>
              </w:rPr>
              <w:t xml:space="preserve"> décrit également certains indicateurs spécifiques sur les garanties juridiques relatives aux organismes associés aux procédures disciplinaires concernant les juges et procureurs. Ces indicateurs str</w:t>
            </w:r>
            <w:r>
              <w:rPr>
                <w:rFonts w:ascii="Times New Roman" w:hAnsi="Times New Roman"/>
                <w:sz w:val="24"/>
                <w:szCs w:val="24"/>
              </w:rPr>
              <w:t>ucturels ne permettent pas en eux-mêmes de tirer des conclusions sur l’indépendance du pouvoir judiciaire dans les États membres, mais ils représentent de possibles éléments à prendre en considération, constituant ainsi un point de départ pour une telle an</w:t>
            </w:r>
            <w:r>
              <w:rPr>
                <w:rFonts w:ascii="Times New Roman" w:hAnsi="Times New Roman"/>
                <w:sz w:val="24"/>
                <w:szCs w:val="24"/>
              </w:rPr>
              <w:t xml:space="preserve">alyse. </w:t>
            </w:r>
          </w:p>
          <w:p w:rsidR="00D23207" w:rsidRDefault="00493C98">
            <w:pPr>
              <w:widowControl w:val="0"/>
              <w:numPr>
                <w:ilvl w:val="0"/>
                <w:numId w:val="8"/>
              </w:numPr>
              <w:spacing w:before="120"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 tableau de bord 2020 présente l’évolution de la </w:t>
            </w:r>
            <w:r>
              <w:rPr>
                <w:rFonts w:ascii="Times New Roman" w:hAnsi="Times New Roman"/>
                <w:b/>
                <w:bCs/>
                <w:sz w:val="24"/>
                <w:szCs w:val="24"/>
              </w:rPr>
              <w:t>perception de l’indépendance</w:t>
            </w:r>
            <w:r>
              <w:rPr>
                <w:rFonts w:ascii="Times New Roman" w:hAnsi="Times New Roman"/>
                <w:sz w:val="24"/>
                <w:szCs w:val="24"/>
              </w:rPr>
              <w:t xml:space="preserve"> sur la base d’enquêtes menées auprès du grand public (Eurobaromètre) et des entreprises (Eurobaromètre et Forum économique mondial):</w:t>
            </w:r>
          </w:p>
          <w:p w:rsidR="00D23207" w:rsidRDefault="00493C98">
            <w:pPr>
              <w:widowControl w:val="0"/>
              <w:numPr>
                <w:ilvl w:val="1"/>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dans l’ensemble, les </w:t>
            </w:r>
            <w:r>
              <w:rPr>
                <w:rFonts w:ascii="Times New Roman" w:hAnsi="Times New Roman"/>
                <w:i/>
                <w:iCs/>
                <w:sz w:val="24"/>
                <w:szCs w:val="24"/>
              </w:rPr>
              <w:t>résultats</w:t>
            </w:r>
            <w:r>
              <w:rPr>
                <w:rFonts w:ascii="Times New Roman" w:hAnsi="Times New Roman"/>
                <w:sz w:val="24"/>
                <w:szCs w:val="24"/>
              </w:rPr>
              <w:t xml:space="preserve"> de toutes les enquêtes sont </w:t>
            </w:r>
            <w:r>
              <w:rPr>
                <w:rFonts w:ascii="Times New Roman" w:hAnsi="Times New Roman"/>
                <w:i/>
                <w:iCs/>
                <w:sz w:val="24"/>
                <w:szCs w:val="24"/>
              </w:rPr>
              <w:t>similaires</w:t>
            </w:r>
            <w:r>
              <w:rPr>
                <w:rFonts w:ascii="Times New Roman" w:hAnsi="Times New Roman"/>
                <w:sz w:val="24"/>
                <w:szCs w:val="24"/>
              </w:rPr>
              <w:t>, en particulier s’agissant de la composition des deux groupes d’États membres dans lesquels l’indépendance perçue de la justice est la plus élevée et la plus faible;</w:t>
            </w:r>
          </w:p>
          <w:p w:rsidR="00D23207" w:rsidRDefault="00493C98">
            <w:pPr>
              <w:widowControl w:val="0"/>
              <w:numPr>
                <w:ilvl w:val="1"/>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d’après l’enquête du Forum économique mondial (gra</w:t>
            </w:r>
            <w:r>
              <w:rPr>
                <w:rFonts w:ascii="Times New Roman" w:hAnsi="Times New Roman"/>
                <w:sz w:val="24"/>
                <w:szCs w:val="24"/>
              </w:rPr>
              <w:t xml:space="preserve">phique 48), présentée pour la huitième fois, l’indépendance perçue de la justice par les entreprises s’est </w:t>
            </w:r>
            <w:r>
              <w:rPr>
                <w:rFonts w:ascii="Times New Roman" w:hAnsi="Times New Roman"/>
                <w:i/>
                <w:iCs/>
                <w:sz w:val="24"/>
                <w:szCs w:val="24"/>
              </w:rPr>
              <w:t>améliorée</w:t>
            </w:r>
            <w:r>
              <w:rPr>
                <w:rFonts w:ascii="Times New Roman" w:hAnsi="Times New Roman"/>
                <w:sz w:val="24"/>
                <w:szCs w:val="24"/>
              </w:rPr>
              <w:t xml:space="preserve"> ou est </w:t>
            </w:r>
            <w:r>
              <w:rPr>
                <w:rFonts w:ascii="Times New Roman" w:hAnsi="Times New Roman"/>
                <w:i/>
                <w:iCs/>
                <w:sz w:val="24"/>
                <w:szCs w:val="24"/>
              </w:rPr>
              <w:t>restée stable</w:t>
            </w:r>
            <w:r>
              <w:rPr>
                <w:rFonts w:ascii="Times New Roman" w:hAnsi="Times New Roman"/>
                <w:sz w:val="24"/>
                <w:szCs w:val="24"/>
              </w:rPr>
              <w:t xml:space="preserve"> dans environ deux tiers des États membres par rapport à 2010 et par rapport à l’an dernier. De plus, parmi les États m</w:t>
            </w:r>
            <w:r>
              <w:rPr>
                <w:rFonts w:ascii="Times New Roman" w:hAnsi="Times New Roman"/>
                <w:sz w:val="24"/>
                <w:szCs w:val="24"/>
              </w:rPr>
              <w:t>embres confrontés à des difficultés spécifiques (</w:t>
            </w:r>
            <w:r>
              <w:rPr>
                <w:rFonts w:ascii="Times New Roman" w:eastAsia="Times New Roman" w:hAnsi="Times New Roman" w:cs="Times New Roman"/>
                <w:sz w:val="24"/>
                <w:szCs w:val="24"/>
                <w:vertAlign w:val="superscript"/>
              </w:rPr>
              <w:footnoteReference w:id="125"/>
            </w:r>
            <w:r>
              <w:rPr>
                <w:rFonts w:ascii="Times New Roman" w:hAnsi="Times New Roman"/>
                <w:sz w:val="24"/>
                <w:szCs w:val="24"/>
              </w:rPr>
              <w:t xml:space="preserve">), la perception de l’indépendance s’est </w:t>
            </w:r>
            <w:r>
              <w:rPr>
                <w:rFonts w:ascii="Times New Roman" w:hAnsi="Times New Roman"/>
                <w:i/>
                <w:iCs/>
                <w:sz w:val="24"/>
                <w:szCs w:val="24"/>
              </w:rPr>
              <w:t>améliorée</w:t>
            </w:r>
            <w:r>
              <w:rPr>
                <w:rFonts w:ascii="Times New Roman" w:hAnsi="Times New Roman"/>
                <w:sz w:val="24"/>
                <w:szCs w:val="24"/>
              </w:rPr>
              <w:t xml:space="preserve"> ou est </w:t>
            </w:r>
            <w:r>
              <w:rPr>
                <w:rFonts w:ascii="Times New Roman" w:hAnsi="Times New Roman"/>
                <w:i/>
                <w:iCs/>
                <w:sz w:val="24"/>
                <w:szCs w:val="24"/>
              </w:rPr>
              <w:t>restée stable</w:t>
            </w:r>
            <w:r>
              <w:rPr>
                <w:rFonts w:ascii="Times New Roman" w:hAnsi="Times New Roman"/>
                <w:sz w:val="24"/>
                <w:szCs w:val="24"/>
              </w:rPr>
              <w:t xml:space="preserve"> dans près de trois cinquièmes de ces pays sur cette période de neuf ans; </w:t>
            </w:r>
          </w:p>
          <w:p w:rsidR="00D23207" w:rsidRDefault="00493C98">
            <w:pPr>
              <w:widowControl w:val="0"/>
              <w:numPr>
                <w:ilvl w:val="1"/>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d’après l’enquête Eurobaromètre réalisée auprès du grand pub</w:t>
            </w:r>
            <w:r>
              <w:rPr>
                <w:rFonts w:ascii="Times New Roman" w:hAnsi="Times New Roman"/>
                <w:sz w:val="24"/>
                <w:szCs w:val="24"/>
              </w:rPr>
              <w:t xml:space="preserve">lic (graphique 44), présentée pour la cinquième fois, la perception de l’indépendance s’est améliorée dans environ deux tiers des États membres par rapport à 2016. La perception de l’indépendance par le grand public s’est </w:t>
            </w:r>
            <w:r>
              <w:rPr>
                <w:rFonts w:ascii="Times New Roman" w:hAnsi="Times New Roman"/>
                <w:i/>
                <w:iCs/>
                <w:sz w:val="24"/>
                <w:szCs w:val="24"/>
              </w:rPr>
              <w:t>améliorée</w:t>
            </w:r>
            <w:r>
              <w:rPr>
                <w:rFonts w:ascii="Times New Roman" w:hAnsi="Times New Roman"/>
                <w:sz w:val="24"/>
                <w:szCs w:val="24"/>
              </w:rPr>
              <w:t xml:space="preserve"> dans plus de deux tiers </w:t>
            </w:r>
            <w:r>
              <w:rPr>
                <w:rFonts w:ascii="Times New Roman" w:hAnsi="Times New Roman"/>
                <w:sz w:val="24"/>
                <w:szCs w:val="24"/>
              </w:rPr>
              <w:t xml:space="preserve">des États membres confrontés à des difficultés sur cette période de cinq ans. Toutefois, par rapport à l’année dernière, l’indépendance perçue de la justice par le grand public s’est </w:t>
            </w:r>
            <w:r>
              <w:rPr>
                <w:rFonts w:ascii="Times New Roman" w:hAnsi="Times New Roman"/>
                <w:i/>
                <w:iCs/>
                <w:sz w:val="24"/>
                <w:szCs w:val="24"/>
              </w:rPr>
              <w:t>affaiblie</w:t>
            </w:r>
            <w:r>
              <w:rPr>
                <w:rFonts w:ascii="Times New Roman" w:hAnsi="Times New Roman"/>
                <w:sz w:val="24"/>
                <w:szCs w:val="24"/>
              </w:rPr>
              <w:t xml:space="preserve"> dans environ deux cinquièmes de l’ensemble des États membres et</w:t>
            </w:r>
            <w:r>
              <w:rPr>
                <w:rFonts w:ascii="Times New Roman" w:hAnsi="Times New Roman"/>
                <w:sz w:val="24"/>
                <w:szCs w:val="24"/>
              </w:rPr>
              <w:t xml:space="preserve"> dans près de la moitié des États membres confrontés à des difficultés spécifiques et, dans quelques États membres, le niveau d’indépendance perçue reste particulièrement faible; </w:t>
            </w:r>
          </w:p>
          <w:p w:rsidR="00D23207" w:rsidRDefault="00493C98">
            <w:pPr>
              <w:widowControl w:val="0"/>
              <w:numPr>
                <w:ilvl w:val="1"/>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d’après l’enquête Eurobaromètre réalisée auprès des entreprises (graphique 4</w:t>
            </w:r>
            <w:r>
              <w:rPr>
                <w:rFonts w:ascii="Times New Roman" w:hAnsi="Times New Roman"/>
                <w:sz w:val="24"/>
                <w:szCs w:val="24"/>
              </w:rPr>
              <w:t xml:space="preserve">6), présentée pour la cinquième fois, la perception de l’indépendance s’est </w:t>
            </w:r>
            <w:r>
              <w:rPr>
                <w:rFonts w:ascii="Times New Roman" w:hAnsi="Times New Roman"/>
                <w:i/>
                <w:iCs/>
                <w:sz w:val="24"/>
                <w:szCs w:val="24"/>
              </w:rPr>
              <w:t>améliorée</w:t>
            </w:r>
            <w:r>
              <w:rPr>
                <w:rFonts w:ascii="Times New Roman" w:hAnsi="Times New Roman"/>
                <w:sz w:val="24"/>
                <w:szCs w:val="24"/>
              </w:rPr>
              <w:t xml:space="preserve"> dans plus de la moitié des États membres par rapport à 2016, et dans près de trois cinquièmes des États membres par rapport à l’an dernier (en 2019, c’était le cas dans e</w:t>
            </w:r>
            <w:r>
              <w:rPr>
                <w:rFonts w:ascii="Times New Roman" w:hAnsi="Times New Roman"/>
                <w:sz w:val="24"/>
                <w:szCs w:val="24"/>
              </w:rPr>
              <w:t xml:space="preserve">nviron trois cinquièmes des États membres confrontés à des difficultés spécifiques et dans plus de deux tiers des autres États membres). Toutefois, dans quelques États membres, le niveau d’indépendance perçue reste particulièrement faible; </w:t>
            </w:r>
          </w:p>
          <w:p w:rsidR="00D23207" w:rsidRDefault="00493C98">
            <w:pPr>
              <w:widowControl w:val="0"/>
              <w:numPr>
                <w:ilvl w:val="1"/>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parmi les raiso</w:t>
            </w:r>
            <w:r>
              <w:rPr>
                <w:rFonts w:ascii="Times New Roman" w:hAnsi="Times New Roman"/>
                <w:sz w:val="24"/>
                <w:szCs w:val="24"/>
              </w:rPr>
              <w:t xml:space="preserve">ns proposées pour l’impression de manque d’indépendance des tribunaux et des juges, </w:t>
            </w:r>
            <w:r>
              <w:rPr>
                <w:rFonts w:ascii="Times New Roman" w:hAnsi="Times New Roman"/>
                <w:i/>
                <w:sz w:val="24"/>
                <w:szCs w:val="24"/>
              </w:rPr>
              <w:t>l’ingérence ou les pressions du gouvernement et de responsables politiques</w:t>
            </w:r>
            <w:r>
              <w:rPr>
                <w:rFonts w:ascii="Times New Roman" w:hAnsi="Times New Roman"/>
                <w:sz w:val="24"/>
                <w:szCs w:val="24"/>
              </w:rPr>
              <w:t xml:space="preserve"> était la raison la plus invoquée, suivie par la pression économique ou d’autres intérêts particuliers. Par rapport aux années précédentes, ces deux raisons sont particulièrement notables pour plusieurs États membres dans lesquels l’indépendance perçue est</w:t>
            </w:r>
            <w:r>
              <w:rPr>
                <w:rFonts w:ascii="Times New Roman" w:hAnsi="Times New Roman"/>
                <w:sz w:val="24"/>
                <w:szCs w:val="24"/>
              </w:rPr>
              <w:t xml:space="preserve"> très faible (graphiques 45 et 47);</w:t>
            </w:r>
          </w:p>
          <w:p w:rsidR="00D23207" w:rsidRDefault="00493C98">
            <w:pPr>
              <w:widowControl w:val="0"/>
              <w:numPr>
                <w:ilvl w:val="1"/>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parmi les raisons proposées pour la bonne perception de l’indépendance des tribunaux et des juges, pratiquement quatre cinquièmes des entreprises et du grand public (soit respectivement 43 % et 44 % de l’ensemble des son</w:t>
            </w:r>
            <w:r>
              <w:rPr>
                <w:rFonts w:ascii="Times New Roman" w:hAnsi="Times New Roman"/>
                <w:sz w:val="24"/>
                <w:szCs w:val="24"/>
              </w:rPr>
              <w:t xml:space="preserve">dés) ont mentionné </w:t>
            </w:r>
            <w:r>
              <w:rPr>
                <w:rFonts w:ascii="Times New Roman" w:hAnsi="Times New Roman"/>
                <w:i/>
                <w:sz w:val="24"/>
                <w:szCs w:val="24"/>
              </w:rPr>
              <w:t>les garanties fournies par le statut et la fonction des juges</w:t>
            </w:r>
            <w:r>
              <w:rPr>
                <w:rFonts w:ascii="Times New Roman" w:hAnsi="Times New Roman"/>
                <w:sz w:val="24"/>
                <w:szCs w:val="24"/>
              </w:rPr>
              <w:t>;</w:t>
            </w:r>
          </w:p>
          <w:p w:rsidR="00D23207" w:rsidRDefault="00493C98">
            <w:pPr>
              <w:widowControl w:val="0"/>
              <w:numPr>
                <w:ilvl w:val="0"/>
                <w:numId w:val="8"/>
              </w:numPr>
              <w:spacing w:before="60" w:after="0" w:line="240" w:lineRule="auto"/>
              <w:jc w:val="both"/>
              <w:rPr>
                <w:rFonts w:ascii="Times New Roman" w:eastAsia="Times New Roman" w:hAnsi="Times New Roman" w:cs="Times New Roman"/>
                <w:sz w:val="24"/>
                <w:szCs w:val="24"/>
              </w:rPr>
            </w:pPr>
            <w:r>
              <w:rPr>
                <w:rFonts w:ascii="Times New Roman" w:hAnsi="Times New Roman"/>
                <w:sz w:val="24"/>
                <w:szCs w:val="24"/>
              </w:rPr>
              <w:t>le tableau de bord 2020 de la justice dans l’UE présente des vues d’ensemble actualisées des autorités disciplinaires traitant des procédures concernant les juges ainsi que d</w:t>
            </w:r>
            <w:r>
              <w:rPr>
                <w:rFonts w:ascii="Times New Roman" w:hAnsi="Times New Roman"/>
                <w:sz w:val="24"/>
                <w:szCs w:val="24"/>
              </w:rPr>
              <w:t>es compétences des pouvoirs judiciaire, exécutif et législatif en matière de sélection des membres-juges des conseils de la justice, de même que quelques vues d’ensemble concernant les ministères publics;</w:t>
            </w:r>
          </w:p>
          <w:p w:rsidR="00D23207" w:rsidRDefault="00493C98">
            <w:pPr>
              <w:widowControl w:val="0"/>
              <w:numPr>
                <w:ilvl w:val="0"/>
                <w:numId w:val="8"/>
              </w:numPr>
              <w:spacing w:before="60" w:after="120" w:line="240" w:lineRule="auto"/>
              <w:jc w:val="both"/>
              <w:rPr>
                <w:rFonts w:ascii="Times New Roman" w:eastAsia="Times New Roman" w:hAnsi="Times New Roman" w:cs="Times New Roman"/>
                <w:sz w:val="24"/>
                <w:szCs w:val="24"/>
              </w:rPr>
            </w:pPr>
            <w:r>
              <w:rPr>
                <w:rFonts w:ascii="Times New Roman" w:hAnsi="Times New Roman"/>
                <w:sz w:val="24"/>
                <w:szCs w:val="24"/>
              </w:rPr>
              <w:t>le graphique 49 présente une vue d’ensemble actuali</w:t>
            </w:r>
            <w:r>
              <w:rPr>
                <w:rFonts w:ascii="Times New Roman" w:hAnsi="Times New Roman"/>
                <w:sz w:val="24"/>
                <w:szCs w:val="24"/>
              </w:rPr>
              <w:t xml:space="preserve">sée des autorités chargées des </w:t>
            </w:r>
            <w:r>
              <w:rPr>
                <w:rFonts w:ascii="Times New Roman" w:hAnsi="Times New Roman"/>
                <w:b/>
                <w:bCs/>
                <w:sz w:val="24"/>
                <w:szCs w:val="24"/>
              </w:rPr>
              <w:t>procédures disciplinaires concernant les juges</w:t>
            </w:r>
            <w:r>
              <w:rPr>
                <w:rFonts w:ascii="Times New Roman" w:hAnsi="Times New Roman"/>
                <w:sz w:val="24"/>
                <w:szCs w:val="24"/>
              </w:rPr>
              <w:t xml:space="preserve">: dans la majorité des États membres, l’autorité qui décide des sanctions disciplinaires est une autorité indépendante comme une juridiction (Cour suprême, Cour administrative ou </w:t>
            </w:r>
            <w:r>
              <w:rPr>
                <w:rFonts w:ascii="Times New Roman" w:hAnsi="Times New Roman"/>
                <w:sz w:val="24"/>
                <w:szCs w:val="24"/>
              </w:rPr>
              <w:t>président de juridiction) ou un conseil de la justice, tandis que dans quelques États membres il s’agit d’une juridiction spéciale dont les membres sont spécifiquement sélectionnés ou nommés (par le Conseil de la justice, par des juges ou, dans un État mem</w:t>
            </w:r>
            <w:r>
              <w:rPr>
                <w:rFonts w:ascii="Times New Roman" w:hAnsi="Times New Roman"/>
                <w:sz w:val="24"/>
                <w:szCs w:val="24"/>
              </w:rPr>
              <w:t>bre, par le ministre de la justice) en vue d’intervenir dans les procédures disciplinaires;</w:t>
            </w:r>
          </w:p>
          <w:p w:rsidR="00D23207" w:rsidRDefault="00493C98">
            <w:pPr>
              <w:widowControl w:val="0"/>
              <w:numPr>
                <w:ilvl w:val="0"/>
                <w:numId w:val="8"/>
              </w:numPr>
              <w:spacing w:before="60" w:after="12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 graphique 50 présente une vue d’ensemble des différents </w:t>
            </w:r>
            <w:r>
              <w:rPr>
                <w:rFonts w:ascii="Times New Roman" w:hAnsi="Times New Roman"/>
                <w:b/>
                <w:bCs/>
                <w:sz w:val="24"/>
                <w:szCs w:val="24"/>
              </w:rPr>
              <w:t>enquêteurs chargés des enquêtes disciplinaires concernant les juges</w:t>
            </w:r>
            <w:r>
              <w:rPr>
                <w:rFonts w:ascii="Times New Roman" w:hAnsi="Times New Roman"/>
                <w:sz w:val="24"/>
                <w:szCs w:val="24"/>
              </w:rPr>
              <w:t xml:space="preserve">. Dans la majorité des États membres, </w:t>
            </w:r>
            <w:r>
              <w:rPr>
                <w:rFonts w:ascii="Times New Roman" w:hAnsi="Times New Roman"/>
                <w:sz w:val="24"/>
                <w:szCs w:val="24"/>
              </w:rPr>
              <w:t>l’enquêteur est un président de juridiction ou un conseil de la justice. Dans quelques États membres, l’enquêteur est spécifiquement sélectionné soit par des juges, soit par le Conseil de la justice, soit, dans un État membre, par le ministre de la justice</w:t>
            </w:r>
            <w:r>
              <w:rPr>
                <w:rFonts w:ascii="Times New Roman" w:hAnsi="Times New Roman"/>
                <w:sz w:val="24"/>
                <w:szCs w:val="24"/>
              </w:rPr>
              <w:t>;</w:t>
            </w:r>
          </w:p>
          <w:p w:rsidR="00D23207" w:rsidRDefault="00493C98">
            <w:pPr>
              <w:widowControl w:val="0"/>
              <w:numPr>
                <w:ilvl w:val="0"/>
                <w:numId w:val="8"/>
              </w:numPr>
              <w:spacing w:before="60" w:after="12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les graphiques 51 et 52 présentent des vues d’ensemble actualisées de l’implication du pouvoir judiciaire dans la </w:t>
            </w:r>
            <w:r>
              <w:rPr>
                <w:rFonts w:ascii="Times New Roman" w:hAnsi="Times New Roman"/>
                <w:b/>
                <w:bCs/>
                <w:sz w:val="24"/>
                <w:szCs w:val="24"/>
              </w:rPr>
              <w:t>nomination des membres-juges des conseils de la justice</w:t>
            </w:r>
            <w:r>
              <w:rPr>
                <w:rFonts w:ascii="Times New Roman" w:hAnsi="Times New Roman"/>
                <w:sz w:val="24"/>
                <w:szCs w:val="24"/>
              </w:rPr>
              <w:t xml:space="preserve"> et dans la </w:t>
            </w:r>
            <w:r>
              <w:rPr>
                <w:rFonts w:ascii="Times New Roman" w:hAnsi="Times New Roman"/>
                <w:b/>
                <w:bCs/>
                <w:sz w:val="24"/>
                <w:szCs w:val="24"/>
              </w:rPr>
              <w:t>composition des conseils de la justice</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Il incombe aux États membres de s</w:t>
            </w:r>
            <w:r>
              <w:rPr>
                <w:rFonts w:ascii="Times New Roman" w:hAnsi="Times New Roman"/>
                <w:sz w:val="24"/>
                <w:szCs w:val="24"/>
              </w:rPr>
              <w:t>tructurer leur système judiciaire, et notamment d’instituer, ou non, un conseil de la justice. Toutefois, si un conseil de la justice a été institué par un État membre, l’indépendance de ce conseil doit être garantie conformément aux normes européennes. Da</w:t>
            </w:r>
            <w:r>
              <w:rPr>
                <w:rFonts w:ascii="Times New Roman" w:hAnsi="Times New Roman"/>
                <w:sz w:val="24"/>
                <w:szCs w:val="24"/>
              </w:rPr>
              <w:t>ns la quasi-totalité des États membres, les membres-juges des conseils sont proposés et élus ou sélectionnés par des juges;</w:t>
            </w:r>
          </w:p>
          <w:p w:rsidR="00D23207" w:rsidRDefault="00493C98">
            <w:pPr>
              <w:widowControl w:val="0"/>
              <w:numPr>
                <w:ilvl w:val="0"/>
                <w:numId w:val="8"/>
              </w:numPr>
              <w:spacing w:before="60" w:after="12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les graphiques 53 et 54 présentent des vues d’ensemble des </w:t>
            </w:r>
            <w:r>
              <w:rPr>
                <w:rFonts w:ascii="Times New Roman" w:hAnsi="Times New Roman"/>
                <w:b/>
                <w:sz w:val="24"/>
                <w:szCs w:val="24"/>
              </w:rPr>
              <w:t>autorités disciplinaires traitant des procédures concernant les procureur</w:t>
            </w:r>
            <w:r>
              <w:rPr>
                <w:rFonts w:ascii="Times New Roman" w:hAnsi="Times New Roman"/>
                <w:b/>
                <w:sz w:val="24"/>
                <w:szCs w:val="24"/>
              </w:rPr>
              <w:t>s</w:t>
            </w:r>
            <w:r>
              <w:rPr>
                <w:rFonts w:ascii="Times New Roman" w:hAnsi="Times New Roman"/>
                <w:sz w:val="24"/>
                <w:szCs w:val="24"/>
              </w:rPr>
              <w:t xml:space="preserve">. Le graphique 55 montre une vue d’ensemble actualisée et plus détaillée des organes habilités à donner des </w:t>
            </w:r>
            <w:r>
              <w:rPr>
                <w:rFonts w:ascii="Times New Roman" w:hAnsi="Times New Roman"/>
                <w:b/>
                <w:bCs/>
                <w:sz w:val="24"/>
                <w:szCs w:val="24"/>
              </w:rPr>
              <w:t>instructions aux procureurs dans des affaires particulières</w:t>
            </w:r>
            <w:r>
              <w:rPr>
                <w:rFonts w:ascii="Times New Roman" w:hAnsi="Times New Roman"/>
                <w:sz w:val="24"/>
                <w:szCs w:val="24"/>
              </w:rPr>
              <w:t xml:space="preserve"> et présente certaines des garanties qui sont en place si de telles instructions sont do</w:t>
            </w:r>
            <w:r>
              <w:rPr>
                <w:rFonts w:ascii="Times New Roman" w:hAnsi="Times New Roman"/>
                <w:sz w:val="24"/>
                <w:szCs w:val="24"/>
              </w:rPr>
              <w:t>nnées dans une affaire concrète.</w:t>
            </w:r>
          </w:p>
        </w:tc>
      </w:tr>
    </w:tbl>
    <w:p w:rsidR="00D23207" w:rsidRDefault="00493C98">
      <w:pPr>
        <w:keepNext/>
        <w:tabs>
          <w:tab w:val="left" w:pos="850"/>
        </w:tabs>
        <w:spacing w:before="240" w:after="120" w:line="240" w:lineRule="auto"/>
        <w:ind w:left="850" w:hanging="850"/>
        <w:jc w:val="both"/>
        <w:outlineLvl w:val="0"/>
        <w:rPr>
          <w:rFonts w:ascii="Times New Roman" w:eastAsia="Times New Roman" w:hAnsi="Times New Roman" w:cs="Times New Roman"/>
          <w:b/>
          <w:smallCaps/>
          <w:sz w:val="24"/>
          <w:szCs w:val="24"/>
        </w:rPr>
      </w:pPr>
      <w:bookmarkStart w:id="572" w:name="_Toc440291129"/>
      <w:bookmarkStart w:id="573" w:name="_Toc440294692"/>
      <w:bookmarkStart w:id="574" w:name="_Toc440295194"/>
      <w:bookmarkStart w:id="575" w:name="_Toc440296599"/>
      <w:bookmarkStart w:id="576" w:name="_Toc440625083"/>
      <w:bookmarkStart w:id="577" w:name="_Toc440626413"/>
      <w:bookmarkStart w:id="578" w:name="_Toc440628867"/>
      <w:bookmarkStart w:id="579" w:name="_Toc441571141"/>
      <w:bookmarkStart w:id="580" w:name="_Toc441581643"/>
      <w:bookmarkStart w:id="581" w:name="_Toc441585910"/>
      <w:bookmarkStart w:id="582" w:name="_Toc441595845"/>
      <w:bookmarkStart w:id="583" w:name="_Toc441596022"/>
      <w:bookmarkStart w:id="584" w:name="_Toc441748147"/>
      <w:bookmarkStart w:id="585" w:name="_Toc441755433"/>
      <w:bookmarkStart w:id="586" w:name="_Toc441756470"/>
      <w:bookmarkStart w:id="587" w:name="_Toc441757514"/>
      <w:bookmarkStart w:id="588" w:name="_Toc441766643"/>
      <w:bookmarkStart w:id="589" w:name="_Toc441766982"/>
      <w:bookmarkStart w:id="590" w:name="_Toc442187983"/>
      <w:bookmarkStart w:id="591" w:name="_Toc442262075"/>
      <w:bookmarkStart w:id="592" w:name="_Toc442362482"/>
      <w:bookmarkStart w:id="593" w:name="_Toc442374818"/>
      <w:bookmarkStart w:id="594" w:name="_Toc442425958"/>
      <w:bookmarkStart w:id="595" w:name="_Toc442453084"/>
      <w:bookmarkEnd w:id="565"/>
      <w:bookmarkEnd w:id="566"/>
      <w:bookmarkEnd w:id="567"/>
      <w:bookmarkEnd w:id="568"/>
      <w:bookmarkEnd w:id="569"/>
      <w:bookmarkEnd w:id="570"/>
      <w:bookmarkEnd w:id="571"/>
      <w:r>
        <w:rPr>
          <w:rFonts w:ascii="Times New Roman" w:hAnsi="Times New Roman"/>
          <w:b/>
          <w:smallCaps/>
          <w:sz w:val="24"/>
          <w:szCs w:val="24"/>
        </w:rPr>
        <w:tab/>
      </w:r>
      <w:bookmarkStart w:id="596" w:name="_Toc409512293"/>
      <w:bookmarkStart w:id="597" w:name="_Toc409530234"/>
      <w:bookmarkStart w:id="598" w:name="_Toc438545683"/>
      <w:bookmarkStart w:id="599" w:name="_Toc438548333"/>
      <w:bookmarkStart w:id="600" w:name="_Toc438548519"/>
      <w:bookmarkStart w:id="601" w:name="_Toc440017707"/>
      <w:bookmarkStart w:id="602" w:name="_Toc440018091"/>
      <w:bookmarkStart w:id="603" w:name="_Toc440033389"/>
      <w:bookmarkStart w:id="604" w:name="_Toc440035240"/>
      <w:bookmarkStart w:id="605" w:name="_Toc440036535"/>
      <w:bookmarkStart w:id="606" w:name="_Toc440042477"/>
      <w:bookmarkStart w:id="607" w:name="_Toc443484543"/>
      <w:bookmarkStart w:id="608" w:name="_Toc443484765"/>
      <w:bookmarkStart w:id="609" w:name="_Toc443509506"/>
      <w:bookmarkStart w:id="610" w:name="_Toc446014835"/>
      <w:r>
        <w:rPr>
          <w:rFonts w:ascii="Times New Roman" w:hAnsi="Times New Roman"/>
          <w:b/>
          <w:smallCaps/>
          <w:sz w:val="24"/>
          <w:szCs w:val="24"/>
        </w:rPr>
        <w:t>4.</w:t>
      </w:r>
      <w:r>
        <w:rPr>
          <w:rFonts w:ascii="Times New Roman" w:hAnsi="Times New Roman"/>
          <w:b/>
          <w:smallCaps/>
          <w:sz w:val="24"/>
          <w:szCs w:val="24"/>
        </w:rPr>
        <w:tab/>
        <w:t>CONCLUSIONS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Le tableau de bord 2020 de la justice dans l’UE montre une amélioration continue de l’efficacité des systèmes de justice dans une grande majorité des États membres. Néanmoins, des difficultés doivent encore être surmontées afin de garantir la pleine confia</w:t>
      </w:r>
      <w:r>
        <w:rPr>
          <w:rFonts w:ascii="Times New Roman" w:hAnsi="Times New Roman"/>
          <w:sz w:val="24"/>
          <w:szCs w:val="24"/>
        </w:rPr>
        <w:t xml:space="preserve">nce des citoyens dans la justice des États membres dans la mesure où les juges pourraient voir les garanties liées à leur statut et à leur fonction et, ce faisant, à leur indépendance, menacées. </w:t>
      </w:r>
    </w:p>
    <w:p w:rsidR="00D23207" w:rsidRDefault="00493C98">
      <w:pPr>
        <w:spacing w:after="120" w:line="240" w:lineRule="auto"/>
        <w:jc w:val="both"/>
        <w:rPr>
          <w:rFonts w:ascii="Times New Roman" w:eastAsia="Times New Roman" w:hAnsi="Times New Roman" w:cs="Times New Roman"/>
          <w:sz w:val="24"/>
          <w:szCs w:val="24"/>
        </w:rPr>
      </w:pPr>
      <w:r>
        <w:rPr>
          <w:rFonts w:ascii="Times New Roman" w:hAnsi="Times New Roman"/>
          <w:sz w:val="24"/>
          <w:szCs w:val="24"/>
        </w:rPr>
        <w:t>Le tableau de bord de la justice dans l’UE fournit des infor</w:t>
      </w:r>
      <w:r>
        <w:rPr>
          <w:rFonts w:ascii="Times New Roman" w:hAnsi="Times New Roman"/>
          <w:sz w:val="24"/>
          <w:szCs w:val="24"/>
        </w:rPr>
        <w:t>mations objectives et comparables sur l’indépendance, la qualité et l’efficacité des systèmes judiciaires nationaux et est utilisé comme référence dans le Semestre européen. Il constituera l’une des sources du rapport sur l’état de droit à venir. Comme ann</w:t>
      </w:r>
      <w:r>
        <w:rPr>
          <w:rFonts w:ascii="Times New Roman" w:hAnsi="Times New Roman"/>
          <w:sz w:val="24"/>
          <w:szCs w:val="24"/>
        </w:rPr>
        <w:t>oncé dans la communication intitulée «Renforcement de l’état de droit au sein de l’Union – Plan d’action», le tableau de bord de la justice dans l’UE sera approfondi dans les domaines pertinents liés à l’état de droit.</w:t>
      </w:r>
    </w:p>
    <w:sectPr w:rsidR="00D23207">
      <w:headerReference w:type="even" r:id="rId75"/>
      <w:headerReference w:type="default" r:id="rId76"/>
      <w:footerReference w:type="even" r:id="rId77"/>
      <w:footerReference w:type="default" r:id="rId78"/>
      <w:headerReference w:type="first" r:id="rId79"/>
      <w:footerReference w:type="first" r:id="rId80"/>
      <w:pgSz w:w="11907" w:h="16839"/>
      <w:pgMar w:top="1134" w:right="1247" w:bottom="1134" w:left="1247" w:header="709"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07" w:rsidRDefault="00493C98">
      <w:pPr>
        <w:spacing w:after="0" w:line="240" w:lineRule="auto"/>
      </w:pPr>
      <w:r>
        <w:separator/>
      </w:r>
    </w:p>
  </w:endnote>
  <w:endnote w:type="continuationSeparator" w:id="0">
    <w:p w:rsidR="00D23207" w:rsidRDefault="00493C98">
      <w:pPr>
        <w:spacing w:after="0" w:line="240" w:lineRule="auto"/>
      </w:pPr>
      <w:r>
        <w:continuationSeparator/>
      </w:r>
    </w:p>
  </w:endnote>
  <w:endnote w:type="continuationNotice" w:id="1">
    <w:p w:rsidR="00D23207" w:rsidRDefault="00D23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Pr="00493C98" w:rsidRDefault="00493C98" w:rsidP="00493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07" w:rsidRPr="00493C98" w:rsidRDefault="00493C98" w:rsidP="00493C98">
    <w:pPr>
      <w:pStyle w:val="FooterCoverPage"/>
      <w:rPr>
        <w:rFonts w:ascii="Arial" w:hAnsi="Arial" w:cs="Arial"/>
        <w:b/>
        <w:sz w:val="48"/>
      </w:rPr>
    </w:pPr>
    <w:r w:rsidRPr="00493C98">
      <w:rPr>
        <w:rFonts w:ascii="Arial" w:hAnsi="Arial" w:cs="Arial"/>
        <w:b/>
        <w:sz w:val="48"/>
      </w:rPr>
      <w:t>FR</w:t>
    </w:r>
    <w:r w:rsidRPr="00493C98">
      <w:rPr>
        <w:rFonts w:ascii="Arial" w:hAnsi="Arial" w:cs="Arial"/>
        <w:b/>
        <w:sz w:val="48"/>
      </w:rPr>
      <w:tab/>
    </w:r>
    <w:r w:rsidRPr="00493C98">
      <w:rPr>
        <w:rFonts w:ascii="Arial" w:hAnsi="Arial" w:cs="Arial"/>
        <w:b/>
        <w:sz w:val="48"/>
      </w:rPr>
      <w:tab/>
    </w:r>
    <w:r w:rsidRPr="00493C98">
      <w:tab/>
    </w:r>
    <w:r w:rsidRPr="00493C9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Pr="00493C98" w:rsidRDefault="00493C98" w:rsidP="00493C9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Default="00493C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Default="00493C9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rsidR="00493C98" w:rsidRDefault="00493C98">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Default="0049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07" w:rsidRDefault="00493C98">
      <w:pPr>
        <w:spacing w:after="0" w:line="240" w:lineRule="auto"/>
      </w:pPr>
      <w:r>
        <w:separator/>
      </w:r>
    </w:p>
  </w:footnote>
  <w:footnote w:type="continuationSeparator" w:id="0">
    <w:p w:rsidR="00D23207" w:rsidRDefault="00493C98">
      <w:pPr>
        <w:spacing w:after="0" w:line="240" w:lineRule="auto"/>
      </w:pPr>
      <w:r>
        <w:continuationSeparator/>
      </w:r>
    </w:p>
  </w:footnote>
  <w:footnote w:type="continuationNotice" w:id="1">
    <w:p w:rsidR="00D23207" w:rsidRDefault="00D23207">
      <w:pPr>
        <w:spacing w:after="0" w:line="240" w:lineRule="auto"/>
      </w:pPr>
    </w:p>
  </w:footnote>
  <w:footnote w:id="2">
    <w:p w:rsidR="00D23207" w:rsidRDefault="00493C98">
      <w:pPr>
        <w:pStyle w:val="FootnoteText"/>
        <w:spacing w:before="60"/>
        <w:ind w:left="567" w:hanging="567"/>
      </w:pPr>
      <w:r>
        <w:rPr>
          <w:rStyle w:val="FootnoteReference"/>
        </w:rPr>
        <w:footnoteRef/>
      </w:r>
      <w:r>
        <w:t xml:space="preserve"> </w:t>
      </w:r>
      <w:r>
        <w:tab/>
      </w:r>
      <w:r>
        <w:t xml:space="preserve">Voir communication de la Commission au Parlement européen, au Conseil, au Comité économique et social européen et au Comité des régions «Recenser et identifier les obstacles au marché unique» [COM(2020) 93 et le document SWD(2020) 54 qui l’accompagne]. </w:t>
      </w:r>
    </w:p>
  </w:footnote>
  <w:footnote w:id="3">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Par exemple, résolution du Parlement européen du 29 mai 2018 sur le tableau de bord 2017 de la justice dans l’Union européenne [P8_TA(2018)0216].</w:t>
      </w:r>
    </w:p>
  </w:footnote>
  <w:footnote w:id="4">
    <w:p w:rsidR="00D23207" w:rsidRDefault="00493C98">
      <w:pPr>
        <w:pStyle w:val="FootnoteText"/>
        <w:spacing w:before="60"/>
        <w:ind w:left="567" w:hanging="567"/>
      </w:pPr>
      <w:r>
        <w:rPr>
          <w:rStyle w:val="FootnoteReference"/>
        </w:rPr>
        <w:footnoteRef/>
      </w:r>
      <w:r>
        <w:t xml:space="preserve"> </w:t>
      </w:r>
      <w:r>
        <w:tab/>
        <w:t>Afin de réduire l’horizon temporel, le tableau de bord 2020 de la justice dans l’UE prend 2012 comme année</w:t>
      </w:r>
      <w:r>
        <w:t xml:space="preserve"> de référence pour les données de la CEPEJ, tandis que l’édition de 2019 utilisait des données de 2010. </w:t>
      </w:r>
    </w:p>
  </w:footnote>
  <w:footnote w:id="5">
    <w:p w:rsidR="00D23207" w:rsidRDefault="00493C98">
      <w:pPr>
        <w:pStyle w:val="FootnoteText"/>
        <w:spacing w:before="60"/>
        <w:ind w:left="567" w:hanging="567"/>
        <w:rPr>
          <w:highlight w:val="yellow"/>
        </w:rPr>
      </w:pPr>
      <w:r>
        <w:rPr>
          <w:rStyle w:val="FootnoteReference"/>
        </w:rPr>
        <w:footnoteRef/>
      </w:r>
      <w:r>
        <w:tab/>
      </w:r>
      <w:hyperlink r:id="rId1" w:history="1">
        <w:r>
          <w:rPr>
            <w:rStyle w:val="Hyperlink"/>
          </w:rPr>
          <w:t>https://ec.europa.eu/in</w:t>
        </w:r>
        <w:r>
          <w:rPr>
            <w:rStyle w:val="Hyperlink"/>
          </w:rPr>
          <w:t>fo/policies/justice-and-fundamental-rights/upholding-rule-law/eu-justice-scoreboard_fr</w:t>
        </w:r>
      </w:hyperlink>
    </w:p>
  </w:footnote>
  <w:footnote w:id="6">
    <w:p w:rsidR="00D23207" w:rsidRDefault="00493C98">
      <w:pPr>
        <w:pStyle w:val="FootnoteText"/>
        <w:spacing w:before="60"/>
        <w:ind w:left="567" w:hanging="567"/>
      </w:pPr>
      <w:r>
        <w:rPr>
          <w:rStyle w:val="FootnoteReference"/>
        </w:rPr>
        <w:footnoteRef/>
      </w:r>
      <w:r>
        <w:t xml:space="preserve"> </w:t>
      </w:r>
      <w:r>
        <w:tab/>
        <w:t>Un graphique (48) continue d’utiliser les données de 2010 étant donné que, dans certains États membres, l’enquête Global Competitiveness Report pertinente sur la perc</w:t>
      </w:r>
      <w:r>
        <w:t>eption de l’indépendance a été menée en 2010, 2011 ou 2012.</w:t>
      </w:r>
    </w:p>
  </w:footnote>
  <w:footnote w:id="7">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Afin de contribuer à l’élaboration du tableau de bord de la justice dans l’UE et de favoriser l’échange de bonnes pratiques en matière d’efficacité des systèmes judiciaires, la Commission a inv</w:t>
      </w:r>
      <w:r>
        <w:t>ité les États membres à désigner deux personnes de contact, l’une provenant du pouvoir judiciaire et l’autre du ministère de la justice. Le groupe informel se réunit régulièrement.</w:t>
      </w:r>
    </w:p>
  </w:footnote>
  <w:footnote w:id="8">
    <w:p w:rsidR="00D23207" w:rsidRDefault="00493C98">
      <w:pPr>
        <w:pStyle w:val="FootnoteText"/>
        <w:spacing w:before="60"/>
        <w:ind w:left="567" w:hanging="567"/>
      </w:pPr>
      <w:r>
        <w:rPr>
          <w:rStyle w:val="FootnoteReference"/>
        </w:rPr>
        <w:footnoteRef/>
      </w:r>
      <w:r>
        <w:t xml:space="preserve"> </w:t>
      </w:r>
      <w:r>
        <w:tab/>
        <w:t>Le RECJ rassemble les institutions nationales des États membres qui sont</w:t>
      </w:r>
      <w:r>
        <w:t xml:space="preserve"> indépendantes des pouvoirs exécutif et législatif et qui sont chargées de soutenir les systèmes judiciaires dans l’exercice indépendant de la justice: </w:t>
      </w:r>
      <w:hyperlink r:id="rId2" w:history="1">
        <w:r>
          <w:rPr>
            <w:rStyle w:val="Hyperlink"/>
          </w:rPr>
          <w:t>https://www.encj.eu/</w:t>
        </w:r>
      </w:hyperlink>
    </w:p>
  </w:footnote>
  <w:footnote w:id="9">
    <w:p w:rsidR="00D23207" w:rsidRDefault="00493C98">
      <w:pPr>
        <w:pStyle w:val="FootnoteText"/>
        <w:spacing w:before="60"/>
        <w:ind w:left="567" w:hanging="567"/>
      </w:pPr>
      <w:r>
        <w:rPr>
          <w:rStyle w:val="FootnoteReference"/>
        </w:rPr>
        <w:footnoteRef/>
      </w:r>
      <w:r>
        <w:t xml:space="preserve"> </w:t>
      </w:r>
      <w:r>
        <w:tab/>
        <w:t>Le Réseau des présidents des Cours suprêmes</w:t>
      </w:r>
      <w:r>
        <w:t xml:space="preserve"> judiciaires des États membres de l’UE permet aux institutions européennes de demander l’avis des Cours suprêmes et de les rapprocher en les encourageant à discuter et à échanger des idées: </w:t>
      </w:r>
      <w:hyperlink r:id="rId3" w:history="1">
        <w:r>
          <w:rPr>
            <w:rStyle w:val="Hyperlink"/>
          </w:rPr>
          <w:t>http://network-pre</w:t>
        </w:r>
        <w:r>
          <w:rPr>
            <w:rStyle w:val="Hyperlink"/>
          </w:rPr>
          <w:t>sidents.eu/fr</w:t>
        </w:r>
      </w:hyperlink>
    </w:p>
  </w:footnote>
  <w:footnote w:id="10">
    <w:p w:rsidR="00D23207" w:rsidRDefault="00493C98">
      <w:pPr>
        <w:pStyle w:val="FootnoteText"/>
        <w:spacing w:before="60"/>
        <w:ind w:left="567" w:hanging="567"/>
        <w:rPr>
          <w:highlight w:val="yellow"/>
        </w:rPr>
      </w:pPr>
      <w:r>
        <w:rPr>
          <w:rStyle w:val="FootnoteReference"/>
        </w:rPr>
        <w:footnoteRef/>
      </w:r>
      <w:r>
        <w:tab/>
        <w:t xml:space="preserve">L’ACA-Europe regroupe la Cour de justice de l’Union européenne et les Conseils d’État ou juridictions administratives suprêmes de chacun des États membres de l’UE: </w:t>
      </w:r>
      <w:hyperlink r:id="rId4" w:history="1">
        <w:r>
          <w:rPr>
            <w:rStyle w:val="Hyperlink"/>
          </w:rPr>
          <w:t>http://www.juradmin.eu/</w:t>
        </w:r>
        <w:r>
          <w:rPr>
            <w:rStyle w:val="Hyperlink"/>
          </w:rPr>
          <w:t>index.php/fr/</w:t>
        </w:r>
      </w:hyperlink>
    </w:p>
  </w:footnote>
  <w:footnote w:id="11">
    <w:p w:rsidR="00D23207" w:rsidRDefault="00493C98">
      <w:pPr>
        <w:pStyle w:val="FootnoteText"/>
        <w:spacing w:before="60"/>
        <w:ind w:left="567" w:hanging="567"/>
      </w:pPr>
      <w:r>
        <w:rPr>
          <w:rStyle w:val="FootnoteReference"/>
        </w:rPr>
        <w:footnoteRef/>
      </w:r>
      <w:r>
        <w:tab/>
        <w:t>Le REC a été créé en tant qu’enceinte de discussion et de coopération des autorités européennes de concurrence pour les affaires auxquelles s’appliquent les articles 101 et 102 du traité sur le fonctionnement de l’UE. Il sert de cadre aux m</w:t>
      </w:r>
      <w:r>
        <w:t xml:space="preserve">écanismes de coopération étroite prévus par le règlement nº 1/2003 du Conseil. C’est par l’intermédiaire de ce réseau que la Commission et les autorités nationales de concurrence de tous les États membres de l’UE coopèrent: </w:t>
      </w:r>
      <w:hyperlink r:id="rId5" w:history="1">
        <w:r>
          <w:rPr>
            <w:rStyle w:val="Hyperlink"/>
          </w:rPr>
          <w:t>http://ec.europa.eu/competition/ecn/index_en.html</w:t>
        </w:r>
      </w:hyperlink>
    </w:p>
  </w:footnote>
  <w:footnote w:id="12">
    <w:p w:rsidR="00D23207" w:rsidRDefault="00493C98">
      <w:pPr>
        <w:pStyle w:val="FootnoteText"/>
        <w:spacing w:before="60"/>
        <w:ind w:left="567" w:hanging="567"/>
      </w:pPr>
      <w:r>
        <w:rPr>
          <w:rStyle w:val="FootnoteReference"/>
        </w:rPr>
        <w:footnoteRef/>
      </w:r>
      <w:r>
        <w:tab/>
        <w:t>Le COCOM est composé de représentants des États membres de l’UE et a pour mission principale de donner un avis sur les projets de mesures que la Commission envisage d’ado</w:t>
      </w:r>
      <w:r>
        <w:t xml:space="preserve">pter sur les questions liées au marché numérique: </w:t>
      </w:r>
      <w:hyperlink r:id="rId6" w:history="1">
        <w:r>
          <w:rPr>
            <w:rStyle w:val="Hyperlink"/>
          </w:rPr>
          <w:t>https://ec.europa.eu/digital-single-market/en/communications-committee</w:t>
        </w:r>
      </w:hyperlink>
    </w:p>
  </w:footnote>
  <w:footnote w:id="13">
    <w:p w:rsidR="00D23207" w:rsidRDefault="00493C98">
      <w:pPr>
        <w:pStyle w:val="FootnoteText"/>
        <w:spacing w:before="60"/>
        <w:ind w:left="567" w:hanging="567"/>
      </w:pPr>
      <w:r>
        <w:rPr>
          <w:rStyle w:val="FootnoteReference"/>
        </w:rPr>
        <w:footnoteRef/>
      </w:r>
      <w:r>
        <w:tab/>
        <w:t>L’Observatoire européen des atteintes aux droi</w:t>
      </w:r>
      <w:r>
        <w:t xml:space="preserve">ts de propriété intellectuelle est un réseau d’experts et de parties prenantes spécialisées. Il est composé de représentants des secteurs public et privé, qui collaborent activement au sein de groupes de travail. </w:t>
      </w:r>
      <w:hyperlink r:id="rId7" w:history="1">
        <w:r>
          <w:rPr>
            <w:rStyle w:val="Hyperlink"/>
          </w:rPr>
          <w:t>https://euipo.europa.eu/ohimportal/fr/web/observatory/home</w:t>
        </w:r>
      </w:hyperlink>
      <w:r>
        <w:t xml:space="preserve"> </w:t>
      </w:r>
    </w:p>
  </w:footnote>
  <w:footnote w:id="14">
    <w:p w:rsidR="00D23207" w:rsidRDefault="00493C98">
      <w:pPr>
        <w:pStyle w:val="FootnoteText"/>
        <w:spacing w:before="60"/>
        <w:ind w:left="567" w:hanging="567"/>
      </w:pPr>
      <w:r>
        <w:rPr>
          <w:rStyle w:val="FootnoteReference"/>
        </w:rPr>
        <w:footnoteRef/>
      </w:r>
      <w:r>
        <w:tab/>
        <w:t>Le CPC est un réseau d’autorités nationales chargées de veiller au respect de la législation européenne en matière de protection des consommateurs dans les pays d</w:t>
      </w:r>
      <w:r>
        <w:t xml:space="preserve">e l’UE et de l’EEE. </w:t>
      </w:r>
      <w:hyperlink r:id="rId8" w:history="1">
        <w:r>
          <w:rPr>
            <w:rStyle w:val="Hyperlink"/>
          </w:rPr>
          <w:t>http://ec.europa.eu/internal_market/scoreboard/performance_by_governance_tool/consumer_pr</w:t>
        </w:r>
        <w:r>
          <w:rPr>
            <w:rStyle w:val="Hyperlink"/>
          </w:rPr>
          <w:t>otection_cooperation_network/index_en.htm</w:t>
        </w:r>
      </w:hyperlink>
      <w:r>
        <w:t xml:space="preserve"> </w:t>
      </w:r>
    </w:p>
  </w:footnote>
  <w:footnote w:id="15">
    <w:p w:rsidR="00D23207" w:rsidRDefault="00493C98">
      <w:pPr>
        <w:pStyle w:val="FootnoteText"/>
        <w:spacing w:before="60"/>
        <w:ind w:left="567" w:hanging="567"/>
      </w:pPr>
      <w:r>
        <w:rPr>
          <w:rStyle w:val="FootnoteReference"/>
        </w:rPr>
        <w:footnoteRef/>
      </w:r>
      <w:r>
        <w:rPr>
          <w:vertAlign w:val="superscript"/>
        </w:rPr>
        <w:t xml:space="preserve"> </w:t>
      </w:r>
      <w:r>
        <w:tab/>
        <w:t xml:space="preserve">Le groupe d’experts en matière de blanchiment des capitaux et de financement du terrorisme se réunit régulièrement pour échanger des points de vue et aider la Commission à définir sa politique et à élaborer de </w:t>
      </w:r>
      <w:r>
        <w:t xml:space="preserve">nouveaux actes législatifs sur la lutte contre le blanchiment de capitaux et le financement du terrorisme: </w:t>
      </w:r>
      <w:hyperlink r:id="rId9" w:history="1">
        <w:r>
          <w:rPr>
            <w:rStyle w:val="Hyperlink"/>
          </w:rPr>
          <w:t>http://ec.europa.eu/justice/civil/financial-crime/index_en.htm</w:t>
        </w:r>
      </w:hyperlink>
    </w:p>
  </w:footnote>
  <w:footnote w:id="16">
    <w:p w:rsidR="00D23207" w:rsidRDefault="00493C98">
      <w:pPr>
        <w:pStyle w:val="FootnoteText"/>
        <w:spacing w:before="60"/>
        <w:ind w:left="567" w:hanging="567"/>
      </w:pPr>
      <w:r>
        <w:rPr>
          <w:rStyle w:val="FootnoteReference"/>
        </w:rPr>
        <w:footnoteRef/>
      </w:r>
      <w:r>
        <w:tab/>
        <w:t>Euros</w:t>
      </w:r>
      <w:r>
        <w:t xml:space="preserve">tat est l’office statistique de l’UE: </w:t>
      </w:r>
      <w:hyperlink r:id="rId10" w:history="1">
        <w:r>
          <w:rPr>
            <w:rStyle w:val="Hyperlink"/>
          </w:rPr>
          <w:t>https://ec.europa.eu/eurostat/fr/about/overview</w:t>
        </w:r>
      </w:hyperlink>
    </w:p>
  </w:footnote>
  <w:footnote w:id="17">
    <w:p w:rsidR="00D23207" w:rsidRDefault="00493C98">
      <w:pPr>
        <w:pStyle w:val="FootnoteText"/>
        <w:spacing w:before="60"/>
        <w:ind w:left="567" w:hanging="567"/>
      </w:pPr>
      <w:r>
        <w:rPr>
          <w:rStyle w:val="FootnoteReference"/>
        </w:rPr>
        <w:footnoteRef/>
      </w:r>
      <w:r>
        <w:tab/>
        <w:t>Le REFJ constitue la principale plate-forme et le principal promoteur de la formation et de l’échange de</w:t>
      </w:r>
      <w:r>
        <w:t xml:space="preserve"> connaissances de la magistrature européenne. Il élabore des normes et des programmes de formation, coordonne les échanges et les programmes de formation judiciaire, diffuse l’expertise dans le domaine de la formation et stimule la coopération entre les or</w:t>
      </w:r>
      <w:r>
        <w:t xml:space="preserve">ganismes de formation judiciaire de l’UE. Il compte 34 membres, qui représentent des États membres de l’UE et des organismes transnationaux de l’UE. </w:t>
      </w:r>
      <w:hyperlink r:id="rId11" w:history="1">
        <w:r>
          <w:rPr>
            <w:rStyle w:val="Hyperlink"/>
          </w:rPr>
          <w:t>http://www.ejtn.eu/fr/</w:t>
        </w:r>
      </w:hyperlink>
    </w:p>
  </w:footnote>
  <w:footnote w:id="18">
    <w:p w:rsidR="00D23207" w:rsidRDefault="00493C98">
      <w:pPr>
        <w:pStyle w:val="FootnoteText"/>
        <w:spacing w:before="60"/>
        <w:ind w:left="567" w:hanging="567"/>
      </w:pPr>
      <w:r>
        <w:rPr>
          <w:rStyle w:val="FootnoteReference"/>
        </w:rPr>
        <w:footnoteRef/>
      </w:r>
      <w:r>
        <w:tab/>
      </w:r>
      <w:r>
        <w:t xml:space="preserve">Le FEM est une organisation internationale de coopération public-privé, dont les membres sont des entreprises: </w:t>
      </w:r>
      <w:hyperlink r:id="rId12" w:history="1">
        <w:r>
          <w:rPr>
            <w:rStyle w:val="Hyperlink"/>
          </w:rPr>
          <w:t>https://fr.weforum.org/</w:t>
        </w:r>
      </w:hyperlink>
    </w:p>
  </w:footnote>
  <w:footnote w:id="19">
    <w:p w:rsidR="00D23207" w:rsidRDefault="00493C98">
      <w:pPr>
        <w:pStyle w:val="FootnoteText"/>
        <w:spacing w:before="60"/>
        <w:ind w:left="567" w:hanging="567"/>
      </w:pPr>
      <w:r>
        <w:rPr>
          <w:rStyle w:val="FootnoteReference"/>
        </w:rPr>
        <w:footnoteRef/>
      </w:r>
      <w:r>
        <w:t xml:space="preserve"> </w:t>
      </w:r>
      <w:r>
        <w:tab/>
        <w:t xml:space="preserve">Dans le cadre du Semestre européen de 2020, le Conseil, sur proposition de la </w:t>
      </w:r>
      <w:r>
        <w:t xml:space="preserve">Commission, a adressé des recommandations par pays à huit États membres concernant leur système judiciaire (HR, IT, CY, HU, MT, PL, PT et SK). Outre les États membres ayant reçu une proposition de recommandations par pays, huit autres (BE, BG, IE, EL, ES, </w:t>
      </w:r>
      <w:r>
        <w:t xml:space="preserve">LV, RO et SI) rencontrent des problèmes particuliers s’agissant de leur système judiciaire, notamment en ce qui concerne l’état de droit et l’indépendance de la justice, qui font l’objet d’un suivi par la Commission dans le cadre du Semestre européen. Ces </w:t>
      </w:r>
      <w:r>
        <w:t>problèmes sont exposés dans les considérants des recommandations par pays proposées et dans les rapports par pays consacrés à ces États membres. Les rapports par pays 2020 les plus récents, publiés le 26 février 2020, sont disponibles à l’adresse suivante:</w:t>
      </w:r>
      <w:r>
        <w:t xml:space="preserve"> </w:t>
      </w:r>
      <w:hyperlink r:id="rId13" w:history="1">
        <w:r>
          <w:rPr>
            <w:rStyle w:val="Hyperlink"/>
          </w:rPr>
          <w:t>https://ec.europa.eu/info/publications/2020-european-semester-country-reports_en</w:t>
        </w:r>
      </w:hyperlink>
    </w:p>
  </w:footnote>
  <w:footnote w:id="20">
    <w:p w:rsidR="00D23207" w:rsidRDefault="00493C98">
      <w:pPr>
        <w:pStyle w:val="FootnoteText"/>
        <w:spacing w:before="60"/>
        <w:ind w:left="567" w:hanging="567"/>
      </w:pPr>
      <w:r>
        <w:rPr>
          <w:rStyle w:val="FootnoteReference"/>
        </w:rPr>
        <w:footnoteRef/>
      </w:r>
      <w:r>
        <w:rPr>
          <w:vertAlign w:val="superscript"/>
        </w:rPr>
        <w:t xml:space="preserve"> </w:t>
      </w:r>
      <w:r>
        <w:tab/>
        <w:t>FMI, Perspectives économiques régionales, novembre 2017, «Europe:</w:t>
      </w:r>
      <w:r>
        <w:rPr>
          <w:i/>
          <w:iCs/>
        </w:rPr>
        <w:t xml:space="preserve"> </w:t>
      </w:r>
      <w:r>
        <w:t>Europe H</w:t>
      </w:r>
      <w:r>
        <w:t xml:space="preserve">itting its Stride», p. xviii, p. 40 et 70: </w:t>
      </w:r>
      <w:hyperlink r:id="rId14" w:history="1">
        <w:r>
          <w:rPr>
            <w:rStyle w:val="Hyperlink"/>
          </w:rPr>
          <w:t>https://www.imf.org/~/media/Files/Publications/REO/EUR/2017/November/eur-booked-print.ashx?la=en</w:t>
        </w:r>
      </w:hyperlink>
      <w:r>
        <w:t xml:space="preserve"> </w:t>
      </w:r>
    </w:p>
  </w:footnote>
  <w:footnote w:id="21">
    <w:p w:rsidR="00D23207" w:rsidRDefault="00493C98">
      <w:pPr>
        <w:pStyle w:val="FootnoteText"/>
        <w:spacing w:before="60"/>
        <w:ind w:left="567" w:hanging="567"/>
        <w:rPr>
          <w:highlight w:val="yellow"/>
        </w:rPr>
      </w:pPr>
      <w:r>
        <w:rPr>
          <w:rStyle w:val="FootnoteReference"/>
        </w:rPr>
        <w:footnoteRef/>
      </w:r>
      <w:r>
        <w:tab/>
      </w:r>
      <w:r>
        <w:t xml:space="preserve">BCE, «Structural policies in the euro area», juin 2018, série d’études de la BCE concernant des sujets spécifiques nº 210: </w:t>
      </w:r>
      <w:hyperlink r:id="rId15" w:history="1">
        <w:r>
          <w:rPr>
            <w:rStyle w:val="Hyperlink"/>
          </w:rPr>
          <w:t>https://www.ecb.europa.eu/</w:t>
        </w:r>
        <w:r>
          <w:rPr>
            <w:rStyle w:val="Hyperlink"/>
          </w:rPr>
          <w:t>pub/pdf/scpops/ecb.op210.en.pdf?3db9355b1d1599799aa0e475e5624651</w:t>
        </w:r>
      </w:hyperlink>
      <w:r>
        <w:t xml:space="preserve"> </w:t>
      </w:r>
    </w:p>
  </w:footnote>
  <w:footnote w:id="22">
    <w:p w:rsidR="00D23207" w:rsidRDefault="00493C98">
      <w:pPr>
        <w:pStyle w:val="FootnoteText"/>
        <w:spacing w:before="60"/>
        <w:ind w:left="567" w:hanging="567"/>
      </w:pPr>
      <w:r>
        <w:rPr>
          <w:rStyle w:val="FootnoteReference"/>
        </w:rPr>
        <w:footnoteRef/>
      </w:r>
      <w:r>
        <w:tab/>
        <w:t>Voir notamment «What makes civil justice effective?», notes du département des affaires économiques de l’OCDE, nº 18, juin 2013 et «The Economics of Civil Justice: New Cross-Country Data a</w:t>
      </w:r>
      <w:r>
        <w:t>nd Empirics», documents de travail du département des affaires économiques de l’OCDE, nº 1060.</w:t>
      </w:r>
    </w:p>
  </w:footnote>
  <w:footnote w:id="23">
    <w:p w:rsidR="00D23207" w:rsidRDefault="00493C98">
      <w:pPr>
        <w:pStyle w:val="FootnoteText"/>
        <w:spacing w:before="60"/>
        <w:ind w:left="567" w:hanging="567"/>
        <w:rPr>
          <w:lang w:val="en-US"/>
        </w:rPr>
      </w:pPr>
      <w:r>
        <w:rPr>
          <w:rStyle w:val="FootnoteReference"/>
        </w:rPr>
        <w:footnoteRef/>
      </w:r>
      <w:r>
        <w:rPr>
          <w:lang w:val="en-US"/>
        </w:rPr>
        <w:tab/>
        <w:t xml:space="preserve">Forum économique mondial, «The Global Competitiveness Report 2019», octobre 2019: </w:t>
      </w:r>
      <w:hyperlink r:id="rId16" w:history="1">
        <w:r>
          <w:rPr>
            <w:rStyle w:val="Hyperlink"/>
            <w:lang w:val="en-US"/>
          </w:rPr>
          <w:t>https://www.weforum.org/reports/global-competitiveness-report-2019</w:t>
        </w:r>
      </w:hyperlink>
      <w:r>
        <w:rPr>
          <w:lang w:val="en-US"/>
        </w:rPr>
        <w:t xml:space="preserve"> </w:t>
      </w:r>
    </w:p>
  </w:footnote>
  <w:footnote w:id="24">
    <w:p w:rsidR="00D23207" w:rsidRDefault="00493C98">
      <w:pPr>
        <w:pStyle w:val="FootnoteText"/>
        <w:spacing w:before="60"/>
        <w:ind w:left="567" w:hanging="567"/>
        <w:rPr>
          <w:lang w:val="en-US"/>
        </w:rPr>
      </w:pPr>
      <w:r>
        <w:rPr>
          <w:rStyle w:val="FootnoteReference"/>
        </w:rPr>
        <w:footnoteRef/>
      </w:r>
      <w:r>
        <w:rPr>
          <w:lang w:val="en-US"/>
        </w:rPr>
        <w:tab/>
        <w:t xml:space="preserve">Banque mondiale, «World Development Report 2017: Governance and Law», chapitre 3: «The role of law», p. 83 et 140: </w:t>
      </w:r>
      <w:hyperlink r:id="rId17" w:history="1">
        <w:r>
          <w:rPr>
            <w:rStyle w:val="Hyperlink"/>
            <w:lang w:val="en-US"/>
          </w:rPr>
          <w:t>h</w:t>
        </w:r>
        <w:r>
          <w:rPr>
            <w:rStyle w:val="Hyperlink"/>
            <w:lang w:val="en-US"/>
          </w:rPr>
          <w:t>ttp://www.worldbank.org/en/publication/wdr2017</w:t>
        </w:r>
      </w:hyperlink>
      <w:r>
        <w:rPr>
          <w:lang w:val="en-US"/>
        </w:rPr>
        <w:t xml:space="preserve"> </w:t>
      </w:r>
    </w:p>
  </w:footnote>
  <w:footnote w:id="25">
    <w:p w:rsidR="00D23207" w:rsidRDefault="00493C98">
      <w:pPr>
        <w:pStyle w:val="FootnoteText"/>
        <w:spacing w:before="60"/>
        <w:ind w:left="567" w:hanging="567"/>
      </w:pPr>
      <w:r>
        <w:rPr>
          <w:rStyle w:val="FootnoteReference"/>
        </w:rPr>
        <w:footnoteRef/>
      </w:r>
      <w:r>
        <w:rPr>
          <w:vertAlign w:val="superscript"/>
        </w:rPr>
        <w:t xml:space="preserve"> </w:t>
      </w:r>
      <w:r>
        <w:tab/>
        <w:t>L’indicateur de la «durée estimée d’écoulement du stock d’affaires pendantes» correspond au nombre d’affaires non jugées divisé par le nombre d’affaires tranchées à la fin d’une année, multiplié par 365 (j</w:t>
      </w:r>
      <w:r>
        <w:t xml:space="preserve">ours). Il s’agit d’un indicateur standard défini par la CEPEJ du Conseil de l’Europe; </w:t>
      </w:r>
      <w:hyperlink r:id="rId18" w:history="1">
        <w:r>
          <w:rPr>
            <w:rStyle w:val="Hyperlink"/>
          </w:rPr>
          <w:t>http://www.coe.int/t/dghl/cooperation/cepej/evaluation/default_FR.asp</w:t>
        </w:r>
      </w:hyperlink>
    </w:p>
  </w:footnote>
  <w:footnote w:id="26">
    <w:p w:rsidR="00D23207" w:rsidRDefault="00493C98">
      <w:pPr>
        <w:pStyle w:val="FootnoteText"/>
        <w:spacing w:before="60"/>
        <w:ind w:left="567" w:hanging="567"/>
      </w:pPr>
      <w:r>
        <w:rPr>
          <w:rStyle w:val="FootnoteReference"/>
        </w:rPr>
        <w:footnoteRef/>
      </w:r>
      <w:r>
        <w:rPr>
          <w:vertAlign w:val="superscript"/>
        </w:rPr>
        <w:t xml:space="preserve"> </w:t>
      </w:r>
      <w:r>
        <w:tab/>
        <w:t>Vincenzo Bo</w:t>
      </w:r>
      <w:r>
        <w:t xml:space="preserve">ve et Leandro Elia; «The judicial system and economic development across EU Member States», rapport technique du CCR, EUR 28440 EN, Office des publications de l’UE, Luxembourg, 2017: </w:t>
      </w:r>
      <w:hyperlink r:id="rId19" w:history="1">
        <w:r>
          <w:rPr>
            <w:rStyle w:val="Hyperlink"/>
          </w:rPr>
          <w:t>http://publications.jrc.ec.europa.eu/repository/bitstream/JRC104594/jrc104594__2017_the_judicial_system_and_economic_development_across_eu_member_states.pdf</w:t>
        </w:r>
      </w:hyperlink>
    </w:p>
  </w:footnote>
  <w:footnote w:id="27">
    <w:p w:rsidR="00D23207" w:rsidRDefault="00493C98">
      <w:pPr>
        <w:pStyle w:val="FootnoteText"/>
        <w:spacing w:before="60"/>
        <w:ind w:left="567" w:hanging="567"/>
        <w:rPr>
          <w:i/>
          <w:iCs/>
          <w:lang w:val="en-US"/>
        </w:rPr>
      </w:pPr>
      <w:r>
        <w:rPr>
          <w:rStyle w:val="FootnoteReference"/>
        </w:rPr>
        <w:footnoteRef/>
      </w:r>
      <w:r>
        <w:rPr>
          <w:vertAlign w:val="superscript"/>
          <w:lang w:val="en-US"/>
        </w:rPr>
        <w:t xml:space="preserve"> </w:t>
      </w:r>
      <w:r>
        <w:rPr>
          <w:lang w:val="en-US"/>
        </w:rPr>
        <w:tab/>
        <w:t>Idem.</w:t>
      </w:r>
    </w:p>
  </w:footnote>
  <w:footnote w:id="28">
    <w:p w:rsidR="00D23207" w:rsidRDefault="00493C98">
      <w:pPr>
        <w:pStyle w:val="FootnoteText"/>
        <w:spacing w:before="60"/>
        <w:ind w:left="567" w:hanging="567"/>
      </w:pPr>
      <w:r>
        <w:rPr>
          <w:rStyle w:val="FootnoteReference"/>
        </w:rPr>
        <w:footnoteRef/>
      </w:r>
      <w:r>
        <w:rPr>
          <w:vertAlign w:val="superscript"/>
          <w:lang w:val="en-US"/>
        </w:rPr>
        <w:t xml:space="preserve"> </w:t>
      </w:r>
      <w:r>
        <w:rPr>
          <w:lang w:val="en-US"/>
        </w:rPr>
        <w:tab/>
        <w:t xml:space="preserve">Bülent Dogru; «Effect of judicial independence to FDI into Eastern Europe and South Asia»; 2012, MPRA Munich Personal RePEc Archive: </w:t>
      </w:r>
      <w:hyperlink r:id="rId20" w:history="1">
        <w:r>
          <w:rPr>
            <w:rStyle w:val="Hyperlink"/>
            <w:lang w:val="en-US"/>
          </w:rPr>
          <w:t>https://mpra.ub.uni-muenchen.de/40471/1/MPRA_paper_40322.pdf</w:t>
        </w:r>
      </w:hyperlink>
      <w:r>
        <w:rPr>
          <w:lang w:val="en-US"/>
        </w:rPr>
        <w:t xml:space="preserve">. </w:t>
      </w:r>
      <w:r>
        <w:t>Les États membres de l’UE couverts par l’étude sont les suivants: BG, HR, CZ, EE, HU, LV, LT, RO, SK et SI.</w:t>
      </w:r>
    </w:p>
  </w:footnote>
  <w:footnote w:id="29">
    <w:p w:rsidR="00D23207" w:rsidRDefault="00493C98">
      <w:pPr>
        <w:pStyle w:val="FootnoteText"/>
        <w:spacing w:before="60"/>
        <w:ind w:left="567" w:hanging="567"/>
        <w:rPr>
          <w:lang w:val="en-US"/>
        </w:rPr>
      </w:pPr>
      <w:r>
        <w:rPr>
          <w:rStyle w:val="FootnoteReference"/>
        </w:rPr>
        <w:footnoteRef/>
      </w:r>
      <w:r>
        <w:rPr>
          <w:vertAlign w:val="superscript"/>
          <w:lang w:val="en-US"/>
        </w:rPr>
        <w:t xml:space="preserve"> </w:t>
      </w:r>
      <w:r>
        <w:rPr>
          <w:lang w:val="en-US"/>
        </w:rPr>
        <w:tab/>
        <w:t>The Economist Intelligence Unit: «Risk and Return – Foreign Direct Investment and t</w:t>
      </w:r>
      <w:r>
        <w:rPr>
          <w:lang w:val="en-US"/>
        </w:rPr>
        <w:t xml:space="preserve">he Rule of Law», 2015, </w:t>
      </w:r>
      <w:hyperlink r:id="rId21" w:history="1">
        <w:r>
          <w:rPr>
            <w:rStyle w:val="Hyperlink"/>
            <w:lang w:val="en-US"/>
          </w:rPr>
          <w:t>http://www.biicl.org/documents/625_d4_fdi_main_report.pdf</w:t>
        </w:r>
      </w:hyperlink>
      <w:r>
        <w:rPr>
          <w:lang w:val="en-US"/>
        </w:rPr>
        <w:t>, p. 22.</w:t>
      </w:r>
    </w:p>
  </w:footnote>
  <w:footnote w:id="30">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r>
      <w:r>
        <w:t xml:space="preserve">Office de l’Union européenne pour la propriété intellectuelle (EUIPO), «Propriété intellectuelle (PI), Tableau de bord sur les PME 2016»: </w:t>
      </w:r>
      <w:hyperlink r:id="rId22" w:history="1">
        <w:r>
          <w:rPr>
            <w:rStyle w:val="Hyperlink"/>
          </w:rPr>
          <w:t>https://euipo.europa.eu/tunnel-web/secure/webdav/guest/document_library/observatory/documents/sme_scoreboard_study_2016/Executive-summary_fr.pdf</w:t>
        </w:r>
      </w:hyperlink>
    </w:p>
  </w:footnote>
  <w:footnote w:id="31">
    <w:p w:rsidR="00D23207" w:rsidRDefault="00493C98">
      <w:pPr>
        <w:pStyle w:val="FootnoteText"/>
        <w:spacing w:before="60"/>
        <w:ind w:left="567" w:hanging="567"/>
      </w:pPr>
      <w:r>
        <w:rPr>
          <w:rStyle w:val="FootnoteReference"/>
        </w:rPr>
        <w:footnoteRef/>
      </w:r>
      <w:r>
        <w:t xml:space="preserve"> </w:t>
      </w:r>
      <w:r>
        <w:tab/>
        <w:t xml:space="preserve">COM(2020) 93 et SWD(2020) 54.  </w:t>
      </w:r>
    </w:p>
  </w:footnote>
  <w:footnote w:id="32">
    <w:p w:rsidR="00D23207" w:rsidRDefault="00493C98">
      <w:pPr>
        <w:pStyle w:val="FootnoteText"/>
        <w:spacing w:before="60"/>
        <w:ind w:left="567" w:hanging="567"/>
      </w:pPr>
      <w:r>
        <w:rPr>
          <w:rStyle w:val="FootnoteReference"/>
        </w:rPr>
        <w:footnoteRef/>
      </w:r>
      <w:r>
        <w:t xml:space="preserve"> </w:t>
      </w:r>
      <w:r>
        <w:tab/>
        <w:t>Communication de la Commission</w:t>
      </w:r>
      <w:r>
        <w:t xml:space="preserve"> au Parlement européen, au Conseil, au Comité économique et social européen et au Comité des régions «Plan d’action à long terme visant à mieux </w:t>
      </w:r>
      <w:r>
        <w:rPr>
          <w:rStyle w:val="Hyperlink"/>
        </w:rPr>
        <w:t>mettre en œuvre</w:t>
      </w:r>
      <w:r>
        <w:t xml:space="preserve"> et faire respecter les règles du marché unique», COM(2020) 94, voir en particulier les actions 4</w:t>
      </w:r>
      <w:r>
        <w:t xml:space="preserve">, 6 et 18. </w:t>
      </w:r>
    </w:p>
  </w:footnote>
  <w:footnote w:id="33">
    <w:p w:rsidR="00D23207" w:rsidRDefault="00493C98">
      <w:pPr>
        <w:pStyle w:val="FootnoteText"/>
        <w:spacing w:before="60"/>
        <w:ind w:left="567" w:hanging="567"/>
        <w:rPr>
          <w:highlight w:val="yellow"/>
          <w:u w:val="single"/>
        </w:rPr>
      </w:pPr>
      <w:r>
        <w:rPr>
          <w:rStyle w:val="FootnoteReference"/>
        </w:rPr>
        <w:footnoteRef/>
      </w:r>
      <w:r>
        <w:tab/>
      </w:r>
      <w:hyperlink r:id="rId23" w:history="1">
        <w:r>
          <w:rPr>
            <w:rStyle w:val="Hyperlink"/>
          </w:rPr>
          <w:t>https://ec.europa.eu/info/funding-tenders/funding-opportunities/funding</w:t>
        </w:r>
        <w:r>
          <w:rPr>
            <w:rStyle w:val="Hyperlink"/>
          </w:rPr>
          <w:t>-programmes/overview-funding-programmes/structural-reform-support-programme-srsp_fr</w:t>
        </w:r>
      </w:hyperlink>
    </w:p>
  </w:footnote>
  <w:footnote w:id="34">
    <w:p w:rsidR="00D23207" w:rsidRDefault="00493C98">
      <w:pPr>
        <w:pStyle w:val="FootnoteText"/>
        <w:spacing w:before="60"/>
        <w:ind w:left="567" w:hanging="567"/>
      </w:pPr>
      <w:r>
        <w:rPr>
          <w:rStyle w:val="FootnoteReference"/>
        </w:rPr>
        <w:footnoteRef/>
      </w:r>
      <w:r>
        <w:rPr>
          <w:vertAlign w:val="superscript"/>
        </w:rPr>
        <w:t xml:space="preserve"> </w:t>
      </w:r>
      <w:r>
        <w:tab/>
        <w:t>BE, BG, CZ, EE, EL, ES, HR, IT, CY, LV, HU, MT, PL, PT, SI et SK.</w:t>
      </w:r>
    </w:p>
  </w:footnote>
  <w:footnote w:id="35">
    <w:p w:rsidR="00D23207" w:rsidRDefault="00493C98">
      <w:pPr>
        <w:pStyle w:val="FootnoteText"/>
        <w:spacing w:before="60"/>
        <w:ind w:left="567" w:hanging="567"/>
      </w:pPr>
      <w:r>
        <w:rPr>
          <w:rStyle w:val="FootnoteReference"/>
        </w:rPr>
        <w:footnoteRef/>
      </w:r>
      <w:r>
        <w:t xml:space="preserve"> </w:t>
      </w:r>
      <w:r>
        <w:tab/>
        <w:t xml:space="preserve">Voir communiqué de presse IP/20/940 du 27 mai 2020, à l’adresse:  </w:t>
      </w:r>
      <w:hyperlink r:id="rId24" w:history="1">
        <w:r>
          <w:rPr>
            <w:rStyle w:val="Hyperlink"/>
          </w:rPr>
          <w:t>https://ec.europa.eu/commission/presscorner/detail/fr/ip_20_940</w:t>
        </w:r>
      </w:hyperlink>
      <w:r>
        <w:t xml:space="preserve">   </w:t>
      </w:r>
    </w:p>
  </w:footnote>
  <w:footnote w:id="36">
    <w:p w:rsidR="00D23207" w:rsidRDefault="00493C98">
      <w:pPr>
        <w:pStyle w:val="FootnoteText"/>
        <w:spacing w:before="60"/>
        <w:ind w:left="567" w:hanging="567"/>
      </w:pPr>
      <w:r>
        <w:rPr>
          <w:rStyle w:val="FootnoteReference"/>
        </w:rPr>
        <w:footnoteRef/>
      </w:r>
      <w:r>
        <w:t xml:space="preserve"> </w:t>
      </w:r>
      <w:r>
        <w:tab/>
      </w:r>
      <w:hyperlink r:id="rId25" w:history="1">
        <w:r>
          <w:rPr>
            <w:rStyle w:val="Hyperlink"/>
          </w:rPr>
          <w:t>https://eur-lex.europa.eu/legal-content/FR/TXT/?</w:t>
        </w:r>
        <w:r>
          <w:rPr>
            <w:rStyle w:val="Hyperlink"/>
          </w:rPr>
          <w:t>uri=COM%3A2020%3A0409%3AFIN</w:t>
        </w:r>
      </w:hyperlink>
      <w:r>
        <w:t xml:space="preserve"> </w:t>
      </w:r>
    </w:p>
  </w:footnote>
  <w:footnote w:id="37">
    <w:p w:rsidR="00D23207" w:rsidRDefault="00493C98">
      <w:pPr>
        <w:pStyle w:val="FootnoteText"/>
        <w:spacing w:before="60"/>
        <w:ind w:left="567" w:hanging="567"/>
        <w:rPr>
          <w:highlight w:val="yellow"/>
        </w:rPr>
      </w:pPr>
      <w:r>
        <w:rPr>
          <w:rStyle w:val="FootnoteReference"/>
        </w:rPr>
        <w:footnoteRef/>
      </w:r>
      <w:r>
        <w:tab/>
        <w:t xml:space="preserve">Les informations ont été recueillies en coopération avec le groupe des personnes de contact sur les systèmes de justice nationaux pour 26 États membres. La DE a expliqué qu’un certain nombre de réformes concernant le système </w:t>
      </w:r>
      <w:r>
        <w:t>de justice étaient en cours et que la portée et l’ampleur du processus de réforme pouvaient varier dans les 16 Länder.</w:t>
      </w:r>
    </w:p>
  </w:footnote>
  <w:footnote w:id="38">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L’application des décisions de justice est également importante pour l’efficience des systèmes judiciaires. Toutefois, pour la plupart</w:t>
      </w:r>
      <w:r>
        <w:t xml:space="preserve"> des États membres, il n’y a pas de données comparables.</w:t>
      </w:r>
    </w:p>
  </w:footnote>
  <w:footnote w:id="39">
    <w:p w:rsidR="00D23207" w:rsidRDefault="00493C98">
      <w:pPr>
        <w:pStyle w:val="FootnoteText"/>
        <w:spacing w:before="60"/>
        <w:ind w:left="567" w:hanging="567"/>
        <w:rPr>
          <w:highlight w:val="yellow"/>
        </w:rPr>
      </w:pPr>
      <w:r>
        <w:rPr>
          <w:rStyle w:val="FootnoteReference"/>
        </w:rPr>
        <w:footnoteRef/>
      </w:r>
      <w:r>
        <w:t xml:space="preserve"> </w:t>
      </w:r>
      <w:r>
        <w:tab/>
        <w:t xml:space="preserve">Étude de 2019 sur le fonctionnement des systèmes de justice des États membres de l’UE, réalisée par le secrétariat de la CEPEJ pour la Commission: </w:t>
      </w:r>
      <w:hyperlink r:id="rId26" w:history="1">
        <w:r>
          <w:rPr>
            <w:rStyle w:val="Hyperlink"/>
          </w:rPr>
          <w:t>https://ec.europa.eu/info/policies/justice-and-fundamental-rights/upholding-rule-law/eu-justice-scoreboard_fr</w:t>
        </w:r>
      </w:hyperlink>
    </w:p>
  </w:footnote>
  <w:footnote w:id="40">
    <w:p w:rsidR="00D23207" w:rsidRDefault="00493C98">
      <w:pPr>
        <w:pStyle w:val="FootnoteText"/>
        <w:spacing w:before="60"/>
        <w:ind w:left="567" w:hanging="567"/>
        <w:rPr>
          <w:highlight w:val="yellow"/>
        </w:rPr>
      </w:pPr>
      <w:r>
        <w:rPr>
          <w:rStyle w:val="FootnoteReference"/>
        </w:rPr>
        <w:footnoteRef/>
      </w:r>
      <w:r>
        <w:tab/>
        <w:t>La durée des procédures, le taux de variation du stock d’affaires p</w:t>
      </w:r>
      <w:r>
        <w:t xml:space="preserve">endantes et le nombre d’affaires pendantes sont des indicateurs standard définis par la CEPEJ: </w:t>
      </w:r>
      <w:hyperlink r:id="rId27" w:history="1">
        <w:r>
          <w:rPr>
            <w:rStyle w:val="Hyperlink"/>
          </w:rPr>
          <w:t>http://www.coe.int/t/dghl/cooperation/cepej/evaluation/default_FR.asp</w:t>
        </w:r>
      </w:hyperlink>
    </w:p>
  </w:footnote>
  <w:footnote w:id="41">
    <w:p w:rsidR="00D23207" w:rsidRDefault="00493C98">
      <w:pPr>
        <w:pStyle w:val="FootnoteText"/>
        <w:spacing w:before="60"/>
        <w:ind w:left="567" w:hanging="567"/>
        <w:rPr>
          <w:highlight w:val="yellow"/>
        </w:rPr>
      </w:pPr>
      <w:r>
        <w:rPr>
          <w:rStyle w:val="FootnoteReference"/>
        </w:rPr>
        <w:footnoteRef/>
      </w:r>
      <w:r>
        <w:tab/>
        <w:t>Les</w:t>
      </w:r>
      <w:r>
        <w:t xml:space="preserve"> années ont été choisies de manière à garder une perspective à sept ans avec 2012 comme année de référence, sans pour autant surcharger les graphiques. Les données pour 2010, 2013, 2014 et 2015 figurent dans le rapport de la CEPEJ.</w:t>
      </w:r>
    </w:p>
  </w:footnote>
  <w:footnote w:id="42">
    <w:p w:rsidR="00D23207" w:rsidRDefault="00493C98">
      <w:pPr>
        <w:pStyle w:val="FootnoteText"/>
        <w:spacing w:before="60"/>
        <w:ind w:left="567" w:hanging="567"/>
      </w:pPr>
      <w:r>
        <w:rPr>
          <w:rStyle w:val="FootnoteReference"/>
        </w:rPr>
        <w:footnoteRef/>
      </w:r>
      <w:r>
        <w:rPr>
          <w:vertAlign w:val="superscript"/>
        </w:rPr>
        <w:t xml:space="preserve"> </w:t>
      </w:r>
      <w:r>
        <w:tab/>
        <w:t xml:space="preserve">La durée des </w:t>
      </w:r>
      <w:r>
        <w:t>procédures dans les domaines spécifiques est calculée en jours civils, à compter du jour où l’action ou le recours est introduit devant la juridiction (ou du jour où l’acte d’accusation devient définitif) jusqu’au jour où la juridiction rend sa décision fi</w:t>
      </w:r>
      <w:r>
        <w:t>nale (graphiques 16 à 21). Les valeurs sont classées sur la base de données moyennes pondérées pour 2013 et 2016</w:t>
      </w:r>
      <w:r>
        <w:noBreakHyphen/>
        <w:t>2018 (graphiques 16 à 18), des données pour 2013, 2015 et 2016 (graphique 19) et des données pour 2014 et 2016</w:t>
      </w:r>
      <w:r>
        <w:noBreakHyphen/>
        <w:t>2018 (graphiques 20 et 21). Lors</w:t>
      </w:r>
      <w:r>
        <w:t>que les données n’étaient pas disponibles pour toutes les années, la moyenne a été établie sur la base des données disponibles et fondée sur l’ensemble des affaires, un échantillon de celles-ci ou des estimations.</w:t>
      </w:r>
    </w:p>
  </w:footnote>
  <w:footnote w:id="43">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 xml:space="preserve">Voir </w:t>
      </w:r>
      <w:hyperlink r:id="rId28" w:history="1">
        <w:r>
          <w:rPr>
            <w:rStyle w:val="Hyperlink"/>
          </w:rPr>
          <w:t>http://eur-lex.europa.eu/legal-content/FR/TXT/PDF/?uri=CELEX:12012E/TXT&amp;from=FR</w:t>
        </w:r>
      </w:hyperlink>
      <w:r>
        <w:t>.</w:t>
      </w:r>
    </w:p>
  </w:footnote>
  <w:footnote w:id="44">
    <w:p w:rsidR="00D23207" w:rsidRDefault="00493C98">
      <w:pPr>
        <w:pStyle w:val="FootnoteText"/>
        <w:spacing w:before="60"/>
        <w:ind w:left="567" w:hanging="567"/>
        <w:rPr>
          <w:highlight w:val="yellow"/>
        </w:rPr>
      </w:pPr>
      <w:r>
        <w:rPr>
          <w:rStyle w:val="FootnoteReference"/>
        </w:rPr>
        <w:footnoteRef/>
      </w:r>
      <w:r>
        <w:t xml:space="preserve"> </w:t>
      </w:r>
      <w:r>
        <w:rPr>
          <w:vertAlign w:val="superscript"/>
        </w:rPr>
        <w:t xml:space="preserve"> </w:t>
      </w:r>
      <w:r>
        <w:tab/>
        <w:t>Le calcul a été effectué sur la base de la durée des recours contre des décisions d’autorités nationales de r</w:t>
      </w:r>
      <w:r>
        <w:t>égulation appliquant les lois qui mettent en œuvre le cadre réglementaire pour les communications électroniques [directive 2002/19/CE (directive «accès»), directive 2002/20/CE (directive «autorisation»), directive 2002/21/CE (directive «cadre»), directive </w:t>
      </w:r>
      <w:r>
        <w:t>2002/22/CE (directive «service universel»)], et d’autres textes législatifs de l’UE pertinents tels que le programme en matière de politique du spectre radioélectrique et les décisions de la Commission relatives au spectre, à l’exception de la directive 20</w:t>
      </w:r>
      <w:r>
        <w:t>02/58/CE relative à la vie privée et aux communications électroniques.</w:t>
      </w:r>
    </w:p>
  </w:footnote>
  <w:footnote w:id="45">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Règlement (UE) 2017/1001 du Parlement européen et du Conseil du 14 juin 2017 sur la marque de l’Union européenne (JO L 154 du 16.6.2017, p. 1).</w:t>
      </w:r>
    </w:p>
  </w:footnote>
  <w:footnote w:id="46">
    <w:p w:rsidR="00D23207" w:rsidRDefault="00493C98">
      <w:pPr>
        <w:pStyle w:val="FootnoteText"/>
        <w:spacing w:before="60"/>
        <w:ind w:left="567" w:hanging="567"/>
        <w:rPr>
          <w:highlight w:val="yellow"/>
        </w:rPr>
      </w:pPr>
      <w:r>
        <w:rPr>
          <w:rStyle w:val="FootnoteReference"/>
        </w:rPr>
        <w:footnoteRef/>
      </w:r>
      <w:r>
        <w:t xml:space="preserve"> </w:t>
      </w:r>
      <w:r>
        <w:rPr>
          <w:vertAlign w:val="superscript"/>
        </w:rPr>
        <w:t xml:space="preserve"> </w:t>
      </w:r>
      <w:r>
        <w:tab/>
        <w:t xml:space="preserve">Les graphiques 19 et 20 ont trait </w:t>
      </w:r>
      <w:r>
        <w:t>à l’application de la directive sur les clauses abusives (93/13/CEE), de la directive sur la vente et les garanties des biens de consommation (1999/44/CE), de la directive sur les pratiques commerciales déloyales (2005/29/CE) et de la directive sur les dro</w:t>
      </w:r>
      <w:r>
        <w:t>its des consommateurs (2011/83/CE), ainsi que de leurs dispositions nationales de mise en œuvre.</w:t>
      </w:r>
    </w:p>
  </w:footnote>
  <w:footnote w:id="47">
    <w:p w:rsidR="00D23207" w:rsidRDefault="00493C98">
      <w:pPr>
        <w:pStyle w:val="FootnoteText"/>
        <w:spacing w:before="60"/>
        <w:ind w:left="567" w:hanging="567"/>
      </w:pPr>
      <w:r>
        <w:rPr>
          <w:rStyle w:val="FootnoteReference"/>
        </w:rPr>
        <w:footnoteRef/>
      </w:r>
      <w:r>
        <w:tab/>
        <w:t>Considérant 2 de la directive (UE) 2015/849 du Parlement européen et du Conseil du 20 mai 2015 relative à la prévention de l’utilisation du système financier</w:t>
      </w:r>
      <w:r>
        <w:t xml:space="preserve"> aux fins du blanchiment de capitaux ou du financement du terrorisme.</w:t>
      </w:r>
    </w:p>
  </w:footnote>
  <w:footnote w:id="48">
    <w:p w:rsidR="00D23207" w:rsidRDefault="00493C98">
      <w:pPr>
        <w:pStyle w:val="FootnoteText"/>
        <w:spacing w:before="60"/>
        <w:ind w:left="567" w:hanging="567"/>
        <w:jc w:val="left"/>
      </w:pPr>
      <w:r>
        <w:rPr>
          <w:rStyle w:val="FootnoteReference"/>
        </w:rPr>
        <w:footnoteRef/>
      </w:r>
      <w:r>
        <w:t xml:space="preserve"> </w:t>
      </w:r>
      <w:r>
        <w:tab/>
        <w:t xml:space="preserve">Fiche technique du FMI, 8 mars 2018: </w:t>
      </w:r>
      <w:hyperlink r:id="rId29" w:history="1">
        <w:r>
          <w:rPr>
            <w:rStyle w:val="Hyperlink"/>
          </w:rPr>
          <w:t>https://</w:t>
        </w:r>
        <w:r>
          <w:rPr>
            <w:rStyle w:val="Hyperlink"/>
          </w:rPr>
          <w:t>www.imf.org/fr/About/Factsheets/Sheets/2016/08/01/16/31/Fight-Against-Money-Laundering-the-Financing-of-Terrorism</w:t>
        </w:r>
      </w:hyperlink>
      <w:r>
        <w:t xml:space="preserve"> </w:t>
      </w:r>
    </w:p>
  </w:footnote>
  <w:footnote w:id="49">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Article 44, paragraphe 1, de la directive (UE) 2015/849. Voir également l'article 44 révisé de la directive (UE) 2018/843, entrée en vigue</w:t>
      </w:r>
      <w:r>
        <w:t xml:space="preserve">ur en juin 2018 et qui devait être mise en œuvre par les États membres pour janvier 2020 au plus tard. </w:t>
      </w:r>
    </w:p>
  </w:footnote>
  <w:footnote w:id="50">
    <w:p w:rsidR="00D23207" w:rsidRDefault="00493C98">
      <w:pPr>
        <w:pStyle w:val="FootnoteText"/>
        <w:spacing w:before="60"/>
        <w:ind w:left="567" w:hanging="567"/>
      </w:pPr>
      <w:r>
        <w:rPr>
          <w:rStyle w:val="FootnoteReference"/>
        </w:rPr>
        <w:footnoteRef/>
      </w:r>
      <w:r>
        <w:rPr>
          <w:vertAlign w:val="superscript"/>
        </w:rPr>
        <w:t xml:space="preserve"> </w:t>
      </w:r>
      <w:r>
        <w:tab/>
        <w:t xml:space="preserve">HR, IT, CY, HU, MT, PT et SK, qui ont fait l’objet de recommandations spécifiques par pays au titre du Semestre européen 2019, ainsi que BE, BG, IE, </w:t>
      </w:r>
      <w:r>
        <w:t xml:space="preserve">EL, ES, LV, PL, RO, et SI, dont les difficultés ont été mentionnées dans les considérants des recommandations spécifiques par pays de 2019 et dans les rapports par pays. </w:t>
      </w:r>
    </w:p>
    <w:p w:rsidR="00D23207" w:rsidRDefault="00493C98">
      <w:pPr>
        <w:pStyle w:val="FootnoteText"/>
        <w:spacing w:before="60"/>
        <w:ind w:left="567" w:firstLine="0"/>
      </w:pPr>
      <w:r>
        <w:t>La variabilité des résultats sur la période de sept ans analysée peut s’expliquer par</w:t>
      </w:r>
      <w:r>
        <w:t xml:space="preserve"> des facteurs contextuels (un taux de variation du nombre d’affaires nouvelles de plus de 10 % n’étant pas inhabituel) ou des insuffisances systémiques (manque de souplesse et de réactivité ou incohérences dans le processus de réforme). </w:t>
      </w:r>
    </w:p>
  </w:footnote>
  <w:footnote w:id="51">
    <w:p w:rsidR="00D23207" w:rsidRDefault="00493C98">
      <w:pPr>
        <w:spacing w:before="60" w:after="0" w:line="240" w:lineRule="auto"/>
        <w:ind w:left="567" w:hanging="567"/>
        <w:jc w:val="both"/>
        <w:rPr>
          <w:rFonts w:ascii="Times New Roman" w:hAnsi="Times New Roman" w:cs="Times New Roman"/>
          <w:sz w:val="20"/>
          <w:szCs w:val="20"/>
          <w:highlight w:val="yellow"/>
        </w:rPr>
      </w:pPr>
      <w:r>
        <w:rPr>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La directive </w:t>
      </w:r>
      <w:r>
        <w:rPr>
          <w:rFonts w:ascii="Times New Roman" w:hAnsi="Times New Roman"/>
          <w:sz w:val="20"/>
          <w:szCs w:val="20"/>
        </w:rPr>
        <w:t>(UE) 2018/1673 du Parlement européen et du Conseil du 23 octobre 2018 visant à lutter contre le blanchiment de capitaux en se fondant sur le droit pénal éliminera les obstacles juridiques susceptibles de retarder les poursuites, comme le fait qu’une poursu</w:t>
      </w:r>
      <w:r>
        <w:rPr>
          <w:rFonts w:ascii="Times New Roman" w:hAnsi="Times New Roman"/>
          <w:sz w:val="20"/>
          <w:szCs w:val="20"/>
        </w:rPr>
        <w:t>ite pour blanchiment de capitaux puisse uniquement commencer lorsque les procédures pour l’infraction principale sous-jacente sont terminées. Les États membres sont tenus de transposer la directive avant le 8 décembre 2020.</w:t>
      </w:r>
    </w:p>
  </w:footnote>
  <w:footnote w:id="52">
    <w:p w:rsidR="00D23207" w:rsidRDefault="00493C98">
      <w:pPr>
        <w:pStyle w:val="FootnoteText"/>
        <w:spacing w:before="60"/>
        <w:ind w:left="567" w:hanging="567"/>
      </w:pPr>
      <w:r>
        <w:rPr>
          <w:rStyle w:val="FootnoteReference"/>
        </w:rPr>
        <w:footnoteRef/>
      </w:r>
      <w:r>
        <w:tab/>
        <w:t xml:space="preserve">Données pour 2019 recueillies </w:t>
      </w:r>
      <w:r>
        <w:t>en coopération avec le groupe des personnes de contact sur les systèmes judiciaires nationaux.</w:t>
      </w:r>
    </w:p>
  </w:footnote>
  <w:footnote w:id="53">
    <w:p w:rsidR="00D23207" w:rsidRDefault="00493C98">
      <w:pPr>
        <w:pStyle w:val="FootnoteText"/>
        <w:spacing w:before="60"/>
        <w:ind w:left="567" w:hanging="567"/>
        <w:rPr>
          <w:rStyle w:val="FootnoteReference"/>
        </w:rPr>
      </w:pPr>
      <w:r>
        <w:rPr>
          <w:rStyle w:val="FootnoteReference"/>
        </w:rPr>
        <w:footnoteRef/>
      </w:r>
      <w:r>
        <w:rPr>
          <w:rStyle w:val="FootnoteReference"/>
        </w:rPr>
        <w:t xml:space="preserve"> </w:t>
      </w:r>
      <w:r>
        <w:tab/>
        <w:t>Les droits de greffe représentent un montant dont il convient de s’acquitter afin d’intenter une procédure juridique non pénale devant une cour ou un tribunal</w:t>
      </w:r>
      <w:r>
        <w:t>.</w:t>
      </w:r>
    </w:p>
  </w:footnote>
  <w:footnote w:id="54">
    <w:p w:rsidR="00D23207" w:rsidRDefault="00493C98">
      <w:pPr>
        <w:spacing w:before="60" w:after="0" w:line="240" w:lineRule="auto"/>
        <w:ind w:left="567" w:hanging="567"/>
        <w:jc w:val="both"/>
        <w:rPr>
          <w:rFonts w:ascii="Times New Roman" w:eastAsia="Calibri" w:hAnsi="Times New Roman" w:cs="Times New Roman"/>
          <w:sz w:val="20"/>
          <w:szCs w:val="20"/>
        </w:rPr>
      </w:pPr>
      <w:r>
        <w:rPr>
          <w:rStyle w:val="FootnoteReference"/>
          <w:rFonts w:ascii="Times New Roman" w:eastAsia="Times New Roman" w:hAnsi="Times New Roman" w:cs="Times New Roman"/>
          <w:noProof w:val="0"/>
          <w:sz w:val="20"/>
          <w:szCs w:val="20"/>
        </w:rPr>
        <w:footnoteRef/>
      </w:r>
      <w:r>
        <w:rPr>
          <w:rFonts w:ascii="Times New Roman" w:hAnsi="Times New Roman"/>
          <w:sz w:val="20"/>
          <w:szCs w:val="20"/>
        </w:rPr>
        <w:t xml:space="preserve"> </w:t>
      </w:r>
      <w:r>
        <w:rPr>
          <w:rFonts w:ascii="Times New Roman" w:hAnsi="Times New Roman"/>
          <w:sz w:val="20"/>
          <w:szCs w:val="20"/>
        </w:rPr>
        <w:tab/>
        <w:t>Les frais de justice sont payés en contrepartie des services fournis par les avocats à leurs clients.</w:t>
      </w:r>
    </w:p>
  </w:footnote>
  <w:footnote w:id="55">
    <w:p w:rsidR="00D23207" w:rsidRDefault="00493C98">
      <w:pPr>
        <w:pStyle w:val="FootnoteText"/>
        <w:spacing w:before="60"/>
        <w:ind w:left="567" w:hanging="567"/>
      </w:pPr>
      <w:r>
        <w:rPr>
          <w:rStyle w:val="FootnoteReference"/>
        </w:rPr>
        <w:footnoteRef/>
      </w:r>
      <w:r>
        <w:t xml:space="preserve"> </w:t>
      </w:r>
      <w:r>
        <w:tab/>
        <w:t>Article 47, troisième alinéa, de la Charte des droits fondamentaux de l’Union européenne.</w:t>
      </w:r>
    </w:p>
  </w:footnote>
  <w:footnote w:id="56">
    <w:p w:rsidR="00D23207" w:rsidRDefault="00493C98">
      <w:pPr>
        <w:pStyle w:val="FootnoteText"/>
        <w:spacing w:before="60"/>
        <w:ind w:left="567" w:hanging="567"/>
      </w:pPr>
      <w:r>
        <w:rPr>
          <w:rStyle w:val="FootnoteReference"/>
        </w:rPr>
        <w:footnoteRef/>
      </w:r>
      <w:r>
        <w:tab/>
        <w:t>Les États membres utilisent des méthodes diverses pour</w:t>
      </w:r>
      <w:r>
        <w:t xml:space="preserve"> établir le seuil d’admissibilité, par exemple, différentes périodes de référence (revenu mensuel/annuel). Environ la moitié des États membres appliquent également un seuil lié au capital personnel du demandeur. Cet aspect n’est pas pris en considération d</w:t>
      </w:r>
      <w:r>
        <w:t>ans ce graphique. En BE, BG, IE, ES, FR, HR, HU, LV, LT, au LU, aux NL et au PT, certains groupes de personnes (par exemple, les bénéficiaires de certaines allocations) peuvent automatiquement bénéficier de l’aide juridictionnelle dans les litiges civils/c</w:t>
      </w:r>
      <w:r>
        <w:t>ommerciaux. D’autres critères appliqués par les États membres, tels que le fond de l’affaire, ne sont pas pris en considération dans ce graphique. Bien que cela ne soit pas directement lié à ce graphique, dans plusieurs États membres (AT, CZ, DE, DK, EE, E</w:t>
      </w:r>
      <w:r>
        <w:t>S, FR, IT, NL, PL, PT, SI), l’aide juridictionnelle n’est pas réservée aux personnes physiques.</w:t>
      </w:r>
    </w:p>
  </w:footnote>
  <w:footnote w:id="57">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rPr>
          <w:vertAlign w:val="superscript"/>
        </w:rPr>
        <w:tab/>
      </w:r>
      <w:r>
        <w:t>Afin de recueillir des données comparables, le seuil de pauvreté Eurostat dans chaque État membre a été converti en revenu mensuel. Le seuil de risque de pau</w:t>
      </w:r>
      <w:r>
        <w:t xml:space="preserve">vreté (AROP) est fixé à 60 % du revenu disponible équivalent médian national des ménages. Enquête européenne sur le revenu et les conditions de vie, tableau Eurostat ilc_li01, disponible à l’adresse: </w:t>
      </w:r>
      <w:hyperlink r:id="rId30">
        <w:r>
          <w:rPr>
            <w:rStyle w:val="Hyperlink"/>
          </w:rPr>
          <w:t>http://ec.europa.eu/eurostat/web/income-and-living-conditions/data/database</w:t>
        </w:r>
      </w:hyperlink>
      <w:r>
        <w:t>.</w:t>
      </w:r>
    </w:p>
  </w:footnote>
  <w:footnote w:id="58">
    <w:p w:rsidR="00D23207" w:rsidRDefault="00493C98">
      <w:pPr>
        <w:pStyle w:val="FootnoteText"/>
        <w:spacing w:before="60"/>
        <w:ind w:left="567" w:hanging="567"/>
        <w:rPr>
          <w:rStyle w:val="FootnoteReference"/>
          <w:highlight w:val="yellow"/>
        </w:rPr>
      </w:pPr>
      <w:r>
        <w:rPr>
          <w:rStyle w:val="FootnoteReference"/>
        </w:rPr>
        <w:footnoteRef/>
      </w:r>
      <w:r>
        <w:t xml:space="preserve"> </w:t>
      </w:r>
      <w:r>
        <w:tab/>
        <w:t xml:space="preserve">Données 2019 collectées grâce aux réponses apportées par les membres du CCBE à un questionnaire fondé sur le scénario suivant: un litige </w:t>
      </w:r>
      <w:r>
        <w:t>de consommation avec une entreprise (deux valeurs différentes du litige ont été indiquées: 6 000 EUR et le seuil de pauvreté Eurostat dans chaque État membre). Étant donné que les conditions de l’aide juridictionnelle dépendent de la situation du demandeur</w:t>
      </w:r>
      <w:r>
        <w:t>, le scénario suivant a été retenu: un demandeur salarié âgé de 35 ans, célibataire, sans personne à charge ni assurance couvrant les frais juridiques, ayant des revenus réguliers et louant son appartement.</w:t>
      </w:r>
    </w:p>
  </w:footnote>
  <w:footnote w:id="59">
    <w:p w:rsidR="00D23207" w:rsidRDefault="00493C98">
      <w:pPr>
        <w:pStyle w:val="FootnoteText"/>
        <w:spacing w:before="60"/>
        <w:ind w:left="567" w:hanging="567"/>
        <w:rPr>
          <w:rStyle w:val="FootnoteReference"/>
          <w:highlight w:val="yellow"/>
        </w:rPr>
      </w:pPr>
      <w:r>
        <w:rPr>
          <w:rStyle w:val="FootnoteReference"/>
        </w:rPr>
        <w:footnoteRef/>
      </w:r>
      <w:r>
        <w:rPr>
          <w:vertAlign w:val="superscript"/>
        </w:rPr>
        <w:t xml:space="preserve"> </w:t>
      </w:r>
      <w:r>
        <w:tab/>
        <w:t>Les données se rapportent aux seuils de revenu</w:t>
      </w:r>
      <w:r>
        <w:t xml:space="preserve"> applicables en 2019 et ont été collectées grâce aux réponses apportées par les membres du CCBE à un questionnaire fondé sur le scénario suivant: un litige de consommation avec une entreprise (deux valeurs différentes du litige ont été indiquées: 6 000 EUR</w:t>
      </w:r>
      <w:r>
        <w:t xml:space="preserve"> et le seuil de pauvreté Eurostat dans chaque État membre).</w:t>
      </w:r>
    </w:p>
  </w:footnote>
  <w:footnote w:id="60">
    <w:p w:rsidR="00D23207" w:rsidRDefault="00493C98">
      <w:pPr>
        <w:pStyle w:val="FootnoteText"/>
        <w:spacing w:before="60"/>
        <w:ind w:left="567" w:hanging="567"/>
      </w:pPr>
      <w:r>
        <w:rPr>
          <w:rStyle w:val="FootnoteReference"/>
        </w:rPr>
        <w:footnoteRef/>
      </w:r>
      <w:r>
        <w:t xml:space="preserve"> </w:t>
      </w:r>
      <w:r>
        <w:tab/>
        <w:t xml:space="preserve">Les données ont été collectées grâce aux réponses apportées par les membres du CCBE à un questionnaire fondé sur le scénario suivant: un litige entre deux entreprises dans le cadre d’un litige </w:t>
      </w:r>
      <w:r>
        <w:t>commercial transfrontière concernant l’exécution d’un contrat. Selon les indications, la valeur du litige était de 20 000 EUR. Les membres du CCBE ont été invités à fournir des informations sur le droit de greffe réclamé pour entamer une procédure dans l’a</w:t>
      </w:r>
      <w:r>
        <w:t xml:space="preserve">ffaire visée par le scénario. </w:t>
      </w:r>
    </w:p>
  </w:footnote>
  <w:footnote w:id="61">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rPr>
          <w:vertAlign w:val="superscript"/>
        </w:rPr>
        <w:tab/>
      </w:r>
      <w:r>
        <w:t>Les données ont été collectées grâce aux réponses apportées par les membres du CCBE à un questionnaire fondé sur le même scénario hypothétique que pour le graphique 25 (voir note de bas de page 58). Le scénario suivant a é</w:t>
      </w:r>
      <w:r>
        <w:t>té utilisé comme base pour calculer les frais juridiques: la société qui cherche à faire exécuter le contrat a fait appel à un avocat spécialisé et expérimenté, qui a effectué le travail suivant: au cours de la phase précontentieuse: trois heures de travai</w:t>
      </w:r>
      <w:r>
        <w:t>l, un document produit pour des honoraires horaires de 150 EUR (pour un total de 450 EUR); phase contentieuse: 11 heures de travail, trois documents produits, deux audiences pour des honoraires horaires de 150 EUR nets (pour un total de 1 650 EUR). Les mem</w:t>
      </w:r>
      <w:r>
        <w:t>bres du CCBE ont été invités à fournir des informations sur a) les honoraires légaux prévus pour le travail dans la phase (pré-)contentieuse, s’ils existent et b) le montant des honoraires légaux que le tribunal ordonnerait raisonnablement à la partie perd</w:t>
      </w:r>
      <w:r>
        <w:t>ante de rembourser.</w:t>
      </w:r>
    </w:p>
  </w:footnote>
  <w:footnote w:id="62">
    <w:p w:rsidR="00D23207" w:rsidRDefault="00493C98">
      <w:pPr>
        <w:spacing w:before="60" w:after="0" w:line="240" w:lineRule="auto"/>
        <w:ind w:left="567" w:hanging="567"/>
        <w:jc w:val="both"/>
        <w:rPr>
          <w:rFonts w:ascii="Times New Roman" w:hAnsi="Times New Roman" w:cs="Times New Roman"/>
          <w:sz w:val="20"/>
          <w:szCs w:val="20"/>
          <w:highlight w:val="yellow"/>
        </w:rPr>
      </w:pPr>
      <w:r>
        <w:rPr>
          <w:rStyle w:val="FootnoteReference"/>
          <w:rFonts w:ascii="Times New Roman" w:hAnsi="Times New Roman" w:cs="Times New Roman"/>
          <w:sz w:val="20"/>
          <w:szCs w:val="20"/>
        </w:rPr>
        <w:footnoteRef/>
      </w:r>
      <w:r>
        <w:rPr>
          <w:rFonts w:ascii="Times New Roman" w:hAnsi="Times New Roman"/>
          <w:sz w:val="20"/>
          <w:szCs w:val="20"/>
          <w:vertAlign w:val="superscript"/>
        </w:rPr>
        <w:t xml:space="preserve"> </w:t>
      </w:r>
      <w:r>
        <w:rPr>
          <w:rFonts w:ascii="Times New Roman" w:hAnsi="Times New Roman"/>
          <w:sz w:val="20"/>
          <w:szCs w:val="20"/>
        </w:rPr>
        <w:tab/>
        <w:t>Les données concernent 2018. Le taux d’équipement, compris entre 100 % (dispositif complètement déployé) et 0 % (dispositif inexistant), indique la présence fonctionnelle au sein des juridictions du dispositif couvert par le graphiqu</w:t>
      </w:r>
      <w:r>
        <w:rPr>
          <w:rFonts w:ascii="Times New Roman" w:hAnsi="Times New Roman"/>
          <w:sz w:val="20"/>
          <w:szCs w:val="20"/>
        </w:rPr>
        <w:t>e, selon l’échelle suivante: (100 % = 4 points si applicable à tous les domaines / 1,33 point par domaine spécifique; 50-99 % = 3 points si applicable à tous les domaines / 1 point par domaine spécifique; 10-49 % = 2 points si applicable à tous les domaine</w:t>
      </w:r>
      <w:r>
        <w:rPr>
          <w:rFonts w:ascii="Times New Roman" w:hAnsi="Times New Roman"/>
          <w:sz w:val="20"/>
          <w:szCs w:val="20"/>
        </w:rPr>
        <w:t>s / 0,66 point par domaine spécifique; 1-9 % = 1 point si applicable à tous les domaines / 0,33 point par domaine spécifique. Le «domaine» concerne le type de litige traité (civil/commercial, pénal, administratif ou autre).</w:t>
      </w:r>
    </w:p>
  </w:footnote>
  <w:footnote w:id="63">
    <w:p w:rsidR="00D23207" w:rsidRDefault="00493C98">
      <w:pPr>
        <w:pStyle w:val="FootnoteText"/>
        <w:spacing w:before="60"/>
        <w:ind w:left="567" w:hanging="567"/>
      </w:pPr>
      <w:r>
        <w:rPr>
          <w:rStyle w:val="FootnoteReference"/>
        </w:rPr>
        <w:footnoteRef/>
      </w:r>
      <w:r>
        <w:t xml:space="preserve"> </w:t>
      </w:r>
      <w:r>
        <w:tab/>
        <w:t>Voir guide «Best practice gui</w:t>
      </w:r>
      <w:r>
        <w:t>de for managing Supreme Courts», dans le cadre du projet «Supreme Courts as guarantee for effectiveness of judicial systems», p. 29.</w:t>
      </w:r>
    </w:p>
  </w:footnote>
  <w:footnote w:id="64">
    <w:p w:rsidR="00D23207" w:rsidRDefault="00493C98">
      <w:pPr>
        <w:pStyle w:val="FootnoteText"/>
        <w:spacing w:before="60"/>
        <w:ind w:left="567" w:firstLine="0"/>
      </w:pPr>
      <w:r>
        <w:t>Règlement (UE) 2016/679 du Parlement européen et du Conseil du 27 avril 2016 relatif à la protection des personnes physique</w:t>
      </w:r>
      <w:r>
        <w:t>s à l’égard du traitement des données à caractère personnel et à la libre circulation de ces données, et abrogeant la directive 95/46/CE (règlement général sur la protection des données) (JO L 119 du 4.5.2016, p. 1).</w:t>
      </w:r>
    </w:p>
  </w:footnote>
  <w:footnote w:id="65">
    <w:p w:rsidR="00D23207" w:rsidRDefault="00493C98">
      <w:pPr>
        <w:pStyle w:val="FootnoteText"/>
        <w:spacing w:before="60"/>
        <w:ind w:left="567" w:hanging="567"/>
      </w:pPr>
      <w:r>
        <w:rPr>
          <w:rStyle w:val="FootnoteReference"/>
        </w:rPr>
        <w:footnoteRef/>
      </w:r>
      <w:r>
        <w:t xml:space="preserve"> </w:t>
      </w:r>
      <w:r>
        <w:tab/>
        <w:t xml:space="preserve">L’anonymisation/la pseudonymisation </w:t>
      </w:r>
      <w:r>
        <w:t>est plus efficace si elle est assistée par un algorithme. Cependant, une supervision humaine est nécessaire, car les algorithmes ne comprennent pas le contexte.</w:t>
      </w:r>
    </w:p>
  </w:footnote>
  <w:footnote w:id="66">
    <w:p w:rsidR="00D23207" w:rsidRDefault="00493C98">
      <w:pPr>
        <w:pStyle w:val="FootnoteText"/>
        <w:spacing w:before="60"/>
        <w:ind w:left="567" w:hanging="567"/>
      </w:pPr>
      <w:r>
        <w:rPr>
          <w:rStyle w:val="FootnoteReference"/>
        </w:rPr>
        <w:footnoteRef/>
      </w:r>
      <w:r>
        <w:t xml:space="preserve"> </w:t>
      </w:r>
      <w:r>
        <w:tab/>
        <w:t>Directive 2003/98/CE du Parlement européen et du Conseil du 17 novembre 2003 concernant la r</w:t>
      </w:r>
      <w:r>
        <w:t>éutilisation des informations du secteur public (JO L 345 du 31.12.2003, p. 90) et directive (UE) 2019/1024 du Parlement européen et du Conseil du 20 juin 2019 concernant les données ouvertes et la réutilisation des informations du secteur public (JO L 172</w:t>
      </w:r>
      <w:r>
        <w:t xml:space="preserve"> du 26.6.2019, p. 56).</w:t>
      </w:r>
    </w:p>
  </w:footnote>
  <w:footnote w:id="67">
    <w:p w:rsidR="00D23207" w:rsidRDefault="00493C98">
      <w:pPr>
        <w:pStyle w:val="FootnoteText"/>
        <w:spacing w:before="60"/>
        <w:ind w:left="567" w:hanging="567"/>
      </w:pPr>
      <w:r>
        <w:rPr>
          <w:rStyle w:val="FootnoteReference"/>
        </w:rPr>
        <w:footnoteRef/>
      </w:r>
      <w:r>
        <w:t xml:space="preserve"> </w:t>
      </w:r>
      <w:r>
        <w:tab/>
        <w:t>Les arrêts modélisés selon des normes (par exemple Akoma Ntoso) et leurs métadonnées associées sont téléchargeables gratuitement sous la forme d’une base de données ou par d’autres moyens automatisés (par exemple, l’interface de p</w:t>
      </w:r>
      <w:r>
        <w:t>rogrammation d’application).</w:t>
      </w:r>
    </w:p>
  </w:footnote>
  <w:footnote w:id="68">
    <w:p w:rsidR="00D23207" w:rsidRDefault="00493C98">
      <w:pPr>
        <w:pStyle w:val="FootnoteText"/>
        <w:spacing w:before="60"/>
        <w:ind w:left="567" w:hanging="567"/>
      </w:pPr>
      <w:r>
        <w:rPr>
          <w:rStyle w:val="FootnoteReference"/>
        </w:rPr>
        <w:footnoteRef/>
      </w:r>
      <w:r>
        <w:t xml:space="preserve"> </w:t>
      </w:r>
      <w:r>
        <w:tab/>
        <w:t xml:space="preserve">Voir également la communication de la Commission au Parlement européen, au Conseil, au Comité économique et social européen et au Comité des régions «Une stratégie européenne pour les données» [COM(2020) 66 final]; le livre </w:t>
      </w:r>
      <w:r>
        <w:t xml:space="preserve">blanc de la Commission sur l’intelligence artificielle «Une approche européenne axée sur l’excellence et la confiance» [COM(2020) 65 final]; et les conclusions du Conseil et des représentants des gouvernements des États membres, réunis au sein du Conseil, </w:t>
      </w:r>
      <w:r>
        <w:t>sur les meilleures pratiques concernant la publication en ligne des décisions de justice (JO C 362 du 8.10.2018, p. 2).</w:t>
      </w:r>
    </w:p>
  </w:footnote>
  <w:footnote w:id="69">
    <w:p w:rsidR="00D23207" w:rsidRDefault="00493C98">
      <w:pPr>
        <w:pStyle w:val="FootnoteText"/>
        <w:spacing w:before="60"/>
        <w:ind w:left="567" w:hanging="567"/>
      </w:pPr>
      <w:r>
        <w:rPr>
          <w:rStyle w:val="FootnoteReference"/>
        </w:rPr>
        <w:footnoteRef/>
      </w:r>
      <w:r>
        <w:tab/>
        <w:t>Données pour 2019 recueillies en coopération avec le groupe des personnes de contact sur les systèmes judiciaires nationaux.</w:t>
      </w:r>
    </w:p>
  </w:footnote>
  <w:footnote w:id="70">
    <w:p w:rsidR="00D23207" w:rsidRDefault="00493C98">
      <w:pPr>
        <w:pStyle w:val="FootnoteText"/>
        <w:spacing w:before="60"/>
        <w:ind w:left="567" w:hanging="567"/>
        <w:rPr>
          <w:highlight w:val="yellow"/>
        </w:rPr>
      </w:pPr>
      <w:r>
        <w:rPr>
          <w:rStyle w:val="FootnoteReference"/>
        </w:rPr>
        <w:footnoteRef/>
      </w:r>
      <w:r>
        <w:t xml:space="preserve"> </w:t>
      </w:r>
      <w:r>
        <w:tab/>
        <w:t>Donnée</w:t>
      </w:r>
      <w:r>
        <w:t>s pour 2019 recueillies en coopération avec le groupe des personnes de contact sur les systèmes judiciaires nationaux.</w:t>
      </w:r>
    </w:p>
  </w:footnote>
  <w:footnote w:id="71">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Les méthodes visant à promouvoir et à encourager le recours au REL ne couvrent pas les obligations de recourir à celui-ci avant d’enta</w:t>
      </w:r>
      <w:r>
        <w:t>mer une action en justice, car de telles obligations suscitent des inquiétudes quant à leur compatibilité avec le droit à un recours effectif devant un tribunal consacré par la Charte des droits fondamentaux de l’UE.</w:t>
      </w:r>
    </w:p>
  </w:footnote>
  <w:footnote w:id="72">
    <w:p w:rsidR="00D23207" w:rsidRDefault="00493C98">
      <w:pPr>
        <w:pStyle w:val="FootnoteText"/>
        <w:spacing w:before="60"/>
        <w:ind w:left="567" w:hanging="567"/>
      </w:pPr>
      <w:r>
        <w:rPr>
          <w:rStyle w:val="FootnoteReference"/>
        </w:rPr>
        <w:footnoteRef/>
      </w:r>
      <w:r>
        <w:t xml:space="preserve"> </w:t>
      </w:r>
      <w:r>
        <w:tab/>
        <w:t xml:space="preserve">Données pour 2019 recueillies en </w:t>
      </w:r>
      <w:r>
        <w:t>coopération avec le groupe des personnes de contact sur les systèmes judiciaires nationaux.</w:t>
      </w:r>
    </w:p>
  </w:footnote>
  <w:footnote w:id="73">
    <w:p w:rsidR="00D23207" w:rsidRDefault="00493C98">
      <w:pPr>
        <w:pStyle w:val="FootnoteText"/>
        <w:spacing w:before="60"/>
        <w:ind w:left="567" w:hanging="567"/>
      </w:pPr>
      <w:r>
        <w:rPr>
          <w:rStyle w:val="FootnoteReference"/>
        </w:rPr>
        <w:footnoteRef/>
      </w:r>
      <w:r>
        <w:t xml:space="preserve"> </w:t>
      </w:r>
      <w:r>
        <w:tab/>
        <w:t>Données pour 2019 recueillies en coopération avec le groupe des personnes de contact sur les systèmes judiciaires nationaux.</w:t>
      </w:r>
    </w:p>
  </w:footnote>
  <w:footnote w:id="74">
    <w:p w:rsidR="00D23207" w:rsidRDefault="00493C98">
      <w:pPr>
        <w:pStyle w:val="FootnoteText"/>
        <w:spacing w:before="60"/>
        <w:ind w:left="567" w:hanging="567"/>
        <w:rPr>
          <w:highlight w:val="yellow"/>
        </w:rPr>
      </w:pPr>
      <w:r>
        <w:rPr>
          <w:rStyle w:val="FootnoteReference"/>
        </w:rPr>
        <w:footnoteRef/>
      </w:r>
      <w:r>
        <w:t xml:space="preserve"> </w:t>
      </w:r>
      <w:r>
        <w:tab/>
        <w:t>Dépenses totales (réelles) des ad</w:t>
      </w:r>
      <w:r>
        <w:t>ministrations publiques consacrées à l’administration, au fonctionnement et au soutien des juridictions administratives, civiles et pénales et du système judiciaire, y compris l’exécution des amendes et les règlements judiciaires imposés par les juridictio</w:t>
      </w:r>
      <w:r>
        <w:t>ns, le fonctionnement des régimes de mise à l’épreuve (probation) et l’aide juridictionnelle, ainsi que la représentation légale et le conseil juridique pour le compte des administrations publiques ou pour le compte de tiers aux frais ou à la charge des ad</w:t>
      </w:r>
      <w:r>
        <w:t xml:space="preserve">ministrations publiques, en espèces ou sous forme de services, à l’exception de l’administration pénitentiaire (données de la comptabilité nationale, classification des fonctions des administrations publiques, groupe 03.3), Tableau Eurostat </w:t>
      </w:r>
      <w:r>
        <w:rPr>
          <w:i/>
          <w:iCs/>
        </w:rPr>
        <w:t>gov_10a_exp</w:t>
      </w:r>
      <w:r>
        <w:t>, di</w:t>
      </w:r>
      <w:r>
        <w:t xml:space="preserve">sponible à l’adresse: </w:t>
      </w:r>
      <w:hyperlink r:id="rId31" w:history="1">
        <w:r>
          <w:rPr>
            <w:rStyle w:val="Hyperlink"/>
          </w:rPr>
          <w:t>http://ec.europa.eu/eurostat/data/database</w:t>
        </w:r>
      </w:hyperlink>
      <w:r>
        <w:rPr>
          <w:rStyle w:val="Hyperlink"/>
        </w:rPr>
        <w:t>.</w:t>
      </w:r>
    </w:p>
  </w:footnote>
  <w:footnote w:id="75">
    <w:p w:rsidR="00D23207" w:rsidRDefault="00493C98">
      <w:pPr>
        <w:pStyle w:val="FootnoteText"/>
        <w:spacing w:before="60"/>
        <w:ind w:left="567" w:hanging="567"/>
        <w:rPr>
          <w:highlight w:val="yellow"/>
        </w:rPr>
      </w:pPr>
      <w:r>
        <w:rPr>
          <w:rStyle w:val="FootnoteReference"/>
        </w:rPr>
        <w:footnoteRef/>
      </w:r>
      <w:r>
        <w:t xml:space="preserve"> </w:t>
      </w:r>
      <w:r>
        <w:tab/>
      </w:r>
      <w:r>
        <w:t xml:space="preserve">La rémunération des employés se compose de salaires et de traitements en espèces ou en nature (D.11) et des cotisations sociales effectives et imputées de l’employeur (D.121 et D.122). Voir: </w:t>
      </w:r>
      <w:hyperlink r:id="rId32" w:history="1">
        <w:r>
          <w:rPr>
            <w:rStyle w:val="Hyperlink"/>
          </w:rPr>
          <w:t>https://ec.europa.eu/eurostat/statistics-explained/index.php?title=Glossary:Compensation_of_employees</w:t>
        </w:r>
      </w:hyperlink>
      <w:r>
        <w:t>.</w:t>
      </w:r>
    </w:p>
  </w:footnote>
  <w:footnote w:id="76">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La consommation intermédiaire est un concept de comptabilité nationale qui mesure la valeur des b</w:t>
      </w:r>
      <w:r>
        <w:t xml:space="preserve">iens et services consommés en tant qu’intrants dans un processus de production. En sont exclus les </w:t>
      </w:r>
      <w:hyperlink r:id="rId33" w:history="1">
        <w:r>
          <w:rPr>
            <w:rStyle w:val="Hyperlink"/>
          </w:rPr>
          <w:t>actifs fixes</w:t>
        </w:r>
      </w:hyperlink>
      <w:r>
        <w:t xml:space="preserve"> dont la consommation est enregistrée da</w:t>
      </w:r>
      <w:r>
        <w:t xml:space="preserve">ns la catégorie du </w:t>
      </w:r>
      <w:hyperlink r:id="rId34" w:history="1">
        <w:r>
          <w:rPr>
            <w:rStyle w:val="Hyperlink"/>
          </w:rPr>
          <w:t>capital fixe</w:t>
        </w:r>
      </w:hyperlink>
      <w:r>
        <w:t>. Les biens et services concernés sont soit transformés, soit entièrement consommés au cours du processus de production</w:t>
      </w:r>
      <w:r>
        <w:t>.</w:t>
      </w:r>
    </w:p>
    <w:p w:rsidR="00D23207" w:rsidRDefault="00493C98">
      <w:pPr>
        <w:pStyle w:val="FootnoteText"/>
        <w:spacing w:before="60"/>
        <w:ind w:left="567" w:firstLine="0"/>
        <w:rPr>
          <w:b/>
          <w:bCs/>
          <w:highlight w:val="yellow"/>
        </w:rPr>
      </w:pPr>
      <w:r>
        <w:t xml:space="preserve">Voir </w:t>
      </w:r>
      <w:hyperlink r:id="rId35">
        <w:r>
          <w:rPr>
            <w:rStyle w:val="Hyperlink"/>
          </w:rPr>
          <w:t>https://ec.europa.eu/eurostat/statistics-explained/index.php?title=Glossary:Intermediate_consumption</w:t>
        </w:r>
      </w:hyperlink>
      <w:r>
        <w:rPr>
          <w:rStyle w:val="Hyperlink"/>
        </w:rPr>
        <w:t>.</w:t>
      </w:r>
    </w:p>
  </w:footnote>
  <w:footnote w:id="77">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rPr>
          <w:vertAlign w:val="superscript"/>
        </w:rPr>
        <w:tab/>
      </w:r>
      <w:r>
        <w:t>La formation brute de ca</w:t>
      </w:r>
      <w:r>
        <w:t xml:space="preserve">pital fixe, dont l’abréviation est «FBCF», se compose des investissements réalisés par les producteurs résidents, cessions déduites, dans les </w:t>
      </w:r>
      <w:hyperlink r:id="rId36" w:history="1">
        <w:r>
          <w:rPr>
            <w:rStyle w:val="Hyperlink"/>
          </w:rPr>
          <w:t>actifs</w:t>
        </w:r>
      </w:hyperlink>
      <w:r>
        <w:t xml:space="preserve"> fixes au </w:t>
      </w:r>
      <w:r>
        <w:t>cours d’une période donnée. Elle inclut également certains ajouts à la valeur d’actifs non produits réalisés par des unités productives ou institutionnelles. Par actifs fixes, il faut entendre des actifs corporels ou incorporels issus de processus de produ</w:t>
      </w:r>
      <w:r>
        <w:t xml:space="preserve">ction et utilisés de façon répétée ou continue pendant une durée d’au moins un an. Voir </w:t>
      </w:r>
      <w:hyperlink r:id="rId37" w:history="1">
        <w:r>
          <w:rPr>
            <w:rStyle w:val="Hyperlink"/>
          </w:rPr>
          <w:t>https://ec.europa.eu/eurostat/statistic</w:t>
        </w:r>
        <w:r>
          <w:rPr>
            <w:rStyle w:val="Hyperlink"/>
          </w:rPr>
          <w:t>s-explained/index.php?title=Glossary:Gross_fixed_capital_formation_(GFCF)</w:t>
        </w:r>
      </w:hyperlink>
      <w:r>
        <w:t>.</w:t>
      </w:r>
    </w:p>
  </w:footnote>
  <w:footnote w:id="78">
    <w:p w:rsidR="00D23207" w:rsidRDefault="00493C98">
      <w:pPr>
        <w:pStyle w:val="FootnoteText"/>
        <w:spacing w:before="60"/>
        <w:ind w:left="567" w:hanging="567"/>
        <w:rPr>
          <w:highlight w:val="yellow"/>
        </w:rPr>
      </w:pPr>
      <w:r>
        <w:rPr>
          <w:rStyle w:val="FootnoteReference"/>
        </w:rPr>
        <w:footnoteRef/>
      </w:r>
      <w:r>
        <w:t xml:space="preserve"> </w:t>
      </w:r>
      <w:r>
        <w:tab/>
        <w:t xml:space="preserve">Données de 2019. Base de données statistiques sur l’égalité hommes-femmes de l’Institut européen pour l’égalité entre les hommes et les femmes, disponible à l’adresse: </w:t>
      </w:r>
      <w:hyperlink r:id="rId38" w:history="1">
        <w:r>
          <w:rPr>
            <w:rStyle w:val="Hyperlink"/>
          </w:rPr>
          <w:t>https://eige.europa.eu/gender-statistics/dgs/indicator/wmidm_jud_natcrt__wmid_natcrt_supcrt</w:t>
        </w:r>
      </w:hyperlink>
    </w:p>
  </w:footnote>
  <w:footnote w:id="79">
    <w:p w:rsidR="00D23207" w:rsidRDefault="00493C98">
      <w:pPr>
        <w:pStyle w:val="FootnoteText"/>
        <w:spacing w:before="60"/>
        <w:ind w:left="567" w:hanging="567"/>
      </w:pPr>
      <w:r>
        <w:rPr>
          <w:rStyle w:val="FootnoteReference"/>
        </w:rPr>
        <w:footnoteRef/>
      </w:r>
      <w:r>
        <w:t xml:space="preserve"> </w:t>
      </w:r>
      <w:r>
        <w:tab/>
        <w:t>Données de 2018 collectées en collaboration avec le Réseau euro</w:t>
      </w:r>
      <w:r>
        <w:t>péen de formation judiciaire et la CEPEJ. Le «métier de juge» comprend des activités telles que la conduite d’audiences, la rédaction de décisions ou la rhétorique.</w:t>
      </w:r>
    </w:p>
  </w:footnote>
  <w:footnote w:id="80">
    <w:p w:rsidR="00D23207" w:rsidRDefault="00493C98">
      <w:pPr>
        <w:pStyle w:val="FootnoteText"/>
        <w:spacing w:before="60"/>
        <w:ind w:left="567" w:hanging="567"/>
      </w:pPr>
      <w:r>
        <w:rPr>
          <w:rStyle w:val="FootnoteReference"/>
        </w:rPr>
        <w:footnoteRef/>
      </w:r>
      <w:r>
        <w:t xml:space="preserve"> </w:t>
      </w:r>
      <w:r>
        <w:tab/>
        <w:t>Données pour 2019 recueillies en coopération avec le groupe des personnes de contact sur</w:t>
      </w:r>
      <w:r>
        <w:t xml:space="preserve"> les systèmes judiciaires nationaux.</w:t>
      </w:r>
    </w:p>
  </w:footnote>
  <w:footnote w:id="81">
    <w:p w:rsidR="00D23207" w:rsidRDefault="00493C98">
      <w:pPr>
        <w:pStyle w:val="FootnoteText"/>
        <w:spacing w:before="60"/>
        <w:ind w:left="567" w:hanging="567"/>
        <w:rPr>
          <w:highlight w:val="yellow"/>
        </w:rPr>
      </w:pPr>
      <w:r>
        <w:rPr>
          <w:rStyle w:val="FootnoteReference"/>
        </w:rPr>
        <w:footnoteRef/>
      </w:r>
      <w:r>
        <w:t xml:space="preserve"> </w:t>
      </w:r>
      <w:r>
        <w:tab/>
        <w:t>Données de 2018. Le taux d’équipement, compris entre 100 % (dispositif complètement déployé) et 0 % (dispositif inexistant), indique la présence fonctionnelle au sein des juridictions du dispositif couvert par le gra</w:t>
      </w:r>
      <w:r>
        <w:t>phique, selon l’échelle suivante: 100 % = 4 points si applicable à tous les domaines / 1,33 point par domaine spécifique; 50-99 % = 3 points si applicable à tous les domaines / 1 point par domaine spécifique; 10-49 % = 2 points si applicable à tous les dom</w:t>
      </w:r>
      <w:r>
        <w:t>aines / 0,66 point par domaine spécifique; 1-9 % = 1 point si applicable à tous les domaines / 0,33 point par domaine spécifique. Le «domaine» concerne le type de litige traité (civil/commercial, pénal, administratif ou autre).</w:t>
      </w:r>
    </w:p>
  </w:footnote>
  <w:footnote w:id="82">
    <w:p w:rsidR="00D23207" w:rsidRDefault="00493C98">
      <w:pPr>
        <w:pStyle w:val="FootnoteText"/>
        <w:spacing w:before="60"/>
        <w:ind w:left="567" w:hanging="567"/>
        <w:rPr>
          <w:highlight w:val="yellow"/>
        </w:rPr>
      </w:pPr>
      <w:r>
        <w:rPr>
          <w:rStyle w:val="FootnoteReference"/>
        </w:rPr>
        <w:footnoteRef/>
      </w:r>
      <w:r>
        <w:t xml:space="preserve"> </w:t>
      </w:r>
      <w:r>
        <w:tab/>
        <w:t>Données pour 2018 recueil</w:t>
      </w:r>
      <w:r>
        <w:t>lies en coopération avec le groupe des personnes de contact sur les systèmes judiciaires nationaux.</w:t>
      </w:r>
    </w:p>
  </w:footnote>
  <w:footnote w:id="83">
    <w:p w:rsidR="00D23207" w:rsidRDefault="00493C98">
      <w:pPr>
        <w:pStyle w:val="FootnoteText"/>
        <w:spacing w:before="60"/>
        <w:ind w:left="567" w:hanging="567"/>
      </w:pPr>
      <w:r>
        <w:rPr>
          <w:rStyle w:val="FootnoteReference"/>
        </w:rPr>
        <w:footnoteRef/>
      </w:r>
      <w:r>
        <w:t xml:space="preserve"> </w:t>
      </w:r>
      <w:r>
        <w:tab/>
        <w:t>Données pour 2018 recueillies en coopération avec le groupe des personnes de contact sur les systèmes judiciaires nationaux.</w:t>
      </w:r>
    </w:p>
  </w:footnote>
  <w:footnote w:id="84">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rPr>
          <w:vertAlign w:val="superscript"/>
        </w:rPr>
        <w:tab/>
      </w:r>
      <w:r>
        <w:t xml:space="preserve">Dans le tableau de bord </w:t>
      </w:r>
      <w:r>
        <w:t>de la justice dans l’UE, les normes sur les dates limites et les délais vont au-delà des exigences découlant du droit dont dispose toute personne à ce que sa cause soit entendue dans un délai raisonnable, consacré par l’article 47 de la Charte des droits f</w:t>
      </w:r>
      <w:r>
        <w:t>ondamentaux de l’Union européenne et par l’article 6 de la Convention européenne des droits de l’homme.</w:t>
      </w:r>
    </w:p>
  </w:footnote>
  <w:footnote w:id="85">
    <w:p w:rsidR="00D23207" w:rsidRDefault="00493C98">
      <w:pPr>
        <w:pStyle w:val="FootnoteText"/>
        <w:spacing w:before="60"/>
        <w:ind w:left="567" w:hanging="567"/>
        <w:rPr>
          <w:highlight w:val="yellow"/>
        </w:rPr>
      </w:pPr>
      <w:r>
        <w:rPr>
          <w:rStyle w:val="FootnoteReference"/>
        </w:rPr>
        <w:footnoteRef/>
      </w:r>
      <w:r>
        <w:t xml:space="preserve"> </w:t>
      </w:r>
      <w:r>
        <w:tab/>
        <w:t>Données pour 2019 recueillies en coopération avec le groupe des personnes de contact sur les systèmes judiciaires nationaux.</w:t>
      </w:r>
    </w:p>
  </w:footnote>
  <w:footnote w:id="86">
    <w:p w:rsidR="00D23207" w:rsidRDefault="00493C98">
      <w:pPr>
        <w:pStyle w:val="FootnoteText"/>
        <w:spacing w:before="60"/>
        <w:ind w:left="567" w:hanging="567"/>
      </w:pPr>
      <w:r>
        <w:rPr>
          <w:rStyle w:val="FootnoteReference"/>
        </w:rPr>
        <w:footnoteRef/>
      </w:r>
      <w:r>
        <w:tab/>
        <w:t xml:space="preserve">Voir </w:t>
      </w:r>
      <w:hyperlink r:id="rId39" w:history="1">
        <w:r>
          <w:rPr>
            <w:rStyle w:val="Hyperlink"/>
          </w:rPr>
          <w:t>https://eur-lex.europa.eu/legal-content/FR/TXT/PDF/?uri=CELEX:12012P/TXT&amp;from=fr</w:t>
        </w:r>
      </w:hyperlink>
    </w:p>
  </w:footnote>
  <w:footnote w:id="87">
    <w:p w:rsidR="00D23207" w:rsidRDefault="00493C98">
      <w:pPr>
        <w:pStyle w:val="FootnoteText"/>
        <w:spacing w:before="60"/>
        <w:ind w:left="567" w:hanging="567"/>
      </w:pPr>
      <w:r>
        <w:rPr>
          <w:rStyle w:val="FootnoteReference"/>
        </w:rPr>
        <w:footnoteRef/>
      </w:r>
      <w:r>
        <w:t xml:space="preserve"> </w:t>
      </w:r>
      <w:r>
        <w:tab/>
        <w:t>Cour de justice de l’Union européenne, arrêt du 19 novembre 2019, A.K et autre</w:t>
      </w:r>
      <w:r>
        <w:t>s, C-585/1/, C-624/18 et C-625/18, EU:C:2019:982, points 121 et 122; arrêt du 24 juin 2019, Commission/Pologne, C-619/18, EU:C:2019:531, points 73 et 74; arrêt du 27 février 2018, Associação Sindical dos Juízes Portugueses, C‑64/16, EU:C:2018:117, point 44</w:t>
      </w:r>
      <w:r>
        <w:t>; arrêt du 25 juillet 2018, Minister for Justice and Equality, C‑216/18 PPU, EU:C:2018:586, point 65.</w:t>
      </w:r>
    </w:p>
  </w:footnote>
  <w:footnote w:id="88">
    <w:p w:rsidR="00D23207" w:rsidRDefault="00493C98">
      <w:pPr>
        <w:pStyle w:val="FootnoteText"/>
        <w:spacing w:before="60"/>
        <w:ind w:left="567" w:hanging="567"/>
      </w:pPr>
      <w:r>
        <w:rPr>
          <w:rStyle w:val="FootnoteReference"/>
        </w:rPr>
        <w:footnoteRef/>
      </w:r>
      <w:r>
        <w:t xml:space="preserve"> </w:t>
      </w:r>
      <w:r>
        <w:tab/>
        <w:t>Cour de justice de l’Union européenne, arrêt du 24 juin 2019, Commission/Pologne, C-619/18, EU:C:2019:531 point 44.</w:t>
      </w:r>
    </w:p>
  </w:footnote>
  <w:footnote w:id="89">
    <w:p w:rsidR="00D23207" w:rsidRDefault="00493C98">
      <w:pPr>
        <w:pStyle w:val="FootnoteText"/>
        <w:spacing w:before="60"/>
        <w:ind w:left="567" w:hanging="567"/>
      </w:pPr>
      <w:r>
        <w:rPr>
          <w:rStyle w:val="FootnoteReference"/>
        </w:rPr>
        <w:footnoteRef/>
      </w:r>
      <w:r>
        <w:t xml:space="preserve"> </w:t>
      </w:r>
      <w:r>
        <w:tab/>
        <w:t>Enquête Eurobaromètre FL483, men</w:t>
      </w:r>
      <w:r>
        <w:t>ée entre le 7 janvier et le 11 janvier 2020. Réponses à la question suivante: «Selon les informations dont vous disposez, comment qualifieriez-vous le système judiciaire (dans notre pays) du point de vue de l’indépendance des tribunaux et des juges? Très s</w:t>
      </w:r>
      <w:r>
        <w:t xml:space="preserve">atisfaisant, plutôt satisfaisant, plutôt mauvais ou très mauvais?», voir: </w:t>
      </w:r>
      <w:hyperlink r:id="rId40" w:history="1">
        <w:r>
          <w:rPr>
            <w:rStyle w:val="Hyperlink"/>
          </w:rPr>
          <w:t>https://ec.europa.eu/info/policies/justice-and-fundament</w:t>
        </w:r>
        <w:r>
          <w:rPr>
            <w:rStyle w:val="Hyperlink"/>
          </w:rPr>
          <w:t>al-rights/upholding-rule-law/eu-justice-scoreboard_fr</w:t>
        </w:r>
      </w:hyperlink>
    </w:p>
  </w:footnote>
  <w:footnote w:id="90">
    <w:p w:rsidR="00D23207" w:rsidRDefault="00493C98">
      <w:pPr>
        <w:pStyle w:val="FootnoteText"/>
        <w:spacing w:before="60"/>
        <w:ind w:left="567" w:hanging="567"/>
      </w:pPr>
      <w:r>
        <w:rPr>
          <w:rStyle w:val="FootnoteReference"/>
        </w:rPr>
        <w:footnoteRef/>
      </w:r>
      <w:r>
        <w:t xml:space="preserve"> </w:t>
      </w:r>
      <w:r>
        <w:tab/>
        <w:t>Enquête Eurobaromètre FL483, réponses à la question suivante: «Pourriez-vous indiquer dans quelle mesure chacune des raisons suivantes explique votre appréciation de l’indépendance du système judicia</w:t>
      </w:r>
      <w:r>
        <w:t>ire dans (notre pays): beaucoup, assez, peu, pas du tout?».</w:t>
      </w:r>
    </w:p>
  </w:footnote>
  <w:footnote w:id="91">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Enquête Eurobaromètre FL484, menée entre le 7 janvier et le 20 janvier 2020. Réponses à la question suivante: «Selon les informations dont vous disposez, comment qualifieriez-vous le système ju</w:t>
      </w:r>
      <w:r>
        <w:t xml:space="preserve">diciaire (dans notre pays) du point de vue de l’indépendance des tribunaux et des juges? Très satisfaisant, plutôt satisfaisant, plutôt mauvais ou très mauvais?», voir: </w:t>
      </w:r>
      <w:hyperlink r:id="rId41" w:history="1">
        <w:r>
          <w:rPr>
            <w:rStyle w:val="Hyperlink"/>
          </w:rPr>
          <w:t>https://ec.europa.eu/info/strategy/justice-and-fundamental-rights/effective-justice/eu-justice-scoreboard_fr</w:t>
        </w:r>
      </w:hyperlink>
      <w:r>
        <w:rPr>
          <w:rStyle w:val="Hyperlink"/>
        </w:rPr>
        <w:t>.</w:t>
      </w:r>
    </w:p>
  </w:footnote>
  <w:footnote w:id="92">
    <w:p w:rsidR="00D23207" w:rsidRDefault="00493C98">
      <w:pPr>
        <w:pStyle w:val="FootnoteText"/>
        <w:spacing w:before="60"/>
        <w:ind w:left="567" w:hanging="567"/>
        <w:rPr>
          <w:highlight w:val="yellow"/>
        </w:rPr>
      </w:pPr>
      <w:r>
        <w:rPr>
          <w:rStyle w:val="FootnoteReference"/>
        </w:rPr>
        <w:footnoteRef/>
      </w:r>
      <w:r>
        <w:t xml:space="preserve"> </w:t>
      </w:r>
      <w:r>
        <w:tab/>
        <w:t>Enquête Eurobaromètre FL484; réponses à la question suivante: «Pourriez-vous indiquer dans quelle mesure</w:t>
      </w:r>
      <w:r>
        <w:t xml:space="preserve"> chacune des raisons suivantes explique votre appréciation de l’indépendance du système judiciaire dans (notre pays): beaucoup, assez, peu, pas du tout?».</w:t>
      </w:r>
    </w:p>
  </w:footnote>
  <w:footnote w:id="93">
    <w:p w:rsidR="00D23207" w:rsidRDefault="00493C98">
      <w:pPr>
        <w:pStyle w:val="FootnoteText"/>
        <w:spacing w:before="60"/>
        <w:ind w:left="567" w:hanging="567"/>
        <w:rPr>
          <w:highlight w:val="yellow"/>
        </w:rPr>
      </w:pPr>
      <w:r>
        <w:rPr>
          <w:rStyle w:val="FootnoteReference"/>
        </w:rPr>
        <w:footnoteRef/>
      </w:r>
      <w:r>
        <w:t xml:space="preserve"> </w:t>
      </w:r>
      <w:r>
        <w:tab/>
        <w:t>L’indicateur du Forum économique mondial est fondé sur les réponses apportées à la question suivan</w:t>
      </w:r>
      <w:r>
        <w:t>te: «Dans votre pays, dans quelle mesure la justice est-elle indépendante de toute influence du gouvernement, de particuliers ou d’entreprises? [1 = pas du tout indépendante; 7 = totalement indépendante]». Les réponses à l’étude proviennent d’un échantillo</w:t>
      </w:r>
      <w:r>
        <w:t>n représentatif d’entreprises actives dans les principaux secteurs de l’économie (agriculture, industrie manufacturière, industrie non manufacturière et services) dans tous les États membres concernés. L’étude est menée de différentes façons, notamment par</w:t>
      </w:r>
      <w:r>
        <w:t xml:space="preserve"> des entretiens en face à face ou par téléphone avec des dirigeants d’entreprise, par des formulaires papier adressés par la poste et par des études en ligne. Voir </w:t>
      </w:r>
      <w:hyperlink r:id="rId42" w:history="1">
        <w:r>
          <w:rPr>
            <w:rStyle w:val="Hyperlink"/>
          </w:rPr>
          <w:t>https://w</w:t>
        </w:r>
        <w:r>
          <w:rPr>
            <w:rStyle w:val="Hyperlink"/>
          </w:rPr>
          <w:t>ww.weforum.org/reports/global-competitiveness-report-2019</w:t>
        </w:r>
      </w:hyperlink>
      <w:r>
        <w:t xml:space="preserve"> </w:t>
      </w:r>
    </w:p>
  </w:footnote>
  <w:footnote w:id="94">
    <w:p w:rsidR="00D23207" w:rsidRDefault="00493C98">
      <w:pPr>
        <w:pStyle w:val="FootnoteText"/>
        <w:spacing w:before="60"/>
        <w:ind w:left="567" w:hanging="567"/>
      </w:pPr>
      <w:r>
        <w:rPr>
          <w:rStyle w:val="FootnoteReference"/>
        </w:rPr>
        <w:footnoteRef/>
      </w:r>
      <w:r>
        <w:t xml:space="preserve"> </w:t>
      </w:r>
      <w:r>
        <w:tab/>
        <w:t>Voir Cour de justice de l’Union européenne, arrêt du 19 novembre 2019, A.K et autres (Indépendance de la chambre disciplinaire de la Cour suprême), C-585/18, C-624/18 et C-625/18, EU:C:2019:982,</w:t>
      </w:r>
      <w:r>
        <w:t xml:space="preserve"> points 121 et 122; arrêt du 24 juin 2019, Commission/Pologne, C-619/18, EU:C:2019:531, points 73 et 74; arrêt du 25 juillet 2018, LM, C-216/18 PPU, EU:C:2018:586, point 66. Voir également points 46 et 47 de la recommandation CM/Rec(2010)12, «Les juges: in</w:t>
      </w:r>
      <w:r>
        <w:t>dépendance, efficacité et responsabilités» (adoptée par le Comité des ministres du Conseil de l’Europe le 17 novembre 2010) [ci-après la «recommandation CM/Rec(2010)12»], et l'exposé des motifs, qui prévoient que l’autorité compétente en matière de sélecti</w:t>
      </w:r>
      <w:r>
        <w:t>on et de carrière des juges devrait être indépendante des pouvoirs exécutif et législatif. Pour garantir son indépendance, au moins la moitié des membres de l’autorité devraient être des juges choisis par leurs pairs. Toutefois, lorsque les dispositions co</w:t>
      </w:r>
      <w:r>
        <w:t>nstitutionnelles ou législatives prévoient que le chef de l’État, le gouvernement ou le pouvoir législatif prennent des décisions concernant la sélection et la carrière des juges, une autorité indépendante et compétente composée d’une part substantielle de</w:t>
      </w:r>
      <w:r>
        <w:t xml:space="preserve"> membres issus du pouvoir judiciaire (sous réserve des règles applicables aux conseils de la justice énoncées au chapitre IV) devrait être habilitée à faire des propositions ou à émettre des avis que l’autorité pertinente de nomination suit dans la pratiqu</w:t>
      </w:r>
      <w:r>
        <w:t xml:space="preserve">e. </w:t>
      </w:r>
    </w:p>
  </w:footnote>
  <w:footnote w:id="95">
    <w:p w:rsidR="00D23207" w:rsidRDefault="00493C98">
      <w:pPr>
        <w:pStyle w:val="FootnoteText"/>
        <w:spacing w:before="60"/>
        <w:ind w:left="567" w:hanging="567"/>
      </w:pPr>
      <w:r>
        <w:rPr>
          <w:rStyle w:val="FootnoteReference"/>
        </w:rPr>
        <w:footnoteRef/>
      </w:r>
      <w:r>
        <w:rPr>
          <w:rStyle w:val="FootnoteReference"/>
        </w:rPr>
        <w:t xml:space="preserve"> </w:t>
      </w:r>
      <w:r>
        <w:tab/>
        <w:t xml:space="preserve">Voir Cour de justice de l’Union européenne, arrêt du 19 novembre 2019, A.K et autres (Indépendance de la chambre disciplinaire de la Cour suprême), C-585/18, C-624/18 et C-625/18, EU:C:2019:982, point 123; arrêt du 24 juin 2019, Commission/Pologne, </w:t>
      </w:r>
      <w:r>
        <w:t>C-619/18, EU:C:2019:531, point 112.</w:t>
      </w:r>
    </w:p>
  </w:footnote>
  <w:footnote w:id="96">
    <w:p w:rsidR="00D23207" w:rsidRDefault="00493C98">
      <w:pPr>
        <w:pStyle w:val="FootnoteText"/>
        <w:spacing w:before="60"/>
        <w:ind w:left="567" w:hanging="567"/>
      </w:pPr>
      <w:r>
        <w:rPr>
          <w:rStyle w:val="FootnoteReference"/>
        </w:rPr>
        <w:footnoteRef/>
      </w:r>
      <w:r>
        <w:t xml:space="preserve"> </w:t>
      </w:r>
      <w:r>
        <w:tab/>
        <w:t>Voir la recommandation CM/Rec(2010)12, «Les juges: indépendance, efficacité et responsabilités», adoptée par le Comité des ministres du Conseil de l’Europe le 17 novembre 2010, et l’exposé des motifs.</w:t>
      </w:r>
    </w:p>
  </w:footnote>
  <w:footnote w:id="97">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Ces graphique</w:t>
      </w:r>
      <w:r>
        <w:t xml:space="preserve">s sont fondés sur les réponses à un questionnaire actualisé qui a été élaboré par la Commission en étroite association avec le RECJ. Pour les États membres non dotés de conseils de la justice, non membres du RECJ ou dont l’adhésion au RECJ a été suspendue </w:t>
      </w:r>
      <w:r>
        <w:t>(CZ, DE, EE, CY, LU, AT, PL et FI), les réponses au questionnaire actualisé ont été obtenues en coopération avec le Réseau des présidents des Cours suprêmes judiciaires des États membres de l’UE.</w:t>
      </w:r>
    </w:p>
  </w:footnote>
  <w:footnote w:id="98">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Ces graphiques sont fondés sur les réponses à un question</w:t>
      </w:r>
      <w:r>
        <w:t>naire actualisé qui a été élaboré par la Commission en étroite coopération avec le groupe d’experts en matière de blanchiment des capitaux et de financement du terrorisme.</w:t>
      </w:r>
    </w:p>
  </w:footnote>
  <w:footnote w:id="99">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Voir Cour de justice, arrêts du 5 novembre 2019, Commission/Pologne, C-192/18, EU</w:t>
      </w:r>
      <w:r>
        <w:t xml:space="preserve">:C:2019:924, point 114; du 24 juin 2019, Commission/Pologne, C-619/18, EU:C:2019:531, point 77; et du 25 juillet 2018, LM, C-216/18 PPU, EU:C:2018:586, point 67. </w:t>
      </w:r>
    </w:p>
  </w:footnote>
  <w:footnote w:id="100">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 xml:space="preserve">Voir Cour de justice de l’Union européenne, arrêts du 24 juin 2019, Commission/Pologne, </w:t>
      </w:r>
      <w:r>
        <w:t>C-619/18, EU:C:2019:531, point 77; et du 25 juillet 2018, LM, C-216/18 PPU, EU:C:2018:586, point 67.</w:t>
      </w:r>
    </w:p>
  </w:footnote>
  <w:footnote w:id="101">
    <w:p w:rsidR="00D23207" w:rsidRDefault="00493C98">
      <w:pPr>
        <w:pStyle w:val="FootnoteText"/>
        <w:spacing w:before="60"/>
        <w:ind w:left="567" w:hanging="567"/>
      </w:pPr>
      <w:r>
        <w:rPr>
          <w:rStyle w:val="FootnoteReference"/>
        </w:rPr>
        <w:footnoteRef/>
      </w:r>
      <w:r>
        <w:t xml:space="preserve"> </w:t>
      </w:r>
      <w:r>
        <w:tab/>
        <w:t xml:space="preserve">Voir Cour de justice, arrêt du 5 juillet 2016, Ognyanov, C-614/14, EU:C:2016:514, point 17. Voir également Cour de justice de l’Union européenne, arrêt </w:t>
      </w:r>
      <w:r>
        <w:t>du 19 novembre 2019, A.K et autres (Indépendance de la chambre disciplinaire de la Cour suprême), C-585/18, C624/18 et C-625/18, EU:C:2019:982, point 103.</w:t>
      </w:r>
    </w:p>
  </w:footnote>
  <w:footnote w:id="102">
    <w:p w:rsidR="00D23207" w:rsidRDefault="00493C98">
      <w:pPr>
        <w:pStyle w:val="FootnoteText"/>
        <w:spacing w:before="60"/>
        <w:ind w:left="567" w:hanging="567"/>
      </w:pPr>
      <w:r>
        <w:rPr>
          <w:rStyle w:val="FootnoteReference"/>
        </w:rPr>
        <w:footnoteRef/>
      </w:r>
      <w:r>
        <w:t xml:space="preserve"> </w:t>
      </w:r>
      <w:r>
        <w:tab/>
        <w:t xml:space="preserve">Voir Cour de justice, arrêt du 5 juillet 2016, Ognyanov, C-614/14, EU:C:2016:514, point 25. </w:t>
      </w:r>
    </w:p>
  </w:footnote>
  <w:footnote w:id="103">
    <w:p w:rsidR="00D23207" w:rsidRDefault="00493C98">
      <w:pPr>
        <w:pStyle w:val="FootnoteText"/>
        <w:spacing w:before="60"/>
        <w:ind w:left="567" w:hanging="567"/>
      </w:pPr>
      <w:r>
        <w:rPr>
          <w:rStyle w:val="FootnoteReference"/>
        </w:rPr>
        <w:footnoteRef/>
      </w:r>
      <w:r>
        <w:t xml:space="preserve"> </w:t>
      </w:r>
      <w:r>
        <w:tab/>
        <w:t>Vo</w:t>
      </w:r>
      <w:r>
        <w:t>ir Cour de justice, ordonnance du 12 février 2019, RH, C-8/19, EU:C:2019:110, point 47.</w:t>
      </w:r>
    </w:p>
  </w:footnote>
  <w:footnote w:id="104">
    <w:p w:rsidR="00D23207" w:rsidRDefault="00493C98">
      <w:pPr>
        <w:pStyle w:val="FootnoteText"/>
        <w:spacing w:before="60"/>
        <w:ind w:left="567" w:hanging="567"/>
      </w:pPr>
      <w:r>
        <w:rPr>
          <w:rStyle w:val="FootnoteReference"/>
        </w:rPr>
        <w:footnoteRef/>
      </w:r>
      <w:r>
        <w:t xml:space="preserve"> </w:t>
      </w:r>
      <w:r>
        <w:tab/>
        <w:t>Point 69 de la recommandation CM/Rec(2010)12.</w:t>
      </w:r>
    </w:p>
  </w:footnote>
  <w:footnote w:id="105">
    <w:p w:rsidR="00D23207" w:rsidRDefault="00493C98">
      <w:pPr>
        <w:pStyle w:val="FootnoteText"/>
        <w:spacing w:before="60"/>
        <w:ind w:left="567" w:hanging="567"/>
      </w:pPr>
      <w:r>
        <w:rPr>
          <w:rStyle w:val="FootnoteReference"/>
        </w:rPr>
        <w:footnoteRef/>
      </w:r>
      <w:r>
        <w:t xml:space="preserve"> </w:t>
      </w:r>
      <w:r>
        <w:tab/>
        <w:t>Point 66 de la recommandation CM/Rec(2010)12.</w:t>
      </w:r>
    </w:p>
  </w:footnote>
  <w:footnote w:id="106">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rPr>
          <w:vertAlign w:val="superscript"/>
        </w:rPr>
        <w:tab/>
      </w:r>
      <w:r>
        <w:t>Point 69 de la recommandation CM/Rec(2010)12.</w:t>
      </w:r>
    </w:p>
  </w:footnote>
  <w:footnote w:id="107">
    <w:p w:rsidR="00D23207" w:rsidRDefault="00493C98">
      <w:pPr>
        <w:pStyle w:val="FootnoteText"/>
        <w:spacing w:before="60"/>
        <w:ind w:left="567" w:hanging="567"/>
        <w:rPr>
          <w:highlight w:val="yellow"/>
        </w:rPr>
      </w:pPr>
      <w:r>
        <w:rPr>
          <w:rStyle w:val="FootnoteReference"/>
        </w:rPr>
        <w:footnoteRef/>
      </w:r>
      <w:r>
        <w:rPr>
          <w:vertAlign w:val="superscript"/>
        </w:rPr>
        <w:t xml:space="preserve"> </w:t>
      </w:r>
      <w:r>
        <w:tab/>
        <w:t>Données recueillie</w:t>
      </w:r>
      <w:r>
        <w:t>s au moyen d’un questionnaire actualisé, élaboré par la Commission en étroite association avec le RECJ. Pour les États membres non dotés de conseils de la justice, non membres du RECJ ou dont l’adhésion au RECJ a été suspendue, les réponses au questionnair</w:t>
      </w:r>
      <w:r>
        <w:t>e actualisé ont été obtenues en coopération avec le Réseau des présidents des Cours suprêmes judiciaires des États membres de l’UE.</w:t>
      </w:r>
    </w:p>
  </w:footnote>
  <w:footnote w:id="108">
    <w:p w:rsidR="00D23207" w:rsidRDefault="00493C98">
      <w:pPr>
        <w:pStyle w:val="FootnoteText"/>
        <w:spacing w:before="60"/>
        <w:ind w:left="567" w:hanging="567"/>
      </w:pPr>
      <w:r>
        <w:rPr>
          <w:rStyle w:val="FootnoteReference"/>
        </w:rPr>
        <w:footnoteRef/>
      </w:r>
      <w:r>
        <w:t xml:space="preserve"> </w:t>
      </w:r>
      <w:r>
        <w:tab/>
        <w:t>Données recueillies au moyen d’un questionnaire actualisé, élaboré par la Commission en étroite association avec le RECJ.</w:t>
      </w:r>
      <w:r>
        <w:t xml:space="preserve"> Pour les États membres non dotés de conseils de la justice, non membres du RECJ ou dont l’adhésion au RECJ a été suspendue, les réponses au questionnaire actualisé ont été obtenues en coopération avec le Réseau des présidents des Cours suprêmes judiciaire</w:t>
      </w:r>
      <w:r>
        <w:t>s des États membres de l’UE.</w:t>
      </w:r>
    </w:p>
  </w:footnote>
  <w:footnote w:id="109">
    <w:p w:rsidR="00D23207" w:rsidRDefault="00493C98">
      <w:pPr>
        <w:pStyle w:val="FootnoteText"/>
        <w:spacing w:before="60"/>
        <w:ind w:left="567" w:hanging="567"/>
      </w:pPr>
      <w:r>
        <w:rPr>
          <w:rStyle w:val="FootnoteReference"/>
        </w:rPr>
        <w:footnoteRef/>
      </w:r>
      <w:r>
        <w:t xml:space="preserve"> </w:t>
      </w:r>
      <w:r>
        <w:tab/>
        <w:t>Recommandation CM/Rec(2010)12, point 27; voir également plan d’action de 2016 du Conseil de l’Europe, point C ii; l’avis nº 10(2007) du Conseil consultatif de juges européens (CCJE) à l’attention du Comité des ministres du C</w:t>
      </w:r>
      <w:r>
        <w:t>onseil de l’Europe sur le Conseil de la justice au service de la société, point 27; et le rapport «Councils for the Judiciary» du RECJ pour 2010-2011, point 2.3.</w:t>
      </w:r>
    </w:p>
  </w:footnote>
  <w:footnote w:id="110">
    <w:p w:rsidR="00D23207" w:rsidRDefault="00493C98">
      <w:pPr>
        <w:pStyle w:val="FootnoteText"/>
        <w:spacing w:before="60"/>
        <w:ind w:left="567" w:hanging="567"/>
        <w:rPr>
          <w:highlight w:val="yellow"/>
        </w:rPr>
      </w:pPr>
      <w:r>
        <w:rPr>
          <w:rStyle w:val="FootnoteReference"/>
        </w:rPr>
        <w:footnoteRef/>
      </w:r>
      <w:r>
        <w:t xml:space="preserve"> </w:t>
      </w:r>
      <w:r>
        <w:tab/>
        <w:t>Données recueillies au moyen d’un questionnaire actualisé, élaboré par la Commission en étr</w:t>
      </w:r>
      <w:r>
        <w:t>oite association avec le RECJ. Pour les États membres non dotés de conseils de la justice, non membres du RECJ ou dont l’adhésion au RECJ a été suspendue, les réponses au questionnaire actualisé ont été obtenues en coopération avec le Réseau des présidents</w:t>
      </w:r>
      <w:r>
        <w:t xml:space="preserve"> des Cours suprêmes judiciaires des États membres de l’UE.</w:t>
      </w:r>
    </w:p>
  </w:footnote>
  <w:footnote w:id="111">
    <w:p w:rsidR="00D23207" w:rsidRDefault="00493C98">
      <w:pPr>
        <w:pStyle w:val="FootnoteText"/>
        <w:spacing w:before="60"/>
        <w:ind w:left="567" w:hanging="567"/>
      </w:pPr>
      <w:r>
        <w:rPr>
          <w:rStyle w:val="FootnoteReference"/>
        </w:rPr>
        <w:footnoteRef/>
      </w:r>
      <w:r>
        <w:t xml:space="preserve"> </w:t>
      </w:r>
      <w:r>
        <w:tab/>
        <w:t>Les conseils de la justice sont des organismes indépendants, établis par la loi ou en vertu de la Constitution, qui visent à préserver l’indépendance du pouvoir judiciaire et des juges et, ce fa</w:t>
      </w:r>
      <w:r>
        <w:t>isant, à promouvoir le bon fonctionnement du système judiciaire.</w:t>
      </w:r>
    </w:p>
  </w:footnote>
  <w:footnote w:id="112">
    <w:p w:rsidR="00D23207" w:rsidRDefault="00493C98">
      <w:pPr>
        <w:pStyle w:val="FootnoteText"/>
        <w:spacing w:before="60"/>
        <w:ind w:left="567" w:hanging="567"/>
      </w:pPr>
      <w:r>
        <w:rPr>
          <w:rStyle w:val="FootnoteReference"/>
        </w:rPr>
        <w:footnoteRef/>
      </w:r>
      <w:r>
        <w:t xml:space="preserve"> </w:t>
      </w:r>
      <w:r>
        <w:tab/>
        <w:t>Voir recommandation CM/Rec(2010)12 du Comité des ministres aux États membres, «Les juges: indépendance, efficacité et responsabilités», points 26 et 27.</w:t>
      </w:r>
    </w:p>
  </w:footnote>
  <w:footnote w:id="113">
    <w:p w:rsidR="00D23207" w:rsidRDefault="00493C98">
      <w:pPr>
        <w:pStyle w:val="FootnoteText"/>
        <w:spacing w:before="60"/>
        <w:ind w:left="567" w:hanging="567"/>
        <w:rPr>
          <w:highlight w:val="yellow"/>
        </w:rPr>
      </w:pPr>
      <w:r>
        <w:rPr>
          <w:rStyle w:val="FootnoteReference"/>
        </w:rPr>
        <w:footnoteRef/>
      </w:r>
      <w:r>
        <w:t xml:space="preserve"> </w:t>
      </w:r>
      <w:r>
        <w:tab/>
        <w:t>Décision-cadre 2002/584/JAI du C</w:t>
      </w:r>
      <w:r>
        <w:t>onseil relative au mandat d’arrêt européen et aux procédures de remise entre États membres (JO L 190 du 18.7.2002, p. 1).</w:t>
      </w:r>
    </w:p>
  </w:footnote>
  <w:footnote w:id="114">
    <w:p w:rsidR="00D23207" w:rsidRDefault="00493C98">
      <w:pPr>
        <w:pStyle w:val="FootnoteText"/>
        <w:spacing w:before="60"/>
        <w:ind w:left="567" w:hanging="567"/>
        <w:rPr>
          <w:highlight w:val="yellow"/>
        </w:rPr>
      </w:pPr>
      <w:r>
        <w:rPr>
          <w:rStyle w:val="FootnoteReference"/>
        </w:rPr>
        <w:footnoteRef/>
      </w:r>
      <w:r>
        <w:t xml:space="preserve"> </w:t>
      </w:r>
      <w:r>
        <w:tab/>
        <w:t>Cour de justice, arrêt du 27 mai 2019, OG et PI (parquet de Lübeck et Zwickau), affaires jointes C-508/18 et C-82/19 PPU, EU:C:2019</w:t>
      </w:r>
      <w:r>
        <w:t>:456, points 73, 74 et 88; arrêt du 27 mai 2019, C-509/18, EU:C:2019:457, point 52; voir également arrêts du 12 décembre 2019, Parquet général du Grand-Duché de Luxembourg et Openbaar Ministerie (Ministère public de Lyon et Tours), affaires jointes C-566/1</w:t>
      </w:r>
      <w:r>
        <w:t>9 PPU et C-626/19, EU:C:2019:1077;</w:t>
      </w:r>
      <w:r>
        <w:rPr>
          <w:i/>
          <w:iCs/>
        </w:rPr>
        <w:t xml:space="preserve"> </w:t>
      </w:r>
      <w:r>
        <w:t>Openbaar Ministerie (parquet suédois), C-625/19 PPU, EU:C:2019:1078,</w:t>
      </w:r>
      <w:r>
        <w:rPr>
          <w:i/>
          <w:iCs/>
        </w:rPr>
        <w:t xml:space="preserve"> </w:t>
      </w:r>
      <w:r>
        <w:t>et Openbaar Ministerie (parquet de Bruxelles), C-627/19 PPU, EU:C:2019:1079. Voir également arrêt du 10 novembre 2016, Kovalkovas, C-477/16 PPU, EU:C:20</w:t>
      </w:r>
      <w:r>
        <w:t>16:861, points 34 et 36, et arrêt du 10 novembre 2016, Poltorak, C-452/16 PPU, EU:C:2016:858, point 35, concernant le terme «judiciaire», «qui doit […] être distingué, conformément au principe de séparation des pouvoirs qui caractérise le fonctionnement d’</w:t>
      </w:r>
      <w:r>
        <w:t>un État de droit, du pouvoir exécutif». Voir également avis nº 13(2018) intitulé «Indépendance, responsabilité et éthique des procureurs», adopté par le Conseil consultatif de procureurs européens (CCPE), recommandation nº xii.</w:t>
      </w:r>
    </w:p>
  </w:footnote>
  <w:footnote w:id="115">
    <w:p w:rsidR="00D23207" w:rsidRDefault="00493C98">
      <w:pPr>
        <w:pStyle w:val="FootnoteText"/>
        <w:spacing w:before="60"/>
        <w:ind w:left="567" w:hanging="567"/>
      </w:pPr>
      <w:r>
        <w:rPr>
          <w:rStyle w:val="FootnoteReference"/>
        </w:rPr>
        <w:footnoteRef/>
      </w:r>
      <w:r>
        <w:t xml:space="preserve"> </w:t>
      </w:r>
      <w:r>
        <w:tab/>
        <w:t>CDL-AD(2010)040-f, Rappor</w:t>
      </w:r>
      <w:r>
        <w:t>t sur les normes européennes relatives à l’indépendance du système judiciaire: partie II – le ministère public, adopté par la Commission de Venise lors de sa 85</w:t>
      </w:r>
      <w:r>
        <w:rPr>
          <w:vertAlign w:val="superscript"/>
        </w:rPr>
        <w:t>e</w:t>
      </w:r>
      <w:r>
        <w:t> session plénière (Venise, 17-18 décembre 2010), point 26.</w:t>
      </w:r>
    </w:p>
  </w:footnote>
  <w:footnote w:id="116">
    <w:p w:rsidR="00D23207" w:rsidRDefault="00493C98">
      <w:pPr>
        <w:pStyle w:val="FootnoteText"/>
        <w:spacing w:before="60"/>
        <w:ind w:left="567" w:hanging="567"/>
      </w:pPr>
      <w:r>
        <w:rPr>
          <w:rStyle w:val="FootnoteReference"/>
        </w:rPr>
        <w:footnoteRef/>
      </w:r>
      <w:r>
        <w:t xml:space="preserve"> </w:t>
      </w:r>
      <w:r>
        <w:tab/>
        <w:t>Avis nº 14(2019) intitulé «Le rôl</w:t>
      </w:r>
      <w:r>
        <w:t>e des procureurs dans la lutte contre la corruption et la criminalité économique et financière qui en découle», adopté par le Conseil consultatif des procureurs européens (CCPE), recommandation nº iii.</w:t>
      </w:r>
    </w:p>
  </w:footnote>
  <w:footnote w:id="117">
    <w:p w:rsidR="00D23207" w:rsidRDefault="00493C98">
      <w:pPr>
        <w:pStyle w:val="FootnoteText"/>
        <w:spacing w:before="60"/>
        <w:ind w:left="567" w:hanging="567"/>
      </w:pPr>
      <w:r>
        <w:rPr>
          <w:rStyle w:val="FootnoteReference"/>
        </w:rPr>
        <w:footnoteRef/>
      </w:r>
      <w:r>
        <w:rPr>
          <w:vertAlign w:val="superscript"/>
        </w:rPr>
        <w:t xml:space="preserve"> </w:t>
      </w:r>
      <w:r>
        <w:tab/>
        <w:t>Recommandation Rec(2000)19 sur le rôle du ministère</w:t>
      </w:r>
      <w:r>
        <w:t xml:space="preserve"> public dans le système judiciaire pénal, adoptée par le Comité des ministres du Conseil de l’Europe le 6 octobre 2000 (ci-après la «recommandation de 2000»), point 4.</w:t>
      </w:r>
    </w:p>
  </w:footnote>
  <w:footnote w:id="118">
    <w:p w:rsidR="00D23207" w:rsidRDefault="00493C98">
      <w:pPr>
        <w:pStyle w:val="FootnoteText"/>
        <w:spacing w:before="60"/>
        <w:ind w:left="567" w:hanging="567"/>
      </w:pPr>
      <w:r>
        <w:rPr>
          <w:rStyle w:val="FootnoteReference"/>
        </w:rPr>
        <w:footnoteRef/>
      </w:r>
      <w:r>
        <w:t xml:space="preserve"> </w:t>
      </w:r>
      <w:r>
        <w:tab/>
        <w:t>Recommandation de 2000, points 11 et 13. Voir également: avis nº 13(2018) intitulé «I</w:t>
      </w:r>
      <w:r>
        <w:t>ndépendance, responsabilité et éthique des procureurs», adopté par le Conseil consultatif de procureurs européens (CCPE), recommandations nº i et nº iii; Groupe d’États contre la corruption (GRECO), quatrième cycle d’évaluation «Prévention de la corruption</w:t>
      </w:r>
      <w:r>
        <w:t xml:space="preserve"> des parlementaires, juges et procureurs», un grand nombre de recommandations demandent l’introduction de dispositions visant à protéger le parquet contre les influences et interférences indues dans les enquêtes sur les affaires pénales.</w:t>
      </w:r>
    </w:p>
  </w:footnote>
  <w:footnote w:id="119">
    <w:p w:rsidR="00D23207" w:rsidRDefault="00493C98">
      <w:pPr>
        <w:pStyle w:val="FootnoteText"/>
        <w:spacing w:before="60"/>
        <w:ind w:left="567" w:hanging="567"/>
      </w:pPr>
      <w:r>
        <w:rPr>
          <w:rStyle w:val="FootnoteReference"/>
        </w:rPr>
        <w:footnoteRef/>
      </w:r>
      <w:r>
        <w:t xml:space="preserve"> </w:t>
      </w:r>
      <w:r>
        <w:tab/>
        <w:t xml:space="preserve">Recommandation </w:t>
      </w:r>
      <w:r>
        <w:t>de 2000, point 13 c).</w:t>
      </w:r>
    </w:p>
  </w:footnote>
  <w:footnote w:id="120">
    <w:p w:rsidR="00D23207" w:rsidRDefault="00493C98">
      <w:pPr>
        <w:pStyle w:val="FootnoteText"/>
        <w:spacing w:before="60"/>
        <w:ind w:left="567" w:hanging="567"/>
      </w:pPr>
      <w:r>
        <w:rPr>
          <w:rStyle w:val="FootnoteReference"/>
        </w:rPr>
        <w:footnoteRef/>
      </w:r>
      <w:r>
        <w:t xml:space="preserve"> </w:t>
      </w:r>
      <w:r>
        <w:tab/>
        <w:t>Recommandation de 2000, point 13 d).</w:t>
      </w:r>
    </w:p>
  </w:footnote>
  <w:footnote w:id="121">
    <w:p w:rsidR="00D23207" w:rsidRDefault="00493C98">
      <w:pPr>
        <w:pStyle w:val="FootnoteText"/>
        <w:spacing w:before="60"/>
        <w:ind w:left="567" w:hanging="567"/>
      </w:pPr>
      <w:r>
        <w:rPr>
          <w:rStyle w:val="FootnoteReference"/>
        </w:rPr>
        <w:footnoteRef/>
      </w:r>
      <w:r>
        <w:t xml:space="preserve"> </w:t>
      </w:r>
      <w:r>
        <w:tab/>
        <w:t>Recommandation de 2000, point 13 f). Voir également avis nº 13(2018) intitulé «Indépendance, responsabilité et éthique des procureurs», adopté par le Conseil consultatif de procureurs europée</w:t>
      </w:r>
      <w:r>
        <w:t>ns (CCPE), recommandation nº iv.</w:t>
      </w:r>
    </w:p>
  </w:footnote>
  <w:footnote w:id="122">
    <w:p w:rsidR="00D23207" w:rsidRDefault="00493C98">
      <w:pPr>
        <w:pStyle w:val="FootnoteText"/>
        <w:spacing w:before="60"/>
        <w:ind w:left="567" w:hanging="567"/>
      </w:pPr>
      <w:r>
        <w:rPr>
          <w:rStyle w:val="FootnoteReference"/>
        </w:rPr>
        <w:footnoteRef/>
      </w:r>
      <w:r>
        <w:t xml:space="preserve"> </w:t>
      </w:r>
      <w:r>
        <w:tab/>
        <w:t>Recommandation de 2000, point 34.</w:t>
      </w:r>
    </w:p>
  </w:footnote>
  <w:footnote w:id="123">
    <w:p w:rsidR="00D23207" w:rsidRDefault="00493C98">
      <w:pPr>
        <w:pStyle w:val="FootnoteText"/>
        <w:spacing w:before="60"/>
        <w:ind w:left="567" w:hanging="567"/>
      </w:pPr>
      <w:r>
        <w:rPr>
          <w:rStyle w:val="FootnoteReference"/>
        </w:rPr>
        <w:footnoteRef/>
      </w:r>
      <w:r>
        <w:t xml:space="preserve"> </w:t>
      </w:r>
      <w:r>
        <w:tab/>
        <w:t xml:space="preserve">Recommandation de 2000, point 5 e). </w:t>
      </w:r>
    </w:p>
  </w:footnote>
  <w:footnote w:id="124">
    <w:p w:rsidR="00D23207" w:rsidRDefault="00493C98">
      <w:pPr>
        <w:pStyle w:val="FootnoteText"/>
        <w:spacing w:before="60"/>
        <w:ind w:left="567" w:hanging="567"/>
      </w:pPr>
      <w:r>
        <w:rPr>
          <w:rStyle w:val="FootnoteReference"/>
        </w:rPr>
        <w:footnoteRef/>
      </w:r>
      <w:r>
        <w:t xml:space="preserve">  </w:t>
      </w:r>
      <w:r>
        <w:tab/>
        <w:t>Voir recommandation de 2000, point 13 d) et e).</w:t>
      </w:r>
    </w:p>
  </w:footnote>
  <w:footnote w:id="125">
    <w:p w:rsidR="00D23207" w:rsidRDefault="00493C98">
      <w:pPr>
        <w:pStyle w:val="FootnoteText"/>
        <w:spacing w:before="60"/>
        <w:ind w:left="567" w:hanging="567"/>
      </w:pPr>
      <w:r>
        <w:rPr>
          <w:rStyle w:val="FootnoteReference"/>
        </w:rPr>
        <w:footnoteRef/>
      </w:r>
      <w:r>
        <w:rPr>
          <w:vertAlign w:val="superscript"/>
        </w:rPr>
        <w:t xml:space="preserve"> </w:t>
      </w:r>
      <w:r>
        <w:rPr>
          <w:vertAlign w:val="superscript"/>
        </w:rPr>
        <w:tab/>
      </w:r>
      <w:r>
        <w:t>Voir note de bas de page 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Pr="00493C98" w:rsidRDefault="00493C98" w:rsidP="00493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Pr="00493C98" w:rsidRDefault="00493C98" w:rsidP="00493C9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Pr="00493C98" w:rsidRDefault="00493C98" w:rsidP="00493C9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Default="00493C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Default="00493C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98" w:rsidRDefault="0049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F4C26AE"/>
    <w:lvl w:ilvl="0">
      <w:start w:val="1"/>
      <w:numFmt w:val="decimal"/>
      <w:pStyle w:val="ListNumber"/>
      <w:lvlText w:val="%1."/>
      <w:lvlJc w:val="left"/>
      <w:pPr>
        <w:tabs>
          <w:tab w:val="num" w:pos="360"/>
        </w:tabs>
        <w:ind w:left="360" w:hanging="360"/>
      </w:pPr>
    </w:lvl>
  </w:abstractNum>
  <w:abstractNum w:abstractNumId="1" w15:restartNumberingAfterBreak="0">
    <w:nsid w:val="21D942FB"/>
    <w:multiLevelType w:val="hybridMultilevel"/>
    <w:tmpl w:val="1224747C"/>
    <w:lvl w:ilvl="0" w:tplc="08090001">
      <w:start w:val="1"/>
      <w:numFmt w:val="bullet"/>
      <w:lvlText w:val=""/>
      <w:lvlJc w:val="left"/>
      <w:pPr>
        <w:ind w:left="360" w:hanging="360"/>
      </w:pPr>
      <w:rPr>
        <w:rFonts w:ascii="Symbol" w:hAnsi="Symbol" w:hint="default"/>
      </w:rPr>
    </w:lvl>
    <w:lvl w:ilvl="1" w:tplc="8ED0231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2276D"/>
    <w:multiLevelType w:val="hybridMultilevel"/>
    <w:tmpl w:val="6DF83F9A"/>
    <w:lvl w:ilvl="0" w:tplc="08090001">
      <w:start w:val="1"/>
      <w:numFmt w:val="bullet"/>
      <w:lvlText w:val=""/>
      <w:lvlJc w:val="left"/>
      <w:pPr>
        <w:ind w:left="400" w:hanging="360"/>
      </w:pPr>
      <w:rPr>
        <w:rFonts w:ascii="Symbol" w:hAnsi="Symbol" w:hint="default"/>
      </w:rPr>
    </w:lvl>
    <w:lvl w:ilvl="1" w:tplc="8ED02318">
      <w:start w:val="1"/>
      <w:numFmt w:val="bullet"/>
      <w:lvlText w:val=""/>
      <w:lvlJc w:val="left"/>
      <w:pPr>
        <w:ind w:left="1120" w:hanging="360"/>
      </w:pPr>
      <w:rPr>
        <w:rFonts w:ascii="Symbol" w:hAnsi="Symbol" w:hint="default"/>
      </w:rPr>
    </w:lvl>
    <w:lvl w:ilvl="2" w:tplc="08090005">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44C462E3"/>
    <w:multiLevelType w:val="hybridMultilevel"/>
    <w:tmpl w:val="70F0495E"/>
    <w:lvl w:ilvl="0" w:tplc="26FA8F4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FC5A06"/>
    <w:multiLevelType w:val="hybridMultilevel"/>
    <w:tmpl w:val="C7827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4F3F9F"/>
    <w:multiLevelType w:val="hybridMultilevel"/>
    <w:tmpl w:val="0C00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4A12FA4"/>
    <w:multiLevelType w:val="multilevel"/>
    <w:tmpl w:val="5450F6CA"/>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708"/>
        </w:tabs>
        <w:ind w:left="708" w:hanging="850"/>
      </w:pPr>
      <w:rPr>
        <w:rFonts w:hint="default"/>
      </w:rPr>
    </w:lvl>
    <w:lvl w:ilvl="2">
      <w:start w:val="1"/>
      <w:numFmt w:val="decimal"/>
      <w:pStyle w:val="Heading3"/>
      <w:lvlText w:val="%1.%2.%3."/>
      <w:lvlJc w:val="left"/>
      <w:pPr>
        <w:tabs>
          <w:tab w:val="num" w:pos="708"/>
        </w:tabs>
        <w:ind w:left="708" w:hanging="850"/>
      </w:pPr>
      <w:rPr>
        <w:rFonts w:hint="default"/>
      </w:rPr>
    </w:lvl>
    <w:lvl w:ilvl="3">
      <w:start w:val="1"/>
      <w:numFmt w:val="decimal"/>
      <w:pStyle w:val="Heading4"/>
      <w:lvlText w:val="%1.%2.%3.%4."/>
      <w:lvlJc w:val="left"/>
      <w:pPr>
        <w:tabs>
          <w:tab w:val="num" w:pos="708"/>
        </w:tabs>
        <w:ind w:left="708" w:hanging="850"/>
      </w:pPr>
      <w:rPr>
        <w:rFonts w:hint="default"/>
      </w:rPr>
    </w:lvl>
    <w:lvl w:ilvl="4">
      <w:start w:val="1"/>
      <w:numFmt w:val="lowerLetter"/>
      <w:lvlText w:val="(%5)"/>
      <w:lvlJc w:val="left"/>
      <w:pPr>
        <w:tabs>
          <w:tab w:val="num" w:pos="1658"/>
        </w:tabs>
        <w:ind w:left="1658" w:hanging="360"/>
      </w:pPr>
      <w:rPr>
        <w:rFonts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2378"/>
        </w:tabs>
        <w:ind w:left="2378" w:hanging="360"/>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10" w15:restartNumberingAfterBreak="0">
    <w:nsid w:val="73DB7250"/>
    <w:multiLevelType w:val="hybridMultilevel"/>
    <w:tmpl w:val="8E142830"/>
    <w:lvl w:ilvl="0" w:tplc="8ED023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0"/>
  </w:num>
  <w:num w:numId="5">
    <w:abstractNumId w:val="5"/>
  </w:num>
  <w:num w:numId="6">
    <w:abstractNumId w:val="10"/>
  </w:num>
  <w:num w:numId="7">
    <w:abstractNumId w:val="2"/>
  </w:num>
  <w:num w:numId="8">
    <w:abstractNumId w:val="1"/>
  </w:num>
  <w:num w:numId="9">
    <w:abstractNumId w:val="6"/>
  </w:num>
  <w:num w:numId="10">
    <w:abstractNumId w:val="7"/>
  </w:num>
  <w:num w:numId="11">
    <w:abstractNumId w:val="3"/>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False"/>
    <w:docVar w:name="LW_COVERPAGE_GUID" w:val="3B013129-4BE7-47D4-BE25-230F54753625"/>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ableau de bord 2020 de la justice dans l\u8217?UE"/>
    <w:docVar w:name="LW_TYPE.DOC.CP" w:val="COMMUNICATION DE LA COMMISSION AU PARLEMENT EUROPÉEN, AU CONSEIL, À LA BANQUE CENTRALE EUROPÉENNE, AU COMITÉ ÉCONOMIQUE ET SOCIAL EUROPÉEN ET AU COMITÉ DES RÉGIONS"/>
  </w:docVars>
  <w:rsids>
    <w:rsidRoot w:val="00D23207"/>
    <w:rsid w:val="00493C98"/>
    <w:rsid w:val="00D2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BF56E22-6696-459C-837B-C03CE744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Text1"/>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noProof w:val="0"/>
      <w:sz w:val="24"/>
      <w:szCs w:val="32"/>
    </w:rPr>
  </w:style>
  <w:style w:type="paragraph" w:styleId="Heading2">
    <w:name w:val="heading 2"/>
    <w:basedOn w:val="Normal"/>
    <w:next w:val="Text1"/>
    <w:link w:val="Heading2Char"/>
    <w:qFormat/>
    <w:pPr>
      <w:keepNext/>
      <w:numPr>
        <w:ilvl w:val="1"/>
        <w:numId w:val="3"/>
      </w:numPr>
      <w:spacing w:before="120" w:after="120" w:line="240" w:lineRule="auto"/>
      <w:jc w:val="both"/>
      <w:outlineLvl w:val="1"/>
    </w:pPr>
    <w:rPr>
      <w:rFonts w:ascii="Times New Roman" w:eastAsia="Times New Roman" w:hAnsi="Times New Roman" w:cs="Times New Roman"/>
      <w:b/>
      <w:bCs/>
      <w:iCs/>
      <w:noProof w:val="0"/>
      <w:sz w:val="24"/>
      <w:szCs w:val="28"/>
    </w:rPr>
  </w:style>
  <w:style w:type="paragraph" w:styleId="Heading3">
    <w:name w:val="heading 3"/>
    <w:basedOn w:val="Normal"/>
    <w:next w:val="Text1"/>
    <w:link w:val="Heading3Char"/>
    <w:qFormat/>
    <w:pPr>
      <w:keepNext/>
      <w:numPr>
        <w:ilvl w:val="2"/>
        <w:numId w:val="3"/>
      </w:numPr>
      <w:spacing w:before="120" w:after="120" w:line="240" w:lineRule="auto"/>
      <w:jc w:val="both"/>
      <w:outlineLvl w:val="2"/>
    </w:pPr>
    <w:rPr>
      <w:rFonts w:ascii="Times New Roman" w:eastAsia="Times New Roman" w:hAnsi="Times New Roman" w:cs="Times New Roman"/>
      <w:b/>
      <w:bCs/>
      <w:noProof w:val="0"/>
      <w:sz w:val="24"/>
      <w:szCs w:val="26"/>
    </w:rPr>
  </w:style>
  <w:style w:type="paragraph" w:styleId="Heading4">
    <w:name w:val="heading 4"/>
    <w:basedOn w:val="Normal"/>
    <w:next w:val="Text1"/>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noProof w:val="0"/>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noProof w:val="0"/>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noProof/>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noProof/>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noProof/>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pPr>
      <w:spacing w:after="0" w:line="240" w:lineRule="auto"/>
      <w:ind w:left="720" w:hanging="720"/>
      <w:jc w:val="both"/>
    </w:pPr>
    <w:rPr>
      <w:rFonts w:ascii="Times New Roman" w:eastAsia="Times New Roman" w:hAnsi="Times New Roman" w:cs="Times New Roman"/>
      <w:noProof w:val="0"/>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ence Superscript,Footnote symbol,Footnote Reference Number,BVI fnr,Voetnootverwijzing,Footnote reference number,Times 10 Point,Exposant 3 Point,Ref,de nota al pie,note TESI,SUPERS,EN Footnote Reference"/>
    <w:uiPriority w:val="99"/>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noProof w:val="0"/>
      <w:sz w:val="24"/>
      <w:szCs w:val="24"/>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noProof w:val="0"/>
      <w:sz w:val="24"/>
      <w:szCs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cs="Times New Roman"/>
      <w:noProof w:val="0"/>
      <w:sz w:val="24"/>
      <w:szCs w:val="24"/>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noProof w:val="0"/>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noProof w:val="0"/>
      <w:sz w:val="24"/>
      <w:szCs w:val="24"/>
    </w:rPr>
  </w:style>
  <w:style w:type="paragraph" w:styleId="Caption">
    <w:name w:val="caption"/>
    <w:basedOn w:val="Normal"/>
    <w:next w:val="Normal"/>
    <w:unhideWhenUsed/>
    <w:qFormat/>
    <w:pPr>
      <w:spacing w:before="120" w:after="120" w:line="240" w:lineRule="auto"/>
      <w:jc w:val="both"/>
    </w:pPr>
    <w:rPr>
      <w:rFonts w:ascii="Times New Roman" w:eastAsia="Times New Roman" w:hAnsi="Times New Roman" w:cs="Times New Roman"/>
      <w:b/>
      <w:bCs/>
      <w:noProof w:val="0"/>
      <w:sz w:val="20"/>
      <w:szCs w:val="20"/>
    </w:rPr>
  </w:style>
  <w:style w:type="paragraph" w:styleId="ListNumber">
    <w:name w:val="List Number"/>
    <w:basedOn w:val="Normal"/>
    <w:pPr>
      <w:numPr>
        <w:numId w:val="4"/>
      </w:numPr>
      <w:spacing w:before="120" w:after="120" w:line="240" w:lineRule="auto"/>
      <w:contextualSpacing/>
      <w:jc w:val="both"/>
    </w:pPr>
    <w:rPr>
      <w:rFonts w:ascii="Times New Roman" w:eastAsia="Times New Roman" w:hAnsi="Times New Roman" w:cs="Times New Roman"/>
      <w:noProof w:val="0"/>
      <w:sz w:val="24"/>
      <w:szCs w:val="24"/>
    </w:rPr>
  </w:style>
  <w:style w:type="character" w:styleId="Hyperlink">
    <w:name w:val="Hyperlink"/>
    <w:uiPriority w:val="99"/>
    <w:rPr>
      <w:color w:val="0000FF"/>
      <w:u w:val="single"/>
    </w:rPr>
  </w:style>
  <w:style w:type="paragraph" w:styleId="ListParagraph">
    <w:name w:val="List Paragraph"/>
    <w:basedOn w:val="Normal"/>
    <w:uiPriority w:val="34"/>
    <w:qFormat/>
    <w:pPr>
      <w:spacing w:before="120" w:after="360" w:line="240" w:lineRule="auto"/>
      <w:contextualSpacing/>
      <w:jc w:val="both"/>
    </w:pPr>
    <w:rPr>
      <w:rFonts w:ascii="Times New Roman" w:eastAsia="Times New Roman" w:hAnsi="Times New Roman" w:cs="Times New Roman"/>
      <w:b/>
      <w:noProof w:val="0"/>
      <w:sz w:val="24"/>
      <w:szCs w:val="24"/>
    </w:rPr>
  </w:style>
  <w:style w:type="character" w:customStyle="1" w:styleId="ManualHeading1Char">
    <w:name w:val="Manual Heading 1 Char"/>
    <w:link w:val="ManualHeading1"/>
    <w:rPr>
      <w:rFonts w:ascii="Times New Roman" w:eastAsia="Times New Roman" w:hAnsi="Times New Roman" w:cs="Times New Roman"/>
      <w:b/>
      <w:smallCaps/>
      <w:sz w:val="24"/>
      <w:szCs w:val="24"/>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cs="Times New Roman"/>
      <w:b/>
      <w:noProof w:val="0"/>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noProof w:val="0"/>
      <w:sz w:val="24"/>
      <w:szCs w:val="24"/>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noProof w:val="0"/>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Revision">
    <w:name w:val="Revision"/>
    <w:hidden/>
    <w:uiPriority w:val="99"/>
    <w:semiHidden/>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Times New Roman" w:eastAsia="Calibri" w:hAnsi="Times New Roman" w:cs="Times New Roman"/>
      <w:noProof w:val="0"/>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character" w:styleId="FollowedHyperlink">
    <w:name w:val="FollowedHyperlink"/>
    <w:uiPriority w:val="99"/>
    <w:semiHidden/>
    <w:unhideWhenUsed/>
    <w:rPr>
      <w:color w:val="954F72"/>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Pa9">
    <w:name w:val="Pa9"/>
    <w:basedOn w:val="Normal"/>
    <w:next w:val="Normal"/>
    <w:uiPriority w:val="99"/>
    <w:pPr>
      <w:autoSpaceDE w:val="0"/>
      <w:autoSpaceDN w:val="0"/>
      <w:adjustRightInd w:val="0"/>
      <w:spacing w:after="0" w:line="241" w:lineRule="atLeast"/>
    </w:pPr>
    <w:rPr>
      <w:rFonts w:ascii="Helvetica Neue" w:eastAsia="Calibri" w:hAnsi="Helvetica Neue" w:cs="Times New Roman"/>
      <w:noProof w:val="0"/>
      <w:sz w:val="24"/>
      <w:szCs w:val="24"/>
      <w:lang w:eastAsia="en-GB"/>
    </w:rPr>
  </w:style>
  <w:style w:type="character" w:customStyle="1" w:styleId="A4">
    <w:name w:val="A4"/>
    <w:uiPriority w:val="99"/>
    <w:rPr>
      <w:rFonts w:cs="Helvetica Neue"/>
      <w:color w:val="000000"/>
      <w:sz w:val="18"/>
      <w:szCs w:val="18"/>
    </w:rPr>
  </w:style>
  <w:style w:type="paragraph" w:styleId="NoSpacing">
    <w:name w:val="No Spacing"/>
    <w:uiPriority w:val="1"/>
    <w:qFormat/>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lang w:eastAsia="ja-JP"/>
    </w:rPr>
  </w:style>
  <w:style w:type="paragraph" w:styleId="TOC1">
    <w:name w:val="toc 1"/>
    <w:basedOn w:val="Normal"/>
    <w:next w:val="Normal"/>
    <w:autoRedefine/>
    <w:uiPriority w:val="39"/>
    <w:unhideWhenUsed/>
    <w:pPr>
      <w:tabs>
        <w:tab w:val="left" w:pos="426"/>
        <w:tab w:val="right" w:leader="dot" w:pos="9403"/>
      </w:tabs>
    </w:pPr>
    <w:rPr>
      <w:rFonts w:ascii="Times New Roman" w:eastAsia="Calibri" w:hAnsi="Times New Roman" w:cs="Times New Roman"/>
      <w:noProof w:val="0"/>
    </w:rPr>
  </w:style>
  <w:style w:type="paragraph" w:styleId="TOC2">
    <w:name w:val="toc 2"/>
    <w:basedOn w:val="Normal"/>
    <w:next w:val="Normal"/>
    <w:autoRedefine/>
    <w:uiPriority w:val="39"/>
    <w:unhideWhenUsed/>
    <w:pPr>
      <w:ind w:left="220"/>
    </w:pPr>
    <w:rPr>
      <w:rFonts w:ascii="Times New Roman" w:eastAsia="Calibri" w:hAnsi="Times New Roman" w:cs="Times New Roman"/>
      <w:noProof w:val="0"/>
    </w:rPr>
  </w:style>
  <w:style w:type="paragraph" w:styleId="TOC3">
    <w:name w:val="toc 3"/>
    <w:basedOn w:val="Normal"/>
    <w:next w:val="Normal"/>
    <w:autoRedefine/>
    <w:uiPriority w:val="39"/>
    <w:unhideWhenUsed/>
    <w:pPr>
      <w:ind w:left="440"/>
    </w:pPr>
    <w:rPr>
      <w:rFonts w:ascii="Times New Roman" w:eastAsia="Calibri" w:hAnsi="Times New Roman" w:cs="Times New Roman"/>
      <w:noProof w:val="0"/>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Text0">
    <w:name w:val="Text 0"/>
    <w:basedOn w:val="Text1"/>
    <w:pPr>
      <w:ind w:left="0"/>
    </w:pPr>
  </w:style>
  <w:style w:type="paragraph" w:styleId="EndnoteText">
    <w:name w:val="endnote text"/>
    <w:basedOn w:val="Normal"/>
    <w:link w:val="EndnoteTextChar"/>
    <w:uiPriority w:val="99"/>
    <w:semiHidden/>
    <w:unhideWhenUsed/>
    <w:pPr>
      <w:spacing w:after="0" w:line="240" w:lineRule="auto"/>
    </w:pPr>
    <w:rPr>
      <w:rFonts w:ascii="Times New Roman" w:eastAsia="Calibri" w:hAnsi="Times New Roman" w:cs="Times New Roman"/>
      <w:noProof w:val="0"/>
      <w:sz w:val="20"/>
      <w:szCs w:val="20"/>
    </w:r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noProof w:val="0"/>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noProof w:val="0"/>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noProof w:val="0"/>
      <w:sz w:val="24"/>
    </w:rPr>
  </w:style>
  <w:style w:type="paragraph" w:customStyle="1" w:styleId="SecurityMarking">
    <w:name w:val="SecurityMarking"/>
    <w:basedOn w:val="Normal"/>
    <w:pPr>
      <w:spacing w:after="0"/>
      <w:ind w:left="5103"/>
    </w:pPr>
    <w:rPr>
      <w:rFonts w:ascii="Times New Roman" w:hAnsi="Times New Roman" w:cs="Times New Roman"/>
      <w:noProof w:val="0"/>
      <w:sz w:val="28"/>
    </w:rPr>
  </w:style>
  <w:style w:type="paragraph" w:customStyle="1" w:styleId="DateMarking">
    <w:name w:val="DateMarking"/>
    <w:basedOn w:val="Normal"/>
    <w:pPr>
      <w:spacing w:after="0"/>
      <w:ind w:left="5103"/>
    </w:pPr>
    <w:rPr>
      <w:rFonts w:ascii="Times New Roman" w:hAnsi="Times New Roman" w:cs="Times New Roman"/>
      <w:i/>
      <w:noProof w:val="0"/>
      <w:sz w:val="28"/>
    </w:rPr>
  </w:style>
  <w:style w:type="paragraph" w:customStyle="1" w:styleId="ReleasableTo">
    <w:name w:val="ReleasableTo"/>
    <w:basedOn w:val="Normal"/>
    <w:pPr>
      <w:spacing w:after="0"/>
      <w:ind w:left="5103"/>
    </w:pPr>
    <w:rPr>
      <w:rFonts w:ascii="Times New Roman" w:hAnsi="Times New Roman" w:cs="Times New Roman"/>
      <w:i/>
      <w:noProof w:val="0"/>
      <w:sz w:val="28"/>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240" w:lineRule="auto"/>
    </w:pPr>
    <w:rPr>
      <w:sz w:val="24"/>
    </w:rPr>
  </w:style>
  <w:style w:type="paragraph" w:customStyle="1" w:styleId="Confidentialit">
    <w:name w:val="Confidentialité"/>
    <w:basedOn w:val="Normal"/>
    <w:next w:val="TypedudocumentPagedecouverture"/>
    <w:rsid w:val="00493C98"/>
    <w:pPr>
      <w:spacing w:before="240" w:after="240" w:line="240" w:lineRule="auto"/>
      <w:ind w:left="5103"/>
    </w:pPr>
    <w:rPr>
      <w:rFonts w:ascii="Times New Roman" w:eastAsia="Calibri" w:hAnsi="Times New Roman" w:cs="Times New Roman"/>
      <w:i/>
      <w:noProof w:val="0"/>
      <w:sz w:val="32"/>
      <w:lang w:val="en-GB"/>
    </w:rPr>
  </w:style>
  <w:style w:type="paragraph" w:customStyle="1" w:styleId="Emission">
    <w:name w:val="Emission"/>
    <w:basedOn w:val="Normal"/>
    <w:next w:val="Rfrenceinstitutionnelle"/>
    <w:rsid w:val="00493C98"/>
    <w:pPr>
      <w:spacing w:after="0" w:line="240" w:lineRule="auto"/>
      <w:ind w:left="5103"/>
    </w:pPr>
    <w:rPr>
      <w:rFonts w:ascii="Times New Roman" w:eastAsia="Calibri" w:hAnsi="Times New Roman" w:cs="Times New Roman"/>
      <w:noProof w:val="0"/>
      <w:sz w:val="24"/>
      <w:lang w:val="en-GB"/>
    </w:rPr>
  </w:style>
  <w:style w:type="paragraph" w:customStyle="1" w:styleId="Langue">
    <w:name w:val="Langue"/>
    <w:basedOn w:val="Normal"/>
    <w:next w:val="Normal"/>
    <w:rsid w:val="00493C98"/>
    <w:pPr>
      <w:framePr w:wrap="around" w:vAnchor="page" w:hAnchor="text" w:xAlign="center" w:y="14741"/>
      <w:spacing w:after="600" w:line="240" w:lineRule="auto"/>
      <w:jc w:val="center"/>
    </w:pPr>
    <w:rPr>
      <w:rFonts w:ascii="Times New Roman" w:eastAsia="Calibri" w:hAnsi="Times New Roman" w:cs="Times New Roman"/>
      <w:b/>
      <w:caps/>
      <w:noProof w:val="0"/>
      <w:sz w:val="24"/>
      <w:lang w:val="en-GB"/>
    </w:rPr>
  </w:style>
  <w:style w:type="paragraph" w:customStyle="1" w:styleId="Nomdelinstitution">
    <w:name w:val="Nom de l'institution"/>
    <w:basedOn w:val="Normal"/>
    <w:next w:val="Emission"/>
    <w:rsid w:val="00493C98"/>
    <w:pPr>
      <w:spacing w:after="0" w:line="240" w:lineRule="auto"/>
    </w:pPr>
    <w:rPr>
      <w:rFonts w:ascii="Arial" w:eastAsia="Calibri" w:hAnsi="Arial" w:cs="Arial"/>
      <w:noProof w:val="0"/>
      <w:sz w:val="24"/>
      <w:lang w:val="en-GB"/>
    </w:rPr>
  </w:style>
  <w:style w:type="paragraph" w:customStyle="1" w:styleId="Rfrenceinstitutionnelle">
    <w:name w:val="Référence institutionnelle"/>
    <w:basedOn w:val="Normal"/>
    <w:next w:val="Confidentialit"/>
    <w:rsid w:val="00493C98"/>
    <w:pPr>
      <w:spacing w:after="240" w:line="240" w:lineRule="auto"/>
      <w:ind w:left="5103"/>
    </w:pPr>
    <w:rPr>
      <w:rFonts w:ascii="Times New Roman" w:eastAsia="Calibri" w:hAnsi="Times New Roman" w:cs="Times New Roman"/>
      <w:noProof w:val="0"/>
      <w:sz w:val="24"/>
      <w:lang w:val="en-GB"/>
    </w:rPr>
  </w:style>
  <w:style w:type="paragraph" w:customStyle="1" w:styleId="TitreobjetPagedecouverture">
    <w:name w:val="Titre objet (Page de couverture)"/>
    <w:basedOn w:val="Titreobjet"/>
    <w:next w:val="Normal"/>
    <w:rsid w:val="00493C98"/>
    <w:rPr>
      <w:rFonts w:eastAsia="Calibri"/>
      <w:szCs w:val="22"/>
      <w:lang w:val="en-GB"/>
    </w:rPr>
  </w:style>
  <w:style w:type="paragraph" w:customStyle="1" w:styleId="TypedudocumentPagedecouverture">
    <w:name w:val="Type du document (Page de couverture)"/>
    <w:basedOn w:val="Typedudocument"/>
    <w:next w:val="TitreobjetPagedecouverture"/>
    <w:rsid w:val="00493C98"/>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2935">
      <w:bodyDiv w:val="1"/>
      <w:marLeft w:val="0"/>
      <w:marRight w:val="0"/>
      <w:marTop w:val="0"/>
      <w:marBottom w:val="0"/>
      <w:divBdr>
        <w:top w:val="none" w:sz="0" w:space="0" w:color="auto"/>
        <w:left w:val="none" w:sz="0" w:space="0" w:color="auto"/>
        <w:bottom w:val="none" w:sz="0" w:space="0" w:color="auto"/>
        <w:right w:val="none" w:sz="0" w:space="0" w:color="auto"/>
      </w:divBdr>
    </w:div>
    <w:div w:id="182592517">
      <w:bodyDiv w:val="1"/>
      <w:marLeft w:val="0"/>
      <w:marRight w:val="0"/>
      <w:marTop w:val="0"/>
      <w:marBottom w:val="0"/>
      <w:divBdr>
        <w:top w:val="none" w:sz="0" w:space="0" w:color="auto"/>
        <w:left w:val="none" w:sz="0" w:space="0" w:color="auto"/>
        <w:bottom w:val="none" w:sz="0" w:space="0" w:color="auto"/>
        <w:right w:val="none" w:sz="0" w:space="0" w:color="auto"/>
      </w:divBdr>
    </w:div>
    <w:div w:id="1285697468">
      <w:bodyDiv w:val="1"/>
      <w:marLeft w:val="0"/>
      <w:marRight w:val="0"/>
      <w:marTop w:val="0"/>
      <w:marBottom w:val="0"/>
      <w:divBdr>
        <w:top w:val="none" w:sz="0" w:space="0" w:color="auto"/>
        <w:left w:val="none" w:sz="0" w:space="0" w:color="auto"/>
        <w:bottom w:val="none" w:sz="0" w:space="0" w:color="auto"/>
        <w:right w:val="none" w:sz="0" w:space="0" w:color="auto"/>
      </w:divBdr>
    </w:div>
    <w:div w:id="1581789760">
      <w:bodyDiv w:val="1"/>
      <w:marLeft w:val="0"/>
      <w:marRight w:val="0"/>
      <w:marTop w:val="0"/>
      <w:marBottom w:val="0"/>
      <w:divBdr>
        <w:top w:val="none" w:sz="0" w:space="0" w:color="auto"/>
        <w:left w:val="none" w:sz="0" w:space="0" w:color="auto"/>
        <w:bottom w:val="none" w:sz="0" w:space="0" w:color="auto"/>
        <w:right w:val="none" w:sz="0" w:space="0" w:color="auto"/>
      </w:divBdr>
    </w:div>
    <w:div w:id="1841382350">
      <w:bodyDiv w:val="1"/>
      <w:marLeft w:val="0"/>
      <w:marRight w:val="0"/>
      <w:marTop w:val="0"/>
      <w:marBottom w:val="0"/>
      <w:divBdr>
        <w:top w:val="none" w:sz="0" w:space="0" w:color="auto"/>
        <w:left w:val="none" w:sz="0" w:space="0" w:color="auto"/>
        <w:bottom w:val="none" w:sz="0" w:space="0" w:color="auto"/>
        <w:right w:val="none" w:sz="0" w:space="0" w:color="auto"/>
      </w:divBdr>
    </w:div>
    <w:div w:id="1973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image" Target="media/image31.emf"/><Relationship Id="rId50" Type="http://schemas.openxmlformats.org/officeDocument/2006/relationships/image" Target="media/image34.png"/><Relationship Id="rId55" Type="http://schemas.openxmlformats.org/officeDocument/2006/relationships/image" Target="media/image39.emf"/><Relationship Id="rId63" Type="http://schemas.openxmlformats.org/officeDocument/2006/relationships/image" Target="media/image47.emf"/><Relationship Id="rId68" Type="http://schemas.openxmlformats.org/officeDocument/2006/relationships/image" Target="media/image52.png"/><Relationship Id="rId76"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image" Target="media/image55.emf"/><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3.emf"/><Relationship Id="rId11" Type="http://schemas.openxmlformats.org/officeDocument/2006/relationships/image" Target="media/image1.png"/><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image" Target="media/image37.png"/><Relationship Id="rId58" Type="http://schemas.openxmlformats.org/officeDocument/2006/relationships/image" Target="media/image42.emf"/><Relationship Id="rId66" Type="http://schemas.openxmlformats.org/officeDocument/2006/relationships/image" Target="media/image50.emf"/><Relationship Id="rId74" Type="http://schemas.openxmlformats.org/officeDocument/2006/relationships/image" Target="media/image58.png"/><Relationship Id="rId79"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image" Target="media/image45.emf"/><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image" Target="media/image36.png"/><Relationship Id="rId60" Type="http://schemas.openxmlformats.org/officeDocument/2006/relationships/image" Target="media/image44.emf"/><Relationship Id="rId65" Type="http://schemas.openxmlformats.org/officeDocument/2006/relationships/image" Target="media/image49.emf"/><Relationship Id="rId73" Type="http://schemas.openxmlformats.org/officeDocument/2006/relationships/image" Target="media/image57.png"/><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image" Target="media/image48.emf"/><Relationship Id="rId69" Type="http://schemas.openxmlformats.org/officeDocument/2006/relationships/image" Target="media/image53.emf"/><Relationship Id="rId77"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image" Target="media/image35.emf"/><Relationship Id="rId72" Type="http://schemas.openxmlformats.org/officeDocument/2006/relationships/image" Target="media/image56.emf"/><Relationship Id="rId80"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emf"/><Relationship Id="rId59" Type="http://schemas.openxmlformats.org/officeDocument/2006/relationships/image" Target="media/image43.emf"/><Relationship Id="rId67" Type="http://schemas.openxmlformats.org/officeDocument/2006/relationships/image" Target="media/image51.emf"/><Relationship Id="rId20" Type="http://schemas.openxmlformats.org/officeDocument/2006/relationships/image" Target="media/image4.emf"/><Relationship Id="rId41" Type="http://schemas.openxmlformats.org/officeDocument/2006/relationships/image" Target="media/image25.emf"/><Relationship Id="rId54" Type="http://schemas.openxmlformats.org/officeDocument/2006/relationships/image" Target="media/image38.png"/><Relationship Id="rId62" Type="http://schemas.openxmlformats.org/officeDocument/2006/relationships/image" Target="media/image46.emf"/><Relationship Id="rId70" Type="http://schemas.openxmlformats.org/officeDocument/2006/relationships/image" Target="media/image54.emf"/><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image" Target="media/image33.png"/><Relationship Id="rId57" Type="http://schemas.openxmlformats.org/officeDocument/2006/relationships/image" Target="media/image41.emf"/></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ternal_market/scoreboard/performance_by_governance_tool/consumer_protection_cooperation_network/index_en.htm" TargetMode="External"/><Relationship Id="rId13" Type="http://schemas.openxmlformats.org/officeDocument/2006/relationships/hyperlink" Target="https://ec.europa.eu/info/publications/2020-european-semester-country-reports_en" TargetMode="External"/><Relationship Id="rId18" Type="http://schemas.openxmlformats.org/officeDocument/2006/relationships/hyperlink" Target="http://www.coe.int/t/dghl/cooperation/cepej/evaluation/default_FR.asp" TargetMode="External"/><Relationship Id="rId26" Type="http://schemas.openxmlformats.org/officeDocument/2006/relationships/hyperlink" Target="https://ec.europa.eu/info/policies/justice-and-fundamental-rights/upholding-rule-law/eu-justice-scoreboard_fr" TargetMode="External"/><Relationship Id="rId39" Type="http://schemas.openxmlformats.org/officeDocument/2006/relationships/hyperlink" Target="http://eur-lex.europa.eu/legal-content/FR/TXT/PDF/?uri=CELEX:12012P/TXT&amp;from=FR" TargetMode="External"/><Relationship Id="rId3" Type="http://schemas.openxmlformats.org/officeDocument/2006/relationships/hyperlink" Target="http://network-presidents.eu/fr" TargetMode="External"/><Relationship Id="rId21" Type="http://schemas.openxmlformats.org/officeDocument/2006/relationships/hyperlink" Target="http://www.biicl.org/documents/625_d4_fdi_main_report.pdf" TargetMode="External"/><Relationship Id="rId34" Type="http://schemas.openxmlformats.org/officeDocument/2006/relationships/hyperlink" Target="https://ec.europa.eu/eurostat/statistics-explained/index.php?title=Glossary:Fixed_capital" TargetMode="External"/><Relationship Id="rId42" Type="http://schemas.openxmlformats.org/officeDocument/2006/relationships/hyperlink" Target="https://www.weforum.org/reports/global-competitiveness-report-2019" TargetMode="External"/><Relationship Id="rId7" Type="http://schemas.openxmlformats.org/officeDocument/2006/relationships/hyperlink" Target="https://euipo.europa.eu/ohimportal/fr/web/observatory/home" TargetMode="External"/><Relationship Id="rId12" Type="http://schemas.openxmlformats.org/officeDocument/2006/relationships/hyperlink" Target="https://fr.weforum.org/" TargetMode="External"/><Relationship Id="rId17" Type="http://schemas.openxmlformats.org/officeDocument/2006/relationships/hyperlink" Target="http://www.worldbank.org/en/publication/wdr2017" TargetMode="External"/><Relationship Id="rId25" Type="http://schemas.openxmlformats.org/officeDocument/2006/relationships/hyperlink" Target="https://eur-lex.europa.eu/legal-content/FR/TXT/?uri=COM%3A2020%3A0409%3AFIN" TargetMode="External"/><Relationship Id="rId33" Type="http://schemas.openxmlformats.org/officeDocument/2006/relationships/hyperlink" Target="https://ec.europa.eu/eurostat/statistics-explained/index.php?title=Glossary:Fixed_assets" TargetMode="External"/><Relationship Id="rId38" Type="http://schemas.openxmlformats.org/officeDocument/2006/relationships/hyperlink" Target="https://eige.europa.eu/gender-statistics/dgs/indicator/wmidm_jud_natcrt__wmid_natcrt_supcrt" TargetMode="External"/><Relationship Id="rId2" Type="http://schemas.openxmlformats.org/officeDocument/2006/relationships/hyperlink" Target="https://www.encj.eu/" TargetMode="External"/><Relationship Id="rId16" Type="http://schemas.openxmlformats.org/officeDocument/2006/relationships/hyperlink" Target="https://www.weforum.org/reports/global-competitiveness-report-2019" TargetMode="External"/><Relationship Id="rId20" Type="http://schemas.openxmlformats.org/officeDocument/2006/relationships/hyperlink" Target="https://mpra.ub.uni-muenchen.de/40471/1/MPRA_paper_40322.pdf" TargetMode="External"/><Relationship Id="rId29" Type="http://schemas.openxmlformats.org/officeDocument/2006/relationships/hyperlink" Target="https://www.imf.org/fr/About/Factsheets/Sheets/2016/08/01/16/31/Fight-Against-Money-Laundering-the-Financing-of-Terrorism" TargetMode="External"/><Relationship Id="rId41" Type="http://schemas.openxmlformats.org/officeDocument/2006/relationships/hyperlink" Target="https://ec.europa.eu/info/policies/justice-and-fundamental-rights/upholding-rule-law/eu-justice-scoreboard_fr" TargetMode="External"/><Relationship Id="rId1" Type="http://schemas.openxmlformats.org/officeDocument/2006/relationships/hyperlink" Target="https://ec.europa.eu/info/policies/justice-and-fundamental-rights/upholding-rule-law/eu-justice-scoreboard_fr" TargetMode="External"/><Relationship Id="rId6" Type="http://schemas.openxmlformats.org/officeDocument/2006/relationships/hyperlink" Target="https://ec.europa.eu/digital-single-market/en/communications-committee" TargetMode="External"/><Relationship Id="rId11" Type="http://schemas.openxmlformats.org/officeDocument/2006/relationships/hyperlink" Target="http://www.ejtn.eu/fr/" TargetMode="External"/><Relationship Id="rId24" Type="http://schemas.openxmlformats.org/officeDocument/2006/relationships/hyperlink" Target="https://ec.europa.eu/commission/presscorner/detail/fr/ip_20_940" TargetMode="External"/><Relationship Id="rId32" Type="http://schemas.openxmlformats.org/officeDocument/2006/relationships/hyperlink" Target="https://ec.europa.eu/eurostat/statistics-explained/index.php?title=Glossary:Compensation_of_employees" TargetMode="External"/><Relationship Id="rId37" Type="http://schemas.openxmlformats.org/officeDocument/2006/relationships/hyperlink" Target="https://ec.europa.eu/eurostat/statistics-explained/index.php?title=Glossary:Gross_fixed_capital_formation_(GFCF)" TargetMode="External"/><Relationship Id="rId40" Type="http://schemas.openxmlformats.org/officeDocument/2006/relationships/hyperlink" Target="https://ec.europa.eu/info/policies/justice-and-fundamental-rights/upholding-rule-law/eu-justice-scoreboard_fr" TargetMode="External"/><Relationship Id="rId5" Type="http://schemas.openxmlformats.org/officeDocument/2006/relationships/hyperlink" Target="http://ec.europa.eu/competition/ecn/index_en.html" TargetMode="External"/><Relationship Id="rId15" Type="http://schemas.openxmlformats.org/officeDocument/2006/relationships/hyperlink" Target="https://www.ecb.europa.eu/pub/pdf/scpops/ecb.op210.en.pdf?3db9355b1d1599799aa0e475e5624651" TargetMode="External"/><Relationship Id="rId23" Type="http://schemas.openxmlformats.org/officeDocument/2006/relationships/hyperlink" Target="https://ec.europa.eu/info/funding-tenders/funding-opportunities/funding-programmes/overview-funding-programmes/structural-reform-support-programme-srsp_fr" TargetMode="External"/><Relationship Id="rId28" Type="http://schemas.openxmlformats.org/officeDocument/2006/relationships/hyperlink" Target="http://eur-lex.europa.eu/legal-content/FR/TXT/PDF/?uri=CELEX:12012E/TXT&amp;from=FR" TargetMode="External"/><Relationship Id="rId36" Type="http://schemas.openxmlformats.org/officeDocument/2006/relationships/hyperlink" Target="https://ec.europa.eu/eurostat/statistics-explained/index.php?title=Glossary:Asset" TargetMode="External"/><Relationship Id="rId10" Type="http://schemas.openxmlformats.org/officeDocument/2006/relationships/hyperlink" Target="https://ec.europa.eu/eurostat/fr/about/overview" TargetMode="External"/><Relationship Id="rId19" Type="http://schemas.openxmlformats.org/officeDocument/2006/relationships/hyperlink" Target="http://publications.jrc.ec.europa.eu/repository/bitstream/JRC104594/jrc104594__2017_the_judicial_system_and_economic_development_across_eu_member_states.pdf" TargetMode="External"/><Relationship Id="rId31" Type="http://schemas.openxmlformats.org/officeDocument/2006/relationships/hyperlink" Target="http://ec.europa.eu/eurostat/data/database" TargetMode="External"/><Relationship Id="rId4" Type="http://schemas.openxmlformats.org/officeDocument/2006/relationships/hyperlink" Target="http://www.juradmin.eu/index.php/fr/" TargetMode="External"/><Relationship Id="rId9" Type="http://schemas.openxmlformats.org/officeDocument/2006/relationships/hyperlink" Target="http://ec.europa.eu/justice/civil/financial-crime/index_en.htm" TargetMode="External"/><Relationship Id="rId14" Type="http://schemas.openxmlformats.org/officeDocument/2006/relationships/hyperlink" Target="https://www.imf.org/~/media/Files/Publications/REO/EUR/2017/November/eur-booked-print.ashx?la=en" TargetMode="External"/><Relationship Id="rId22" Type="http://schemas.openxmlformats.org/officeDocument/2006/relationships/hyperlink" Target="https://euipo.europa.eu/tunnel-web/secure/webdav/guest/document_library/observatory/documents/sme_scoreboard_study_2016/Executive-summary_fr.pdf" TargetMode="External"/><Relationship Id="rId27" Type="http://schemas.openxmlformats.org/officeDocument/2006/relationships/hyperlink" Target="http://www.coe.int/t/dghl/cooperation/cepej/evaluation/default_FR.asp" TargetMode="External"/><Relationship Id="rId30" Type="http://schemas.openxmlformats.org/officeDocument/2006/relationships/hyperlink" Target="http://ec.europa.eu/eurostat/web/income-and-living-conditions/data/database" TargetMode="External"/><Relationship Id="rId35" Type="http://schemas.openxmlformats.org/officeDocument/2006/relationships/hyperlink" Target="https://ec.europa.eu/eurostat/statistics-explained/index.php?title=Glossary:Intermediate_consum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c8fafeeb-07ef-460a-9e5d-a02cd2f60677">EN</EC_Collab_DocumentLanguage>
    <EC_Collab_Reference xmlns="c8fafeeb-07ef-460a-9e5d-a02cd2f60677">draft 2020 EU Justice Scoreboard</EC_Collab_Reference>
    <_Status xmlns="http://schemas.microsoft.com/sharepoint/v3/fields">Not Started</_Status>
    <EC_Collab_Status xmlns="c8fafeeb-07ef-460a-9e5d-a02cd2f60677">Draft</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13CD145F789BB4B8AE4B42C0D616160" ma:contentTypeVersion="0" ma:contentTypeDescription="Create a new document in this library." ma:contentTypeScope="" ma:versionID="f56f42b557a10d86031122fceb60d648">
  <xsd:schema xmlns:xsd="http://www.w3.org/2001/XMLSchema" xmlns:xs="http://www.w3.org/2001/XMLSchema" xmlns:p="http://schemas.microsoft.com/office/2006/metadata/properties" xmlns:ns2="http://schemas.microsoft.com/sharepoint/v3/fields" xmlns:ns3="c8fafeeb-07ef-460a-9e5d-a02cd2f60677" targetNamespace="http://schemas.microsoft.com/office/2006/metadata/properties" ma:root="true" ma:fieldsID="0f9d3b6cdbcb9d7b3860c81304cdfd1c" ns2:_="" ns3:_="">
    <xsd:import namespace="http://schemas.microsoft.com/sharepoint/v3/fields"/>
    <xsd:import namespace="c8fafeeb-07ef-460a-9e5d-a02cd2f6067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8fafeeb-07ef-460a-9e5d-a02cd2f6067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FE6C905-645C-4F44-8609-58178BF04F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fafeeb-07ef-460a-9e5d-a02cd2f60677"/>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AD0007F-3028-4EBF-A75F-E42C64C39C30}">
  <ds:schemaRefs>
    <ds:schemaRef ds:uri="http://schemas.microsoft.com/sharepoint/v3/contenttype/forms"/>
  </ds:schemaRefs>
</ds:datastoreItem>
</file>

<file path=customXml/itemProps3.xml><?xml version="1.0" encoding="utf-8"?>
<ds:datastoreItem xmlns:ds="http://schemas.openxmlformats.org/officeDocument/2006/customXml" ds:itemID="{210093AE-1111-402E-B807-152E2849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fafeeb-07ef-460a-9e5d-a02cd2f60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FD02-7E0C-4FA8-88F5-90ABC185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63</Pages>
  <Words>25504</Words>
  <Characters>142824</Characters>
  <Application>Microsoft Office Word</Application>
  <DocSecurity>0</DocSecurity>
  <Lines>1831</Lines>
  <Paragraphs>344</Paragraphs>
  <ScaleCrop>false</ScaleCrop>
  <HeadingPairs>
    <vt:vector size="2" baseType="variant">
      <vt:variant>
        <vt:lpstr>Title</vt:lpstr>
      </vt:variant>
      <vt:variant>
        <vt:i4>1</vt:i4>
      </vt:variant>
    </vt:vector>
  </HeadingPairs>
  <TitlesOfParts>
    <vt:vector size="1" baseType="lpstr">
      <vt:lpstr>draft 2020 EU Justice Scoreboard</vt:lpstr>
    </vt:vector>
  </TitlesOfParts>
  <Manager/>
  <Company/>
  <LinksUpToDate>false</LinksUpToDate>
  <CharactersWithSpaces>167984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2020 EU Justice Scoreboard</dc:title>
  <dc:subject>2020 EU Justice Scoreboard</dc:subject>
  <dc:creator/>
  <cp:keywords/>
  <dc:description/>
  <cp:lastModifiedBy>PAGANELI Erifili (SG)</cp:lastModifiedBy>
  <cp:revision>41</cp:revision>
  <dcterms:created xsi:type="dcterms:W3CDTF">2020-06-30T10:49:00Z</dcterms:created>
  <dcterms:modified xsi:type="dcterms:W3CDTF">2020-09-11T15:31:00Z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Red</vt:lpwstr>
  </property>
  <property fmtid="{D5CDD505-2E9C-101B-9397-08002B2CF9AE}" pid="6" name="CPTemplateID">
    <vt:lpwstr>CP-035</vt:lpwstr>
  </property>
  <property fmtid="{D5CDD505-2E9C-101B-9397-08002B2CF9AE}" pid="7" name="Created using">
    <vt:lpwstr>LW 7.0, Build 20190717</vt:lpwstr>
  </property>
  <property fmtid="{D5CDD505-2E9C-101B-9397-08002B2CF9AE}" pid="8" name="Last edited using">
    <vt:lpwstr>LW 7.0.1, Build 20190916</vt:lpwstr>
  </property>
  <property fmtid="{D5CDD505-2E9C-101B-9397-08002B2CF9AE}" pid="9" name="_LW_INVALIDATED__LW_INVALIDATED__LW_INVALIDATED__LW_INVALIDATED__LW_INVALIDATED__LW_INVALIDATED_ContentTypeId">
    <vt:lpwstr>0x010100258AA79CEB83498886A3A0868112325000413CD145F789BB4B8AE4B42C0D616160</vt:lpwstr>
  </property>
</Properties>
</file>