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A71E02-75F8-4327-A987-427EB22309F1" style="width:450.45pt;height:380.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се урежда с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(наричана по-нататък „Директивата за енергийното данъчно облагане“ или „директивата“).</w:t>
      </w:r>
    </w:p>
    <w:p>
      <w:pPr>
        <w:pBdr>
          <w:top w:val="nil"/>
          <w:left w:val="nil"/>
          <w:bottom w:val="nil"/>
          <w:right w:val="nil"/>
          <w:between w:val="nil"/>
          <w:bar w:val="nil"/>
        </w:pBdr>
        <w:spacing w:before="0" w:after="240"/>
        <w:rPr>
          <w:rFonts w:eastAsia="Arial Unicode MS"/>
          <w:noProof/>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с единодушие по предложение на Комисията, може да даде разрешение на всяка държава членка да въведе допълнително освобождаване или намаляване на равнищата на данъчно облагане поради специфични съображения на политиката.</w:t>
      </w:r>
    </w:p>
    <w:p>
      <w:pPr>
        <w:pBdr>
          <w:top w:val="nil"/>
          <w:left w:val="nil"/>
          <w:bottom w:val="nil"/>
          <w:right w:val="nil"/>
          <w:between w:val="nil"/>
          <w:bar w:val="nil"/>
        </w:pBdr>
        <w:spacing w:before="0" w:after="240"/>
        <w:rPr>
          <w:rFonts w:eastAsia="Arial Unicode MS"/>
          <w:noProof/>
        </w:rPr>
      </w:pPr>
      <w:r>
        <w:rPr>
          <w:noProof/>
        </w:rPr>
        <w:t>По силата на Решение за изпълнение 2014/725/ЕС на Съвета от 14 октомври 2014 г.</w:t>
      </w:r>
      <w:r>
        <w:rPr>
          <w:rStyle w:val="FootnoteReference"/>
          <w:rFonts w:eastAsia="Arial Unicode MS"/>
          <w:noProof/>
        </w:rPr>
        <w:footnoteReference w:id="2"/>
      </w:r>
      <w:r>
        <w:rPr>
          <w:noProof/>
        </w:rPr>
        <w:t xml:space="preserve"> (предшествано от Решение за изпълнение 2011/384/ЕС на Съвета от 20 юни 2011 г.</w:t>
      </w:r>
      <w:r>
        <w:rPr>
          <w:rStyle w:val="FootnoteReference"/>
          <w:rFonts w:eastAsia="Arial Unicode MS"/>
          <w:noProof/>
        </w:rPr>
        <w:footnoteReference w:id="3"/>
      </w:r>
      <w:r>
        <w:rPr>
          <w:noProof/>
        </w:rPr>
        <w:t>) на Швеция вече е предоставено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w:t>
      </w:r>
      <w:r>
        <w:rPr>
          <w:rStyle w:val="FootnoteReference"/>
          <w:rFonts w:eastAsia="Arial Unicode MS"/>
          <w:noProof/>
        </w:rPr>
        <w:footnoteReference w:id="4"/>
      </w:r>
      <w:r>
        <w:rPr>
          <w:noProof/>
        </w:rPr>
        <w:t>, при престоя им на котвена стоянка в пристанища („наземно електроснабдяване“).</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удължи поисканото от Швеция разрешение предвид обстоятелството, че срокът на действащата в момента дерогация изтича на 25 юни 2020 г. </w:t>
      </w:r>
    </w:p>
    <w:p>
      <w:pPr>
        <w:pBdr>
          <w:top w:val="nil"/>
          <w:left w:val="nil"/>
          <w:bottom w:val="nil"/>
          <w:right w:val="nil"/>
          <w:between w:val="nil"/>
          <w:bar w:val="nil"/>
        </w:pBdr>
        <w:spacing w:before="0" w:after="240"/>
        <w:rPr>
          <w:rFonts w:eastAsia="Arial Unicode MS"/>
          <w:noProof/>
        </w:rPr>
      </w:pPr>
      <w:r>
        <w:rPr>
          <w:noProof/>
        </w:rPr>
        <w:t>С писмо от 15 август 2019 г. компетентните шведски органи уведомиха Комисията за намерението си да удължат действието на прилаганата в момента мярка до 31 декември 2023 г. С писмо от 1 април 2020 г. те предоставиха допълнителна информация.</w:t>
      </w:r>
    </w:p>
    <w:p>
      <w:pPr>
        <w:pBdr>
          <w:top w:val="nil"/>
          <w:left w:val="nil"/>
          <w:bottom w:val="nil"/>
          <w:right w:val="nil"/>
          <w:between w:val="nil"/>
          <w:bar w:val="nil"/>
        </w:pBdr>
        <w:spacing w:before="0" w:after="240"/>
        <w:rPr>
          <w:rFonts w:eastAsia="Arial Unicode MS"/>
          <w:noProof/>
        </w:rPr>
      </w:pPr>
      <w:r>
        <w:rPr>
          <w:noProof/>
        </w:rPr>
        <w:t>Намерението на компетентните шведски органи е да продължат да прилагат намалената ставка за данъчно облагане на електроенергията по отношение на наземното електроснабдяване в размер на 5 SEK (приблизително 0,484 EUR)(</w:t>
      </w:r>
      <w:r>
        <w:rPr>
          <w:rStyle w:val="FootnoteReference"/>
          <w:rFonts w:eastAsia="Arial Unicode MS"/>
          <w:noProof/>
        </w:rPr>
        <w:footnoteReference w:id="5"/>
      </w:r>
      <w:r>
        <w:rPr>
          <w:noProof/>
        </w:rPr>
        <w:t>) за MWh. Към момента на подаване на искането тази данъчна ставка съответстваше на минималната данъчна ставка за електроенергията за стопански цели, посочена в Директива 2003/96/ЕО. В член 13 от директивата се определя граница на допустимото отклонение в размер на 5 % за държави членки, които не са въвели еврото.</w:t>
      </w:r>
    </w:p>
    <w:p>
      <w:pPr>
        <w:pBdr>
          <w:top w:val="nil"/>
          <w:left w:val="nil"/>
          <w:bottom w:val="nil"/>
          <w:right w:val="nil"/>
          <w:between w:val="nil"/>
          <w:bar w:val="nil"/>
        </w:pBdr>
        <w:spacing w:before="0" w:after="240"/>
        <w:rPr>
          <w:rFonts w:eastAsia="Arial Unicode MS"/>
          <w:noProof/>
        </w:rPr>
      </w:pPr>
      <w:r>
        <w:rPr>
          <w:noProof/>
        </w:rPr>
        <w:t xml:space="preserve">Следва да се припомни, че съгласно член 13 от Директивата за енергийното данъчно облагане държавите членки са длъжни веднъж годишно да проверяват дали данъчните ставки, изразени в съответната национална валута, отговарят на минималните ставки по директивата. Тази проверка се извършва, като се използват обменните курсове, </w:t>
      </w:r>
      <w:r>
        <w:rPr>
          <w:noProof/>
        </w:rPr>
        <w:lastRenderedPageBreak/>
        <w:t xml:space="preserve">публикувани в </w:t>
      </w:r>
      <w:r>
        <w:rPr>
          <w:i/>
          <w:iCs/>
          <w:noProof/>
        </w:rPr>
        <w:t>Официален вестник на Европейския съюз</w:t>
      </w:r>
      <w:r>
        <w:rPr>
          <w:noProof/>
        </w:rPr>
        <w:t xml:space="preserve"> в първия работен ден от октомври. Държавите членки могат да поддържат в национална валута сумите от данъчно облагане, валидни по време на годишното определяне на курса, само ако прехвърлянето на сумите за равнището на данъчно облагане, изразени в евро, не води до увеличение от повече от 5 % или 5 EUR — което от двете представлява по-малката сума.</w:t>
      </w:r>
    </w:p>
    <w:p>
      <w:pPr>
        <w:pBdr>
          <w:top w:val="nil"/>
          <w:left w:val="nil"/>
          <w:bottom w:val="nil"/>
          <w:right w:val="nil"/>
          <w:between w:val="nil"/>
          <w:bar w:val="nil"/>
        </w:pBdr>
        <w:spacing w:before="0" w:after="240"/>
        <w:rPr>
          <w:rFonts w:eastAsia="Arial Unicode MS"/>
          <w:noProof/>
        </w:rPr>
      </w:pPr>
      <w:r>
        <w:rPr>
          <w:noProof/>
        </w:rPr>
        <w:t>Поисканият период на валидност на дерогацията е от 26 юни 2020 г. до 31 декември 2023 г., което е в съответствие с действащата в момента дерогация и в рамките на максималния период, разрешен съгласно член 19 от Директивата за енергийното данъчно облагане.</w:t>
      </w:r>
    </w:p>
    <w:p>
      <w:pPr>
        <w:pBdr>
          <w:top w:val="nil"/>
          <w:left w:val="nil"/>
          <w:bottom w:val="nil"/>
          <w:right w:val="nil"/>
          <w:between w:val="nil"/>
          <w:bar w:val="nil"/>
        </w:pBdr>
        <w:spacing w:before="0" w:after="240"/>
        <w:rPr>
          <w:rFonts w:eastAsia="Arial Unicode MS"/>
          <w:noProof/>
        </w:rPr>
      </w:pPr>
      <w:r>
        <w:rPr>
          <w:rStyle w:val="Bodytext20"/>
          <w:noProof/>
        </w:rPr>
        <w:t>Целта на намаляването на данъка е да се насърчи използването на наземно електроснабдяване от плавателните съдове, които обикновено използват допълнителен нафтов двигател за производство на електроенергия за собствени нужди. Спазването на разпоредбите в тази област намалява емисиите от плавателните съдове при престоя им на котвена стоянка в пристанища и съответно води до намаляване на отлагането на подкиселяващи вещества, което е особен проблем в Югозападна Швеция. Наред с това се счита, че посочените разпоредби осигуряват значителни ползи за околната среда на местно равнище, включително под формата на понижени нива на шум.</w:t>
      </w:r>
    </w:p>
    <w:p>
      <w:pPr>
        <w:pBdr>
          <w:top w:val="nil"/>
          <w:left w:val="nil"/>
          <w:bottom w:val="nil"/>
          <w:right w:val="nil"/>
          <w:between w:val="nil"/>
          <w:bar w:val="nil"/>
        </w:pBdr>
        <w:spacing w:before="0" w:after="240"/>
        <w:rPr>
          <w:rFonts w:eastAsia="Arial Unicode MS"/>
          <w:noProof/>
        </w:rPr>
      </w:pPr>
      <w:r>
        <w:rPr>
          <w:rStyle w:val="Bodytext20"/>
          <w:noProof/>
        </w:rPr>
        <w:t>Намаляването на данъка се отнася до наземното електроснабдяване, като вместо общоприложимата ставка от 34,7 SEK/MWh се прилага ставка в размер на 5 SEK/MWh.</w:t>
      </w:r>
    </w:p>
    <w:p>
      <w:pPr>
        <w:pBdr>
          <w:top w:val="nil"/>
          <w:left w:val="nil"/>
          <w:bottom w:val="nil"/>
          <w:right w:val="nil"/>
          <w:between w:val="nil"/>
          <w:bar w:val="nil"/>
        </w:pBdr>
        <w:spacing w:before="0" w:after="240"/>
        <w:rPr>
          <w:rFonts w:eastAsia="Arial Unicode MS"/>
          <w:noProof/>
        </w:rPr>
      </w:pPr>
      <w:r>
        <w:rPr>
          <w:noProof/>
        </w:rPr>
        <w:t>От друга страна, съгласно член 14, параграф 1, буква в) от Директивата за енергийното данъчно облагане държавите членки трябва да освободят енергийните продукти, използвани за производство на електроенергия, както и произведената електроенергия, на борда на кораби при престоя им на котвена стоянка в пристанища. Те могат да приложат такова освобождаване и по отношение на електроенергията, която е произведена на борда на кораби, плаващи по вътрешни водни пътища съгласно член 15, параграф 1, буква е) от директивата. Шведската страна потвърди транспонирането на това незадължително освобождаване.</w:t>
      </w:r>
    </w:p>
    <w:p>
      <w:pPr>
        <w:rPr>
          <w:rStyle w:val="Bodytext2"/>
          <w:noProof/>
        </w:rPr>
      </w:pPr>
      <w:r>
        <w:rPr>
          <w:noProof/>
        </w:rPr>
        <w:t xml:space="preserve">Швеция ще прилага намалената ставка за данъчно облагане на електроенергията по отношение на всички доставки на наземно електроснабдяване в размер на най-малко 380 V за плавателните съдове с минимално брутно тегло 400 t, използвани в търговското корабоплаване. Според компетентните шведски органи с това ограничение се гарантира, че предложеното намаляване ще обхване повечето плавателни съдове, използвани в международния трафик, и по-големите кораби, използвани в националния трафик. Счита се, че на тези плавателни съдове се пада най-голям дял от емисиите вследствие използването на допълнителни двигатели на борда при престой на котвена стоянка в пристанища. </w:t>
      </w:r>
      <w:r>
        <w:rPr>
          <w:rStyle w:val="Bodytext2"/>
          <w:noProof/>
        </w:rPr>
        <w:t>Намалената данъчна ставка не се прилага, когато съответният кораб се използва за частно плаване, когато е в принудителен престой или е дългосрочно изведен от експлоатация.</w:t>
      </w:r>
    </w:p>
    <w:p>
      <w:pPr>
        <w:pBdr>
          <w:top w:val="nil"/>
          <w:left w:val="nil"/>
          <w:bottom w:val="nil"/>
          <w:right w:val="nil"/>
          <w:between w:val="nil"/>
          <w:bar w:val="nil"/>
        </w:pBdr>
        <w:spacing w:before="0" w:after="240"/>
        <w:rPr>
          <w:rFonts w:eastAsia="Arial Unicode MS"/>
          <w:noProof/>
        </w:rPr>
      </w:pPr>
      <w:r>
        <w:rPr>
          <w:noProof/>
        </w:rPr>
        <w:t>Независимо от посоченото по-горе няма задължение за плавателните съдове да използват наземно електроснабдяване.</w:t>
      </w:r>
    </w:p>
    <w:p>
      <w:pPr>
        <w:rPr>
          <w:noProof/>
        </w:rPr>
      </w:pPr>
      <w:r>
        <w:rPr>
          <w:noProof/>
        </w:rPr>
        <w:t xml:space="preserve">Компетентните шведски органи признават, че мярката представлява държавна помощ. Тя обаче попада в обхвата на точки 167—174 от Насоките на Комисията относно държавната помощ за опазване на околната среда и за енергетика за периода 2014—2020 г. Мярката също така отговаря на материалните условия, определени в Регламент </w:t>
      </w:r>
      <w:r>
        <w:rPr>
          <w:noProof/>
        </w:rPr>
        <w:lastRenderedPageBreak/>
        <w:t>(ЕС) № 651/2014 на Комисията от 17 юни 2014 г. относно деклариране на някои категории помощи за съвместими с вътрешния пазар в приложение на членове 107 и 108 от Договора („Общ регламент за групово освобождаване“).</w:t>
      </w:r>
    </w:p>
    <w:p>
      <w:pPr>
        <w:rPr>
          <w:noProof/>
        </w:rPr>
      </w:pPr>
      <w:r>
        <w:rPr>
          <w:noProof/>
        </w:rPr>
        <w:t>Компетентните шведски органи признават, че мярката поставя в по-благоприятно положение собствениците на кораби, използвани за търговски превози. Те обаче считат, че мярката е неутрална по отношение на конкуренцията, тъй като може да бъде прилагана спрямо всички кораби (с изключение на корабите за частно ползване) при престоя им на котвена стоянка в пристанищата на Швеция. Шведската страна е на мнение, че въздействието върху търговията между държавите членки ще бъде незначително, тъй като изборът на пристанища зависи от местоназначението на товара, а не от по-ниските разходи за престой, дължащи се на намалената данъчна ставка за наземно електроснабдяване.</w:t>
      </w:r>
    </w:p>
    <w:p>
      <w:pPr>
        <w:rPr>
          <w:noProof/>
        </w:rPr>
      </w:pPr>
      <w:r>
        <w:rPr>
          <w:noProof/>
        </w:rPr>
        <w:t>Според приблизителните изчисления годишните бюджетни разходи възлизат на 6 милиона SEK.</w:t>
      </w:r>
    </w:p>
    <w:p>
      <w:pPr>
        <w:rPr>
          <w:noProof/>
        </w:rPr>
      </w:pPr>
      <w:r>
        <w:rPr>
          <w:noProof/>
        </w:rPr>
        <w:t>Мярката се прилага посредством възстановяване на средства, което намалява данъчната тежест върху съответната електроенергия.</w:t>
      </w:r>
    </w:p>
    <w:p>
      <w:pPr>
        <w:rPr>
          <w:noProof/>
        </w:rPr>
      </w:pPr>
      <w:r>
        <w:rPr>
          <w:noProof/>
        </w:rPr>
        <w:t>Компетентните шведски органи считат, че намалената данъчна ставка за наземно електроснабдяване не създава значително конкурентно предимство за операторите на плавателни съдове, които използват такова електроснабдяване, спрямо тези, които използват електроенергия, произведена на борда на корабите. Ако се вземат предвид само цената на електроенергията и данъкът, то наземното електроснабдяване с по-ниска данъчна ставка би струвало малко по-малко от електроенергиятата, произведена на борда на корабите. В крайната цена на наземното електроснабдяване обаче са включени и допълнителни разходи под формата на мрежови такси, инвестиции за инсталиране на бордови системи за свързване с електрическата мрежа, както и преки или косвени разходи за инвестиции в пристанищните съоръжения за електроснабдяване. Същевременно, тъй като инвестициите в пристанищните и бордовите съоръжения за електроснабдяване са свързани със значителни разходи, компетентните шведски органи са на мнение, че пристанищата и корабособствениците, извършващи такива инвестиции, трябва непременно да бъдат облагодетелствани от по-ниска данъчна ставка.</w:t>
      </w:r>
    </w:p>
    <w:p>
      <w:pPr>
        <w:rPr>
          <w:noProof/>
        </w:rPr>
      </w:pPr>
      <w:r>
        <w:rPr>
          <w:noProof/>
        </w:rPr>
        <w:t>Целта на мярката е да се намали въздействието на морския транспорт върху околната среда. Мярката ще доведе до намаляване на емисиите във въздуха и шума от плавателни съдове при престоя им на котвена стоянка в пристанищата. Тя донякъде ще способства в пристанищните градове да бъдат спазени пределно допустимите стойности на азотен диоксид, определени в Директива 2008/50/ЕО относно качеството на атмосферния въздух, което се отразява положително и върху други параметри за качеството на въздуха в пристанищните зони.</w:t>
      </w:r>
    </w:p>
    <w:p>
      <w:pPr>
        <w:pBdr>
          <w:top w:val="nil"/>
          <w:left w:val="nil"/>
          <w:bottom w:val="nil"/>
          <w:right w:val="nil"/>
          <w:between w:val="nil"/>
          <w:bar w:val="nil"/>
        </w:pBdr>
        <w:spacing w:before="0" w:after="240"/>
        <w:rPr>
          <w:rFonts w:eastAsia="Arial Unicode MS"/>
          <w:noProof/>
        </w:rPr>
      </w:pPr>
      <w:r>
        <w:rPr>
          <w:noProof/>
        </w:rPr>
        <w:t>Швеция поиска разрешението да бъде издадено за срок до 31 декември 2023 г., считано от 26 юни 2020 г., без прекъсване на действащата в момента дерогация и в рамките на максималния срок, посочен в член 19, параграф 2 от директивата.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Данъчното облагане на електроенергията попада в регулаторния обхват на Директива 2003/96/ЕО, и по-специално на член 10 от нея.  В член 14, параграф 1, буква в) от същата директива се предвижда задължително освобождаване от данъчно облагане на енергийните продукти за корабоплаването, както и на електроенергията, произведена на борда на корабите. В членове 5, 15 и 17 е предвидена възможността за държавите </w:t>
      </w:r>
      <w:r>
        <w:rPr>
          <w:noProof/>
        </w:rPr>
        <w:lastRenderedPageBreak/>
        <w:t>членки да прилагат данъчно диференциране, включително освобождаване и облекчения, по отношение на някои предназначения на електроенергията. В тях обаче не е предвидено намалено данъчно облагане конкретно за наземното електроснабдяване.</w:t>
      </w:r>
    </w:p>
    <w:p>
      <w:pPr>
        <w:pBdr>
          <w:top w:val="nil"/>
          <w:left w:val="nil"/>
          <w:bottom w:val="nil"/>
          <w:right w:val="nil"/>
          <w:between w:val="nil"/>
          <w:bar w:val="nil"/>
        </w:pBdr>
        <w:spacing w:before="0" w:after="240"/>
        <w:rPr>
          <w:rFonts w:eastAsia="Arial Unicode MS"/>
          <w:noProof/>
        </w:rPr>
      </w:pPr>
      <w:r>
        <w:rPr>
          <w:noProof/>
        </w:rPr>
        <w:t>Мярката представлява държавна помощ и попада в обхвата на законодателството на ЕС в тази област, и по-точно на Регламент (ЕС) № 651/2014 на Комисията</w:t>
      </w:r>
      <w:r>
        <w:rPr>
          <w:rStyle w:val="FootnoteReference"/>
          <w:rFonts w:eastAsia="Arial Unicode MS"/>
          <w:noProof/>
        </w:rPr>
        <w:footnoteReference w:id="6"/>
      </w:r>
      <w:r>
        <w:rPr>
          <w:noProof/>
        </w:rPr>
        <w:t>.</w:t>
      </w:r>
    </w:p>
    <w:p>
      <w:pPr>
        <w:spacing w:before="0" w:after="240"/>
        <w:rPr>
          <w:rFonts w:eastAsia="Arial Unicode MS"/>
          <w:i/>
          <w:noProof/>
        </w:rPr>
      </w:pPr>
      <w:r>
        <w:rPr>
          <w:i/>
          <w:noProof/>
        </w:rPr>
        <w:t>Разпоредби съгласно Директивата за енергийното данъчно облагане</w:t>
      </w:r>
    </w:p>
    <w:p>
      <w:pPr>
        <w:pBdr>
          <w:top w:val="nil"/>
          <w:left w:val="nil"/>
          <w:bottom w:val="nil"/>
          <w:right w:val="nil"/>
          <w:between w:val="nil"/>
          <w:bar w:val="nil"/>
        </w:pBdr>
        <w:spacing w:before="0" w:after="240"/>
        <w:rPr>
          <w:rFonts w:eastAsia="Arial Unicode MS"/>
          <w:i/>
          <w:noProof/>
        </w:rPr>
      </w:pPr>
      <w:r>
        <w:rPr>
          <w:i/>
          <w:noProof/>
        </w:rPr>
        <w:t>Оценка на мярката съгласно член 19 от Директива 2003/96/ЕО</w:t>
      </w:r>
    </w:p>
    <w:p>
      <w:pPr>
        <w:pBdr>
          <w:top w:val="nil"/>
          <w:left w:val="nil"/>
          <w:bottom w:val="nil"/>
          <w:right w:val="nil"/>
          <w:between w:val="nil"/>
          <w:bar w:val="nil"/>
        </w:pBdr>
        <w:spacing w:before="0" w:after="240"/>
        <w:rPr>
          <w:rFonts w:eastAsia="Arial Unicode MS"/>
          <w:noProof/>
        </w:rPr>
      </w:pPr>
      <w:r>
        <w:rPr>
          <w:noProof/>
        </w:rPr>
        <w:t xml:space="preserve">В член 19, параграф 1, първа алинея от директивата се посочва следното: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Комисията вече препоръча използването на наземно електроснабдяване като алтернатива на производството на електроенергия на борда на плавателните съдове при престоя им на котвена стоянка в пристанища, като по този начин призна екологичните предимства на това електроснабдяване</w:t>
      </w:r>
      <w:r>
        <w:rPr>
          <w:rStyle w:val="FootnoteReference"/>
          <w:rFonts w:eastAsia="Arial Unicode MS"/>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Възможността за въвеждане на благоприятно данъчно третиране на наземното електроснабдяване може да се разглежда в контекста на член 19 от директивата, тъй като неговата цел е да позволи на държавите членки да въведат допълнително освобождаване или намаляване на равнищата на данъчно облагане поради специфични съображения на политиката. </w:t>
      </w:r>
    </w:p>
    <w:p>
      <w:pPr>
        <w:pBdr>
          <w:top w:val="nil"/>
          <w:left w:val="nil"/>
          <w:bottom w:val="nil"/>
          <w:right w:val="nil"/>
          <w:between w:val="nil"/>
          <w:bar w:val="nil"/>
        </w:pBdr>
        <w:spacing w:before="0" w:after="240"/>
        <w:rPr>
          <w:rFonts w:eastAsia="Arial Unicode MS"/>
          <w:noProof/>
        </w:rPr>
      </w:pPr>
      <w:r>
        <w:rPr>
          <w:noProof/>
        </w:rPr>
        <w:t xml:space="preserve">Швеция поиска мярката да се прилага за период от приблизително три години и половина, който е по-кратък от максималния шестгодишен срок, определен в член 19, параграф 2 от директивата. По принцип срокът на прилагане на дерогацията следва да бъде достатъчно дълъг, така че пристанищните оператори и доставчиците на електроенергия да не бъдат възпирани да продължат или да започнат да извършват необходимите инвестиции в съоръжения за наземно електроснабдяване. Този срок ще осигури правна сигурност и за корабните оператори, които трябва да планират инвестициите си в бордово оборудване. </w:t>
      </w:r>
    </w:p>
    <w:p>
      <w:pPr>
        <w:spacing w:before="0" w:after="0"/>
        <w:rPr>
          <w:noProof/>
          <w:szCs w:val="24"/>
        </w:rPr>
      </w:pPr>
      <w:r>
        <w:rPr>
          <w:noProof/>
        </w:rPr>
        <w:t xml:space="preserve">С дерогацията обаче не бива да се компрометира бъдещото развитие на действащата правна рамка, като тя следва да е съобразена с предстоящото преразглеждане на Директивата за енергийното данъчно облагане и евентуалното приемане от Съвета на законодателен акт, основаващ се на предложение на Комисията за изменение на посочената директива. Това преразглеждане следва оценката на Директивата за </w:t>
      </w:r>
      <w:r>
        <w:rPr>
          <w:noProof/>
        </w:rPr>
        <w:lastRenderedPageBreak/>
        <w:t>енергийното данъчно облагане</w:t>
      </w:r>
      <w:r>
        <w:rPr>
          <w:rStyle w:val="FootnoteReference"/>
          <w:rFonts w:eastAsia="Arial Unicode MS"/>
          <w:noProof/>
        </w:rPr>
        <w:footnoteReference w:id="8"/>
      </w:r>
      <w:r>
        <w:rPr>
          <w:noProof/>
        </w:rPr>
        <w:t xml:space="preserve"> и заключенията на Съвета относно рамката на ЕС за енергийното данъчно облагане от 28 ноември 2019 г.</w:t>
      </w:r>
      <w:r>
        <w:rPr>
          <w:rStyle w:val="FootnoteReference"/>
          <w:rFonts w:eastAsia="Arial Unicode MS"/>
          <w:noProof/>
        </w:rPr>
        <w:footnoteReference w:id="9"/>
      </w:r>
      <w:r>
        <w:rPr>
          <w:noProof/>
        </w:rPr>
        <w:t xml:space="preserve">. В своите заключения Съветът прикани Комисията да анализира и оцени възможните варианти с оглед на своевременното публикуване на предложение за изменение на Директивата за енергийното данъчно облагане и призова Комисията да обърне специално внимание на обхвата на директивата, минималните ставки, както и специфичните намаления на данъчната ставка и освобождаванията от нея. </w:t>
      </w:r>
    </w:p>
    <w:p>
      <w:pPr>
        <w:spacing w:before="0" w:after="0"/>
        <w:rPr>
          <w:rFonts w:eastAsia="Arial Unicode MS"/>
          <w:noProof/>
        </w:rPr>
      </w:pPr>
    </w:p>
    <w:p>
      <w:pPr>
        <w:spacing w:before="0" w:after="0"/>
        <w:rPr>
          <w:rFonts w:eastAsia="Arial Unicode MS"/>
          <w:noProof/>
        </w:rPr>
      </w:pPr>
      <w:r>
        <w:rPr>
          <w:noProof/>
        </w:rPr>
        <w:t>При тези обстоятелства и въпреки че би било целесъобразно разрешението да се предостави за поискания период, валидността на дерогацията следва да бъде обвързана с влизането в сила преди края на 2023 г. на общи разпоредби, уреждащи тази материя.</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Правила за държавните помощи</w:t>
      </w:r>
    </w:p>
    <w:p>
      <w:pPr>
        <w:pBdr>
          <w:top w:val="nil"/>
          <w:left w:val="nil"/>
          <w:bottom w:val="nil"/>
          <w:right w:val="nil"/>
          <w:between w:val="nil"/>
          <w:bar w:val="nil"/>
        </w:pBdr>
        <w:spacing w:before="0" w:after="240"/>
        <w:rPr>
          <w:rFonts w:eastAsia="Arial Unicode MS"/>
          <w:noProof/>
        </w:rPr>
      </w:pPr>
      <w:r>
        <w:rPr>
          <w:noProof/>
        </w:rPr>
        <w:t>Към момента на подаване на искането предвидената от компетентните шведски органи намалена данъчна ставка в размер на 5 SEK (приблизително 0,484 EUR)(</w:t>
      </w:r>
      <w:r>
        <w:rPr>
          <w:rStyle w:val="FootnoteReference"/>
          <w:rFonts w:eastAsia="Arial Unicode MS"/>
          <w:noProof/>
        </w:rPr>
        <w:footnoteReference w:id="10"/>
      </w:r>
      <w:r>
        <w:rPr>
          <w:noProof/>
        </w:rPr>
        <w:t>) за MWh съответстваше на минималната данъчна ставка за електроенергията за стопански цели, определена в Директива 2003/96/ЕО.</w:t>
      </w:r>
    </w:p>
    <w:p>
      <w:pPr>
        <w:pBdr>
          <w:top w:val="nil"/>
          <w:left w:val="nil"/>
          <w:bottom w:val="nil"/>
          <w:right w:val="nil"/>
          <w:between w:val="nil"/>
          <w:bar w:val="nil"/>
        </w:pBdr>
        <w:spacing w:before="0" w:after="240"/>
        <w:rPr>
          <w:rFonts w:eastAsia="Arial Unicode MS"/>
          <w:noProof/>
        </w:rPr>
      </w:pPr>
      <w:r>
        <w:rPr>
          <w:noProof/>
        </w:rPr>
        <w:t>Съответно може да се приеме, че мярката попада в обхвата на член 44 от Регламент (ЕС) № 651/2014 на Комисията, уреждащ условията, при които държавната помощ под формата на намаляване на екологичните данъци съгласно Директива 2003/96/ЕО може да бъде освободена от изискванията за уведомяване за държавна помощ. Същевременно на този етап не може да се определи дали всички условия по посочения регламент са изпълнени и дали предложението за решение за изпълнение на Съвета не засяга задължението на държавата членка да гарантира спазването на правилата за държавната помощ, по-специално в случай на освободени помощи, попадащи в обхвата на Регламент (ЕС) № 651/2014 на Комисията.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околната среда и изменението на климата</w:t>
      </w:r>
    </w:p>
    <w:p>
      <w:pPr>
        <w:pBdr>
          <w:top w:val="nil"/>
          <w:left w:val="nil"/>
          <w:bottom w:val="nil"/>
          <w:right w:val="nil"/>
          <w:between w:val="nil"/>
          <w:bar w:val="nil"/>
        </w:pBdr>
        <w:spacing w:before="0" w:after="240"/>
        <w:rPr>
          <w:rFonts w:eastAsia="Arial Unicode MS"/>
          <w:noProof/>
        </w:rPr>
      </w:pPr>
      <w:r>
        <w:rPr>
          <w:noProof/>
        </w:rPr>
        <w:t>Исканата мярка е свързана най-вече с политиката на ЕС в областта на околната среда. Тъй като благодарение на нея ще се намали изгарянето на корабно гориво на борда на плавателните съдове в пристанищата, мярката на практика ще допринесе за подобряване на качеството на въздуха на местно равнище, намаляване на шума и противодействие на изменението на климата. В съответствие с Директива 2008/50/ЕО относно качеството на атмосферния въздух</w:t>
      </w:r>
      <w:r>
        <w:rPr>
          <w:rStyle w:val="FootnoteReference"/>
          <w:rFonts w:eastAsia="Arial Unicode MS"/>
          <w:noProof/>
        </w:rPr>
        <w:footnoteReference w:id="11"/>
      </w:r>
      <w:r>
        <w:rPr>
          <w:noProof/>
        </w:rPr>
        <w:t xml:space="preserve"> държавите членки трябва да гарантират, че нивата на няколко вида замърсители на въздуха не превишават пределно допустимите стойности, целевите стойности и други стандарти за качество на въздуха, установени в същата директива. По силата на това задължение държавите членки трябва да намерят решение на различни проблеми, като например емисиите от корабите по време на престоя им на котвена стоянка в пристанища, когато е целесъобразно и съществува възможност да се насърчава използването на наземно електроснабдяване като част от цялостната стратегия за качество на въздуха в пристанищата с такива </w:t>
      </w:r>
      <w:r>
        <w:rPr>
          <w:noProof/>
        </w:rPr>
        <w:lastRenderedPageBreak/>
        <w:t>проблеми. Използването на наземно електроснабдяване се насърчава и съгласно Директива (ЕС) 2016/802 относно намаляването на съдържанието на сяра в определени течни горива</w:t>
      </w:r>
      <w:r>
        <w:rPr>
          <w:rStyle w:val="FootnoteReference"/>
          <w:rFonts w:eastAsia="Arial Unicode MS"/>
          <w:noProof/>
        </w:rPr>
        <w:footnoteReference w:id="12"/>
      </w:r>
      <w:r>
        <w:rPr>
          <w:noProof/>
        </w:rPr>
        <w:t>.</w:t>
      </w:r>
    </w:p>
    <w:p>
      <w:pPr>
        <w:pBdr>
          <w:top w:val="nil"/>
          <w:left w:val="nil"/>
          <w:bottom w:val="nil"/>
          <w:right w:val="nil"/>
          <w:between w:val="nil"/>
          <w:bar w:val="nil"/>
        </w:pBdr>
        <w:spacing w:before="0" w:after="240"/>
        <w:rPr>
          <w:rFonts w:eastAsia="Arial Unicode MS"/>
          <w:noProof/>
        </w:rPr>
      </w:pPr>
      <w:r>
        <w:rPr>
          <w:noProof/>
        </w:rPr>
        <w:t>Според предоставената от компетентните шведски органи информация използването на наземно електроснабдяване е довело до намаляване на емисиите на серен диоксид, азотни оксиди, фини прахови частици и въглеродни оксиди. Шведската страна обаче все още не разполага с по-актуални приблизителни оценки на намалението на емисиите, приписвано на мярката. Пълният потенциал на мярката не е достигнат, тъй като е необходимо скъпоструващо оборудване както на кейовете, така и на корабите. Използването на наземно електроснабдяване е от значение за изпълнението от страна на Швеция на стандартите за качество на въздуха в съответствие с Директива 2008/50/ЕО от 21 май 2008 г. относно качеството на атмосферния въздух и за по-чист въздух за Европа.</w:t>
      </w:r>
    </w:p>
    <w:p>
      <w:pPr>
        <w:pBdr>
          <w:top w:val="nil"/>
          <w:left w:val="nil"/>
          <w:bottom w:val="nil"/>
          <w:right w:val="nil"/>
          <w:between w:val="nil"/>
          <w:bar w:val="nil"/>
        </w:pBdr>
        <w:spacing w:before="0" w:after="240"/>
        <w:rPr>
          <w:rFonts w:eastAsia="Arial Unicode MS"/>
          <w:i/>
          <w:noProof/>
        </w:rPr>
      </w:pPr>
      <w:r>
        <w:rPr>
          <w:i/>
          <w:noProof/>
        </w:rPr>
        <w:t>Енергийна политика</w:t>
      </w:r>
    </w:p>
    <w:p>
      <w:pPr>
        <w:pBdr>
          <w:top w:val="nil"/>
          <w:left w:val="nil"/>
          <w:bottom w:val="nil"/>
          <w:right w:val="nil"/>
          <w:between w:val="nil"/>
          <w:bar w:val="nil"/>
        </w:pBdr>
        <w:spacing w:before="0" w:after="240"/>
        <w:rPr>
          <w:rFonts w:eastAsia="Arial Unicode MS"/>
          <w:noProof/>
        </w:rPr>
      </w:pPr>
      <w:r>
        <w:rPr>
          <w:noProof/>
        </w:rPr>
        <w:t>Мярката е съобразена с Директива 2014/94/ЕС за разгръщането на инфраструктура за алтернативни горива</w:t>
      </w:r>
      <w:r>
        <w:rPr>
          <w:rStyle w:val="FootnoteReference"/>
          <w:rFonts w:eastAsia="Arial Unicode MS"/>
          <w:noProof/>
        </w:rPr>
        <w:footnoteReference w:id="13"/>
      </w:r>
      <w:r>
        <w:rPr>
          <w:noProof/>
        </w:rPr>
        <w:t>, чийто предмет е инсталирането на съоръжения за наземно електроснабдяване в пристанища, когато има търсене на такива съоръжения и разходите не са несъразмерни по отношение на ползите, включително ползите за околната среда. Тя е призната и за цел от общ интерес за отпускането на държавна помощ съгласно член 107, параграф 1 от Договора за функционирането на Европейския съюз</w:t>
      </w:r>
      <w:r>
        <w:rPr>
          <w:rStyle w:val="FootnoteReference"/>
          <w:rFonts w:eastAsia="Arial Unicode MS"/>
          <w:noProof/>
        </w:rPr>
        <w:footnoteReference w:id="14"/>
      </w:r>
      <w:r>
        <w:rPr>
          <w:noProof/>
        </w:rPr>
        <w:t>.</w:t>
      </w:r>
    </w:p>
    <w:p>
      <w:pPr>
        <w:pBdr>
          <w:top w:val="nil"/>
          <w:left w:val="nil"/>
          <w:bottom w:val="nil"/>
          <w:right w:val="nil"/>
          <w:between w:val="nil"/>
          <w:bar w:val="nil"/>
        </w:pBdr>
        <w:spacing w:before="0" w:after="240"/>
        <w:rPr>
          <w:rFonts w:eastAsia="Arial Unicode MS"/>
          <w:noProof/>
        </w:rPr>
      </w:pPr>
      <w:r>
        <w:rPr>
          <w:noProof/>
        </w:rPr>
        <w:t>Следва да се припомни, че една от основните причини за неблагоприятната конкурентна позиция на наземното електроснабдяване се дължи на факта, че алтернативата (т.е. електроенергията, произведена на борда на корабите в морските пристанища) понастоящем е напълно освободена от данъчно облагане — това освобождаване обхваща не само корабното гориво, изгаряно за производството на електроенергия, което съответства на нормалното положение съгласно член 14, параграф 1, буква а) от Директива 2003/96/ЕО, но и самата електроенергия, произведена на борда на плавателните съдове (вж. член 14, параграф 1, буква в) от Директива 2003/96/ЕО). Въпреки че само по себе си освобождаването от данъчно облагане на тази електроенергия може да се счита за трудно съвместимо с целите на Съюза в областта на околната среда, то е наложено от съображения за практичност. При данъчното облагане на електроенергията, произведена на борда на корабите, от корабособствениците (които често са установени в трета държава) или от техните оператори се изисква да представят декларации за количеството на употребената електроенергия. В декларациите трябва също така да се определи делът на електроенергията, употребена в териториалните води на държавите членки, в които се дължи данъкът. Евентуалното задължение за подаване на такива декларации за всяка държава членка, чиито териториални води са засегнати, би породило огромна административна тежест за корабособствениците.</w:t>
      </w:r>
    </w:p>
    <w:p>
      <w:pPr>
        <w:pBdr>
          <w:top w:val="nil"/>
          <w:left w:val="nil"/>
          <w:bottom w:val="nil"/>
          <w:right w:val="nil"/>
          <w:between w:val="nil"/>
          <w:bar w:val="nil"/>
        </w:pBdr>
        <w:spacing w:before="0" w:after="240"/>
        <w:rPr>
          <w:rFonts w:eastAsia="Arial Unicode MS"/>
          <w:i/>
          <w:noProof/>
        </w:rPr>
      </w:pPr>
      <w:r>
        <w:rPr>
          <w:i/>
          <w:noProof/>
        </w:rPr>
        <w:lastRenderedPageBreak/>
        <w:t>Транспортна политика</w:t>
      </w:r>
    </w:p>
    <w:p>
      <w:pPr>
        <w:pBdr>
          <w:top w:val="nil"/>
          <w:left w:val="nil"/>
          <w:bottom w:val="nil"/>
          <w:right w:val="nil"/>
          <w:between w:val="nil"/>
          <w:bar w:val="nil"/>
        </w:pBdr>
        <w:spacing w:before="0" w:after="240"/>
        <w:rPr>
          <w:rFonts w:eastAsia="Arial Unicode MS"/>
          <w:noProof/>
        </w:rPr>
      </w:pPr>
      <w:r>
        <w:rPr>
          <w:noProof/>
        </w:rPr>
        <w:t>Мярката е съобразена с Препоръка 2006/339/ЕО на Комисията за насърчаване на бреговото електрозахранване на корабите при престоя им в пристанища на Съюза</w:t>
      </w:r>
      <w:r>
        <w:rPr>
          <w:rStyle w:val="FootnoteReference"/>
          <w:rFonts w:eastAsia="Arial Unicode MS"/>
          <w:noProof/>
        </w:rPr>
        <w:footnoteReference w:id="15"/>
      </w:r>
      <w:r>
        <w:rPr>
          <w:noProof/>
        </w:rPr>
        <w:t xml:space="preserve"> и със съобщението на Комисията, озаглавено „Стратегически цели и препоръки за политиката на ЕС в областта на морския транспорт“</w:t>
      </w:r>
      <w:r>
        <w:rPr>
          <w:rStyle w:val="FootnoteReference"/>
          <w:rFonts w:eastAsia="Arial Unicode MS"/>
          <w:noProof/>
        </w:rPr>
        <w:footnoteReference w:id="16"/>
      </w:r>
      <w:r>
        <w:rPr>
          <w:noProof/>
        </w:rPr>
        <w:t>.</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t>От гледна точка на вътрешния пазар и лоялната конкуренция мярката единствено намалява съществуващото данъчно неравновесие между два конкуриращи се източника на електроенергия за кораби при престоя им на котвена стоянка в пристанища — производството на електроенергия на борда на плавателни съдове и наземното електроснабдяване — породено от освобождаването от данъчно облагане на котелното гориво.</w:t>
      </w:r>
    </w:p>
    <w:p>
      <w:pPr>
        <w:pBdr>
          <w:top w:val="nil"/>
          <w:left w:val="nil"/>
          <w:bottom w:val="nil"/>
          <w:right w:val="nil"/>
          <w:between w:val="nil"/>
          <w:bar w:val="nil"/>
        </w:pBdr>
        <w:spacing w:before="0" w:after="240"/>
        <w:rPr>
          <w:rFonts w:eastAsia="Arial Unicode MS"/>
          <w:noProof/>
        </w:rPr>
      </w:pPr>
      <w:r>
        <w:rPr>
          <w:noProof/>
        </w:rPr>
        <w:t>Компетентните шведски органи не са констатирали значително пренасочване на корабособствениците към пристанища със съоръжения за наземно електроснабдяване. Понастоящем такова електроснабдяване се използва най-вече от фериботите и от корабите, извършващи линейно корабоплаване. Корабособствениците не избират пристанището в зависимост от наличието или липсата на наземно електроснабдяване. Според заинтересованите страни круизните кораби често избират котвени стоянки, осигуряващи достъп до наземно електроснабдяване.</w:t>
      </w:r>
    </w:p>
    <w:p>
      <w:pPr>
        <w:pBdr>
          <w:top w:val="nil"/>
          <w:left w:val="nil"/>
          <w:bottom w:val="nil"/>
          <w:right w:val="nil"/>
          <w:between w:val="nil"/>
          <w:bar w:val="nil"/>
        </w:pBdr>
        <w:spacing w:before="0" w:after="240"/>
        <w:rPr>
          <w:rFonts w:eastAsia="Arial Unicode MS"/>
          <w:noProof/>
        </w:rPr>
      </w:pPr>
      <w:r>
        <w:rPr>
          <w:noProof/>
        </w:rPr>
        <w:t>Наземното електроснабдяване ще бъде достъпно за всички заинтересовани кораби независимо от знамето, под което плават, като националните икономически оператори няма да се ползват от по-благоприятно данъчно третиране в сравнение с техните конкуренти от другите държави — членки на ЕС.</w:t>
      </w:r>
    </w:p>
    <w:p>
      <w:pPr>
        <w:pBdr>
          <w:top w:val="nil"/>
          <w:left w:val="nil"/>
          <w:bottom w:val="nil"/>
          <w:right w:val="nil"/>
          <w:between w:val="nil"/>
          <w:bar w:val="nil"/>
        </w:pBdr>
        <w:spacing w:before="0" w:after="240"/>
        <w:rPr>
          <w:rFonts w:eastAsia="Arial Unicode MS"/>
          <w:noProof/>
        </w:rPr>
      </w:pPr>
      <w:r>
        <w:rPr>
          <w:noProof/>
        </w:rPr>
        <w:t>По отношение на конкуренцията между пристанищата може да се очаква, че потенциалното отражение върху търговията между държавите членки, ако плавателните съдове променят маршрутите си поради възможността да използват наземно електроснабдяване при намалена данъчна ставка, ще бъде незначително. Както беше посочено по-горе, при положение, че въпреки намаляването на данъка няма вероятност използването на наземно електроснабдяване — поне в краткосрочен план — да стане по-икономично от производството на енергия на борда на плавателните съдове, не съществува и вероятност данъчното намаление за наземното електроснабдяване да наруши значително конкуренцията между пристанищата, като стимулира плавателните съдове да променят маршрута си според наличието на такъв вариант.</w:t>
      </w:r>
    </w:p>
    <w:p>
      <w:pPr>
        <w:pBdr>
          <w:top w:val="nil"/>
          <w:left w:val="nil"/>
          <w:bottom w:val="nil"/>
          <w:right w:val="nil"/>
          <w:between w:val="nil"/>
          <w:bar w:val="nil"/>
        </w:pBdr>
        <w:spacing w:before="0" w:after="240"/>
        <w:rPr>
          <w:rFonts w:eastAsia="Arial Unicode MS"/>
          <w:noProof/>
        </w:rPr>
      </w:pPr>
      <w:r>
        <w:rPr>
          <w:noProof/>
        </w:rPr>
        <w:t>Поради времевата рамка, за която се предлага удължаване на разрешението за прилагане на намалена данъчна ставка, освен ако няма съществени промени в настоящата рамка и ситуация, е малко вероятно анализът, съдържащ се в предходните параграфи, да се промени преди датата на изтичане на мярката.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Договора за функционирането на Европейския съюз, само по себе си не попада в изключителната компетентност на Европейския съюз по смисъла на член 3 от този договор.</w:t>
      </w:r>
    </w:p>
    <w:p>
      <w:pPr>
        <w:pBdr>
          <w:top w:val="nil"/>
          <w:left w:val="nil"/>
          <w:bottom w:val="nil"/>
          <w:right w:val="nil"/>
          <w:between w:val="nil"/>
          <w:bar w:val="nil"/>
        </w:pBdr>
        <w:spacing w:before="0" w:after="240"/>
        <w:rPr>
          <w:rFonts w:eastAsia="Arial Unicode MS"/>
          <w:noProof/>
        </w:rPr>
      </w:pPr>
      <w:r>
        <w:rPr>
          <w:noProof/>
        </w:rPr>
        <w:t>Същевременно, в съответствие с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Съответно държавите членки не могат да изземат функциите на Съвета. В резултат на това принципът на субсидиарност не е приложим към настоящото решение за изпълнение. Във всеки случай, тъй като настоящият акт не е проект на законодателен акт, той не следва да се изпраща на националните парламенти, съгласно Протокол № 2 към Договорите,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Намаляването на данъка не надхвърля необходимото за постигане на съответната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Мярката не налага оценка на действащото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Швеция, и засяга само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Представената от Швеция информация показва, че мярката ще окаже ограничено въздействие върху данъчните приходи. По-конкретно, според изготвена от </w:t>
      </w:r>
      <w:r>
        <w:rPr>
          <w:noProof/>
        </w:rPr>
        <w:lastRenderedPageBreak/>
        <w:t>компетентните шведски органи оценка на данъчните разходи вследствие на мярката, през следващите години се очакват загуби от 6 милиона SEK годишно.</w:t>
      </w:r>
    </w:p>
    <w:p>
      <w:pPr>
        <w:pBdr>
          <w:top w:val="nil"/>
          <w:left w:val="nil"/>
          <w:bottom w:val="nil"/>
          <w:right w:val="nil"/>
          <w:between w:val="nil"/>
          <w:bar w:val="nil"/>
        </w:pBdr>
        <w:spacing w:before="0" w:after="240"/>
        <w:rPr>
          <w:rFonts w:eastAsia="Arial Unicode MS"/>
          <w:noProof/>
        </w:rPr>
      </w:pPr>
      <w:r>
        <w:rPr>
          <w:noProof/>
        </w:rPr>
        <w:t>Шведската страна очаква мярката да окаже положително въздействие върху постигането на националните екологични цели, и по-специално върху подобряването на качеството на въздуха в съответствие с Директива 2008/50/ЕО относно качеството на атмосферния въздух и за по-чист въздух за Европа. Използването на наземно електроснабдяване е довело до намаляване на емисиите на серен диоксид, азотни оксиди, фини прахови частици и въглеродни оксиди. Пълният потенциал на мярката не е достигнат, тъй като е необходимо скъпоструващо оборудване както на кейовете, така и на корабите.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резултат от искането, подадено от Швеция,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не създава финансова, нито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План за изпълнение не е необходим. Настоящото предложение се отнася до предоставяне на разрешение за намаляване на данък за отделна държава членка по нейно искане. То се предоставя за ограничен срок до 31 декември 2023 г. Данъчната ставка, която ще се прилага, трябва да бъде съобразена с минималното равнище на данъчно облагане, установено с Директивата за данъчно облагане на енергийните продукти и електроенергията. Мярката може да бъде подложена на оценка в случай на искане за подновяване след изтичането на срока на валидност.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В предложението не се съдържа изискване да се предоставят обяснителни документи по отношение на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предвижда, че на Швеция ще бъде разрешено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шведски пристанища („наземно електроснабдяване“). Данъчната ставка трябва да е съобразена с минималното равнище на данъчно облагане на електроенергията за стопански цели, определено в директивата. На корабите за частно плаване за развлечение съгласно определението в член 14, параграф 1, буква в), втора алинея от Директива 2003/96/ЕО няма да може да се доставя електроенергия по намалената ставка.</w:t>
      </w:r>
    </w:p>
    <w:p>
      <w:pPr>
        <w:pBdr>
          <w:top w:val="nil"/>
          <w:left w:val="nil"/>
          <w:bottom w:val="nil"/>
          <w:right w:val="nil"/>
          <w:between w:val="nil"/>
          <w:bar w:val="nil"/>
        </w:pBdr>
        <w:spacing w:before="0" w:after="240"/>
        <w:rPr>
          <w:rFonts w:eastAsia="Arial Unicode MS"/>
          <w:noProof/>
        </w:rPr>
      </w:pPr>
      <w:r>
        <w:rPr>
          <w:noProof/>
        </w:rPr>
        <w:lastRenderedPageBreak/>
        <w:t>В член 2 се предвижда, че исканото разрешение се предоставя от 26 юни 2020 г. в съответствие с действащото Решение за изпълнение 2014/725/ЕС на Съвета до 31 декември 2023 г. в рамките на максималния шестгодишен срок, разрешен от директивата, както е поискано от Швеция.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Швеция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17"/>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за изпълнение 2014/725/ЕС на Съвета</w:t>
      </w:r>
      <w:r>
        <w:rPr>
          <w:rStyle w:val="FootnoteReference"/>
          <w:noProof/>
        </w:rPr>
        <w:footnoteReference w:id="18"/>
      </w:r>
      <w:r>
        <w:rPr>
          <w:noProof/>
        </w:rPr>
        <w:t xml:space="preserve"> на Швеция беше предоставено разрешение да прилага до 25 юни 2020 г. намалена ставка за данъчно облагане на електроенергията, която се доставя пряко на плавателни съдове при престоя им на котвена стоянка в пристанища („наземно електроснабдяване“), в съответствие с член 19 от Директива 2003/96/ЕО.</w:t>
      </w:r>
    </w:p>
    <w:p>
      <w:pPr>
        <w:pStyle w:val="ManualConsidrant"/>
        <w:rPr>
          <w:noProof/>
        </w:rPr>
      </w:pPr>
      <w:r>
        <w:t>(2)</w:t>
      </w:r>
      <w:r>
        <w:tab/>
      </w:r>
      <w:r>
        <w:rPr>
          <w:noProof/>
        </w:rPr>
        <w:t>С писмо от 15 август 2019 г. Швеция поиска разрешение да продължи да прилага намалена ставка за данъчно облагане на електроенергията при наземно електроснабдяване съгласно член 19 от Директива 2003/96/ЕО. С писмо от 1 април 2020 г. компетентните шведски органи предоставиха допълнителна информация.</w:t>
      </w:r>
    </w:p>
    <w:p>
      <w:pPr>
        <w:pStyle w:val="ManualConsidrant"/>
        <w:rPr>
          <w:noProof/>
        </w:rPr>
      </w:pPr>
      <w:r>
        <w:t>(3)</w:t>
      </w:r>
      <w:r>
        <w:tab/>
      </w:r>
      <w:r>
        <w:rPr>
          <w:noProof/>
        </w:rPr>
        <w:t>С намалената данъчна ставка, която възнамеряват да прилагат, компетентните шведски органи имат за цел да продължат да насърчават използването на наземно електроснабдяване. Използването на такова електроснабдяване се счита за по-малко вреден за околната среда начин за задоволяване на нуждите на плавателните съдове от електроенергия при престоя им на котвена стоянка в пристанища в сравнение с изгарянето на корабни горива от тези плавателни съдове.</w:t>
      </w:r>
    </w:p>
    <w:p>
      <w:pPr>
        <w:pStyle w:val="ManualConsidrant"/>
        <w:rPr>
          <w:noProof/>
        </w:rPr>
      </w:pPr>
      <w:r>
        <w:t>(4)</w:t>
      </w:r>
      <w:r>
        <w:tab/>
      </w:r>
      <w:r>
        <w:rPr>
          <w:noProof/>
        </w:rPr>
        <w:t>Тъй като с наземното електроснабдяване се предотвратяват емисии на замърсители на въздуха, генерирани от изгарянето на корабни горива, използването на такова електроснабдяване допринася за подобряване на качеството на въздуха в района на пристанищните градове и за намаляване на шума. Поради това се очаква мярката да допринесе за постигането на целите на политиките на Съюза в областта на околната среда, здравеопазването и климата.</w:t>
      </w:r>
    </w:p>
    <w:p>
      <w:pPr>
        <w:pStyle w:val="ManualConsidrant"/>
        <w:rPr>
          <w:noProof/>
        </w:rPr>
      </w:pPr>
      <w:r>
        <w:lastRenderedPageBreak/>
        <w:t>(5)</w:t>
      </w:r>
      <w:r>
        <w:tab/>
      </w:r>
      <w:r>
        <w:rPr>
          <w:noProof/>
        </w:rPr>
        <w:t>Предоставянето на Швеция на разрешение да прилага намалена ставка за данъчно облагане на електроенергията при наземно електроснабдяване не надхвърля необходимото, за да се повиши използването на такова електроснабдяване, тъй като в повечето случаи производството на електроенергия на борда на плавателните съдове ще продължи да бъде по-конкурентната алтернатива. По същата причина, както и поради настоящата сравнително ниска степен на навлизане на технологията на пазара, няма вероятност мярката да доведе до значително нарушаване на конкуренцията през периода на действието си и следователно няма да се отрази неблагоприятно върху правилното функциониране на вътрешния пазар.</w:t>
      </w:r>
    </w:p>
    <w:p>
      <w:pPr>
        <w:pStyle w:val="ManualConsidrant"/>
        <w:rPr>
          <w:noProof/>
        </w:rPr>
      </w:pPr>
      <w:r>
        <w:t>(6)</w:t>
      </w:r>
      <w:r>
        <w:tab/>
      </w:r>
      <w:r>
        <w:rPr>
          <w:noProof/>
        </w:rPr>
        <w:t xml:space="preserve">Съгласно член 19, параграф 2 от Директива 2003/96/ЕО всяко разрешение, предоставено по силата на тази разпоредба, трябва да бъде строго ограничено във времето. За да се гарантира, че срокът на разрешението е достатъчно дълъг, така че съответните икономически оператори да не бъдат възпирани да извършват необходимите инвестиции, е уместно разрешението да се предостави до 31 декември 2023 г. Разрешението следва обаче да престане да се прилага от датата на прилагане на всички общи разпоредби относно данъчните облекчения за наземно електроснабдяване, приети от Съвета съгласно член 113, или друга приложима разпоредба от Договора за функционирането на Европейския съюз, в случай че разпоредбите станат приложими преди 31 декември 2023 г. </w:t>
      </w:r>
    </w:p>
    <w:p>
      <w:pPr>
        <w:pStyle w:val="ManualConsidrant"/>
        <w:rPr>
          <w:noProof/>
        </w:rPr>
      </w:pPr>
      <w:r>
        <w:t>(7)</w:t>
      </w:r>
      <w:r>
        <w:tab/>
      </w:r>
      <w:r>
        <w:rPr>
          <w:noProof/>
        </w:rPr>
        <w:t>С цел да се предостави правна сигурност за пристанищните и корабните оператори и да се избегне евентуалното увеличаване на административната тежест за разпределителите и преразпределителите на електроенергия, на Швеция следва да се гарантира възможността да продължи да прилага намалена данъчна ставка по отношение на наземното електроснабдяване. Поради това поисканото разрешение следва да се предостави, считано от 26 юни 2020 г., за да има приемственост с предишните разпоредби съгласно Решение за изпълнение 2014/725/ЕС на Съвета.</w:t>
      </w:r>
    </w:p>
    <w:p>
      <w:pPr>
        <w:pStyle w:val="ManualConsidrant"/>
        <w:rPr>
          <w:noProof/>
        </w:rPr>
      </w:pPr>
      <w:r>
        <w:t>(8)</w:t>
      </w:r>
      <w:r>
        <w:tab/>
      </w:r>
      <w:r>
        <w:rPr>
          <w:noProof/>
        </w:rPr>
        <w:t>Настоящото решение не засяга прилагането на правилата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Швеция се предоставя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пристанища („наземно електроснабдяване“), при условие че се спазват минималните равнища на данъчно облагане съгласно член 10 от Директива 2003/96/ЕО.</w:t>
      </w:r>
    </w:p>
    <w:p>
      <w:pPr>
        <w:pStyle w:val="Titrearticle"/>
        <w:rPr>
          <w:noProof/>
        </w:rPr>
      </w:pPr>
      <w:r>
        <w:rPr>
          <w:noProof/>
        </w:rPr>
        <w:lastRenderedPageBreak/>
        <w:t>Член 2</w:t>
      </w:r>
    </w:p>
    <w:p>
      <w:pPr>
        <w:keepNext/>
        <w:keepLines/>
        <w:rPr>
          <w:noProof/>
        </w:rPr>
      </w:pPr>
      <w:r>
        <w:rPr>
          <w:noProof/>
        </w:rPr>
        <w:t>Настоящото решение се прилага от 26 юни 2020 г. до 31 декември 2023 г.</w:t>
      </w:r>
    </w:p>
    <w:p>
      <w:pPr>
        <w:keepNext/>
        <w:keepLines/>
        <w:rPr>
          <w:noProof/>
        </w:rPr>
      </w:pPr>
      <w:r>
        <w:rPr>
          <w:noProof/>
        </w:rPr>
        <w:t>Ако обаче Съветът, като действа въз основа на член 113 или друга съответна разпоредба от Договора за функционирането на Европейския съюз, предвиди общи правила за данъчни облекчения за наземното електроснабдяване, прилагането на настоящото решение трябва да се преустанови в деня, в който станат приложими тези общи правила.</w:t>
      </w:r>
    </w:p>
    <w:p>
      <w:pPr>
        <w:pStyle w:val="Titrearticle"/>
        <w:rPr>
          <w:noProof/>
        </w:rPr>
      </w:pPr>
      <w:r>
        <w:rPr>
          <w:noProof/>
        </w:rPr>
        <w:t>Член 3</w:t>
      </w:r>
    </w:p>
    <w:p>
      <w:pPr>
        <w:rPr>
          <w:noProof/>
        </w:rPr>
      </w:pPr>
      <w:r>
        <w:rPr>
          <w:noProof/>
        </w:rPr>
        <w:t>Адресат на настоящото решение е Кралство Швеция.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31.10.2003 г., стр. 51—70.</w:t>
      </w:r>
    </w:p>
  </w:footnote>
  <w:footnote w:id="2">
    <w:p>
      <w:pPr>
        <w:pStyle w:val="FootnoteText"/>
      </w:pPr>
      <w:r>
        <w:rPr>
          <w:rStyle w:val="FootnoteReference"/>
        </w:rPr>
        <w:footnoteRef/>
      </w:r>
      <w:r>
        <w:tab/>
        <w:t>ОВ L 301, 21.10.2014 г., стр. 27—28.</w:t>
      </w:r>
    </w:p>
  </w:footnote>
  <w:footnote w:id="3">
    <w:p>
      <w:pPr>
        <w:pStyle w:val="FootnoteText"/>
      </w:pPr>
      <w:r>
        <w:rPr>
          <w:rStyle w:val="FootnoteReference"/>
        </w:rPr>
        <w:footnoteRef/>
      </w:r>
      <w:r>
        <w:tab/>
        <w:t>ОВ L 170, 30.6.2011 г., стр. 36—37.</w:t>
      </w:r>
    </w:p>
  </w:footnote>
  <w:footnote w:id="4">
    <w:p>
      <w:pPr>
        <w:pStyle w:val="FootnoteText"/>
      </w:pPr>
      <w:r>
        <w:rPr>
          <w:rStyle w:val="FootnoteReference"/>
        </w:rPr>
        <w:footnoteRef/>
      </w:r>
      <w:r>
        <w:tab/>
        <w:t>Определение на понятието „частно плаване за развлечение“ се съдържа в член 14, параграф 1, буква в), втора алинея от Директива 2003/96/ЕО.</w:t>
      </w:r>
    </w:p>
  </w:footnote>
  <w:footnote w:id="5">
    <w:p>
      <w:pPr>
        <w:pStyle w:val="FootnoteText"/>
      </w:pPr>
      <w:r>
        <w:rPr>
          <w:rStyle w:val="FootnoteReference"/>
        </w:rPr>
        <w:footnoteRef/>
      </w:r>
      <w:r>
        <w:tab/>
        <w:t>Всички изчисления се основават на обменния курс към 1 октомври 2018 г., според който 1 EUR се равнява на 10,3300 SEK. Вж. ОВ C 353/1, 2.10.2018 г.</w:t>
      </w:r>
    </w:p>
  </w:footnote>
  <w:footnote w:id="6">
    <w:p>
      <w:pPr>
        <w:pStyle w:val="FootnoteText"/>
      </w:pPr>
      <w:r>
        <w:rPr>
          <w:rStyle w:val="FootnoteReference"/>
        </w:rPr>
        <w:footnoteRef/>
      </w:r>
      <w: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1—78).</w:t>
      </w:r>
    </w:p>
  </w:footnote>
  <w:footnote w:id="7">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в пристанища на Общността (ОВ L 125, 12.5.2006 г.).</w:t>
      </w:r>
    </w:p>
  </w:footnote>
  <w:footnote w:id="8">
    <w:p>
      <w:pPr>
        <w:pStyle w:val="FootnoteText"/>
      </w:pPr>
      <w:r>
        <w:rPr>
          <w:rStyle w:val="FootnoteReference"/>
        </w:rPr>
        <w:footnoteRef/>
      </w:r>
      <w:r>
        <w:tab/>
        <w:t>SWD(2019) 329 final.</w:t>
      </w:r>
    </w:p>
  </w:footnote>
  <w:footnote w:id="9">
    <w:p>
      <w:pPr>
        <w:pStyle w:val="FootnoteText"/>
      </w:pPr>
      <w:r>
        <w:rPr>
          <w:rStyle w:val="FootnoteReference"/>
        </w:rPr>
        <w:footnoteRef/>
      </w:r>
      <w:r>
        <w:tab/>
        <w:t>Заключения на Съвета от 28 ноември 2019 г., 14608/19, FISC 458.</w:t>
      </w:r>
      <w:r>
        <w:rPr>
          <w:sz w:val="24"/>
          <w:szCs w:val="22"/>
        </w:rPr>
        <w:t xml:space="preserve"> </w:t>
      </w:r>
    </w:p>
  </w:footnote>
  <w:footnote w:id="10">
    <w:p>
      <w:pPr>
        <w:pStyle w:val="FootnoteText"/>
      </w:pPr>
      <w:r>
        <w:rPr>
          <w:rStyle w:val="FootnoteReference"/>
        </w:rPr>
        <w:footnoteRef/>
      </w:r>
      <w:r>
        <w:tab/>
        <w:t>Всички изчисления се основават на обменния курс към 1 октомври 2018 г., според който 1 EUR се равнява на 10,3300 SEK. Вж. ОВ C 353/1, 2.10.2018 г.</w:t>
      </w:r>
    </w:p>
  </w:footnote>
  <w:footnote w:id="11">
    <w:p>
      <w:pPr>
        <w:pStyle w:val="FootnoteText"/>
      </w:pPr>
      <w:r>
        <w:rPr>
          <w:rStyle w:val="FootnoteReference"/>
        </w:rPr>
        <w:footnoteRef/>
      </w:r>
      <w:r>
        <w:tab/>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p>
  </w:footnote>
  <w:footnote w:id="12">
    <w:p>
      <w:pPr>
        <w:pStyle w:val="FootnoteText"/>
      </w:pPr>
      <w:r>
        <w:rPr>
          <w:rStyle w:val="FootnoteReference"/>
        </w:rPr>
        <w:footnoteRef/>
      </w:r>
      <w:r>
        <w:tab/>
        <w:t>Директива (ЕС) 2016/802 на Европейския парламент и на Съвета от 11 май 2016 г. относно намаляването на съдържанието на сяра в определени течни горива (ОВ L 132, 21.5.2016 г., стр. 58—78).</w:t>
      </w:r>
    </w:p>
  </w:footnote>
  <w:footnote w:id="13">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footnote>
  <w:footnote w:id="14">
    <w:p>
      <w:pPr>
        <w:pStyle w:val="FootnoteText"/>
      </w:pPr>
      <w:r>
        <w:rPr>
          <w:rStyle w:val="FootnoteReference"/>
        </w:rPr>
        <w:footnoteRef/>
      </w:r>
      <w:r>
        <w:tab/>
        <w:t>C(2014) 2231 final, 9 април 2014 г.</w:t>
      </w:r>
    </w:p>
  </w:footnote>
  <w:footnote w:id="15">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в пристанища на Общността (ОВ L 125, 12.5.2006 г.).</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Стратегически цели и препоръки за политиката на ЕС в областта на морския транспорт до 2018 г., COM(2009) 8 окончателен, 21 януари 2009 г.</w:t>
      </w:r>
    </w:p>
  </w:footnote>
  <w:footnote w:id="17">
    <w:p>
      <w:pPr>
        <w:pStyle w:val="FootnoteText"/>
      </w:pPr>
      <w:r>
        <w:rPr>
          <w:rStyle w:val="FootnoteReference"/>
        </w:rPr>
        <w:footnoteRef/>
      </w:r>
      <w:r>
        <w:tab/>
        <w:t>ОВ L 283, 31.10.2003 г., стр. 51.</w:t>
      </w:r>
    </w:p>
  </w:footnote>
  <w:footnote w:id="18">
    <w:p>
      <w:pPr>
        <w:pStyle w:val="FootnoteText"/>
      </w:pPr>
      <w:r>
        <w:rPr>
          <w:rStyle w:val="FootnoteReference"/>
        </w:rPr>
        <w:footnoteRef/>
      </w:r>
      <w:r>
        <w:tab/>
        <w:t>ОВ L 301, 21.10.2014 г., стр. 27—28.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5: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A71E02-75F8-4327-A987-427EB22309F1"/>
    <w:docVar w:name="LW_COVERPAGE_TYPE" w:val="1"/>
    <w:docVar w:name="LW_CROSSREFERENCE" w:val="&lt;UNUSED&gt;"/>
    <w:docVar w:name="LW_DocType" w:val="COM"/>
    <w:docVar w:name="LW_EMISSION" w:val="14.9.2020"/>
    <w:docVar w:name="LW_EMISSION_ISODATE" w:val="2020-09-1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4"/>
    <w:docVar w:name="LW_REF.II.NEW.CP_YEAR" w:val="2020"/>
    <w:docVar w:name="LW_REF.INST.NEW" w:val="COM"/>
    <w:docVar w:name="LW_REF.INST.NEW_ADOPTED" w:val="final"/>
    <w:docVar w:name="LW_REF.INST.NEW_TEXT" w:val="(2020)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4?\u1074?\u1077?\u1094?\u1080?\u1103? \u1076?\u1072? \u1087?\u1088?\u1080?\u1083?\u1072?\u1075?\u1072? \u1085?\u1072?\u1084?\u1072?\u1083?\u1077?\u1085?\u1072? \u1089?\u1090?\u1072?\u1074?\u1082?\u1072? \u1079?\u1072? \u1076?\u1072?\u1085?\u1098?\u1095?\u1085?\u1086? \u1086?\u1073?\u1083?\u1072?\u1075?\u1072?\u1085?\u1077? \u1085?\u1072? \u1077?\u1083?\u1077?\u1082?\u1090?\u1088?\u1086?\u1077?\u1085?\u1077?\u1088?\u1075?\u1080?\u1103?\u1090?\u1072?, \u1082?\u1086?\u1103?\u1090?\u1086? \u1089?\u1077? \u1076?\u1086?\u1089?\u1090?\u1072?\u1074?\u1103? \u1087?\u1088?\u1103?\u1082?\u1086? \u1085?\u1072? \u1087?\u1083?\u1072?\u1074?\u1072?\u1090?\u1077?\u1083?\u1085?\u1080? \u1089?\u1098?\u1076?\u1086?\u1074?\u1077? \u1087?\u1088?\u1080? \u1087?\u1088?\u1077?\u1089?\u1090?\u1086?\u1103? \u1080?\u1084? \u1085?\u1072? \u1082?\u1086?\u1090?\u1074?\u1077?\u1085?\u1072? \u1089?\u1090?\u1086?\u1103?\u1085?\u1082?\u1072? \u1074? \u1087?\u1088?\u1080?\u1089?\u1090?\u1072?\u1085?\u1080?\u1097?\u1072?,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540-714B-4F4E-9B8D-F3DFA69D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4334</Words>
  <Characters>26094</Characters>
  <Application>Microsoft Office Word</Application>
  <DocSecurity>0</DocSecurity>
  <Lines>457</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2020-09-01T08:42:00Z</dcterms:created>
  <dcterms:modified xsi:type="dcterms:W3CDTF">2020-09-11T07:35:00Z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