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A55FDADA-6983-4780-AEE4-92D7F44FB046" style="width:450.4pt;height:406.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1"/>
          <w:cols w:space="720"/>
          <w:docGrid w:linePitch="360"/>
        </w:sectPr>
      </w:pPr>
    </w:p>
    <w:p>
      <w:pPr>
        <w:jc w:val="center"/>
        <w:rPr>
          <w:noProof/>
          <w:color w:val="4F81BD" w:themeColor="accent1"/>
        </w:rPr>
      </w:pPr>
      <w:bookmarkStart w:id="1" w:name="_GoBack"/>
      <w:bookmarkEnd w:id="1"/>
    </w:p>
    <w:p>
      <w:pPr>
        <w:pStyle w:val="TOCHeading"/>
        <w:rPr>
          <w:noProof/>
        </w:rPr>
      </w:pPr>
      <w:r>
        <w:rPr>
          <w:noProof/>
        </w:rPr>
        <w:t>LEGISLATIVE FINANCIAL STATEMENT</w:t>
      </w:r>
    </w:p>
    <w:bookmarkStart w:id="2"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50541078" w:history="1">
            <w:r>
              <w:rPr>
                <w:rStyle w:val="Hyperlink"/>
                <w:noProof/>
              </w:rPr>
              <w:t>1.</w:t>
            </w:r>
            <w:r>
              <w:rPr>
                <w:rFonts w:asciiTheme="minorHAnsi" w:eastAsiaTheme="minorEastAsia" w:hAnsiTheme="minorHAnsi" w:cstheme="minorBidi"/>
                <w:noProof/>
                <w:sz w:val="22"/>
                <w:lang w:val="en-US"/>
              </w:rPr>
              <w:tab/>
            </w:r>
            <w:r>
              <w:rPr>
                <w:rStyle w:val="Hyperlink"/>
                <w:noProof/>
              </w:rPr>
              <w:t>FRAMEWORK OF THE PROPOSAL/INITIATIVE</w:t>
            </w:r>
            <w:r>
              <w:rPr>
                <w:noProof/>
                <w:webHidden/>
              </w:rPr>
              <w:tab/>
            </w:r>
            <w:r>
              <w:rPr>
                <w:noProof/>
                <w:webHidden/>
              </w:rPr>
              <w:fldChar w:fldCharType="begin"/>
            </w:r>
            <w:r>
              <w:rPr>
                <w:noProof/>
                <w:webHidden/>
              </w:rPr>
              <w:instrText xml:space="preserve"> PAGEREF _Toc50541078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79" w:history="1">
            <w:r>
              <w:rPr>
                <w:rStyle w:val="Hyperlink"/>
                <w:noProof/>
              </w:rPr>
              <w:t>1.1.</w:t>
            </w:r>
            <w:r>
              <w:rPr>
                <w:rFonts w:asciiTheme="minorHAnsi" w:eastAsiaTheme="minorEastAsia" w:hAnsiTheme="minorHAnsi" w:cstheme="minorBidi"/>
                <w:noProof/>
                <w:sz w:val="22"/>
                <w:lang w:val="en-US"/>
              </w:rPr>
              <w:tab/>
            </w:r>
            <w:r>
              <w:rPr>
                <w:rStyle w:val="Hyperlink"/>
                <w:noProof/>
              </w:rPr>
              <w:t>Title of the proposal/initiative</w:t>
            </w:r>
            <w:r>
              <w:rPr>
                <w:noProof/>
                <w:webHidden/>
              </w:rPr>
              <w:tab/>
            </w:r>
            <w:r>
              <w:rPr>
                <w:noProof/>
                <w:webHidden/>
              </w:rPr>
              <w:fldChar w:fldCharType="begin"/>
            </w:r>
            <w:r>
              <w:rPr>
                <w:noProof/>
                <w:webHidden/>
              </w:rPr>
              <w:instrText xml:space="preserve"> PAGEREF _Toc50541079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80" w:history="1">
            <w:r>
              <w:rPr>
                <w:rStyle w:val="Hyperlink"/>
                <w:noProof/>
              </w:rPr>
              <w:t>1.2.</w:t>
            </w:r>
            <w:r>
              <w:rPr>
                <w:rFonts w:asciiTheme="minorHAnsi" w:eastAsiaTheme="minorEastAsia" w:hAnsiTheme="minorHAnsi" w:cstheme="minorBidi"/>
                <w:noProof/>
                <w:sz w:val="22"/>
                <w:lang w:val="en-US"/>
              </w:rPr>
              <w:tab/>
            </w:r>
            <w:r>
              <w:rPr>
                <w:rStyle w:val="Hyperlink"/>
                <w:noProof/>
              </w:rPr>
              <w:t>Policy area(s) concerned</w:t>
            </w:r>
            <w:r>
              <w:rPr>
                <w:rStyle w:val="Hyperlink"/>
                <w:i/>
                <w:noProof/>
              </w:rPr>
              <w:t xml:space="preserve"> (Programme cluster)</w:t>
            </w:r>
            <w:r>
              <w:rPr>
                <w:noProof/>
                <w:webHidden/>
              </w:rPr>
              <w:tab/>
            </w:r>
            <w:r>
              <w:rPr>
                <w:noProof/>
                <w:webHidden/>
              </w:rPr>
              <w:fldChar w:fldCharType="begin"/>
            </w:r>
            <w:r>
              <w:rPr>
                <w:noProof/>
                <w:webHidden/>
              </w:rPr>
              <w:instrText xml:space="preserve"> PAGEREF _Toc50541080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81" w:history="1">
            <w:r>
              <w:rPr>
                <w:rStyle w:val="Hyperlink"/>
                <w:noProof/>
              </w:rPr>
              <w:t>1.3.</w:t>
            </w:r>
            <w:r>
              <w:rPr>
                <w:rFonts w:asciiTheme="minorHAnsi" w:eastAsiaTheme="minorEastAsia" w:hAnsiTheme="minorHAnsi" w:cstheme="minorBidi"/>
                <w:noProof/>
                <w:sz w:val="22"/>
                <w:lang w:val="en-US"/>
              </w:rPr>
              <w:tab/>
            </w:r>
            <w:r>
              <w:rPr>
                <w:rStyle w:val="Hyperlink"/>
                <w:noProof/>
              </w:rPr>
              <w:t>The proposal/initiative relates to:</w:t>
            </w:r>
            <w:r>
              <w:rPr>
                <w:noProof/>
                <w:webHidden/>
              </w:rPr>
              <w:tab/>
            </w:r>
            <w:r>
              <w:rPr>
                <w:noProof/>
                <w:webHidden/>
              </w:rPr>
              <w:fldChar w:fldCharType="begin"/>
            </w:r>
            <w:r>
              <w:rPr>
                <w:noProof/>
                <w:webHidden/>
              </w:rPr>
              <w:instrText xml:space="preserve"> PAGEREF _Toc50541081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82" w:history="1">
            <w:r>
              <w:rPr>
                <w:rStyle w:val="Hyperlink"/>
                <w:noProof/>
              </w:rPr>
              <w:t>1.4.</w:t>
            </w:r>
            <w:r>
              <w:rPr>
                <w:rFonts w:asciiTheme="minorHAnsi" w:eastAsiaTheme="minorEastAsia" w:hAnsiTheme="minorHAnsi" w:cstheme="minorBidi"/>
                <w:noProof/>
                <w:sz w:val="22"/>
                <w:lang w:val="en-US"/>
              </w:rPr>
              <w:tab/>
            </w:r>
            <w:r>
              <w:rPr>
                <w:rStyle w:val="Hyperlink"/>
                <w:noProof/>
              </w:rPr>
              <w:t>Grounds for the proposal/initiative</w:t>
            </w:r>
            <w:r>
              <w:rPr>
                <w:noProof/>
                <w:webHidden/>
              </w:rPr>
              <w:tab/>
            </w:r>
            <w:r>
              <w:rPr>
                <w:noProof/>
                <w:webHidden/>
              </w:rPr>
              <w:fldChar w:fldCharType="begin"/>
            </w:r>
            <w:r>
              <w:rPr>
                <w:noProof/>
                <w:webHidden/>
              </w:rPr>
              <w:instrText xml:space="preserve"> PAGEREF _Toc50541082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83" w:history="1">
            <w:r>
              <w:rPr>
                <w:rStyle w:val="Hyperlink"/>
                <w:noProof/>
              </w:rPr>
              <w:t>1.4.1.</w:t>
            </w:r>
            <w:r>
              <w:rPr>
                <w:rFonts w:asciiTheme="minorHAnsi" w:eastAsiaTheme="minorEastAsia" w:hAnsiTheme="minorHAnsi" w:cstheme="minorBidi"/>
                <w:noProof/>
                <w:sz w:val="22"/>
                <w:lang w:val="en-US"/>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_Toc50541083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84" w:history="1">
            <w:r>
              <w:rPr>
                <w:rStyle w:val="Hyperlink"/>
                <w:noProof/>
              </w:rPr>
              <w:t>1.4.2.</w:t>
            </w:r>
            <w:r>
              <w:rPr>
                <w:rFonts w:asciiTheme="minorHAnsi" w:eastAsiaTheme="minorEastAsia" w:hAnsiTheme="minorHAnsi" w:cstheme="minorBidi"/>
                <w:noProof/>
                <w:sz w:val="22"/>
                <w:lang w:val="en-US"/>
              </w:rPr>
              <w:tab/>
            </w:r>
            <w:r>
              <w:rPr>
                <w:rStyle w:val="Hyperlink"/>
                <w:noProof/>
              </w:rPr>
              <w:t>Added value of Union involvement</w:t>
            </w:r>
            <w:r>
              <w:rPr>
                <w:noProof/>
                <w:webHidden/>
              </w:rPr>
              <w:tab/>
            </w:r>
            <w:r>
              <w:rPr>
                <w:noProof/>
                <w:webHidden/>
              </w:rPr>
              <w:fldChar w:fldCharType="begin"/>
            </w:r>
            <w:r>
              <w:rPr>
                <w:noProof/>
                <w:webHidden/>
              </w:rPr>
              <w:instrText xml:space="preserve"> PAGEREF _Toc50541084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85" w:history="1">
            <w:r>
              <w:rPr>
                <w:rStyle w:val="Hyperlink"/>
                <w:noProof/>
              </w:rPr>
              <w:t>1.4.3.</w:t>
            </w:r>
            <w:r>
              <w:rPr>
                <w:rFonts w:asciiTheme="minorHAnsi" w:eastAsiaTheme="minorEastAsia" w:hAnsiTheme="minorHAnsi" w:cstheme="minorBidi"/>
                <w:noProof/>
                <w:sz w:val="22"/>
                <w:lang w:val="en-US"/>
              </w:rPr>
              <w:tab/>
            </w:r>
            <w:r>
              <w:rPr>
                <w:rStyle w:val="Hyperlink"/>
                <w:noProof/>
              </w:rPr>
              <w:t>Lessons learned from similar experiences in the past</w:t>
            </w:r>
            <w:r>
              <w:rPr>
                <w:noProof/>
                <w:webHidden/>
              </w:rPr>
              <w:tab/>
            </w:r>
            <w:r>
              <w:rPr>
                <w:noProof/>
                <w:webHidden/>
              </w:rPr>
              <w:fldChar w:fldCharType="begin"/>
            </w:r>
            <w:r>
              <w:rPr>
                <w:noProof/>
                <w:webHidden/>
              </w:rPr>
              <w:instrText xml:space="preserve"> PAGEREF _Toc50541085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86" w:history="1">
            <w:r>
              <w:rPr>
                <w:rStyle w:val="Hyperlink"/>
                <w:noProof/>
              </w:rPr>
              <w:t>1.4.4.</w:t>
            </w:r>
            <w:r>
              <w:rPr>
                <w:rFonts w:asciiTheme="minorHAnsi" w:eastAsiaTheme="minorEastAsia" w:hAnsiTheme="minorHAnsi" w:cstheme="minorBidi"/>
                <w:noProof/>
                <w:sz w:val="22"/>
                <w:lang w:val="en-US"/>
              </w:rPr>
              <w:tab/>
            </w:r>
            <w:r>
              <w:rPr>
                <w:rStyle w:val="Hyperlink"/>
                <w:noProof/>
              </w:rPr>
              <w:t>Compatibility and possible synergy with other appropriate instruments</w:t>
            </w:r>
            <w:r>
              <w:rPr>
                <w:noProof/>
                <w:webHidden/>
              </w:rPr>
              <w:tab/>
            </w:r>
            <w:r>
              <w:rPr>
                <w:noProof/>
                <w:webHidden/>
              </w:rPr>
              <w:fldChar w:fldCharType="begin"/>
            </w:r>
            <w:r>
              <w:rPr>
                <w:noProof/>
                <w:webHidden/>
              </w:rPr>
              <w:instrText xml:space="preserve"> PAGEREF _Toc50541086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87" w:history="1">
            <w:r>
              <w:rPr>
                <w:rStyle w:val="Hyperlink"/>
                <w:noProof/>
              </w:rPr>
              <w:t>1.5.</w:t>
            </w:r>
            <w:r>
              <w:rPr>
                <w:rFonts w:asciiTheme="minorHAnsi" w:eastAsiaTheme="minorEastAsia" w:hAnsiTheme="minorHAnsi" w:cstheme="minorBidi"/>
                <w:noProof/>
                <w:sz w:val="22"/>
                <w:lang w:val="en-US"/>
              </w:rPr>
              <w:tab/>
            </w:r>
            <w:r>
              <w:rPr>
                <w:rStyle w:val="Hyperlink"/>
                <w:noProof/>
              </w:rPr>
              <w:t>Duration and financial impact</w:t>
            </w:r>
            <w:r>
              <w:rPr>
                <w:noProof/>
                <w:webHidden/>
              </w:rPr>
              <w:tab/>
            </w:r>
            <w:r>
              <w:rPr>
                <w:noProof/>
                <w:webHidden/>
              </w:rPr>
              <w:fldChar w:fldCharType="begin"/>
            </w:r>
            <w:r>
              <w:rPr>
                <w:noProof/>
                <w:webHidden/>
              </w:rPr>
              <w:instrText xml:space="preserve"> PAGEREF _Toc50541087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88" w:history="1">
            <w:r>
              <w:rPr>
                <w:rStyle w:val="Hyperlink"/>
                <w:noProof/>
              </w:rPr>
              <w:t>1.6.</w:t>
            </w:r>
            <w:r>
              <w:rPr>
                <w:rFonts w:asciiTheme="minorHAnsi" w:eastAsiaTheme="minorEastAsia" w:hAnsiTheme="minorHAnsi" w:cstheme="minorBidi"/>
                <w:noProof/>
                <w:sz w:val="22"/>
                <w:lang w:val="en-US"/>
              </w:rPr>
              <w:tab/>
            </w:r>
            <w:r>
              <w:rPr>
                <w:rStyle w:val="Hyperlink"/>
                <w:noProof/>
              </w:rPr>
              <w:t>Management mode(s) planned</w:t>
            </w:r>
            <w:r>
              <w:rPr>
                <w:noProof/>
                <w:webHidden/>
              </w:rPr>
              <w:tab/>
            </w:r>
            <w:r>
              <w:rPr>
                <w:noProof/>
                <w:webHidden/>
              </w:rPr>
              <w:fldChar w:fldCharType="begin"/>
            </w:r>
            <w:r>
              <w:rPr>
                <w:noProof/>
                <w:webHidden/>
              </w:rPr>
              <w:instrText xml:space="preserve"> PAGEREF _Toc50541088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50541089" w:history="1">
            <w:r>
              <w:rPr>
                <w:rStyle w:val="Hyperlink"/>
                <w:noProof/>
              </w:rPr>
              <w:t>2.</w:t>
            </w:r>
            <w:r>
              <w:rPr>
                <w:rFonts w:asciiTheme="minorHAnsi" w:eastAsiaTheme="minorEastAsia" w:hAnsiTheme="minorHAnsi" w:cstheme="minorBidi"/>
                <w:noProof/>
                <w:sz w:val="22"/>
                <w:lang w:val="en-US"/>
              </w:rPr>
              <w:tab/>
            </w:r>
            <w:r>
              <w:rPr>
                <w:rStyle w:val="Hyperlink"/>
                <w:noProof/>
              </w:rPr>
              <w:t>MANAGEMENT MEASURES</w:t>
            </w:r>
            <w:r>
              <w:rPr>
                <w:noProof/>
                <w:webHidden/>
              </w:rPr>
              <w:tab/>
            </w:r>
            <w:r>
              <w:rPr>
                <w:noProof/>
                <w:webHidden/>
              </w:rPr>
              <w:fldChar w:fldCharType="begin"/>
            </w:r>
            <w:r>
              <w:rPr>
                <w:noProof/>
                <w:webHidden/>
              </w:rPr>
              <w:instrText xml:space="preserve"> PAGEREF _Toc50541089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90" w:history="1">
            <w:r>
              <w:rPr>
                <w:rStyle w:val="Hyperlink"/>
                <w:noProof/>
              </w:rPr>
              <w:t>2.1.</w:t>
            </w:r>
            <w:r>
              <w:rPr>
                <w:rFonts w:asciiTheme="minorHAnsi" w:eastAsiaTheme="minorEastAsia" w:hAnsiTheme="minorHAnsi" w:cstheme="minorBidi"/>
                <w:noProof/>
                <w:sz w:val="22"/>
                <w:lang w:val="en-US"/>
              </w:rPr>
              <w:tab/>
            </w:r>
            <w:r>
              <w:rPr>
                <w:rStyle w:val="Hyperlink"/>
                <w:noProof/>
              </w:rPr>
              <w:t>Monitoring and reporting rules</w:t>
            </w:r>
            <w:r>
              <w:rPr>
                <w:noProof/>
                <w:webHidden/>
              </w:rPr>
              <w:tab/>
            </w:r>
            <w:r>
              <w:rPr>
                <w:noProof/>
                <w:webHidden/>
              </w:rPr>
              <w:fldChar w:fldCharType="begin"/>
            </w:r>
            <w:r>
              <w:rPr>
                <w:noProof/>
                <w:webHidden/>
              </w:rPr>
              <w:instrText xml:space="preserve"> PAGEREF _Toc50541090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91" w:history="1">
            <w:r>
              <w:rPr>
                <w:rStyle w:val="Hyperlink"/>
                <w:noProof/>
              </w:rPr>
              <w:t>2.2.</w:t>
            </w:r>
            <w:r>
              <w:rPr>
                <w:rFonts w:asciiTheme="minorHAnsi" w:eastAsiaTheme="minorEastAsia" w:hAnsiTheme="minorHAnsi" w:cstheme="minorBidi"/>
                <w:noProof/>
                <w:sz w:val="22"/>
                <w:lang w:val="en-US"/>
              </w:rPr>
              <w:tab/>
            </w:r>
            <w:r>
              <w:rPr>
                <w:rStyle w:val="Hyperlink"/>
                <w:noProof/>
              </w:rPr>
              <w:t>Management and control system(s)</w:t>
            </w:r>
            <w:r>
              <w:rPr>
                <w:noProof/>
                <w:webHidden/>
              </w:rPr>
              <w:tab/>
            </w:r>
            <w:r>
              <w:rPr>
                <w:noProof/>
                <w:webHidden/>
              </w:rPr>
              <w:fldChar w:fldCharType="begin"/>
            </w:r>
            <w:r>
              <w:rPr>
                <w:noProof/>
                <w:webHidden/>
              </w:rPr>
              <w:instrText xml:space="preserve"> PAGEREF _Toc50541091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92" w:history="1">
            <w:r>
              <w:rPr>
                <w:rStyle w:val="Hyperlink"/>
                <w:noProof/>
              </w:rPr>
              <w:t>2.2.1.</w:t>
            </w:r>
            <w:r>
              <w:rPr>
                <w:rFonts w:asciiTheme="minorHAnsi" w:eastAsiaTheme="minorEastAsia" w:hAnsiTheme="minorHAnsi" w:cstheme="minorBidi"/>
                <w:noProof/>
                <w:sz w:val="22"/>
                <w:lang w:val="en-US"/>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_Toc50541092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93" w:history="1">
            <w:r>
              <w:rPr>
                <w:rStyle w:val="Hyperlink"/>
                <w:noProof/>
              </w:rPr>
              <w:t>2.2.2.</w:t>
            </w:r>
            <w:r>
              <w:rPr>
                <w:rFonts w:asciiTheme="minorHAnsi" w:eastAsiaTheme="minorEastAsia" w:hAnsiTheme="minorHAnsi" w:cstheme="minorBidi"/>
                <w:noProof/>
                <w:sz w:val="22"/>
                <w:lang w:val="en-US"/>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_Toc50541093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94" w:history="1">
            <w:r>
              <w:rPr>
                <w:rStyle w:val="Hyperlink"/>
                <w:noProof/>
              </w:rPr>
              <w:t>2.2.3.</w:t>
            </w:r>
            <w:r>
              <w:rPr>
                <w:rFonts w:asciiTheme="minorHAnsi" w:eastAsiaTheme="minorEastAsia" w:hAnsiTheme="minorHAnsi" w:cstheme="minorBidi"/>
                <w:noProof/>
                <w:sz w:val="22"/>
                <w:lang w:val="en-US"/>
              </w:rPr>
              <w:tab/>
            </w:r>
            <w:r>
              <w:rPr>
                <w:rStyle w:val="Hyperlink"/>
                <w:noProof/>
              </w:rPr>
              <w:t>Estimation and justification of the cost-effectiveness of the controls (ratio of "control costs ÷ value of the related funds managed"), and assessment of the expected levels of risk of error (at payment &amp; at closure)</w:t>
            </w:r>
            <w:r>
              <w:rPr>
                <w:noProof/>
                <w:webHidden/>
              </w:rPr>
              <w:tab/>
            </w:r>
            <w:r>
              <w:rPr>
                <w:noProof/>
                <w:webHidden/>
              </w:rPr>
              <w:fldChar w:fldCharType="begin"/>
            </w:r>
            <w:r>
              <w:rPr>
                <w:noProof/>
                <w:webHidden/>
              </w:rPr>
              <w:instrText xml:space="preserve"> PAGEREF _Toc50541094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95" w:history="1">
            <w:r>
              <w:rPr>
                <w:rStyle w:val="Hyperlink"/>
                <w:noProof/>
              </w:rPr>
              <w:t>2.3.</w:t>
            </w:r>
            <w:r>
              <w:rPr>
                <w:rFonts w:asciiTheme="minorHAnsi" w:eastAsiaTheme="minorEastAsia" w:hAnsiTheme="minorHAnsi" w:cstheme="minorBidi"/>
                <w:noProof/>
                <w:sz w:val="22"/>
                <w:lang w:val="en-US"/>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_Toc50541095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50541096" w:history="1">
            <w:r>
              <w:rPr>
                <w:rStyle w:val="Hyperlink"/>
                <w:noProof/>
              </w:rPr>
              <w:t>3.</w:t>
            </w:r>
            <w:r>
              <w:rPr>
                <w:rFonts w:asciiTheme="minorHAnsi" w:eastAsiaTheme="minorEastAsia" w:hAnsiTheme="minorHAnsi" w:cstheme="minorBidi"/>
                <w:noProof/>
                <w:sz w:val="22"/>
                <w:lang w:val="en-US"/>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_Toc50541096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97" w:history="1">
            <w:r>
              <w:rPr>
                <w:rStyle w:val="Hyperlink"/>
                <w:noProof/>
              </w:rPr>
              <w:t>3.1.</w:t>
            </w:r>
            <w:r>
              <w:rPr>
                <w:rFonts w:asciiTheme="minorHAnsi" w:eastAsiaTheme="minorEastAsia" w:hAnsiTheme="minorHAnsi" w:cstheme="minorBidi"/>
                <w:noProof/>
                <w:sz w:val="22"/>
                <w:lang w:val="en-US"/>
              </w:rPr>
              <w:tab/>
            </w:r>
            <w:r>
              <w:rPr>
                <w:rStyle w:val="Hyperlink"/>
                <w:noProof/>
              </w:rPr>
              <w:t>Heading of the multiannual financial framework and new expenditure budget line(s) proposed</w:t>
            </w:r>
            <w:r>
              <w:rPr>
                <w:noProof/>
                <w:webHidden/>
              </w:rPr>
              <w:tab/>
            </w:r>
            <w:r>
              <w:rPr>
                <w:noProof/>
                <w:webHidden/>
              </w:rPr>
              <w:fldChar w:fldCharType="begin"/>
            </w:r>
            <w:r>
              <w:rPr>
                <w:noProof/>
                <w:webHidden/>
              </w:rPr>
              <w:instrText xml:space="preserve"> PAGEREF _Toc50541097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098" w:history="1">
            <w:r>
              <w:rPr>
                <w:rStyle w:val="Hyperlink"/>
                <w:noProof/>
              </w:rPr>
              <w:t>3.2.</w:t>
            </w:r>
            <w:r>
              <w:rPr>
                <w:rFonts w:asciiTheme="minorHAnsi" w:eastAsiaTheme="minorEastAsia" w:hAnsiTheme="minorHAnsi" w:cstheme="minorBidi"/>
                <w:noProof/>
                <w:sz w:val="22"/>
                <w:lang w:val="en-US"/>
              </w:rPr>
              <w:tab/>
            </w:r>
            <w:r>
              <w:rPr>
                <w:rStyle w:val="Hyperlink"/>
                <w:noProof/>
              </w:rPr>
              <w:t>Estimated impact on expenditure</w:t>
            </w:r>
            <w:r>
              <w:rPr>
                <w:noProof/>
                <w:webHidden/>
              </w:rPr>
              <w:tab/>
            </w:r>
            <w:r>
              <w:rPr>
                <w:noProof/>
                <w:webHidden/>
              </w:rPr>
              <w:fldChar w:fldCharType="begin"/>
            </w:r>
            <w:r>
              <w:rPr>
                <w:noProof/>
                <w:webHidden/>
              </w:rPr>
              <w:instrText xml:space="preserve"> PAGEREF _Toc50541098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099" w:history="1">
            <w:r>
              <w:rPr>
                <w:rStyle w:val="Hyperlink"/>
                <w:noProof/>
              </w:rPr>
              <w:t>3.2.1.</w:t>
            </w:r>
            <w:r>
              <w:rPr>
                <w:rFonts w:asciiTheme="minorHAnsi" w:eastAsiaTheme="minorEastAsia" w:hAnsiTheme="minorHAnsi" w:cstheme="minorBidi"/>
                <w:noProof/>
                <w:sz w:val="22"/>
                <w:lang w:val="en-US"/>
              </w:rPr>
              <w:tab/>
            </w:r>
            <w:r>
              <w:rPr>
                <w:rStyle w:val="Hyperlink"/>
                <w:noProof/>
              </w:rPr>
              <w:t>Sumary of estimated impact on expenditure</w:t>
            </w:r>
            <w:r>
              <w:rPr>
                <w:noProof/>
                <w:webHidden/>
              </w:rPr>
              <w:tab/>
            </w:r>
            <w:r>
              <w:rPr>
                <w:noProof/>
                <w:webHidden/>
              </w:rPr>
              <w:fldChar w:fldCharType="begin"/>
            </w:r>
            <w:r>
              <w:rPr>
                <w:noProof/>
                <w:webHidden/>
              </w:rPr>
              <w:instrText xml:space="preserve"> PAGEREF _Toc50541099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100" w:history="1">
            <w:r>
              <w:rPr>
                <w:rStyle w:val="Hyperlink"/>
                <w:noProof/>
              </w:rPr>
              <w:t>3.2.2.</w:t>
            </w:r>
            <w:r>
              <w:rPr>
                <w:rFonts w:asciiTheme="minorHAnsi" w:eastAsiaTheme="minorEastAsia" w:hAnsiTheme="minorHAnsi" w:cstheme="minorBidi"/>
                <w:noProof/>
                <w:sz w:val="22"/>
                <w:lang w:val="en-US"/>
              </w:rPr>
              <w:tab/>
            </w:r>
            <w:r>
              <w:rPr>
                <w:rStyle w:val="Hyperlink"/>
                <w:noProof/>
              </w:rPr>
              <w:t>Estimated impact on JU’s human resources</w:t>
            </w:r>
            <w:r>
              <w:rPr>
                <w:noProof/>
                <w:webHidden/>
              </w:rPr>
              <w:tab/>
            </w:r>
            <w:r>
              <w:rPr>
                <w:noProof/>
                <w:webHidden/>
              </w:rPr>
              <w:fldChar w:fldCharType="begin"/>
            </w:r>
            <w:r>
              <w:rPr>
                <w:noProof/>
                <w:webHidden/>
              </w:rPr>
              <w:instrText xml:space="preserve"> PAGEREF _Toc50541100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101" w:history="1">
            <w:r>
              <w:rPr>
                <w:rStyle w:val="Hyperlink"/>
                <w:noProof/>
              </w:rPr>
              <w:t>3.2.3.</w:t>
            </w:r>
            <w:r>
              <w:rPr>
                <w:rFonts w:asciiTheme="minorHAnsi" w:eastAsiaTheme="minorEastAsia" w:hAnsiTheme="minorHAnsi" w:cstheme="minorBidi"/>
                <w:noProof/>
                <w:sz w:val="22"/>
                <w:lang w:val="en-US"/>
              </w:rPr>
              <w:tab/>
            </w:r>
            <w:r>
              <w:rPr>
                <w:rStyle w:val="Hyperlink"/>
                <w:noProof/>
              </w:rPr>
              <w:t>Estimated requirements of human resources Commission</w:t>
            </w:r>
            <w:r>
              <w:rPr>
                <w:noProof/>
                <w:webHidden/>
              </w:rPr>
              <w:tab/>
            </w:r>
            <w:r>
              <w:rPr>
                <w:noProof/>
                <w:webHidden/>
              </w:rPr>
              <w:fldChar w:fldCharType="begin"/>
            </w:r>
            <w:r>
              <w:rPr>
                <w:noProof/>
                <w:webHidden/>
              </w:rPr>
              <w:instrText xml:space="preserve"> PAGEREF _Toc50541101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lang w:val="en-US"/>
            </w:rPr>
          </w:pPr>
          <w:hyperlink w:anchor="_Toc50541102" w:history="1">
            <w:r>
              <w:rPr>
                <w:rStyle w:val="Hyperlink"/>
                <w:noProof/>
              </w:rPr>
              <w:t>3.2.4.</w:t>
            </w:r>
            <w:r>
              <w:rPr>
                <w:rFonts w:asciiTheme="minorHAnsi" w:eastAsiaTheme="minorEastAsia" w:hAnsiTheme="minorHAnsi" w:cstheme="minorBidi"/>
                <w:noProof/>
                <w:sz w:val="22"/>
                <w:lang w:val="en-US"/>
              </w:rPr>
              <w:tab/>
            </w:r>
            <w:r>
              <w:rPr>
                <w:rStyle w:val="Hyperlink"/>
                <w:noProof/>
              </w:rPr>
              <w:t>Third-party contributions</w:t>
            </w:r>
            <w:r>
              <w:rPr>
                <w:noProof/>
                <w:webHidden/>
              </w:rPr>
              <w:tab/>
            </w:r>
            <w:r>
              <w:rPr>
                <w:noProof/>
                <w:webHidden/>
              </w:rPr>
              <w:fldChar w:fldCharType="begin"/>
            </w:r>
            <w:r>
              <w:rPr>
                <w:noProof/>
                <w:webHidden/>
              </w:rPr>
              <w:instrText xml:space="preserve"> PAGEREF _Toc50541102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val="en-US"/>
            </w:rPr>
          </w:pPr>
          <w:hyperlink w:anchor="_Toc50541103" w:history="1">
            <w:r>
              <w:rPr>
                <w:rStyle w:val="Hyperlink"/>
                <w:noProof/>
              </w:rPr>
              <w:t>3.3.</w:t>
            </w:r>
            <w:r>
              <w:rPr>
                <w:rFonts w:asciiTheme="minorHAnsi" w:eastAsiaTheme="minorEastAsia" w:hAnsiTheme="minorHAnsi" w:cstheme="minorBidi"/>
                <w:noProof/>
                <w:sz w:val="22"/>
                <w:lang w:val="en-US"/>
              </w:rPr>
              <w:tab/>
            </w:r>
            <w:r>
              <w:rPr>
                <w:rStyle w:val="Hyperlink"/>
                <w:noProof/>
              </w:rPr>
              <w:t>Estimated impact on revenue</w:t>
            </w:r>
            <w:r>
              <w:rPr>
                <w:noProof/>
                <w:webHidden/>
              </w:rPr>
              <w:tab/>
            </w:r>
            <w:r>
              <w:rPr>
                <w:noProof/>
                <w:webHidden/>
              </w:rPr>
              <w:fldChar w:fldCharType="begin"/>
            </w:r>
            <w:r>
              <w:rPr>
                <w:noProof/>
                <w:webHidden/>
              </w:rPr>
              <w:instrText xml:space="preserve"> PAGEREF _Toc50541103 \h </w:instrText>
            </w:r>
            <w:r>
              <w:rPr>
                <w:noProof/>
                <w:webHidden/>
              </w:rPr>
            </w:r>
            <w:r>
              <w:rPr>
                <w:noProof/>
                <w:webHidden/>
              </w:rPr>
              <w:fldChar w:fldCharType="separate"/>
            </w:r>
            <w:r>
              <w:rPr>
                <w:noProof/>
                <w:webHidden/>
              </w:rPr>
              <w:t>16</w:t>
            </w:r>
            <w:r>
              <w:rPr>
                <w:noProof/>
                <w:webHidden/>
              </w:rPr>
              <w:fldChar w:fldCharType="end"/>
            </w:r>
          </w:hyperlink>
        </w:p>
        <w:p>
          <w:pPr>
            <w:rPr>
              <w:noProof/>
            </w:rPr>
          </w:pPr>
          <w:r>
            <w:rPr>
              <w:b/>
              <w:bCs/>
              <w:noProof/>
            </w:rPr>
            <w:fldChar w:fldCharType="end"/>
          </w:r>
        </w:p>
      </w:sdtContent>
    </w:sdt>
    <w:p>
      <w:pPr>
        <w:rPr>
          <w:noProof/>
        </w:rPr>
        <w:sectPr>
          <w:headerReference w:type="even" r:id="rId19"/>
          <w:headerReference w:type="default" r:id="rId20"/>
          <w:footerReference w:type="even" r:id="rId21"/>
          <w:footerReference w:type="default" r:id="rId22"/>
          <w:headerReference w:type="first" r:id="rId23"/>
          <w:footerReference w:type="first" r:id="rId24"/>
          <w:pgSz w:w="11907" w:h="16840" w:code="9"/>
          <w:pgMar w:top="1134" w:right="1418" w:bottom="1134" w:left="1418" w:header="709" w:footer="709" w:gutter="0"/>
          <w:pgNumType w:start="1"/>
          <w:cols w:space="720"/>
          <w:docGrid w:linePitch="360"/>
        </w:sectPr>
      </w:pPr>
    </w:p>
    <w:p>
      <w:pPr>
        <w:pStyle w:val="Annexetitre"/>
        <w:rPr>
          <w:noProof/>
        </w:rPr>
      </w:pPr>
      <w:r>
        <w:rPr>
          <w:noProof/>
        </w:rPr>
        <w:t>LEGISLATIVE FINANCIAL STATEMENT</w:t>
      </w:r>
      <w:bookmarkEnd w:id="2"/>
    </w:p>
    <w:p>
      <w:pPr>
        <w:pStyle w:val="Heading1"/>
        <w:rPr>
          <w:noProof/>
        </w:rPr>
      </w:pPr>
      <w:bookmarkStart w:id="3" w:name="_Toc514941971"/>
      <w:bookmarkStart w:id="4" w:name="_Toc50541078"/>
      <w:r>
        <w:rPr>
          <w:noProof/>
        </w:rPr>
        <w:t>FRAMEWORK OF THE PROPOSAL/INITIATIVE</w:t>
      </w:r>
      <w:bookmarkEnd w:id="3"/>
      <w:bookmarkEnd w:id="4"/>
      <w:r>
        <w:rPr>
          <w:noProof/>
        </w:rPr>
        <w:t xml:space="preserve"> </w:t>
      </w:r>
    </w:p>
    <w:p>
      <w:pPr>
        <w:pStyle w:val="Heading2"/>
        <w:numPr>
          <w:ilvl w:val="1"/>
          <w:numId w:val="5"/>
        </w:numPr>
        <w:rPr>
          <w:noProof/>
        </w:rPr>
      </w:pPr>
      <w:bookmarkStart w:id="5" w:name="_Toc514941972"/>
      <w:bookmarkStart w:id="6" w:name="_Toc50541079"/>
      <w:r>
        <w:rPr>
          <w:noProof/>
        </w:rPr>
        <w:t>Title of the proposal/initiative</w:t>
      </w:r>
      <w:bookmarkEnd w:id="5"/>
      <w:bookmarkEnd w:id="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7" w:name="_Toc514941973"/>
      <w:r>
        <w:rPr>
          <w:rStyle w:val="Marker"/>
          <w:noProof/>
          <w:color w:val="auto"/>
        </w:rPr>
        <w:t>Council Regulation on establishing the European High Performance Computing Joint Undertaking</w:t>
      </w:r>
    </w:p>
    <w:p>
      <w:pPr>
        <w:pStyle w:val="Text1"/>
        <w:pBdr>
          <w:top w:val="single" w:sz="4" w:space="1" w:color="auto"/>
          <w:left w:val="single" w:sz="4" w:space="4" w:color="auto"/>
          <w:bottom w:val="single" w:sz="4" w:space="1" w:color="auto"/>
          <w:right w:val="single" w:sz="4" w:space="4" w:color="auto"/>
        </w:pBdr>
        <w:rPr>
          <w:noProof/>
        </w:rPr>
      </w:pPr>
    </w:p>
    <w:p>
      <w:pPr>
        <w:pStyle w:val="Heading2"/>
        <w:numPr>
          <w:ilvl w:val="1"/>
          <w:numId w:val="5"/>
        </w:numPr>
        <w:rPr>
          <w:i/>
          <w:noProof/>
        </w:rPr>
      </w:pPr>
      <w:bookmarkStart w:id="8" w:name="_Toc50541080"/>
      <w:r>
        <w:rPr>
          <w:noProof/>
        </w:rPr>
        <w:t>Policy area(s) concerned</w:t>
      </w:r>
      <w:r>
        <w:rPr>
          <w:i/>
          <w:noProof/>
        </w:rPr>
        <w:t xml:space="preserve"> (Programme cluster)</w:t>
      </w:r>
      <w:bookmarkEnd w:id="7"/>
      <w:bookmarkEnd w:id="8"/>
    </w:p>
    <w:p>
      <w:pPr>
        <w:pStyle w:val="Text1"/>
        <w:pBdr>
          <w:top w:val="single" w:sz="4" w:space="1" w:color="auto"/>
          <w:left w:val="single" w:sz="4" w:space="4" w:color="auto"/>
          <w:bottom w:val="single" w:sz="4" w:space="1" w:color="auto"/>
          <w:right w:val="single" w:sz="4" w:space="4" w:color="auto"/>
        </w:pBdr>
        <w:rPr>
          <w:rStyle w:val="Marker"/>
          <w:noProof/>
          <w:color w:val="auto"/>
        </w:rPr>
      </w:pPr>
      <w:bookmarkStart w:id="9" w:name="_Toc514941974"/>
      <w:r>
        <w:rPr>
          <w:rStyle w:val="Marker"/>
          <w:noProof/>
          <w:color w:val="auto"/>
        </w:rPr>
        <w:t>Research and Innovation &amp; European Strategic Investments</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(Advanced Computing - Horizon Europe Cluster 4, Digital, Industry and Space</w:t>
      </w:r>
      <w:r>
        <w:rPr>
          <w:rStyle w:val="Marker"/>
          <w:noProof/>
          <w:color w:val="auto"/>
        </w:rPr>
        <w:br/>
        <w:t>High Performance Computing – DEP Strategic Objective 1)</w:t>
      </w:r>
    </w:p>
    <w:p>
      <w:pPr>
        <w:pStyle w:val="Heading2"/>
        <w:numPr>
          <w:ilvl w:val="1"/>
          <w:numId w:val="5"/>
        </w:numPr>
        <w:rPr>
          <w:bCs w:val="0"/>
          <w:noProof/>
          <w:szCs w:val="24"/>
        </w:rPr>
      </w:pPr>
      <w:bookmarkStart w:id="10" w:name="_Toc50541081"/>
      <w:r>
        <w:rPr>
          <w:noProof/>
        </w:rPr>
        <w:t>The proposal/initiative relates to:</w:t>
      </w:r>
      <w:bookmarkEnd w:id="9"/>
      <w:bookmarkEnd w:id="10"/>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Heading2"/>
        <w:numPr>
          <w:ilvl w:val="1"/>
          <w:numId w:val="5"/>
        </w:numPr>
        <w:rPr>
          <w:bCs w:val="0"/>
          <w:noProof/>
          <w:szCs w:val="24"/>
        </w:rPr>
      </w:pPr>
      <w:bookmarkStart w:id="11" w:name="_Toc514941975"/>
      <w:bookmarkStart w:id="12" w:name="_Toc50541082"/>
      <w:r>
        <w:rPr>
          <w:noProof/>
        </w:rPr>
        <w:t>Grounds for the proposal/initiative</w:t>
      </w:r>
      <w:bookmarkEnd w:id="11"/>
      <w:bookmarkEnd w:id="12"/>
      <w:r>
        <w:rPr>
          <w:noProof/>
        </w:rPr>
        <w:t xml:space="preserve"> </w:t>
      </w:r>
    </w:p>
    <w:p>
      <w:pPr>
        <w:pStyle w:val="Heading3"/>
        <w:numPr>
          <w:ilvl w:val="2"/>
          <w:numId w:val="5"/>
        </w:numPr>
        <w:rPr>
          <w:noProof/>
        </w:rPr>
      </w:pPr>
      <w:bookmarkStart w:id="13" w:name="_Toc514941976"/>
      <w:bookmarkStart w:id="14" w:name="_Toc50541083"/>
      <w:r>
        <w:rPr>
          <w:noProof/>
        </w:rPr>
        <w:t>Requirement(s) to be met in the short or long term including a detailed timeline for roll-out of the implementation of the initiative</w:t>
      </w:r>
      <w:bookmarkEnd w:id="13"/>
      <w:bookmarkEnd w:id="14"/>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The aims of the EuroHPC JU are to develop, deploy, extend and maintain in the Union a world leading federated, secure and hyper-connected supercomputing, quantum computing, service and data infrastructure ecosystem; support the production of innovative and competitive supercomputing systems based on a supply chain that will ensure components, technologies and knowledge limiting the risk of disruptions and the development of a wide range of applications optimised for these systems; widen the use of this supercomputing infrastructure to a large number of public and private users, and support the development of key skills for European science and industry.</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5" w:name="_Toc50541084"/>
      <w:bookmarkStart w:id="16" w:name="_Toc514941977"/>
      <w:r>
        <w:rPr>
          <w:noProof/>
        </w:rPr>
        <w:t>Added value of Union involvement</w:t>
      </w:r>
      <w:bookmarkEnd w:id="15"/>
      <w:r>
        <w:rPr>
          <w:noProof/>
        </w:rPr>
        <w:t xml:space="preserve"> </w:t>
      </w:r>
    </w:p>
    <w:bookmarkEnd w:id="16"/>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The added value of union involvement includes: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Increasing the level of funding in HPC at European level in a single and coordinated effort with Member/Participating States.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Enhanced coordination and pooling of EU and national investments (based on SRIA)</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Rationalised implementation of national and EU investments and programmes, contributing to increasing the overall HPC investments in Europe </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Providing the EU with the best supercomputers in the world, which could not be acquired by single Participant States alone.</w:t>
      </w:r>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 xml:space="preserve">- Facilitating European Institutions/users access to the best supercomputer resources in Europe </w:t>
      </w:r>
    </w:p>
    <w:p>
      <w:pPr>
        <w:pStyle w:val="Text1"/>
        <w:pBdr>
          <w:top w:val="single" w:sz="4" w:space="1" w:color="auto"/>
          <w:left w:val="single" w:sz="4" w:space="4" w:color="auto"/>
          <w:bottom w:val="single" w:sz="4" w:space="1" w:color="auto"/>
          <w:right w:val="single" w:sz="4" w:space="4" w:color="auto"/>
        </w:pBdr>
        <w:rPr>
          <w:noProof/>
        </w:rPr>
      </w:pPr>
      <w:r>
        <w:rPr>
          <w:rStyle w:val="Marker"/>
          <w:noProof/>
          <w:color w:val="auto"/>
        </w:rPr>
        <w:t>The EuroHPC will dramatically increase the computing power supply for EU users, contribute to provide an independent European source of key technologies changing the landscape of the European supply ecosystem, and foster and widen the use of HPC across the EU</w:t>
      </w:r>
    </w:p>
    <w:p>
      <w:pPr>
        <w:pStyle w:val="Heading3"/>
        <w:numPr>
          <w:ilvl w:val="2"/>
          <w:numId w:val="5"/>
        </w:numPr>
        <w:rPr>
          <w:noProof/>
        </w:rPr>
      </w:pPr>
      <w:bookmarkStart w:id="17" w:name="_Toc514941978"/>
      <w:bookmarkStart w:id="18" w:name="_Toc50541085"/>
      <w:r>
        <w:rPr>
          <w:noProof/>
        </w:rPr>
        <w:t>Lessons learned from similar experiences in the past</w:t>
      </w:r>
      <w:bookmarkEnd w:id="17"/>
      <w:bookmarkEnd w:id="18"/>
    </w:p>
    <w:p>
      <w:pPr>
        <w:pStyle w:val="Text1"/>
        <w:pBdr>
          <w:top w:val="single" w:sz="4" w:space="1" w:color="auto"/>
          <w:left w:val="single" w:sz="4" w:space="4" w:color="auto"/>
          <w:bottom w:val="single" w:sz="4" w:space="1" w:color="auto"/>
          <w:right w:val="single" w:sz="4" w:space="4" w:color="auto"/>
        </w:pBdr>
        <w:rPr>
          <w:rStyle w:val="Marker"/>
          <w:noProof/>
          <w:color w:val="auto"/>
        </w:rPr>
      </w:pPr>
      <w:r>
        <w:rPr>
          <w:rStyle w:val="Marker"/>
          <w:noProof/>
          <w:color w:val="auto"/>
        </w:rPr>
        <w:t>The existing EuroHPC JU has already acquired solid working experience,  with extensive discussions of the stakeholders on the governance, administration and other operational and implementation aspects from which the following main lessons learnt so far can be summarised as follows:</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Simplification of the co-funding scheme: The combination of EU and national funds in the different EuroHPC activities needs to be simplified and optimised.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More flexibility in defining the acquisition time and technology of new supercomputing systems</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More flexibility in the resource allocation of the EuroHPC systems.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Well-defined access policies for the industrial/commercial use of the EuroHPC infrastructure that would enable the full exploitation of the EuroHPC capabilities in either pre-competitive research access, or in commercial terms of use</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 xml:space="preserve">A clearer framework for collaboration with relevant stakholdres: PRACE and GEANT. Specific arrangements may need to be established with PRACE for the tasks related to the allocation of the access time to the JU’s systems, and with GEANT for procuring dedicated connectivity for the EuroHPC supercomputers. </w:t>
      </w:r>
    </w:p>
    <w:p>
      <w:pPr>
        <w:pStyle w:val="Text1"/>
        <w:pBdr>
          <w:top w:val="single" w:sz="4" w:space="1" w:color="auto"/>
          <w:left w:val="single" w:sz="4" w:space="4" w:color="auto"/>
          <w:bottom w:val="single" w:sz="4" w:space="1" w:color="auto"/>
          <w:right w:val="single" w:sz="4" w:space="4" w:color="auto"/>
        </w:pBdr>
        <w:ind w:left="1435" w:hanging="585"/>
        <w:rPr>
          <w:rStyle w:val="Marker"/>
          <w:noProof/>
          <w:color w:val="auto"/>
        </w:rPr>
      </w:pPr>
      <w:r>
        <w:rPr>
          <w:rStyle w:val="Marker"/>
          <w:noProof/>
          <w:color w:val="auto"/>
        </w:rPr>
        <w:t>•</w:t>
      </w:r>
      <w:r>
        <w:rPr>
          <w:rStyle w:val="Marker"/>
          <w:noProof/>
          <w:color w:val="auto"/>
        </w:rPr>
        <w:tab/>
        <w:t>A better definition of the different contributions to the activities of EuroHPC. For example, there is a need to further define the in-kind contributions of the Participating States and of the Private Members to the EuroHPC JU; and to better define the costs that EuroHPC can/cannot support for the acquisition and operations of supercomputers.</w:t>
      </w:r>
    </w:p>
    <w:p>
      <w:pPr>
        <w:pStyle w:val="Text1"/>
        <w:pBdr>
          <w:top w:val="single" w:sz="4" w:space="1" w:color="auto"/>
          <w:left w:val="single" w:sz="4" w:space="4" w:color="auto"/>
          <w:bottom w:val="single" w:sz="4" w:space="1" w:color="auto"/>
          <w:right w:val="single" w:sz="4" w:space="4" w:color="auto"/>
        </w:pBdr>
        <w:ind w:left="1435" w:hanging="585"/>
        <w:rPr>
          <w:noProof/>
        </w:rPr>
      </w:pPr>
      <w:r>
        <w:rPr>
          <w:rStyle w:val="Marker"/>
          <w:noProof/>
          <w:color w:val="auto"/>
        </w:rPr>
        <w:t>•</w:t>
      </w:r>
      <w:r>
        <w:rPr>
          <w:rStyle w:val="Marker"/>
          <w:noProof/>
          <w:color w:val="auto"/>
        </w:rPr>
        <w:tab/>
        <w:t xml:space="preserve">More flexibility in the contribution of Private Members and other private actors to the activities of the EuroHPC JU </w:t>
      </w:r>
    </w:p>
    <w:p>
      <w:pPr>
        <w:pStyle w:val="Text1"/>
        <w:pBdr>
          <w:top w:val="single" w:sz="4" w:space="1" w:color="auto"/>
          <w:left w:val="single" w:sz="4" w:space="4" w:color="auto"/>
          <w:bottom w:val="single" w:sz="4" w:space="1" w:color="auto"/>
          <w:right w:val="single" w:sz="4" w:space="4" w:color="auto"/>
        </w:pBdr>
        <w:rPr>
          <w:noProof/>
        </w:rPr>
      </w:pPr>
    </w:p>
    <w:p>
      <w:pPr>
        <w:pStyle w:val="Heading3"/>
        <w:numPr>
          <w:ilvl w:val="2"/>
          <w:numId w:val="5"/>
        </w:numPr>
        <w:rPr>
          <w:noProof/>
        </w:rPr>
      </w:pPr>
      <w:bookmarkStart w:id="19" w:name="_Toc514941979"/>
      <w:bookmarkStart w:id="20" w:name="_Toc50541086"/>
      <w:r>
        <w:rPr>
          <w:noProof/>
        </w:rPr>
        <w:t>Compatibility and possible synergy with other appropriate instruments</w:t>
      </w:r>
      <w:bookmarkEnd w:id="19"/>
      <w:bookmarkEnd w:id="20"/>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Synergies in Horizon Europe (H-E)</w:t>
      </w:r>
    </w:p>
    <w:p>
      <w:pPr>
        <w:pStyle w:val="Text1"/>
        <w:pBdr>
          <w:top w:val="single" w:sz="4" w:space="1" w:color="auto"/>
          <w:left w:val="single" w:sz="4" w:space="4" w:color="auto"/>
          <w:bottom w:val="single" w:sz="4" w:space="1" w:color="auto"/>
          <w:right w:val="single" w:sz="4" w:space="4" w:color="auto"/>
        </w:pBdr>
        <w:jc w:val="left"/>
        <w:rPr>
          <w:noProof/>
        </w:rPr>
      </w:pPr>
      <w:r>
        <w:rPr>
          <w:noProof/>
        </w:rPr>
        <w:t>Successor to ECSEL Joint Undertaking</w:t>
      </w:r>
      <w:r>
        <w:rPr>
          <w:noProof/>
        </w:rPr>
        <w:br/>
        <w:t>Big Data, Robotics &amp; AI</w:t>
      </w:r>
      <w:r>
        <w:rPr>
          <w:noProof/>
        </w:rPr>
        <w:br/>
        <w:t>Quantum Technologies FET Flagship</w:t>
      </w:r>
      <w:r>
        <w:rPr>
          <w:noProof/>
        </w:rPr>
        <w:br/>
        <w:t xml:space="preserve">EOSC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Synergies in DEP</w:t>
      </w:r>
    </w:p>
    <w:p>
      <w:pPr>
        <w:pStyle w:val="Text1"/>
        <w:pBdr>
          <w:top w:val="single" w:sz="4" w:space="1" w:color="auto"/>
          <w:left w:val="single" w:sz="4" w:space="4" w:color="auto"/>
          <w:bottom w:val="single" w:sz="4" w:space="1" w:color="auto"/>
          <w:right w:val="single" w:sz="4" w:space="4" w:color="auto"/>
        </w:pBdr>
        <w:rPr>
          <w:noProof/>
        </w:rPr>
      </w:pPr>
      <w:r>
        <w:rPr>
          <w:noProof/>
        </w:rPr>
        <w:t>AI</w:t>
      </w:r>
      <w:r>
        <w:rPr>
          <w:noProof/>
        </w:rPr>
        <w:br/>
        <w:t>Cybersecurity</w:t>
      </w:r>
      <w:r>
        <w:rPr>
          <w:noProof/>
        </w:rPr>
        <w:br/>
        <w:t>Advanced digital skills</w:t>
      </w:r>
    </w:p>
    <w:p>
      <w:pPr>
        <w:pStyle w:val="Heading2"/>
        <w:numPr>
          <w:ilvl w:val="1"/>
          <w:numId w:val="5"/>
        </w:numPr>
        <w:rPr>
          <w:bCs w:val="0"/>
          <w:noProof/>
          <w:szCs w:val="24"/>
        </w:rPr>
      </w:pPr>
      <w:bookmarkStart w:id="21" w:name="_Toc514941980"/>
      <w:bookmarkStart w:id="22" w:name="_Toc50541087"/>
      <w:r>
        <w:rPr>
          <w:noProof/>
        </w:rPr>
        <w:t>Duration and financial impact</w:t>
      </w:r>
      <w:bookmarkEnd w:id="21"/>
      <w:bookmarkEnd w:id="22"/>
      <w:r>
        <w:rPr>
          <w:noProof/>
        </w:rPr>
        <w:t xml:space="preserve"> </w:t>
      </w:r>
    </w:p>
    <w:p>
      <w:pPr>
        <w:pStyle w:val="Text1"/>
        <w:rPr>
          <w:noProof/>
        </w:rPr>
      </w:pPr>
      <w:r>
        <w:rPr>
          <w:noProof/>
        </w:rPr>
        <w:sym w:font="Wingdings" w:char="F0FE"/>
      </w:r>
      <w:r>
        <w:rPr>
          <w:b/>
          <w:i/>
          <w:noProof/>
        </w:rPr>
        <w:t xml:space="preserve"> </w:t>
      </w:r>
      <w:r>
        <w:rPr>
          <w:b/>
          <w:noProof/>
        </w:rPr>
        <w:t xml:space="preserve">limited duration </w:t>
      </w:r>
    </w:p>
    <w:p>
      <w:pPr>
        <w:pStyle w:val="ListDash2"/>
        <w:rPr>
          <w:noProof/>
        </w:rPr>
      </w:pPr>
      <w:r>
        <w:rPr>
          <w:noProof/>
        </w:rPr>
        <w:sym w:font="Wingdings" w:char="F0FE"/>
      </w:r>
      <w:r>
        <w:rPr>
          <w:noProof/>
        </w:rPr>
        <w:tab/>
        <w:t xml:space="preserve">in effect from 01/01/2021 to 31/12/2033 </w:t>
      </w:r>
    </w:p>
    <w:p>
      <w:pPr>
        <w:pStyle w:val="ListDash2"/>
        <w:rPr>
          <w:noProof/>
        </w:rPr>
      </w:pPr>
      <w:r>
        <w:rPr>
          <w:noProof/>
        </w:rPr>
        <w:sym w:font="Wingdings" w:char="F0FE"/>
      </w:r>
      <w:r>
        <w:rPr>
          <w:noProof/>
        </w:rPr>
        <w:tab/>
        <w:t xml:space="preserve">Financial impact from 2021 to 2027 for commitment appropriations and from 2021 to 2033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Heading2"/>
        <w:numPr>
          <w:ilvl w:val="1"/>
          <w:numId w:val="5"/>
        </w:numPr>
        <w:rPr>
          <w:bCs w:val="0"/>
          <w:noProof/>
          <w:szCs w:val="24"/>
        </w:rPr>
      </w:pPr>
      <w:bookmarkStart w:id="23" w:name="_Toc514941981"/>
      <w:bookmarkStart w:id="24" w:name="_Toc50541088"/>
      <w:r>
        <w:rPr>
          <w:noProof/>
        </w:rPr>
        <w:t>Management mode(s) planned</w:t>
      </w:r>
      <w:r>
        <w:rPr>
          <w:rStyle w:val="FootnoteReference"/>
          <w:bCs w:val="0"/>
          <w:noProof/>
        </w:rPr>
        <w:footnoteReference w:id="2"/>
      </w:r>
      <w:bookmarkEnd w:id="23"/>
      <w:bookmarkEnd w:id="24"/>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E"/>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r>
        <w:rPr>
          <w:noProof/>
        </w:rPr>
        <w:t xml:space="preserve"> </w:t>
      </w:r>
    </w:p>
    <w:p>
      <w:pPr>
        <w:rPr>
          <w:noProof/>
        </w:rPr>
        <w:sectPr>
          <w:headerReference w:type="even" r:id="rId25"/>
          <w:headerReference w:type="default" r:id="rId26"/>
          <w:footerReference w:type="even" r:id="rId27"/>
          <w:footerReference w:type="default" r:id="rId28"/>
          <w:headerReference w:type="first" r:id="rId29"/>
          <w:footerReference w:type="first" r:id="rId30"/>
          <w:pgSz w:w="11907" w:h="16840" w:code="9"/>
          <w:pgMar w:top="1134" w:right="1418" w:bottom="1134" w:left="1418" w:header="709" w:footer="709" w:gutter="0"/>
          <w:cols w:space="708"/>
          <w:docGrid w:linePitch="360"/>
        </w:sectPr>
      </w:pPr>
    </w:p>
    <w:p>
      <w:pPr>
        <w:pStyle w:val="Heading1"/>
        <w:numPr>
          <w:ilvl w:val="0"/>
          <w:numId w:val="5"/>
        </w:numPr>
        <w:rPr>
          <w:bCs w:val="0"/>
          <w:noProof/>
          <w:szCs w:val="24"/>
        </w:rPr>
      </w:pPr>
      <w:bookmarkStart w:id="25" w:name="_Toc514941982"/>
      <w:bookmarkStart w:id="26" w:name="_Toc50541089"/>
      <w:r>
        <w:rPr>
          <w:noProof/>
        </w:rPr>
        <w:t>MANAGEMENT MEASURES</w:t>
      </w:r>
      <w:bookmarkEnd w:id="25"/>
      <w:bookmarkEnd w:id="26"/>
      <w:r>
        <w:rPr>
          <w:noProof/>
        </w:rPr>
        <w:t xml:space="preserve"> </w:t>
      </w:r>
    </w:p>
    <w:p>
      <w:pPr>
        <w:pStyle w:val="Heading2"/>
        <w:numPr>
          <w:ilvl w:val="1"/>
          <w:numId w:val="5"/>
        </w:numPr>
        <w:rPr>
          <w:noProof/>
        </w:rPr>
      </w:pPr>
      <w:bookmarkStart w:id="27" w:name="_Toc514941983"/>
      <w:bookmarkStart w:id="28" w:name="_Toc50541090"/>
      <w:r>
        <w:rPr>
          <w:noProof/>
        </w:rPr>
        <w:t>Monitoring and reporting rules</w:t>
      </w:r>
      <w:bookmarkEnd w:id="27"/>
      <w:bookmarkEnd w:id="2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lang w:val="en-IE"/>
        </w:rPr>
      </w:pPr>
      <w:r>
        <w:rPr>
          <w:noProof/>
        </w:rPr>
        <w:t xml:space="preserve">The activities of the Joint Undertaking will be subject to continuous monitoring and periodic reviews in accordance with its financial rules, to ensure both the highest impact and excellence, as well as the most efficient use of resources. The outcomes of monitoring and periodic reviews shall feed into the evaluations of the Joint Undertaking as part of Horizon Europe evaluations </w:t>
      </w:r>
      <w:r>
        <w:rPr>
          <w:noProof/>
          <w:lang w:val="en-IE"/>
        </w:rPr>
        <w:t>as specified in Article 47 of Regulation establishing Horizon Europe.</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In addition, the Commission will carry out an interim evaluation with the assistance of independent experts based on a transparent process no later than four years after the start of Horizon Europe implementation. The evaluation will examine how the Joint Undertaking fulfils its mission according to its economic, technological, scientific, societal and policy objectives, and evaluate the effectiveness, efficiency, relevance, coherence, and Union added value of its activities as part of Horizon Europe. The evaluation will assess its synergies and complementarities with relevant European, national and, where relevant, regional initiatives, including synergies with other parts of Horizon Europe (such as missions, clusters or thematic/specific programmes). Impacts achieved at Union and national level, taking into account the component of synergies and policy retrofitting will be given particular attention.</w:t>
      </w:r>
    </w:p>
    <w:p>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The evaluations will also include an assessment of the long-term scientific, societal, economic and policy-relevant impact of the Joint Undertaking and will include an assessment of the most effective policy intervention mode for any future action, as well as the positioning of any possible renewal of the Joint Undertaking in the overall European Partnerships landscape and its policy priorities.</w:t>
      </w:r>
    </w:p>
    <w:p>
      <w:pPr>
        <w:pStyle w:val="Heading2"/>
        <w:numPr>
          <w:ilvl w:val="1"/>
          <w:numId w:val="5"/>
        </w:numPr>
        <w:rPr>
          <w:bCs w:val="0"/>
          <w:noProof/>
          <w:szCs w:val="24"/>
        </w:rPr>
      </w:pPr>
      <w:r>
        <w:rPr>
          <w:noProof/>
          <w:lang w:val="en-IE"/>
        </w:rPr>
        <w:t xml:space="preserve"> </w:t>
      </w:r>
      <w:bookmarkStart w:id="29" w:name="_Toc514941984"/>
      <w:bookmarkStart w:id="30" w:name="_Toc50541091"/>
      <w:r>
        <w:rPr>
          <w:noProof/>
        </w:rPr>
        <w:t>Management and control system(s)</w:t>
      </w:r>
      <w:bookmarkEnd w:id="29"/>
      <w:bookmarkEnd w:id="30"/>
      <w:r>
        <w:rPr>
          <w:noProof/>
        </w:rPr>
        <w:t xml:space="preserve"> </w:t>
      </w:r>
    </w:p>
    <w:p>
      <w:pPr>
        <w:pStyle w:val="Heading3"/>
        <w:numPr>
          <w:ilvl w:val="2"/>
          <w:numId w:val="5"/>
        </w:numPr>
        <w:rPr>
          <w:noProof/>
        </w:rPr>
      </w:pPr>
      <w:bookmarkStart w:id="31" w:name="_Toc514941985"/>
      <w:bookmarkStart w:id="32" w:name="_Toc50541092"/>
      <w:r>
        <w:rPr>
          <w:noProof/>
        </w:rPr>
        <w:t>Justification of the management mode(s), the funding implementation mechanism(s), the payment modalities and the control strategy proposed</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Commission's internal auditor shall exercise the same powers over the Joint Undertaking as those exercised in respect of the Commission. Moreover, the Governing Board may arrange, as appropriate, for the establishment of an internal audit capability of the Joint Undertaking. </w:t>
      </w:r>
    </w:p>
    <w:p>
      <w:pPr>
        <w:pStyle w:val="Text1"/>
        <w:pBdr>
          <w:top w:val="single" w:sz="4" w:space="1" w:color="auto"/>
          <w:left w:val="single" w:sz="4" w:space="4" w:color="auto"/>
          <w:bottom w:val="single" w:sz="4" w:space="1" w:color="auto"/>
          <w:right w:val="single" w:sz="4" w:space="4" w:color="auto"/>
        </w:pBdr>
        <w:rPr>
          <w:noProof/>
        </w:rPr>
      </w:pPr>
      <w:r>
        <w:rPr>
          <w:noProof/>
        </w:rPr>
        <w:t>In compliance with Article 154 of Regulation (EU, Euratom) No 1046/2018, the Joint Undertaking will respect the principles of sound financial management, transparency and non-discrimination and will guarantee a level of protection of the financial interests of its members equivalent to that required under that Regulation.</w:t>
      </w:r>
    </w:p>
    <w:p>
      <w:pPr>
        <w:pStyle w:val="Text1"/>
        <w:pBdr>
          <w:top w:val="single" w:sz="4" w:space="1" w:color="auto"/>
          <w:left w:val="single" w:sz="4" w:space="4" w:color="auto"/>
          <w:bottom w:val="single" w:sz="4" w:space="1" w:color="auto"/>
          <w:right w:val="single" w:sz="4" w:space="4" w:color="auto"/>
        </w:pBdr>
        <w:rPr>
          <w:noProof/>
        </w:rPr>
      </w:pPr>
      <w:r>
        <w:rPr>
          <w:noProof/>
        </w:rPr>
        <w:t>Ex-post audits of expenditure on indirect actions will be carried out in compliance with the Horizon Europe Framework Programme as part of the Horizon Europe Framework Programme indirect actions.</w:t>
      </w:r>
    </w:p>
    <w:p>
      <w:pPr>
        <w:pStyle w:val="Text1"/>
        <w:pBdr>
          <w:top w:val="single" w:sz="4" w:space="1" w:color="auto"/>
          <w:left w:val="single" w:sz="4" w:space="4" w:color="auto"/>
          <w:bottom w:val="single" w:sz="4" w:space="1" w:color="auto"/>
          <w:right w:val="single" w:sz="4" w:space="4" w:color="auto"/>
        </w:pBdr>
        <w:rPr>
          <w:noProof/>
        </w:rPr>
      </w:pPr>
      <w:r>
        <w:rPr>
          <w:noProof/>
        </w:rPr>
        <w:t>In order to protect the financial interests of the Union, the Commission will in compliance with the Financial Regulation supervise the activities of the Joint Undertaking, in particular by carrying out audits and evaluations on the programme implementation, apply procedures for the examination and acceptance of the accounts and exclude from Union financing expenditure disbursements which have been made in breach of the applicable rules. It may also suspend and interrupt payments if it detects financial or administrative irregularities.</w:t>
      </w:r>
    </w:p>
    <w:p>
      <w:pPr>
        <w:pStyle w:val="Heading3"/>
        <w:numPr>
          <w:ilvl w:val="2"/>
          <w:numId w:val="5"/>
        </w:numPr>
        <w:rPr>
          <w:noProof/>
        </w:rPr>
      </w:pPr>
      <w:bookmarkStart w:id="33" w:name="_Toc514941986"/>
      <w:bookmarkStart w:id="34" w:name="_Toc50541093"/>
      <w:r>
        <w:rPr>
          <w:noProof/>
        </w:rPr>
        <w:t>Information concerning the risks identified and the internal control system(s) set up to mitigate them</w:t>
      </w:r>
      <w:bookmarkEnd w:id="33"/>
      <w:bookmarkEnd w:id="34"/>
    </w:p>
    <w:p>
      <w:pPr>
        <w:pStyle w:val="Text1"/>
        <w:pBdr>
          <w:top w:val="single" w:sz="4" w:space="1" w:color="auto"/>
          <w:left w:val="single" w:sz="4" w:space="4" w:color="auto"/>
          <w:bottom w:val="single" w:sz="4" w:space="1" w:color="auto"/>
          <w:right w:val="single" w:sz="4" w:space="4" w:color="auto"/>
        </w:pBdr>
        <w:rPr>
          <w:noProof/>
        </w:rPr>
      </w:pPr>
      <w:r>
        <w:rPr>
          <w:noProof/>
        </w:rPr>
        <w:t xml:space="preserve">The main risks identified is incorrect payment of expenditure to participants in indirect actions and incorrect implementation of the procurements of the EuroHPC supercompters. The financial management will follow the Financial Regulation of the Joint Undertaking implementing the respective administrative and financial proceses of the respective funding programs (i.e. Horizon Europe, Digital Europe, Connecting Europe Facility-2), including making use of the common IT tools. </w:t>
      </w:r>
    </w:p>
    <w:p>
      <w:pPr>
        <w:pStyle w:val="Text1"/>
        <w:pBdr>
          <w:top w:val="single" w:sz="4" w:space="1" w:color="auto"/>
          <w:left w:val="single" w:sz="4" w:space="4" w:color="auto"/>
          <w:bottom w:val="single" w:sz="4" w:space="1" w:color="auto"/>
          <w:right w:val="single" w:sz="4" w:space="4" w:color="auto"/>
        </w:pBdr>
        <w:rPr>
          <w:noProof/>
        </w:rPr>
      </w:pPr>
      <w:r>
        <w:rPr>
          <w:noProof/>
        </w:rPr>
        <w:t>The specific risk of conflicts of interest inherent to a Public-Private Partnership is addressed by a clear separation of decision powers between the Governing Board – setting the strategy and the work plans, determining the conditions for the calls for proposals and the calls for tender and deciding on the allocation of public funding.</w:t>
      </w:r>
    </w:p>
    <w:p>
      <w:pPr>
        <w:pStyle w:val="Text1"/>
        <w:pBdr>
          <w:top w:val="single" w:sz="4" w:space="1" w:color="auto"/>
          <w:left w:val="single" w:sz="4" w:space="4" w:color="auto"/>
          <w:bottom w:val="single" w:sz="4" w:space="1" w:color="auto"/>
          <w:right w:val="single" w:sz="4" w:space="4" w:color="auto"/>
        </w:pBdr>
        <w:rPr>
          <w:noProof/>
        </w:rPr>
      </w:pPr>
      <w:r>
        <w:rPr>
          <w:noProof/>
        </w:rPr>
        <w:t>Insufficient contributions from the Participating States puts at risk the acquisition or operation of the pre-exascale supercomputers, either the contributions are insufficient to acquire the supercomputers, to operate them over their economic lifecycle, or the contributions are insuficient to acquire supercomputers with a performance level that would rank them among the top three in the world. A procurement by the EuroHPC Joint Undertaking will only be launched when a firm commitment of the Participating States is received as part of the eligibility criteria in the call for expression of interest for hosting an EuroHPC supercomputer, covering the total cost of ownership.</w:t>
      </w:r>
    </w:p>
    <w:p>
      <w:pPr>
        <w:pStyle w:val="Text1"/>
        <w:pBdr>
          <w:top w:val="single" w:sz="4" w:space="1" w:color="auto"/>
          <w:left w:val="single" w:sz="4" w:space="4" w:color="auto"/>
          <w:bottom w:val="single" w:sz="4" w:space="1" w:color="auto"/>
          <w:right w:val="single" w:sz="4" w:space="4" w:color="auto"/>
        </w:pBdr>
        <w:rPr>
          <w:noProof/>
        </w:rPr>
      </w:pPr>
      <w:r>
        <w:rPr>
          <w:noProof/>
        </w:rPr>
        <w:t>In accordance with the Horizon Europe Regulation, Participating States should entrust the Joint Undertaking with the implementation of their contribution to their national participants in indirect actions. To safeguard the Union’s interests, the Participating States and the Joint Undertaking should conclude legally binding agreements committing Participating States to the payment of the full amount of their contribution to indirect actions throughout the lifetime of the initiative. Such agreements should be concluded in the context of the annual budgetary procedure and programming of the Joint Undertaking. Only after that and in line with the Joint Undertaking’s financial rules, the authorising officer should make the budgetary and legal commitments for those indirect actions.</w:t>
      </w:r>
    </w:p>
    <w:p>
      <w:pPr>
        <w:pStyle w:val="Heading3"/>
        <w:numPr>
          <w:ilvl w:val="2"/>
          <w:numId w:val="5"/>
        </w:numPr>
        <w:rPr>
          <w:noProof/>
        </w:rPr>
      </w:pPr>
      <w:bookmarkStart w:id="35" w:name="_Toc514941987"/>
      <w:bookmarkStart w:id="36" w:name="_Toc50541094"/>
      <w:r>
        <w:rPr>
          <w:noProof/>
        </w:rPr>
        <w:t>Estimation and justification of the cost-effectiveness of the controls (ratio of "control costs ÷ value of the related funds managed"), and assessment of the expected levels of risk of error (at payment &amp; at closure)</w:t>
      </w:r>
      <w:bookmarkEnd w:id="35"/>
      <w:bookmarkEnd w:id="3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As part of the Joint Undertakings created under Horizon Europe the EuroHPC Joint Undertaking will be part of the audit strategy of the Commission. In particular, the indirect actions implemented by the Joint Undertaking will be monitored by the CIC to ensure an error rate at the same level as the other actions funded under Horizon Europe.</w:t>
      </w:r>
    </w:p>
    <w:p>
      <w:pPr>
        <w:pStyle w:val="Heading2"/>
        <w:numPr>
          <w:ilvl w:val="1"/>
          <w:numId w:val="5"/>
        </w:numPr>
        <w:rPr>
          <w:bCs w:val="0"/>
          <w:noProof/>
          <w:szCs w:val="24"/>
        </w:rPr>
      </w:pPr>
      <w:bookmarkStart w:id="37" w:name="_Toc514941988"/>
      <w:bookmarkStart w:id="38" w:name="_Toc50541095"/>
      <w:r>
        <w:rPr>
          <w:noProof/>
        </w:rPr>
        <w:t>Measures to prevent fraud and irregularities</w:t>
      </w:r>
      <w:bookmarkEnd w:id="37"/>
      <w:bookmarkEnd w:id="3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have the power of audit, on the basis of documents and on-the-spot, over all grant beneficiaries, contractors and subcontractors who receive EU funds.</w:t>
      </w:r>
    </w:p>
    <w:p>
      <w:pPr>
        <w:pStyle w:val="Text1"/>
        <w:pBdr>
          <w:top w:val="single" w:sz="4" w:space="1" w:color="auto"/>
          <w:left w:val="single" w:sz="4" w:space="4" w:color="auto"/>
          <w:bottom w:val="single" w:sz="4" w:space="1" w:color="auto"/>
          <w:right w:val="single" w:sz="4" w:space="4" w:color="auto"/>
        </w:pBdr>
        <w:rPr>
          <w:noProof/>
        </w:rPr>
      </w:pPr>
      <w:r>
        <w:rPr>
          <w:noProof/>
        </w:rPr>
        <w:t>The European Anti-fraud Office (OLAF) and the European Public Prosecutor's Office (EPPO) may carry out investigations, including on-the-spot checks and inspections in accordance with the provisions and procedures laid down in Council Regulation (Euratom, EC) No 2185/96</w:t>
      </w:r>
      <w:r>
        <w:rPr>
          <w:rStyle w:val="FootnoteReference"/>
          <w:noProof/>
        </w:rPr>
        <w:footnoteReference w:id="3"/>
      </w:r>
      <w:r>
        <w:rPr>
          <w:noProof/>
        </w:rPr>
        <w:t xml:space="preserve"> and Regulation (EC, Euratom) No 883/2013 of the European Parliament and of the Council</w:t>
      </w:r>
      <w:r>
        <w:rPr>
          <w:rStyle w:val="FootnoteReference"/>
          <w:noProof/>
        </w:rPr>
        <w:footnoteReference w:id="4"/>
      </w:r>
      <w:r>
        <w:rPr>
          <w:noProof/>
        </w:rPr>
        <w:t>, with a view to establishing whether there has been fraud, corruption or any other illegal activity affecting the financial interests of the European Union in connection with a grant agreement or a contract concerning EU funding.</w:t>
      </w:r>
    </w:p>
    <w:p>
      <w:pPr>
        <w:pStyle w:val="Text1"/>
        <w:pBdr>
          <w:top w:val="single" w:sz="4" w:space="1" w:color="auto"/>
          <w:left w:val="single" w:sz="4" w:space="4" w:color="auto"/>
          <w:bottom w:val="single" w:sz="4" w:space="1" w:color="auto"/>
          <w:right w:val="single" w:sz="4" w:space="4" w:color="auto"/>
        </w:pBdr>
        <w:rPr>
          <w:noProof/>
        </w:rPr>
      </w:pPr>
      <w:r>
        <w:rPr>
          <w:noProof/>
        </w:rPr>
        <w:t>Without prejudice to the above, grant agreements and contracts resulting from the implementation of this Regulation shall expressly empower the Commission, the Court of Auditors and OLAF to conduct such audits, on-the-spot checks and inspections.</w:t>
      </w:r>
    </w:p>
    <w:p>
      <w:pPr>
        <w:pStyle w:val="Heading1"/>
        <w:numPr>
          <w:ilvl w:val="0"/>
          <w:numId w:val="5"/>
        </w:numPr>
        <w:rPr>
          <w:bCs w:val="0"/>
          <w:noProof/>
          <w:szCs w:val="24"/>
        </w:rPr>
      </w:pPr>
      <w:bookmarkStart w:id="39" w:name="_Toc514941989"/>
      <w:bookmarkStart w:id="40" w:name="_Toc50541096"/>
      <w:r>
        <w:rPr>
          <w:noProof/>
        </w:rPr>
        <w:t>ESTIMATED FINANCIAL IMPACT OF THE PROPOSAL/INITIATIVE</w:t>
      </w:r>
      <w:bookmarkEnd w:id="39"/>
      <w:bookmarkEnd w:id="40"/>
      <w:r>
        <w:rPr>
          <w:noProof/>
        </w:rPr>
        <w:t xml:space="preserve"> </w:t>
      </w:r>
    </w:p>
    <w:p>
      <w:pPr>
        <w:pStyle w:val="Heading2"/>
        <w:numPr>
          <w:ilvl w:val="1"/>
          <w:numId w:val="5"/>
        </w:numPr>
        <w:rPr>
          <w:noProof/>
        </w:rPr>
      </w:pPr>
      <w:bookmarkStart w:id="41" w:name="_Toc514941990"/>
      <w:bookmarkStart w:id="42" w:name="_Toc50541097"/>
      <w:r>
        <w:rPr>
          <w:noProof/>
        </w:rPr>
        <w:t>Heading of the multiannual financial framework and new expenditure budget line(s) proposed</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993"/>
        <w:gridCol w:w="955"/>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rStyle w:val="Marker"/>
                <w:b/>
                <w:noProof/>
                <w:sz w:val="22"/>
              </w:rPr>
            </w:pPr>
            <w:r>
              <w:rPr>
                <w:b/>
                <w:noProof/>
                <w:sz w:val="20"/>
              </w:rPr>
              <w:t>Heading 1</w:t>
            </w:r>
          </w:p>
          <w:p>
            <w:pPr>
              <w:spacing w:before="60" w:after="60"/>
              <w:rPr>
                <w:b/>
                <w:noProof/>
              </w:rPr>
            </w:pPr>
            <w:r>
              <w:rPr>
                <w:b/>
                <w:noProof/>
                <w:sz w:val="20"/>
                <w:szCs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5"/>
            </w:r>
          </w:p>
        </w:tc>
        <w:tc>
          <w:tcPr>
            <w:tcW w:w="1044" w:type="dxa"/>
            <w:vAlign w:val="center"/>
          </w:tcPr>
          <w:p>
            <w:pPr>
              <w:jc w:val="center"/>
              <w:rPr>
                <w:noProof/>
              </w:rPr>
            </w:pPr>
            <w:r>
              <w:rPr>
                <w:noProof/>
                <w:sz w:val="18"/>
              </w:rPr>
              <w:t>from EFTA countries</w:t>
            </w:r>
            <w:r>
              <w:rPr>
                <w:rStyle w:val="FootnoteReference"/>
                <w:noProof/>
                <w:sz w:val="18"/>
              </w:rPr>
              <w:footnoteReference w:id="6"/>
            </w:r>
          </w:p>
          <w:p>
            <w:pPr>
              <w:spacing w:before="0" w:after="0"/>
              <w:jc w:val="center"/>
              <w:rPr>
                <w:b/>
                <w:noProof/>
                <w:sz w:val="18"/>
              </w:rPr>
            </w:pPr>
          </w:p>
        </w:tc>
        <w:tc>
          <w:tcPr>
            <w:tcW w:w="993" w:type="dxa"/>
            <w:vAlign w:val="center"/>
          </w:tcPr>
          <w:p>
            <w:pPr>
              <w:jc w:val="center"/>
              <w:rPr>
                <w:noProof/>
              </w:rPr>
            </w:pPr>
            <w:r>
              <w:rPr>
                <w:noProof/>
                <w:sz w:val="18"/>
              </w:rPr>
              <w:t>from candidate countries</w:t>
            </w:r>
            <w:r>
              <w:rPr>
                <w:rStyle w:val="FootnoteReference"/>
                <w:noProof/>
                <w:sz w:val="18"/>
              </w:rPr>
              <w:footnoteReference w:id="7"/>
            </w:r>
          </w:p>
          <w:p>
            <w:pPr>
              <w:spacing w:before="0" w:after="0"/>
              <w:jc w:val="center"/>
              <w:rPr>
                <w:noProof/>
                <w:sz w:val="18"/>
              </w:rPr>
            </w:pPr>
          </w:p>
        </w:tc>
        <w:tc>
          <w:tcPr>
            <w:tcW w:w="955"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rFonts w:ascii="Tahoma" w:hAnsi="Tahoma" w:cs="Tahoma"/>
                <w:noProof/>
                <w:color w:val="000000"/>
                <w:sz w:val="17"/>
                <w:szCs w:val="17"/>
              </w:rPr>
              <w:t>1 - Single Market, Innovation and Digital</w:t>
            </w:r>
          </w:p>
        </w:tc>
        <w:tc>
          <w:tcPr>
            <w:tcW w:w="3960" w:type="dxa"/>
            <w:vAlign w:val="center"/>
          </w:tcPr>
          <w:p>
            <w:pPr>
              <w:spacing w:before="60"/>
              <w:jc w:val="left"/>
              <w:rPr>
                <w:rStyle w:val="Marker"/>
                <w:noProof/>
                <w:color w:val="auto"/>
                <w:sz w:val="22"/>
              </w:rPr>
            </w:pPr>
            <w:r>
              <w:rPr>
                <w:rStyle w:val="Marker"/>
                <w:noProof/>
                <w:color w:val="auto"/>
                <w:sz w:val="22"/>
              </w:rPr>
              <w:t xml:space="preserve">01 02 02 42 01 – HE - Cluster Digital, Industry and Space — High-Performance Computing joint undertaking (EuroHPC)  Support expenditure </w:t>
            </w:r>
          </w:p>
          <w:p>
            <w:pPr>
              <w:spacing w:before="60"/>
              <w:jc w:val="left"/>
              <w:rPr>
                <w:rStyle w:val="Marker"/>
                <w:noProof/>
                <w:color w:val="auto"/>
                <w:sz w:val="22"/>
              </w:rPr>
            </w:pPr>
            <w:r>
              <w:rPr>
                <w:rStyle w:val="Marker"/>
                <w:noProof/>
                <w:color w:val="auto"/>
                <w:sz w:val="22"/>
              </w:rPr>
              <w:t xml:space="preserve">01 02 02 42 02 – HE - Cluster Digital, Industry and Space — High-Performance Computing joint undertaking (EuroHPC) Operational expenditure </w:t>
            </w:r>
          </w:p>
          <w:p>
            <w:pPr>
              <w:spacing w:before="60"/>
              <w:jc w:val="left"/>
              <w:rPr>
                <w:rStyle w:val="Marker"/>
                <w:noProof/>
                <w:color w:val="auto"/>
                <w:sz w:val="22"/>
              </w:rPr>
            </w:pPr>
            <w:r>
              <w:rPr>
                <w:rStyle w:val="Marker"/>
                <w:noProof/>
                <w:color w:val="auto"/>
                <w:sz w:val="22"/>
              </w:rPr>
              <w:t xml:space="preserve">02 04 02 11 01 – DEP - High-Performance Computing joint undertaking (EuroHPC) Support expenditure </w:t>
            </w:r>
          </w:p>
          <w:p>
            <w:pPr>
              <w:spacing w:before="60"/>
              <w:jc w:val="left"/>
              <w:rPr>
                <w:rStyle w:val="Marker"/>
                <w:noProof/>
                <w:color w:val="auto"/>
                <w:sz w:val="22"/>
              </w:rPr>
            </w:pPr>
            <w:r>
              <w:rPr>
                <w:rStyle w:val="Marker"/>
                <w:noProof/>
                <w:color w:val="auto"/>
                <w:sz w:val="22"/>
              </w:rPr>
              <w:t xml:space="preserve">02 04 02 11 02 – DEP - High-Performance Computing joint undertaking (EuroHPC) Operational expenditure </w:t>
            </w:r>
          </w:p>
          <w:p>
            <w:pPr>
              <w:spacing w:after="60"/>
              <w:rPr>
                <w:noProof/>
              </w:rPr>
            </w:pPr>
            <w:r>
              <w:rPr>
                <w:noProof/>
                <w:sz w:val="22"/>
              </w:rPr>
              <w:t xml:space="preserve">02 03 03 - </w:t>
            </w:r>
            <w:r>
              <w:rPr>
                <w:rStyle w:val="Marker"/>
                <w:noProof/>
                <w:color w:val="auto"/>
                <w:sz w:val="22"/>
              </w:rPr>
              <w:t xml:space="preserve"> CEF Digital </w:t>
            </w: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993" w:type="dxa"/>
            <w:vAlign w:val="center"/>
          </w:tcPr>
          <w:p>
            <w:pPr>
              <w:jc w:val="center"/>
              <w:rPr>
                <w:noProof/>
              </w:rPr>
            </w:pPr>
            <w:r>
              <w:rPr>
                <w:noProof/>
                <w:sz w:val="22"/>
              </w:rPr>
              <w:t>YES</w:t>
            </w:r>
          </w:p>
        </w:tc>
        <w:tc>
          <w:tcPr>
            <w:tcW w:w="955"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headerReference w:type="even" r:id="rId31"/>
          <w:headerReference w:type="default" r:id="rId32"/>
          <w:footerReference w:type="even" r:id="rId33"/>
          <w:footerReference w:type="default" r:id="rId34"/>
          <w:headerReference w:type="first" r:id="rId35"/>
          <w:footerReference w:type="first" r:id="rId36"/>
          <w:pgSz w:w="11907" w:h="16840" w:code="1"/>
          <w:pgMar w:top="1134" w:right="1418" w:bottom="1134" w:left="1418" w:header="709" w:footer="709" w:gutter="0"/>
          <w:cols w:space="708"/>
          <w:docGrid w:linePitch="360"/>
        </w:sectPr>
      </w:pPr>
    </w:p>
    <w:tbl>
      <w:tblPr>
        <w:tblW w:w="11280" w:type="dxa"/>
        <w:tblInd w:w="108" w:type="dxa"/>
        <w:tblLook w:val="04A0" w:firstRow="1" w:lastRow="0" w:firstColumn="1" w:lastColumn="0" w:noHBand="0" w:noVBand="1"/>
      </w:tblPr>
      <w:tblGrid>
        <w:gridCol w:w="3090"/>
        <w:gridCol w:w="866"/>
        <w:gridCol w:w="956"/>
        <w:gridCol w:w="944"/>
        <w:gridCol w:w="939"/>
        <w:gridCol w:w="930"/>
        <w:gridCol w:w="896"/>
        <w:gridCol w:w="883"/>
        <w:gridCol w:w="699"/>
        <w:gridCol w:w="653"/>
        <w:gridCol w:w="424"/>
      </w:tblGrid>
      <w:tr>
        <w:trPr>
          <w:gridAfter w:val="1"/>
          <w:wAfter w:w="424" w:type="dxa"/>
          <w:trHeight w:val="300"/>
        </w:trPr>
        <w:tc>
          <w:tcPr>
            <w:tcW w:w="10856" w:type="dxa"/>
            <w:gridSpan w:val="10"/>
            <w:tcBorders>
              <w:top w:val="nil"/>
              <w:left w:val="nil"/>
              <w:right w:val="nil"/>
            </w:tcBorders>
            <w:shd w:val="clear" w:color="auto" w:fill="auto"/>
            <w:noWrap/>
            <w:vAlign w:val="bottom"/>
            <w:hideMark/>
          </w:tcPr>
          <w:p>
            <w:pPr>
              <w:jc w:val="right"/>
              <w:rPr>
                <w:noProof/>
                <w:sz w:val="20"/>
              </w:rPr>
            </w:pPr>
            <w:bookmarkStart w:id="43" w:name="_Toc514941991"/>
            <w:r>
              <w:rPr>
                <w:rFonts w:eastAsia="Times New Roman"/>
                <w:noProof/>
                <w:color w:val="000000"/>
                <w:sz w:val="20"/>
                <w:szCs w:val="20"/>
                <w:lang w:eastAsia="en-GB"/>
              </w:rPr>
              <w:t xml:space="preserve">Commitment appropriations (EUR </w:t>
            </w:r>
            <w:r>
              <w:rPr>
                <w:noProof/>
                <w:sz w:val="20"/>
              </w:rPr>
              <w:t>million to three decimal places)</w:t>
            </w:r>
          </w:p>
        </w:tc>
      </w:tr>
      <w:tr>
        <w:trPr>
          <w:trHeight w:val="315"/>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bCs/>
                <w:noProof/>
                <w:szCs w:val="24"/>
              </w:rPr>
              <w:br w:type="page"/>
              <w:t>b</w:t>
            </w:r>
            <w:r>
              <w:rPr>
                <w:rFonts w:eastAsia="Times New Roman"/>
                <w:b/>
                <w:bCs/>
                <w:noProof/>
                <w:color w:val="000000"/>
                <w:sz w:val="20"/>
                <w:szCs w:val="20"/>
                <w:lang w:eastAsia="en-GB"/>
              </w:rPr>
              <w:t>udget line</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2025</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2026</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2027</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Post 2027</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r>
      <w:tr>
        <w:trPr>
          <w:trHeight w:val="1448"/>
        </w:trPr>
        <w:tc>
          <w:tcPr>
            <w:tcW w:w="3090"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lang w:eastAsia="en-GB"/>
              </w:rPr>
            </w:pPr>
            <w:r>
              <w:rPr>
                <w:rFonts w:eastAsia="Times New Roman"/>
                <w:noProof/>
                <w:color w:val="0000FF"/>
                <w:sz w:val="22"/>
                <w:lang w:eastAsia="en-GB"/>
              </w:rPr>
              <w:t>01 02 02 42 01 – HE - Cluster Digital, Industry and Space — High-Performance Computing joint undertaking (EuroHPC)  Support expenditure</w:t>
            </w:r>
            <w:r>
              <w:rPr>
                <w:rStyle w:val="FootnoteReference"/>
                <w:rFonts w:eastAsia="Times New Roman"/>
                <w:noProof/>
                <w:color w:val="0000FF"/>
                <w:sz w:val="22"/>
                <w:lang w:eastAsia="en-GB"/>
              </w:rPr>
              <w:footnoteReference w:id="8"/>
            </w:r>
          </w:p>
        </w:tc>
        <w:tc>
          <w:tcPr>
            <w:tcW w:w="86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5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44"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39"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30"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896"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883" w:type="dxa"/>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699" w:type="dxa"/>
            <w:tcBorders>
              <w:top w:val="single" w:sz="4" w:space="0" w:color="auto"/>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p.m.</w:t>
            </w:r>
          </w:p>
        </w:tc>
      </w:tr>
      <w:tr>
        <w:trPr>
          <w:trHeight w:val="1402"/>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lang w:eastAsia="en-GB"/>
              </w:rPr>
            </w:pPr>
            <w:r>
              <w:rPr>
                <w:rFonts w:eastAsia="Times New Roman"/>
                <w:noProof/>
                <w:color w:val="0000FF"/>
                <w:sz w:val="22"/>
                <w:lang w:eastAsia="en-GB"/>
              </w:rPr>
              <w:t xml:space="preserve">01 02 02 42 02 – HE - Cluster Digital, Industry and Space — High-Performance Computing joint undertaking (EuroHPC) Operational expenditure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p.m.</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p.m.</w:t>
            </w:r>
          </w:p>
        </w:tc>
      </w:tr>
      <w:tr>
        <w:trPr>
          <w:trHeight w:val="1251"/>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FF"/>
                <w:sz w:val="22"/>
                <w:lang w:eastAsia="en-GB"/>
              </w:rPr>
            </w:pPr>
            <w:r>
              <w:rPr>
                <w:rFonts w:eastAsia="Times New Roman"/>
                <w:noProof/>
                <w:color w:val="0000FF"/>
                <w:sz w:val="22"/>
                <w:lang w:eastAsia="en-GB"/>
              </w:rPr>
              <w:t xml:space="preserve">02 04 02 11 01 – DEP - High-Performance Computing joint undertaking (EuroHPC) Support expenditure </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2,017</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3,149</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3,660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3,733</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3,808</w:t>
            </w:r>
          </w:p>
        </w:tc>
        <w:tc>
          <w:tcPr>
            <w:tcW w:w="89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3,884</w:t>
            </w:r>
          </w:p>
        </w:tc>
        <w:tc>
          <w:tcPr>
            <w:tcW w:w="883"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9,748</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r>
              <w:rPr>
                <w:rFonts w:eastAsia="Times New Roman"/>
                <w:noProof/>
                <w:color w:val="000000"/>
                <w:sz w:val="20"/>
                <w:szCs w:val="20"/>
                <w:lang w:eastAsia="en-GB"/>
              </w:rPr>
              <w:t> </w:t>
            </w:r>
          </w:p>
        </w:tc>
        <w:tc>
          <w:tcPr>
            <w:tcW w:w="1077" w:type="dxa"/>
            <w:gridSpan w:val="2"/>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30,000</w:t>
            </w:r>
          </w:p>
        </w:tc>
      </w:tr>
      <w:tr>
        <w:trPr>
          <w:trHeight w:val="1185"/>
        </w:trPr>
        <w:tc>
          <w:tcPr>
            <w:tcW w:w="309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lang w:eastAsia="en-GB"/>
              </w:rPr>
            </w:pPr>
            <w:r>
              <w:rPr>
                <w:rFonts w:eastAsia="Times New Roman"/>
                <w:noProof/>
                <w:color w:val="0000FF"/>
                <w:sz w:val="22"/>
                <w:lang w:eastAsia="en-GB"/>
              </w:rPr>
              <w:t xml:space="preserve">02 04 02 11 02 – DEP - High-Performance Computing joint undertaking (EuroHPC) Operational expenditure </w:t>
            </w:r>
          </w:p>
        </w:tc>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397,983</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386,851</w:t>
            </w:r>
          </w:p>
        </w:tc>
        <w:tc>
          <w:tcPr>
            <w:tcW w:w="944"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396,340</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146,267</w:t>
            </w:r>
          </w:p>
        </w:tc>
        <w:tc>
          <w:tcPr>
            <w:tcW w:w="93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296,192</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346,116</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400,251</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rPr>
                <w:rFonts w:eastAsia="Times New Roman"/>
                <w:noProof/>
                <w:color w:val="000000"/>
                <w:sz w:val="20"/>
                <w:szCs w:val="20"/>
                <w:lang w:eastAsia="en-GB"/>
              </w:rPr>
            </w:pPr>
            <w:r>
              <w:rPr>
                <w:rFonts w:eastAsia="Times New Roman"/>
                <w:noProof/>
                <w:color w:val="000000"/>
                <w:sz w:val="20"/>
                <w:szCs w:val="20"/>
                <w:lang w:eastAsia="en-GB"/>
              </w:rPr>
              <w:t> </w:t>
            </w:r>
          </w:p>
        </w:tc>
        <w:tc>
          <w:tcPr>
            <w:tcW w:w="107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2.370,000</w:t>
            </w:r>
          </w:p>
        </w:tc>
      </w:tr>
      <w:tr>
        <w:trPr>
          <w:trHeight w:val="253"/>
        </w:trPr>
        <w:tc>
          <w:tcPr>
            <w:tcW w:w="309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FF"/>
                <w:sz w:val="22"/>
                <w:lang w:eastAsia="en-GB"/>
              </w:rPr>
            </w:pPr>
          </w:p>
        </w:tc>
        <w:tc>
          <w:tcPr>
            <w:tcW w:w="86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5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44"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930"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96"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883"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699" w:type="dxa"/>
            <w:vMerge/>
            <w:tcBorders>
              <w:top w:val="nil"/>
              <w:left w:val="single" w:sz="8" w:space="0" w:color="auto"/>
              <w:bottom w:val="single" w:sz="8" w:space="0" w:color="000000"/>
              <w:right w:val="single" w:sz="8" w:space="0" w:color="auto"/>
            </w:tcBorders>
            <w:shd w:val="clear" w:color="auto" w:fill="auto"/>
            <w:vAlign w:val="center"/>
            <w:hideMark/>
          </w:tcPr>
          <w:p>
            <w:pPr>
              <w:spacing w:before="0" w:after="0"/>
              <w:jc w:val="left"/>
              <w:rPr>
                <w:rFonts w:eastAsia="Times New Roman"/>
                <w:noProof/>
                <w:color w:val="000000"/>
                <w:sz w:val="20"/>
                <w:szCs w:val="20"/>
                <w:lang w:eastAsia="en-GB"/>
              </w:rPr>
            </w:pPr>
          </w:p>
        </w:tc>
        <w:tc>
          <w:tcPr>
            <w:tcW w:w="1077" w:type="dxa"/>
            <w:gridSpan w:val="2"/>
            <w:vMerge/>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lang w:eastAsia="en-GB"/>
              </w:rPr>
            </w:pP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 w:val="22"/>
                <w:lang w:eastAsia="en-GB"/>
              </w:rPr>
            </w:pPr>
            <w:r>
              <w:rPr>
                <w:rFonts w:eastAsia="Times New Roman"/>
                <w:noProof/>
                <w:color w:val="000000"/>
                <w:sz w:val="22"/>
                <w:lang w:eastAsia="en-GB"/>
              </w:rPr>
              <w:t xml:space="preserve">02 03 03 - </w:t>
            </w:r>
            <w:r>
              <w:rPr>
                <w:rFonts w:eastAsia="Times New Roman"/>
                <w:noProof/>
                <w:color w:val="0000FF"/>
                <w:sz w:val="22"/>
                <w:lang w:eastAsia="en-GB"/>
              </w:rPr>
              <w:t xml:space="preserve"> CEF Digital</w:t>
            </w:r>
          </w:p>
        </w:tc>
        <w:tc>
          <w:tcPr>
            <w:tcW w:w="86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10,000 </w:t>
            </w:r>
          </w:p>
        </w:tc>
        <w:tc>
          <w:tcPr>
            <w:tcW w:w="95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20,000 </w:t>
            </w:r>
          </w:p>
        </w:tc>
        <w:tc>
          <w:tcPr>
            <w:tcW w:w="944"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40,000 </w:t>
            </w:r>
          </w:p>
        </w:tc>
        <w:tc>
          <w:tcPr>
            <w:tcW w:w="93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70,000 </w:t>
            </w:r>
          </w:p>
        </w:tc>
        <w:tc>
          <w:tcPr>
            <w:tcW w:w="930"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20,000 </w:t>
            </w:r>
          </w:p>
        </w:tc>
        <w:tc>
          <w:tcPr>
            <w:tcW w:w="896"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20,000 </w:t>
            </w:r>
          </w:p>
        </w:tc>
        <w:tc>
          <w:tcPr>
            <w:tcW w:w="883"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xml:space="preserve">       20,000 </w:t>
            </w:r>
          </w:p>
        </w:tc>
        <w:tc>
          <w:tcPr>
            <w:tcW w:w="699" w:type="dxa"/>
            <w:tcBorders>
              <w:top w:val="nil"/>
              <w:left w:val="nil"/>
              <w:bottom w:val="single" w:sz="8"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 </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xml:space="preserve">       200,000 </w:t>
            </w:r>
          </w:p>
        </w:tc>
      </w:tr>
      <w:tr>
        <w:trPr>
          <w:trHeight w:val="315"/>
        </w:trPr>
        <w:tc>
          <w:tcPr>
            <w:tcW w:w="3090"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Total expenditure</w:t>
            </w:r>
          </w:p>
        </w:tc>
        <w:tc>
          <w:tcPr>
            <w:tcW w:w="86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lang w:eastAsia="en-GB"/>
              </w:rPr>
            </w:pPr>
            <w:r>
              <w:rPr>
                <w:rFonts w:eastAsia="Times New Roman"/>
                <w:b/>
                <w:bCs/>
                <w:noProof/>
                <w:color w:val="000000"/>
                <w:sz w:val="20"/>
                <w:szCs w:val="20"/>
                <w:lang w:eastAsia="en-GB"/>
              </w:rPr>
              <w:t>410,000</w:t>
            </w:r>
          </w:p>
        </w:tc>
        <w:tc>
          <w:tcPr>
            <w:tcW w:w="956"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410,000</w:t>
            </w:r>
          </w:p>
        </w:tc>
        <w:tc>
          <w:tcPr>
            <w:tcW w:w="944"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440,000</w:t>
            </w:r>
          </w:p>
        </w:tc>
        <w:tc>
          <w:tcPr>
            <w:tcW w:w="939"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220,000</w:t>
            </w:r>
          </w:p>
        </w:tc>
        <w:tc>
          <w:tcPr>
            <w:tcW w:w="930" w:type="dxa"/>
            <w:tcBorders>
              <w:top w:val="nil"/>
              <w:left w:val="nil"/>
              <w:bottom w:val="single" w:sz="8" w:space="0" w:color="auto"/>
              <w:right w:val="single" w:sz="8" w:space="0" w:color="auto"/>
            </w:tcBorders>
            <w:shd w:val="clear" w:color="auto" w:fill="auto"/>
            <w:vAlign w:val="center"/>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320,000</w:t>
            </w:r>
          </w:p>
        </w:tc>
        <w:tc>
          <w:tcPr>
            <w:tcW w:w="896"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lang w:eastAsia="en-GB"/>
              </w:rPr>
            </w:pPr>
            <w:r>
              <w:rPr>
                <w:rFonts w:eastAsia="Times New Roman"/>
                <w:b/>
                <w:bCs/>
                <w:noProof/>
                <w:color w:val="000000"/>
                <w:sz w:val="20"/>
                <w:szCs w:val="20"/>
                <w:lang w:eastAsia="en-GB"/>
              </w:rPr>
              <w:t>370,000</w:t>
            </w:r>
          </w:p>
        </w:tc>
        <w:tc>
          <w:tcPr>
            <w:tcW w:w="883" w:type="dxa"/>
            <w:tcBorders>
              <w:top w:val="nil"/>
              <w:left w:val="nil"/>
              <w:bottom w:val="single" w:sz="8" w:space="0" w:color="auto"/>
              <w:right w:val="single" w:sz="8" w:space="0" w:color="auto"/>
            </w:tcBorders>
            <w:shd w:val="clear" w:color="auto" w:fill="auto"/>
            <w:vAlign w:val="center"/>
          </w:tcPr>
          <w:p>
            <w:pPr>
              <w:spacing w:before="0" w:after="0"/>
              <w:rPr>
                <w:rFonts w:eastAsia="Times New Roman"/>
                <w:b/>
                <w:bCs/>
                <w:noProof/>
                <w:color w:val="000000"/>
                <w:sz w:val="20"/>
                <w:szCs w:val="20"/>
                <w:lang w:eastAsia="en-GB"/>
              </w:rPr>
            </w:pPr>
            <w:r>
              <w:rPr>
                <w:rFonts w:eastAsia="Times New Roman"/>
                <w:b/>
                <w:bCs/>
                <w:noProof/>
                <w:color w:val="000000"/>
                <w:sz w:val="20"/>
                <w:szCs w:val="20"/>
                <w:lang w:eastAsia="en-GB"/>
              </w:rPr>
              <w:t>430,000</w:t>
            </w:r>
          </w:p>
        </w:tc>
        <w:tc>
          <w:tcPr>
            <w:tcW w:w="69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xml:space="preserve">      </w:t>
            </w:r>
          </w:p>
        </w:tc>
        <w:tc>
          <w:tcPr>
            <w:tcW w:w="1077" w:type="dxa"/>
            <w:gridSpan w:val="2"/>
            <w:tcBorders>
              <w:top w:val="single" w:sz="4"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xml:space="preserve"> 2.600,000   </w:t>
            </w:r>
          </w:p>
        </w:tc>
      </w:tr>
    </w:tbl>
    <w:p>
      <w:pPr>
        <w:spacing w:before="0" w:after="200" w:line="276" w:lineRule="auto"/>
        <w:jc w:val="left"/>
        <w:rPr>
          <w:bCs/>
          <w:noProof/>
          <w:szCs w:val="24"/>
        </w:rPr>
      </w:pPr>
    </w:p>
    <w:p>
      <w:pPr>
        <w:spacing w:before="0" w:after="200" w:line="276" w:lineRule="auto"/>
        <w:jc w:val="left"/>
        <w:rPr>
          <w:rFonts w:eastAsiaTheme="majorEastAsia"/>
          <w:b/>
          <w:bCs/>
          <w:noProof/>
          <w:szCs w:val="26"/>
        </w:rPr>
      </w:pPr>
      <w:bookmarkStart w:id="44" w:name="_Toc514941992"/>
      <w:bookmarkEnd w:id="43"/>
      <w:r>
        <w:rPr>
          <w:noProof/>
        </w:rPr>
        <w:br w:type="page"/>
      </w:r>
    </w:p>
    <w:p>
      <w:pPr>
        <w:pStyle w:val="Heading2"/>
        <w:numPr>
          <w:ilvl w:val="1"/>
          <w:numId w:val="5"/>
        </w:numPr>
        <w:rPr>
          <w:noProof/>
        </w:rPr>
      </w:pPr>
      <w:bookmarkStart w:id="45" w:name="_Toc50541098"/>
      <w:r>
        <w:rPr>
          <w:noProof/>
        </w:rPr>
        <w:t>Estimated impact on expenditure</w:t>
      </w:r>
      <w:bookmarkEnd w:id="44"/>
      <w:bookmarkEnd w:id="45"/>
      <w:r>
        <w:rPr>
          <w:noProof/>
        </w:rPr>
        <w:t xml:space="preserve"> </w:t>
      </w:r>
    </w:p>
    <w:p>
      <w:pPr>
        <w:pStyle w:val="Heading3"/>
        <w:rPr>
          <w:noProof/>
        </w:rPr>
      </w:pPr>
      <w:bookmarkStart w:id="46" w:name="_Toc50541099"/>
      <w:r>
        <w:rPr>
          <w:noProof/>
        </w:rPr>
        <w:t>Sumary of estimated impact on expenditure</w:t>
      </w:r>
      <w:bookmarkEnd w:id="4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rStyle w:val="Marker"/>
                <w:noProof/>
                <w:color w:val="auto"/>
                <w:sz w:val="22"/>
              </w:rPr>
              <w:t>1 - Single Market, Innovation and Digital</w:t>
            </w:r>
          </w:p>
        </w:tc>
      </w:tr>
    </w:tbl>
    <w:p>
      <w:pPr>
        <w:tabs>
          <w:tab w:val="left" w:pos="1200"/>
        </w:tabs>
        <w:rPr>
          <w:noProof/>
          <w:sz w:val="16"/>
        </w:rPr>
      </w:pPr>
      <w:r>
        <w:rPr>
          <w:noProof/>
          <w:sz w:val="16"/>
        </w:rPr>
        <w:tab/>
      </w:r>
    </w:p>
    <w:p>
      <w:pPr>
        <w:tabs>
          <w:tab w:val="left" w:pos="1200"/>
        </w:tabs>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single" w:sz="4" w:space="0" w:color="auto"/>
              <w:left w:val="single" w:sz="4" w:space="0" w:color="auto"/>
              <w:bottom w:val="nil"/>
              <w:right w:val="single" w:sz="4" w:space="0" w:color="auto"/>
            </w:tcBorders>
            <w:vAlign w:val="center"/>
          </w:tcPr>
          <w:p>
            <w:pPr>
              <w:jc w:val="center"/>
              <w:rPr>
                <w:b/>
                <w:noProof/>
                <w:sz w:val="20"/>
              </w:rPr>
            </w:pPr>
            <w:r>
              <w:rPr>
                <w:b/>
                <w:noProof/>
                <w:sz w:val="20"/>
              </w:rPr>
              <w:t>Joint Undertaking</w:t>
            </w:r>
            <w:r>
              <w:rPr>
                <w:rStyle w:val="FootnoteReference"/>
                <w:b/>
                <w:noProof/>
                <w:sz w:val="20"/>
              </w:rPr>
              <w:footnoteReference w:id="9"/>
            </w:r>
            <w:r>
              <w:rPr>
                <w:rStyle w:val="FootnoteReference"/>
                <w:b/>
                <w:noProof/>
                <w:sz w:val="20"/>
              </w:rPr>
              <w:footnoteReference w:id="10"/>
            </w:r>
            <w:r>
              <w:rPr>
                <w:rStyle w:val="FootnoteReference"/>
                <w:b/>
                <w:noProof/>
                <w:sz w:val="20"/>
              </w:rPr>
              <w:footnoteReference w:id="11"/>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r>
              <w:rPr>
                <w:rStyle w:val="FootnoteReference"/>
                <w:b/>
                <w:noProof/>
                <w:sz w:val="18"/>
              </w:rPr>
              <w:footnoteReference w:id="12"/>
            </w:r>
          </w:p>
        </w:tc>
        <w:tc>
          <w:tcPr>
            <w:tcW w:w="909" w:type="dxa"/>
            <w:tcBorders>
              <w:bottom w:val="single" w:sz="4" w:space="0" w:color="auto"/>
            </w:tcBorders>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Title 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color w:val="000000"/>
                <w:sz w:val="14"/>
              </w:rPr>
              <w:t>(1)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noProof/>
                <w:sz w:val="20"/>
              </w:rPr>
            </w:pPr>
            <w:r>
              <w:rPr>
                <w:noProof/>
                <w:sz w:val="20"/>
              </w:rPr>
              <w:t>6,205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 </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bCs/>
                <w:noProof/>
                <w:color w:val="000000"/>
                <w:sz w:val="20"/>
              </w:rPr>
            </w:pPr>
            <w:r>
              <w:rPr>
                <w:b/>
                <w:bCs/>
                <w:noProof/>
                <w:color w:val="000000"/>
                <w:sz w:val="20"/>
              </w:rPr>
              <w:t xml:space="preserve">15,917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color w:val="000000"/>
                <w:sz w:val="14"/>
              </w:rPr>
              <w:t>(2)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0,402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1,434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1,911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1,949</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1,988</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20" w:after="20"/>
              <w:jc w:val="right"/>
              <w:rPr>
                <w:noProof/>
                <w:sz w:val="20"/>
              </w:rPr>
            </w:pPr>
            <w:r>
              <w:rPr>
                <w:noProof/>
                <w:sz w:val="20"/>
              </w:rPr>
              <w:t>2,028</w:t>
            </w:r>
          </w:p>
        </w:tc>
        <w:tc>
          <w:tcPr>
            <w:tcW w:w="868" w:type="dxa"/>
            <w:tcBorders>
              <w:top w:val="single" w:sz="8" w:space="0" w:color="auto"/>
              <w:left w:val="single" w:sz="8" w:space="0" w:color="auto"/>
              <w:bottom w:val="single" w:sz="8" w:space="0" w:color="000000"/>
              <w:right w:val="single" w:sz="4" w:space="0" w:color="auto"/>
            </w:tcBorders>
            <w:shd w:val="clear" w:color="auto" w:fill="auto"/>
            <w:vAlign w:val="center"/>
          </w:tcPr>
          <w:p>
            <w:pPr>
              <w:spacing w:before="20" w:after="20"/>
              <w:jc w:val="right"/>
              <w:rPr>
                <w:b/>
                <w:noProof/>
                <w:sz w:val="20"/>
              </w:rPr>
            </w:pPr>
            <w:r>
              <w:rPr>
                <w:noProof/>
                <w:sz w:val="20"/>
              </w:rPr>
              <w:t>2,068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noProof/>
                <w:color w:val="000000"/>
                <w:sz w:val="20"/>
              </w:rPr>
              <w:t>4,137</w:t>
            </w:r>
          </w:p>
        </w:tc>
        <w:tc>
          <w:tcPr>
            <w:tcW w:w="1289" w:type="dxa"/>
            <w:tcBorders>
              <w:top w:val="single" w:sz="8" w:space="0" w:color="auto"/>
              <w:left w:val="single" w:sz="4" w:space="0" w:color="auto"/>
              <w:bottom w:val="single" w:sz="8" w:space="0" w:color="000000"/>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15,917 </w:t>
            </w:r>
          </w:p>
        </w:tc>
      </w:tr>
      <w:tr>
        <w:trPr>
          <w:trHeight w:val="319"/>
          <w:jc w:val="center"/>
        </w:trPr>
        <w:tc>
          <w:tcPr>
            <w:tcW w:w="4103" w:type="dxa"/>
            <w:vMerge w:val="restart"/>
            <w:vAlign w:val="center"/>
          </w:tcPr>
          <w:p>
            <w:pPr>
              <w:spacing w:before="20" w:after="20"/>
              <w:jc w:val="left"/>
              <w:rPr>
                <w:noProof/>
              </w:rPr>
            </w:pPr>
            <w:r>
              <w:rPr>
                <w:noProof/>
                <w:sz w:val="20"/>
              </w:rPr>
              <w:t>Title 2</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(1a)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3,544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(2a)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1,615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1,715</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1,784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1,820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1,856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1,894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noProof/>
                <w:sz w:val="20"/>
              </w:rPr>
            </w:pPr>
            <w:r>
              <w:rPr>
                <w:noProof/>
                <w:sz w:val="20"/>
              </w:rPr>
              <w:t>1,650</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noProof/>
                <w:sz w:val="20"/>
              </w:rPr>
              <w:t>14.083</w:t>
            </w:r>
          </w:p>
        </w:tc>
      </w:tr>
      <w:tr>
        <w:trPr>
          <w:trHeight w:val="319"/>
          <w:jc w:val="center"/>
        </w:trPr>
        <w:tc>
          <w:tcPr>
            <w:tcW w:w="4103" w:type="dxa"/>
            <w:vMerge w:val="restart"/>
            <w:vAlign w:val="center"/>
          </w:tcPr>
          <w:p>
            <w:pPr>
              <w:spacing w:before="20" w:after="20"/>
              <w:jc w:val="left"/>
              <w:rPr>
                <w:noProof/>
                <w:sz w:val="20"/>
              </w:rPr>
            </w:pPr>
            <w:r>
              <w:rPr>
                <w:noProof/>
                <w:sz w:val="20"/>
              </w:rPr>
              <w:t>Title 3</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color w:val="000000"/>
                <w:sz w:val="14"/>
              </w:rPr>
              <w:t>(3a)</w:t>
            </w:r>
          </w:p>
        </w:tc>
        <w:tc>
          <w:tcPr>
            <w:tcW w:w="868" w:type="dxa"/>
            <w:tcBorders>
              <w:top w:val="nil"/>
              <w:left w:val="nil"/>
              <w:bottom w:val="single" w:sz="8" w:space="0" w:color="auto"/>
              <w:right w:val="single" w:sz="8" w:space="0" w:color="auto"/>
            </w:tcBorders>
            <w:shd w:val="clear" w:color="auto" w:fill="auto"/>
            <w:vAlign w:val="center"/>
          </w:tcPr>
          <w:p>
            <w:pPr>
              <w:spacing w:before="40" w:after="40"/>
              <w:rPr>
                <w:noProof/>
                <w:sz w:val="20"/>
              </w:rPr>
            </w:pPr>
            <w:r>
              <w:rPr>
                <w:noProof/>
                <w:sz w:val="20"/>
              </w:rPr>
              <w:t>407,983</w:t>
            </w:r>
            <w:r>
              <w:rPr>
                <w:noProof/>
                <w:color w:val="000000"/>
                <w:sz w:val="20"/>
              </w:rPr>
              <w:t xml:space="preserve">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406,851</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436,340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216,267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316,192</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366,116</w:t>
            </w:r>
          </w:p>
        </w:tc>
        <w:tc>
          <w:tcPr>
            <w:tcW w:w="868" w:type="dxa"/>
            <w:tcBorders>
              <w:top w:val="nil"/>
              <w:left w:val="nil"/>
              <w:bottom w:val="single" w:sz="8" w:space="0" w:color="auto"/>
              <w:right w:val="single" w:sz="4" w:space="0" w:color="auto"/>
            </w:tcBorders>
            <w:shd w:val="clear" w:color="auto" w:fill="auto"/>
            <w:vAlign w:val="center"/>
          </w:tcPr>
          <w:p>
            <w:pPr>
              <w:spacing w:before="40" w:after="40"/>
              <w:jc w:val="right"/>
              <w:rPr>
                <w:noProof/>
                <w:sz w:val="20"/>
              </w:rPr>
            </w:pPr>
            <w:r>
              <w:rPr>
                <w:noProof/>
                <w:sz w:val="20"/>
              </w:rPr>
              <w:t>420,251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jc w:val="right"/>
              <w:rPr>
                <w:b/>
                <w:noProof/>
                <w:sz w:val="20"/>
              </w:rPr>
            </w:pPr>
            <w:r>
              <w:rPr>
                <w:b/>
                <w:bCs/>
                <w:noProof/>
                <w:color w:val="000000"/>
                <w:sz w:val="20"/>
              </w:rPr>
              <w:t> </w:t>
            </w:r>
          </w:p>
        </w:tc>
        <w:tc>
          <w:tcPr>
            <w:tcW w:w="1289" w:type="dxa"/>
            <w:tcBorders>
              <w:top w:val="nil"/>
              <w:left w:val="single" w:sz="4" w:space="0" w:color="auto"/>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2.570,000 </w:t>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color w:val="000000"/>
                <w:sz w:val="14"/>
              </w:rPr>
              <w:t>(3b)</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122,000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225,000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350,000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185,000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290,000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345,000 </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400,000 </w:t>
            </w:r>
          </w:p>
        </w:tc>
        <w:tc>
          <w:tcPr>
            <w:tcW w:w="909" w:type="dxa"/>
            <w:tcBorders>
              <w:top w:val="single" w:sz="4" w:space="0" w:color="auto"/>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653,000 </w:t>
            </w:r>
          </w:p>
        </w:tc>
        <w:tc>
          <w:tcPr>
            <w:tcW w:w="1289" w:type="dxa"/>
            <w:tcBorders>
              <w:top w:val="nil"/>
              <w:left w:val="nil"/>
              <w:bottom w:val="single" w:sz="8" w:space="0" w:color="auto"/>
              <w:right w:val="single" w:sz="8" w:space="0" w:color="auto"/>
            </w:tcBorders>
            <w:shd w:val="clear" w:color="auto" w:fill="auto"/>
            <w:vAlign w:val="center"/>
          </w:tcPr>
          <w:p>
            <w:pPr>
              <w:spacing w:before="40" w:after="40"/>
              <w:jc w:val="right"/>
              <w:rPr>
                <w:b/>
                <w:noProof/>
                <w:sz w:val="20"/>
              </w:rPr>
            </w:pPr>
            <w:r>
              <w:rPr>
                <w:b/>
                <w:bCs/>
                <w:noProof/>
                <w:color w:val="000000"/>
                <w:sz w:val="20"/>
              </w:rPr>
              <w:t xml:space="preserve">   2.570,000 </w:t>
            </w:r>
          </w:p>
        </w:tc>
      </w:tr>
      <w:tr>
        <w:trPr>
          <w:jc w:val="center"/>
        </w:trPr>
        <w:tc>
          <w:tcPr>
            <w:tcW w:w="4103" w:type="dxa"/>
            <w:vMerge w:val="restart"/>
            <w:vAlign w:val="center"/>
          </w:tcPr>
          <w:p>
            <w:pPr>
              <w:jc w:val="left"/>
              <w:rPr>
                <w:b/>
                <w:noProof/>
              </w:rPr>
            </w:pPr>
            <w:r>
              <w:rPr>
                <w:b/>
                <w:noProof/>
                <w:sz w:val="22"/>
              </w:rPr>
              <w:t>TOTAL appropriations for Joint Undertaking</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color w:val="000000"/>
                <w:sz w:val="14"/>
              </w:rPr>
              <w:t>=1+1a +3a</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430,000</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color w:val="000000"/>
                <w:sz w:val="20"/>
              </w:rPr>
              <w:t xml:space="preserve"> - </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2.600,000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color w:val="000000"/>
                <w:sz w:val="14"/>
              </w:rPr>
              <w:t>=2+2a+3b</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403,962</w:t>
            </w:r>
          </w:p>
        </w:tc>
        <w:tc>
          <w:tcPr>
            <w:tcW w:w="909" w:type="dxa"/>
            <w:tcBorders>
              <w:top w:val="nil"/>
              <w:left w:val="nil"/>
              <w:bottom w:val="single" w:sz="8" w:space="0" w:color="auto"/>
              <w:right w:val="single" w:sz="8" w:space="0" w:color="auto"/>
            </w:tcBorders>
            <w:shd w:val="clear" w:color="auto" w:fill="auto"/>
            <w:vAlign w:val="center"/>
          </w:tcPr>
          <w:p>
            <w:pPr>
              <w:spacing w:before="40" w:after="40"/>
              <w:jc w:val="right"/>
              <w:rPr>
                <w:noProof/>
                <w:sz w:val="20"/>
              </w:rPr>
            </w:pPr>
            <w:r>
              <w:rPr>
                <w:noProof/>
                <w:sz w:val="20"/>
              </w:rPr>
              <w:t>658,787</w:t>
            </w:r>
          </w:p>
        </w:tc>
        <w:tc>
          <w:tcPr>
            <w:tcW w:w="1289" w:type="dxa"/>
            <w:tcBorders>
              <w:top w:val="nil"/>
              <w:left w:val="nil"/>
              <w:bottom w:val="single" w:sz="8" w:space="0" w:color="auto"/>
              <w:right w:val="single" w:sz="8" w:space="0" w:color="auto"/>
            </w:tcBorders>
            <w:shd w:val="clear" w:color="auto" w:fill="auto"/>
            <w:vAlign w:val="center"/>
          </w:tcPr>
          <w:p>
            <w:pPr>
              <w:spacing w:before="20" w:after="20"/>
              <w:jc w:val="right"/>
              <w:rPr>
                <w:b/>
                <w:noProof/>
                <w:sz w:val="20"/>
              </w:rPr>
            </w:pPr>
            <w:r>
              <w:rPr>
                <w:b/>
                <w:bCs/>
                <w:noProof/>
                <w:color w:val="000000"/>
                <w:sz w:val="20"/>
              </w:rPr>
              <w:t xml:space="preserve">   2.600,000 </w:t>
            </w:r>
          </w:p>
        </w:tc>
      </w:tr>
    </w:tbl>
    <w:p>
      <w:pPr>
        <w:rPr>
          <w:noProof/>
          <w:sz w:val="16"/>
        </w:rPr>
      </w:pPr>
    </w:p>
    <w:p>
      <w:pPr>
        <w:rPr>
          <w:noProof/>
          <w:sz w:val="16"/>
        </w:rPr>
      </w:pPr>
    </w:p>
    <w:p>
      <w:pPr>
        <w:rPr>
          <w:noProof/>
          <w:sz w:val="16"/>
        </w:rPr>
      </w:pPr>
    </w:p>
    <w:tbl>
      <w:tblPr>
        <w:tblW w:w="12955" w:type="dxa"/>
        <w:tblInd w:w="-318" w:type="dxa"/>
        <w:tblLayout w:type="fixed"/>
        <w:tblCellMar>
          <w:left w:w="0" w:type="dxa"/>
          <w:right w:w="0" w:type="dxa"/>
        </w:tblCellMar>
        <w:tblLook w:val="04A0" w:firstRow="1" w:lastRow="0" w:firstColumn="1" w:lastColumn="0" w:noHBand="0" w:noVBand="1"/>
      </w:tblPr>
      <w:tblGrid>
        <w:gridCol w:w="1588"/>
        <w:gridCol w:w="1460"/>
        <w:gridCol w:w="1150"/>
        <w:gridCol w:w="1169"/>
        <w:gridCol w:w="1195"/>
        <w:gridCol w:w="1180"/>
        <w:gridCol w:w="1011"/>
        <w:gridCol w:w="1007"/>
        <w:gridCol w:w="1006"/>
        <w:gridCol w:w="1008"/>
        <w:gridCol w:w="1181"/>
      </w:tblGrid>
      <w:tr>
        <w:trPr>
          <w:trHeight w:val="300"/>
        </w:trPr>
        <w:tc>
          <w:tcPr>
            <w:tcW w:w="12955" w:type="dxa"/>
            <w:gridSpan w:val="1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pPr>
              <w:jc w:val="right"/>
              <w:rPr>
                <w:noProof/>
                <w:color w:val="000000"/>
                <w:sz w:val="20"/>
                <w:szCs w:val="20"/>
              </w:rPr>
            </w:pPr>
            <w:r>
              <w:rPr>
                <w:noProof/>
                <w:color w:val="000000"/>
                <w:sz w:val="20"/>
                <w:szCs w:val="20"/>
              </w:rPr>
              <w:t>EUR million (to three decimal places)</w:t>
            </w:r>
          </w:p>
        </w:tc>
      </w:tr>
      <w:tr>
        <w:trPr>
          <w:trHeight w:val="885"/>
        </w:trPr>
        <w:tc>
          <w:tcPr>
            <w:tcW w:w="304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noProof/>
                <w:color w:val="000000"/>
                <w:sz w:val="20"/>
                <w:szCs w:val="20"/>
              </w:rPr>
            </w:pPr>
          </w:p>
          <w:p>
            <w:pPr>
              <w:jc w:val="center"/>
              <w:rPr>
                <w:b/>
                <w:noProof/>
                <w:color w:val="000000"/>
                <w:sz w:val="20"/>
                <w:szCs w:val="20"/>
              </w:rPr>
            </w:pP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2021</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2022</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20"/>
              </w:rPr>
              <w:t>2024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2025</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2026</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noProof/>
                <w:color w:val="000000"/>
                <w:sz w:val="20"/>
                <w:szCs w:val="20"/>
              </w:rPr>
            </w:pPr>
            <w:r>
              <w:rPr>
                <w:b/>
                <w:noProof/>
                <w:sz w:val="18"/>
              </w:rPr>
              <w:t>2027</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pPr>
              <w:jc w:val="center"/>
              <w:rPr>
                <w:b/>
                <w:i/>
                <w:noProof/>
                <w:sz w:val="20"/>
              </w:rPr>
            </w:pPr>
            <w:r>
              <w:rPr>
                <w:b/>
                <w:i/>
                <w:noProof/>
                <w:sz w:val="20"/>
              </w:rPr>
              <w:t xml:space="preserve">Post </w:t>
            </w:r>
          </w:p>
          <w:p>
            <w:pPr>
              <w:jc w:val="center"/>
              <w:rPr>
                <w:noProof/>
                <w:color w:val="000000"/>
                <w:sz w:val="20"/>
                <w:szCs w:val="20"/>
              </w:rPr>
            </w:pPr>
            <w:r>
              <w:rPr>
                <w:b/>
                <w:i/>
                <w:noProof/>
                <w:sz w:val="20"/>
              </w:rPr>
              <w:t>2027</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color w:val="000000"/>
                <w:sz w:val="20"/>
                <w:szCs w:val="20"/>
              </w:rPr>
            </w:pPr>
            <w:r>
              <w:rPr>
                <w:b/>
                <w:noProof/>
                <w:sz w:val="20"/>
              </w:rPr>
              <w:t>TOTAL</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Human Resources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b/>
                <w:bCs/>
                <w:noProof/>
                <w:color w:val="000000"/>
                <w:sz w:val="20"/>
                <w:szCs w:val="20"/>
              </w:rPr>
            </w:pPr>
            <w:r>
              <w:rPr>
                <w:noProof/>
                <w:color w:val="000000"/>
                <w:sz w:val="20"/>
                <w:szCs w:val="20"/>
              </w:rPr>
              <w:t>p.m</w:t>
            </w:r>
          </w:p>
        </w:tc>
      </w:tr>
      <w:tr>
        <w:trPr>
          <w:trHeight w:val="600"/>
        </w:trPr>
        <w:tc>
          <w:tcPr>
            <w:tcW w:w="30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Other administrative expenditure</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pPr>
              <w:jc w:val="center"/>
              <w:rPr>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r>
      <w:tr>
        <w:trPr>
          <w:trHeight w:val="300"/>
        </w:trPr>
        <w:tc>
          <w:tcPr>
            <w:tcW w:w="15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center"/>
              <w:rPr>
                <w:b/>
                <w:bCs/>
                <w:noProof/>
                <w:sz w:val="22"/>
              </w:rPr>
            </w:pPr>
            <w:r>
              <w:rPr>
                <w:b/>
                <w:bCs/>
                <w:noProof/>
                <w:sz w:val="22"/>
              </w:rPr>
              <w:t xml:space="preserve">TOTAL DG </w:t>
            </w:r>
          </w:p>
        </w:tc>
        <w:tc>
          <w:tcPr>
            <w:tcW w:w="1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pPr>
              <w:jc w:val="center"/>
              <w:rPr>
                <w:noProof/>
                <w:color w:val="000000"/>
                <w:sz w:val="18"/>
                <w:szCs w:val="18"/>
              </w:rPr>
            </w:pPr>
            <w:r>
              <w:rPr>
                <w:noProof/>
                <w:color w:val="000000"/>
                <w:sz w:val="18"/>
              </w:rPr>
              <w:t xml:space="preserve">Appropriations </w:t>
            </w:r>
          </w:p>
        </w:tc>
        <w:tc>
          <w:tcPr>
            <w:tcW w:w="11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00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c>
          <w:tcPr>
            <w:tcW w:w="118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pPr>
              <w:jc w:val="center"/>
              <w:rPr>
                <w:b/>
                <w:bCs/>
                <w:noProof/>
                <w:color w:val="000000"/>
                <w:sz w:val="20"/>
                <w:szCs w:val="20"/>
              </w:rPr>
            </w:pPr>
            <w:r>
              <w:rPr>
                <w:noProof/>
                <w:color w:val="000000"/>
                <w:sz w:val="20"/>
                <w:szCs w:val="20"/>
              </w:rPr>
              <w:t>p.m</w:t>
            </w:r>
          </w:p>
        </w:tc>
      </w:tr>
    </w:tbl>
    <w:p>
      <w:pPr>
        <w:rPr>
          <w:noProof/>
        </w:rPr>
      </w:pPr>
      <w:r>
        <w:rPr>
          <w:noProof/>
        </w:rPr>
        <w:t xml:space="preserve"> </w:t>
      </w: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294"/>
        <w:gridCol w:w="110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94" w:type="dxa"/>
            <w:tcBorders>
              <w:top w:val="nil"/>
              <w:left w:val="nil"/>
            </w:tcBorders>
          </w:tcPr>
          <w:p>
            <w:pPr>
              <w:jc w:val="center"/>
              <w:rPr>
                <w:noProof/>
                <w:sz w:val="20"/>
              </w:rPr>
            </w:pPr>
          </w:p>
        </w:tc>
        <w:tc>
          <w:tcPr>
            <w:tcW w:w="110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sz w:val="22"/>
              </w:rPr>
            </w:pPr>
            <w:r>
              <w:rPr>
                <w:b/>
                <w:noProof/>
                <w:sz w:val="22"/>
              </w:rPr>
              <w:t xml:space="preserve">TOTAL appropriations for the envelope of the Programme  - Heading 1 </w:t>
            </w:r>
            <w:r>
              <w:rPr>
                <w:rStyle w:val="FootnoteReference"/>
                <w:b/>
                <w:noProof/>
                <w:sz w:val="22"/>
              </w:rPr>
              <w:footnoteReference w:id="13"/>
            </w:r>
          </w:p>
          <w:p>
            <w:pPr>
              <w:jc w:val="center"/>
              <w:rPr>
                <w:b/>
                <w:noProof/>
              </w:rPr>
            </w:pPr>
            <w:r>
              <w:rPr>
                <w:noProof/>
                <w:sz w:val="22"/>
              </w:rPr>
              <w:t>of the multiannual financial framework</w:t>
            </w:r>
            <w:r>
              <w:rPr>
                <w:b/>
                <w:noProof/>
                <w:sz w:val="22"/>
              </w:rPr>
              <w:t xml:space="preserve"> </w:t>
            </w:r>
          </w:p>
        </w:tc>
        <w:tc>
          <w:tcPr>
            <w:tcW w:w="1854" w:type="dxa"/>
            <w:gridSpan w:val="2"/>
            <w:vAlign w:val="center"/>
          </w:tcPr>
          <w:p>
            <w:pPr>
              <w:rPr>
                <w:noProof/>
                <w:sz w:val="14"/>
              </w:rPr>
            </w:pPr>
            <w:r>
              <w:rPr>
                <w:noProof/>
                <w:sz w:val="18"/>
              </w:rPr>
              <w:t>Commitments</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410,000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440,000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320,000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370,000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430,000</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color w:val="000000"/>
                <w:sz w:val="20"/>
              </w:rPr>
              <w:t xml:space="preserve"> - </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2.600,000 </w:t>
            </w:r>
          </w:p>
        </w:tc>
      </w:tr>
      <w:tr>
        <w:trPr>
          <w:jc w:val="center"/>
        </w:trPr>
        <w:tc>
          <w:tcPr>
            <w:tcW w:w="4173" w:type="dxa"/>
            <w:vMerge/>
            <w:shd w:val="clear" w:color="auto" w:fill="C0C0C0"/>
          </w:tcPr>
          <w:p>
            <w:pPr>
              <w:rPr>
                <w:noProof/>
                <w:sz w:val="20"/>
              </w:rPr>
            </w:pPr>
          </w:p>
        </w:tc>
        <w:tc>
          <w:tcPr>
            <w:tcW w:w="1854" w:type="dxa"/>
            <w:gridSpan w:val="2"/>
            <w:vAlign w:val="center"/>
          </w:tcPr>
          <w:p>
            <w:pPr>
              <w:rPr>
                <w:noProof/>
                <w:sz w:val="14"/>
              </w:rPr>
            </w:pPr>
            <w:r>
              <w:rPr>
                <w:noProof/>
                <w:sz w:val="18"/>
              </w:rPr>
              <w:t>Payments</w:t>
            </w:r>
          </w:p>
        </w:tc>
        <w:tc>
          <w:tcPr>
            <w:tcW w:w="110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124,017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228,149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353,660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188,733</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293,808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348,884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403,962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bCs/>
                <w:noProof/>
                <w:color w:val="000000"/>
                <w:sz w:val="20"/>
              </w:rPr>
              <w:t xml:space="preserve">   2.600,000 </w:t>
            </w:r>
          </w:p>
        </w:tc>
      </w:tr>
    </w:tbl>
    <w:p>
      <w:pPr>
        <w:rPr>
          <w:noProof/>
        </w:rPr>
      </w:pPr>
    </w:p>
    <w:p>
      <w:pPr>
        <w:rPr>
          <w:noProof/>
        </w:rPr>
      </w:pP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rPr>
          <w:noProof/>
        </w:rPr>
        <w:sectPr>
          <w:headerReference w:type="even" r:id="rId37"/>
          <w:headerReference w:type="default" r:id="rId38"/>
          <w:footerReference w:type="even" r:id="rId39"/>
          <w:footerReference w:type="default" r:id="rId40"/>
          <w:headerReference w:type="first" r:id="rId41"/>
          <w:footerReference w:type="first" r:id="rId42"/>
          <w:pgSz w:w="15840" w:h="12240" w:orient="landscape"/>
          <w:pgMar w:top="1134" w:right="1077" w:bottom="902" w:left="1247" w:header="709" w:footer="510" w:gutter="0"/>
          <w:cols w:space="720"/>
          <w:docGrid w:linePitch="326"/>
        </w:sect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color w:val="000000"/>
                <w:sz w:val="20"/>
                <w:szCs w:val="20"/>
              </w:rPr>
              <w:t>DG CNECT (4 FTE STATUTORY AD, 2 FTE AC)</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r>
              <w:rPr>
                <w:rStyle w:val="FootnoteReference"/>
                <w:noProof/>
                <w:color w:val="000000"/>
                <w:sz w:val="20"/>
                <w:szCs w:val="20"/>
              </w:rPr>
              <w:footnoteReference w:id="14"/>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vAlign w:val="center"/>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p.m</w:t>
            </w:r>
          </w:p>
        </w:tc>
        <w:tc>
          <w:tcPr>
            <w:tcW w:w="1291" w:type="dxa"/>
            <w:vAlign w:val="center"/>
          </w:tcPr>
          <w:p>
            <w:pPr>
              <w:spacing w:before="20" w:after="20"/>
              <w:jc w:val="right"/>
              <w:rPr>
                <w:b/>
                <w:noProof/>
                <w:sz w:val="20"/>
              </w:rPr>
            </w:pPr>
            <w:r>
              <w:rPr>
                <w:b/>
                <w:bCs/>
                <w:noProof/>
                <w:color w:val="000000"/>
                <w:sz w:val="20"/>
                <w:szCs w:val="20"/>
              </w:rPr>
              <w:t>5,320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68" w:type="dxa"/>
          </w:tcPr>
          <w:p>
            <w:pPr>
              <w:spacing w:before="20" w:after="20"/>
              <w:jc w:val="right"/>
              <w:rPr>
                <w:b/>
                <w:noProof/>
                <w:sz w:val="20"/>
              </w:rPr>
            </w:pPr>
            <w:r>
              <w:rPr>
                <w:noProof/>
                <w:color w:val="000000"/>
                <w:sz w:val="20"/>
                <w:szCs w:val="20"/>
              </w:rPr>
              <w:t>p.m</w:t>
            </w:r>
          </w:p>
        </w:tc>
        <w:tc>
          <w:tcPr>
            <w:tcW w:w="887" w:type="dxa"/>
            <w:shd w:val="clear" w:color="auto" w:fill="A6A6A6"/>
          </w:tcPr>
          <w:p>
            <w:pPr>
              <w:spacing w:before="20" w:after="20"/>
              <w:jc w:val="right"/>
              <w:rPr>
                <w:b/>
                <w:noProof/>
                <w:sz w:val="20"/>
              </w:rPr>
            </w:pPr>
            <w:r>
              <w:rPr>
                <w:noProof/>
                <w:color w:val="000000"/>
                <w:sz w:val="20"/>
                <w:szCs w:val="20"/>
              </w:rPr>
              <w:t>p.m</w:t>
            </w:r>
          </w:p>
        </w:tc>
        <w:tc>
          <w:tcPr>
            <w:tcW w:w="1291" w:type="dxa"/>
          </w:tcPr>
          <w:p>
            <w:pPr>
              <w:spacing w:before="20" w:after="20"/>
              <w:jc w:val="right"/>
              <w:rPr>
                <w:b/>
                <w:noProof/>
                <w:sz w:val="20"/>
              </w:rPr>
            </w:pPr>
            <w:r>
              <w:rPr>
                <w:noProof/>
                <w:color w:val="000000"/>
                <w:sz w:val="20"/>
                <w:szCs w:val="20"/>
              </w:rPr>
              <w:t>p.m</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68" w:type="dxa"/>
          </w:tcPr>
          <w:p>
            <w:pPr>
              <w:spacing w:before="20" w:after="20"/>
              <w:jc w:val="right"/>
              <w:rPr>
                <w:b/>
                <w:noProof/>
                <w:sz w:val="20"/>
              </w:rPr>
            </w:pPr>
            <w:r>
              <w:rPr>
                <w:noProof/>
                <w:color w:val="000000"/>
                <w:sz w:val="20"/>
                <w:szCs w:val="20"/>
              </w:rPr>
              <w:t>0,760</w:t>
            </w:r>
          </w:p>
        </w:tc>
        <w:tc>
          <w:tcPr>
            <w:tcW w:w="887" w:type="dxa"/>
            <w:shd w:val="clear" w:color="auto" w:fill="A6A6A6"/>
            <w:vAlign w:val="center"/>
          </w:tcPr>
          <w:p>
            <w:pPr>
              <w:spacing w:before="20" w:after="20"/>
              <w:jc w:val="right"/>
              <w:rPr>
                <w:b/>
                <w:noProof/>
                <w:sz w:val="20"/>
              </w:rPr>
            </w:pPr>
            <w:r>
              <w:rPr>
                <w:noProof/>
                <w:color w:val="000000"/>
                <w:sz w:val="20"/>
                <w:szCs w:val="20"/>
              </w:rPr>
              <w:t>p.m</w:t>
            </w:r>
          </w:p>
        </w:tc>
        <w:tc>
          <w:tcPr>
            <w:tcW w:w="1291" w:type="dxa"/>
            <w:vAlign w:val="center"/>
          </w:tcPr>
          <w:p>
            <w:pPr>
              <w:spacing w:before="20" w:after="20"/>
              <w:jc w:val="right"/>
              <w:rPr>
                <w:b/>
                <w:noProof/>
                <w:sz w:val="20"/>
              </w:rPr>
            </w:pPr>
            <w:r>
              <w:rPr>
                <w:b/>
                <w:bCs/>
                <w:noProof/>
                <w:color w:val="000000"/>
                <w:sz w:val="20"/>
                <w:szCs w:val="20"/>
              </w:rPr>
              <w:t>5,320</w:t>
            </w:r>
          </w:p>
        </w:tc>
      </w:tr>
    </w:tbl>
    <w:p>
      <w:pPr>
        <w:jc w:val="right"/>
        <w:rPr>
          <w:noProof/>
          <w:sz w:val="20"/>
        </w:rPr>
      </w:pPr>
    </w:p>
    <w:p>
      <w:pPr>
        <w:jc w:val="right"/>
        <w:rPr>
          <w:noProof/>
          <w:sz w:val="20"/>
        </w:rPr>
      </w:pPr>
    </w:p>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410,760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440,760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220,760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320,760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noProof/>
                <w:sz w:val="20"/>
              </w:rPr>
            </w:pPr>
            <w:r>
              <w:rPr>
                <w:noProof/>
                <w:sz w:val="20"/>
              </w:rPr>
              <w:t>370,760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430,760</w:t>
            </w:r>
          </w:p>
        </w:tc>
        <w:tc>
          <w:tcPr>
            <w:tcW w:w="877"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p>
        </w:tc>
        <w:tc>
          <w:tcPr>
            <w:tcW w:w="1292" w:type="dxa"/>
            <w:tcBorders>
              <w:top w:val="single" w:sz="8" w:space="0" w:color="auto"/>
              <w:left w:val="single" w:sz="8" w:space="0" w:color="auto"/>
              <w:bottom w:val="single" w:sz="8" w:space="0" w:color="000000"/>
              <w:right w:val="single" w:sz="8" w:space="0" w:color="auto"/>
            </w:tcBorders>
            <w:shd w:val="clear" w:color="auto" w:fill="auto"/>
            <w:vAlign w:val="center"/>
          </w:tcPr>
          <w:p>
            <w:pPr>
              <w:spacing w:before="60" w:after="60"/>
              <w:jc w:val="right"/>
              <w:rPr>
                <w:b/>
                <w:noProof/>
                <w:sz w:val="20"/>
              </w:rPr>
            </w:pPr>
            <w:r>
              <w:rPr>
                <w:b/>
                <w:noProof/>
                <w:sz w:val="20"/>
              </w:rPr>
              <w:t>2.605,320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124,777</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228,909</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354,420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189,420</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294,568</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noProof/>
                <w:sz w:val="20"/>
              </w:rPr>
            </w:pPr>
            <w:r>
              <w:rPr>
                <w:noProof/>
                <w:sz w:val="20"/>
              </w:rPr>
              <w:t>349,644</w:t>
            </w:r>
          </w:p>
        </w:tc>
        <w:tc>
          <w:tcPr>
            <w:tcW w:w="868"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404,722</w:t>
            </w:r>
          </w:p>
        </w:tc>
        <w:tc>
          <w:tcPr>
            <w:tcW w:w="877"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658,787</w:t>
            </w:r>
          </w:p>
        </w:tc>
        <w:tc>
          <w:tcPr>
            <w:tcW w:w="1292" w:type="dxa"/>
            <w:tcBorders>
              <w:top w:val="nil"/>
              <w:left w:val="nil"/>
              <w:bottom w:val="single" w:sz="8" w:space="0" w:color="auto"/>
              <w:right w:val="single" w:sz="8" w:space="0" w:color="auto"/>
            </w:tcBorders>
            <w:shd w:val="clear" w:color="auto" w:fill="auto"/>
            <w:vAlign w:val="center"/>
          </w:tcPr>
          <w:p>
            <w:pPr>
              <w:spacing w:before="60" w:after="60"/>
              <w:jc w:val="right"/>
              <w:rPr>
                <w:b/>
                <w:noProof/>
                <w:sz w:val="20"/>
              </w:rPr>
            </w:pPr>
            <w:r>
              <w:rPr>
                <w:b/>
                <w:noProof/>
                <w:sz w:val="20"/>
              </w:rPr>
              <w:t>2.605,320</w:t>
            </w:r>
          </w:p>
        </w:tc>
      </w:tr>
    </w:tbl>
    <w:p>
      <w:pPr>
        <w:pStyle w:val="ManualHeading3"/>
        <w:rPr>
          <w:rFonts w:eastAsiaTheme="majorEastAsia"/>
          <w:b/>
          <w:bCs/>
          <w:i w:val="0"/>
          <w:noProof/>
          <w:szCs w:val="26"/>
        </w:rPr>
      </w:pPr>
    </w:p>
    <w:p>
      <w:pPr>
        <w:rPr>
          <w:noProof/>
        </w:rPr>
      </w:pPr>
      <w:r>
        <w:rPr>
          <w:noProof/>
        </w:rPr>
        <w:br w:type="page"/>
      </w:r>
    </w:p>
    <w:p>
      <w:pPr>
        <w:pStyle w:val="ManualHeading3"/>
        <w:rPr>
          <w:rFonts w:eastAsiaTheme="majorEastAsia"/>
          <w:b/>
          <w:bCs/>
          <w:i w:val="0"/>
          <w:noProof/>
          <w:szCs w:val="26"/>
        </w:rPr>
      </w:pPr>
    </w:p>
    <w:p>
      <w:pPr>
        <w:pStyle w:val="Heading3"/>
        <w:rPr>
          <w:noProof/>
        </w:rPr>
      </w:pPr>
      <w:bookmarkStart w:id="47" w:name="_Toc50541100"/>
      <w:r>
        <w:rPr>
          <w:noProof/>
        </w:rPr>
        <w:t>Estimated impact on JU’s human resources</w:t>
      </w:r>
      <w:bookmarkEnd w:id="47"/>
      <w:r>
        <w:rPr>
          <w:noProof/>
        </w:rPr>
        <w:t xml:space="preserve"> </w:t>
      </w:r>
    </w:p>
    <w:p>
      <w:pPr>
        <w:pStyle w:val="ListDash1"/>
        <w:numPr>
          <w:ilvl w:val="0"/>
          <w:numId w:val="9"/>
        </w:numPr>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9"/>
        </w:numPr>
        <w:rPr>
          <w:noProof/>
        </w:rPr>
      </w:pPr>
      <w:r>
        <w:rPr>
          <w:noProof/>
        </w:rPr>
        <w:sym w:font="Wingdings" w:char="F0FE"/>
      </w:r>
      <w:r>
        <w:rPr>
          <w:noProof/>
        </w:rPr>
        <w:tab/>
        <w:t>The proposal/initiative requires the use of appropriations of an administrative nature, as explained below:</w:t>
      </w:r>
    </w:p>
    <w:tbl>
      <w:tblPr>
        <w:tblW w:w="13047" w:type="dxa"/>
        <w:tblLook w:val="04A0" w:firstRow="1" w:lastRow="0" w:firstColumn="1" w:lastColumn="0" w:noHBand="0" w:noVBand="1"/>
      </w:tblPr>
      <w:tblGrid>
        <w:gridCol w:w="2448"/>
        <w:gridCol w:w="1355"/>
        <w:gridCol w:w="1181"/>
        <w:gridCol w:w="1181"/>
        <w:gridCol w:w="1181"/>
        <w:gridCol w:w="1181"/>
        <w:gridCol w:w="1181"/>
        <w:gridCol w:w="1181"/>
        <w:gridCol w:w="1132"/>
        <w:gridCol w:w="1026"/>
      </w:tblGrid>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Staffing numbers (in headcounts / FTE)</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14</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22</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27</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34</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47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tcPr>
          <w:p>
            <w:pPr>
              <w:spacing w:before="0" w:after="0"/>
              <w:jc w:val="right"/>
              <w:rPr>
                <w:noProof/>
                <w:color w:val="000000"/>
                <w:sz w:val="22"/>
              </w:rPr>
            </w:pPr>
            <w:r>
              <w:rPr>
                <w:noProof/>
                <w:color w:val="000000"/>
                <w:sz w:val="22"/>
              </w:rPr>
              <w:t>57</w:t>
            </w:r>
          </w:p>
        </w:tc>
        <w:tc>
          <w:tcPr>
            <w:tcW w:w="0" w:type="auto"/>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8" w:space="0" w:color="auto"/>
              <w:left w:val="nil"/>
              <w:bottom w:val="single" w:sz="8" w:space="0" w:color="auto"/>
              <w:right w:val="single" w:sz="8"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gridSpan w:val="2"/>
            <w:tcBorders>
              <w:top w:val="nil"/>
              <w:left w:val="nil"/>
              <w:bottom w:val="nil"/>
              <w:right w:val="nil"/>
            </w:tcBorders>
            <w:shd w:val="clear" w:color="auto" w:fill="auto"/>
            <w:noWrap/>
            <w:vAlign w:val="bottom"/>
            <w:hideMark/>
          </w:tcPr>
          <w:p>
            <w:pPr>
              <w:spacing w:before="0" w:after="0"/>
              <w:jc w:val="left"/>
              <w:rPr>
                <w:noProof/>
                <w:color w:val="000000"/>
                <w:sz w:val="20"/>
                <w:szCs w:val="20"/>
              </w:rPr>
            </w:pPr>
            <w:r>
              <w:rPr>
                <w:noProof/>
                <w:color w:val="000000"/>
                <w:sz w:val="20"/>
                <w:szCs w:val="20"/>
              </w:rPr>
              <w:t>EUR million (to three decimal places)</w:t>
            </w: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2021</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2022</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2023</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2024</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2025</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2026</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Year 2027</w:t>
            </w:r>
          </w:p>
        </w:tc>
        <w:tc>
          <w:tcPr>
            <w:tcW w:w="0" w:type="auto"/>
            <w:tcBorders>
              <w:top w:val="single" w:sz="4" w:space="0" w:color="auto"/>
              <w:left w:val="nil"/>
              <w:bottom w:val="single" w:sz="4" w:space="0" w:color="auto"/>
              <w:right w:val="single" w:sz="4" w:space="0" w:color="auto"/>
            </w:tcBorders>
            <w:shd w:val="clear" w:color="auto" w:fill="auto"/>
            <w:hideMark/>
          </w:tcPr>
          <w:p>
            <w:pPr>
              <w:spacing w:before="0" w:after="0"/>
              <w:jc w:val="center"/>
              <w:rPr>
                <w:noProof/>
                <w:color w:val="000000"/>
                <w:sz w:val="20"/>
                <w:szCs w:val="20"/>
              </w:rPr>
            </w:pPr>
            <w:r>
              <w:rPr>
                <w:noProof/>
                <w:sz w:val="20"/>
              </w:rPr>
              <w:t>Post 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300"/>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r>
      <w:tr>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Officials (AD Grades)</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Officials (AST grades)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rPr>
              <w:t>Contract staff</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1,019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1,624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1,988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2,028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2,069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2,110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2,152</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4,304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17,294</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 xml:space="preserve">Temporary staff </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1,148</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2,863</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3,584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3,656</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3,729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3,804</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b/>
                <w:noProof/>
                <w:color w:val="000000"/>
                <w:sz w:val="22"/>
              </w:rPr>
            </w:pPr>
            <w:r>
              <w:rPr>
                <w:noProof/>
                <w:color w:val="000000"/>
                <w:sz w:val="22"/>
              </w:rPr>
              <w:t>3,880</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7,759</w:t>
            </w:r>
          </w:p>
        </w:tc>
        <w:tc>
          <w:tcPr>
            <w:tcW w:w="0" w:type="auto"/>
            <w:tcBorders>
              <w:top w:val="nil"/>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30,423</w:t>
            </w:r>
          </w:p>
        </w:tc>
      </w:tr>
      <w:tr>
        <w:trPr>
          <w:trHeight w:val="300"/>
        </w:trPr>
        <w:tc>
          <w:tcPr>
            <w:tcW w:w="0" w:type="auto"/>
            <w:tcBorders>
              <w:top w:val="nil"/>
              <w:left w:val="single" w:sz="4" w:space="0" w:color="auto"/>
              <w:bottom w:val="single" w:sz="4" w:space="0" w:color="auto"/>
              <w:right w:val="single" w:sz="4" w:space="0" w:color="auto"/>
            </w:tcBorders>
            <w:shd w:val="clear" w:color="000000" w:fill="CCCCCC"/>
            <w:vAlign w:val="center"/>
            <w:hideMark/>
          </w:tcPr>
          <w:p>
            <w:pPr>
              <w:spacing w:before="0" w:after="0"/>
              <w:jc w:val="left"/>
              <w:rPr>
                <w:noProof/>
                <w:color w:val="000000"/>
                <w:sz w:val="18"/>
                <w:szCs w:val="18"/>
              </w:rPr>
            </w:pPr>
            <w:r>
              <w:rPr>
                <w:noProof/>
                <w:color w:val="000000"/>
                <w:sz w:val="18"/>
              </w:rPr>
              <w:t>Seconded National Experts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r>
      <w:tr>
        <w:trPr>
          <w:trHeight w:val="315"/>
        </w:trPr>
        <w:tc>
          <w:tcPr>
            <w:tcW w:w="0" w:type="auto"/>
            <w:tcBorders>
              <w:top w:val="nil"/>
              <w:left w:val="nil"/>
              <w:bottom w:val="nil"/>
              <w:right w:val="nil"/>
            </w:tcBorders>
            <w:shd w:val="clear" w:color="auto" w:fill="auto"/>
            <w:noWrap/>
            <w:vAlign w:val="bottom"/>
            <w:hideMark/>
          </w:tcPr>
          <w:p>
            <w:pPr>
              <w:spacing w:before="0" w:after="0"/>
              <w:jc w:val="lef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c>
          <w:tcPr>
            <w:tcW w:w="0" w:type="auto"/>
            <w:tcBorders>
              <w:top w:val="nil"/>
              <w:left w:val="nil"/>
              <w:bottom w:val="nil"/>
              <w:right w:val="nil"/>
            </w:tcBorders>
            <w:shd w:val="clear" w:color="auto" w:fill="auto"/>
            <w:noWrap/>
            <w:vAlign w:val="bottom"/>
          </w:tcPr>
          <w:p>
            <w:pPr>
              <w:spacing w:before="0" w:after="0"/>
              <w:jc w:val="right"/>
              <w:rPr>
                <w:noProof/>
                <w:color w:val="000000"/>
                <w:sz w:val="22"/>
              </w:rPr>
            </w:pPr>
          </w:p>
        </w:tc>
      </w:tr>
      <w:tr>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before="0" w:after="0"/>
              <w:jc w:val="left"/>
              <w:rPr>
                <w:b/>
                <w:bCs/>
                <w:noProof/>
                <w:color w:val="000000"/>
                <w:sz w:val="20"/>
                <w:szCs w:val="20"/>
              </w:rPr>
            </w:pPr>
            <w:r>
              <w:rPr>
                <w:b/>
                <w:bCs/>
                <w:noProof/>
                <w:color w:val="000000"/>
                <w:sz w:val="20"/>
                <w:szCs w:val="20"/>
              </w:rPr>
              <w:t>TOTAL</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2,168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4,488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5,572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5,684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5,798</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5,914</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6,032</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12,063</w:t>
            </w:r>
          </w:p>
        </w:tc>
        <w:tc>
          <w:tcPr>
            <w:tcW w:w="0" w:type="auto"/>
            <w:tcBorders>
              <w:top w:val="single" w:sz="8" w:space="0" w:color="auto"/>
              <w:left w:val="nil"/>
              <w:bottom w:val="single" w:sz="8" w:space="0" w:color="auto"/>
              <w:right w:val="single" w:sz="8" w:space="0" w:color="auto"/>
            </w:tcBorders>
            <w:shd w:val="clear" w:color="auto" w:fill="auto"/>
            <w:noWrap/>
            <w:vAlign w:val="center"/>
          </w:tcPr>
          <w:p>
            <w:pPr>
              <w:spacing w:before="0" w:after="0"/>
              <w:jc w:val="right"/>
              <w:rPr>
                <w:noProof/>
                <w:color w:val="000000"/>
                <w:sz w:val="22"/>
              </w:rPr>
            </w:pPr>
            <w:r>
              <w:rPr>
                <w:noProof/>
                <w:color w:val="000000"/>
                <w:sz w:val="22"/>
              </w:rPr>
              <w:t>47,717</w:t>
            </w:r>
          </w:p>
        </w:tc>
      </w:tr>
    </w:tbl>
    <w:p>
      <w:pPr>
        <w:rPr>
          <w:noProof/>
          <w:sz w:val="20"/>
        </w:rPr>
      </w:pPr>
    </w:p>
    <w:p>
      <w:pPr>
        <w:rPr>
          <w:noProof/>
        </w:rPr>
        <w:sectPr>
          <w:headerReference w:type="even" r:id="rId43"/>
          <w:headerReference w:type="default" r:id="rId44"/>
          <w:footerReference w:type="even" r:id="rId45"/>
          <w:footerReference w:type="default" r:id="rId46"/>
          <w:headerReference w:type="first" r:id="rId47"/>
          <w:footerReference w:type="first" r:id="rId48"/>
          <w:pgSz w:w="15840" w:h="12240" w:orient="landscape"/>
          <w:pgMar w:top="1418" w:right="902" w:bottom="902" w:left="567" w:header="709" w:footer="709" w:gutter="0"/>
          <w:cols w:space="720"/>
          <w:docGrid w:linePitch="326"/>
        </w:sectPr>
      </w:pPr>
    </w:p>
    <w:p>
      <w:pPr>
        <w:rPr>
          <w:noProof/>
          <w:u w:val="single"/>
        </w:rPr>
      </w:pPr>
      <w:r>
        <w:rPr>
          <w:noProof/>
          <w:u w:val="single"/>
        </w:rPr>
        <w:t>Estimated impact on the staff (additional FTE) – establishment plan</w:t>
      </w:r>
      <w:r>
        <w:rPr>
          <w:rStyle w:val="FootnoteReference"/>
          <w:noProof/>
          <w:u w:val="single"/>
        </w:rPr>
        <w:footnoteReference w:id="15"/>
      </w:r>
    </w:p>
    <w:tbl>
      <w:tblPr>
        <w:tblW w:w="9938" w:type="dxa"/>
        <w:tblInd w:w="93" w:type="dxa"/>
        <w:tblLayout w:type="fixed"/>
        <w:tblLook w:val="04A0" w:firstRow="1" w:lastRow="0" w:firstColumn="1" w:lastColumn="0" w:noHBand="0" w:noVBand="1"/>
      </w:tblPr>
      <w:tblGrid>
        <w:gridCol w:w="1598"/>
        <w:gridCol w:w="685"/>
        <w:gridCol w:w="686"/>
        <w:gridCol w:w="685"/>
        <w:gridCol w:w="685"/>
        <w:gridCol w:w="684"/>
        <w:gridCol w:w="684"/>
        <w:gridCol w:w="684"/>
        <w:gridCol w:w="712"/>
        <w:gridCol w:w="709"/>
        <w:gridCol w:w="708"/>
        <w:gridCol w:w="709"/>
        <w:gridCol w:w="709"/>
      </w:tblGrid>
      <w:tr>
        <w:trPr>
          <w:trHeight w:val="300"/>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0"/>
                <w:szCs w:val="20"/>
              </w:rPr>
            </w:pPr>
            <w:r>
              <w:rPr>
                <w:noProof/>
                <w:color w:val="000000"/>
                <w:sz w:val="20"/>
                <w:szCs w:val="20"/>
              </w:rPr>
              <w:t>Function group and grade</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6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12" w:type="dxa"/>
            <w:tcBorders>
              <w:top w:val="single" w:sz="4" w:space="0" w:color="auto"/>
              <w:left w:val="nil"/>
              <w:bottom w:val="single" w:sz="4" w:space="0" w:color="auto"/>
              <w:right w:val="single" w:sz="4" w:space="0" w:color="auto"/>
            </w:tcBorders>
            <w:shd w:val="clear" w:color="auto" w:fill="auto"/>
            <w:vAlign w:val="center"/>
            <w:hideMark/>
          </w:tcPr>
          <w:p>
            <w:pPr>
              <w:spacing w:before="0" w:after="0"/>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2029</w:t>
            </w:r>
          </w:p>
        </w:tc>
        <w:tc>
          <w:tcPr>
            <w:tcW w:w="70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2030</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Year 2031</w:t>
            </w:r>
          </w:p>
        </w:tc>
        <w:tc>
          <w:tcPr>
            <w:tcW w:w="70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r>
              <w:rPr>
                <w:noProof/>
                <w:color w:val="000000"/>
                <w:sz w:val="20"/>
                <w:szCs w:val="20"/>
              </w:rPr>
              <w:t>Post 2031</w:t>
            </w: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AD5</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AD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14</w:t>
            </w: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22</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5" w:type="dxa"/>
            <w:tcBorders>
              <w:top w:val="nil"/>
              <w:left w:val="nil"/>
              <w:bottom w:val="single" w:sz="4" w:space="0" w:color="auto"/>
              <w:right w:val="single" w:sz="4" w:space="0" w:color="auto"/>
            </w:tcBorders>
            <w:shd w:val="clear" w:color="auto" w:fill="auto"/>
            <w:noWrap/>
            <w:vAlign w:val="bottom"/>
          </w:tcPr>
          <w:p>
            <w:pPr>
              <w:spacing w:before="0" w:after="0"/>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27</w:t>
            </w: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AST11</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AST10</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AST9</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AST8</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AST7</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AST6</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 xml:space="preserve">AST/SC 6 </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5</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4</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3</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2</w:t>
            </w:r>
          </w:p>
        </w:tc>
        <w:tc>
          <w:tcPr>
            <w:tcW w:w="685" w:type="dxa"/>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8"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1</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r>
        <w:trPr>
          <w:trHeight w:val="300"/>
        </w:trPr>
        <w:tc>
          <w:tcPr>
            <w:tcW w:w="1598" w:type="dxa"/>
            <w:tcBorders>
              <w:top w:val="nil"/>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AST/SC Total</w:t>
            </w:r>
          </w:p>
        </w:tc>
        <w:tc>
          <w:tcPr>
            <w:tcW w:w="68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6"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5"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684"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12"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8"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c>
          <w:tcPr>
            <w:tcW w:w="709" w:type="dxa"/>
            <w:tcBorders>
              <w:top w:val="nil"/>
              <w:left w:val="nil"/>
              <w:bottom w:val="single" w:sz="4" w:space="0" w:color="auto"/>
              <w:right w:val="single" w:sz="4" w:space="0" w:color="auto"/>
            </w:tcBorders>
          </w:tcPr>
          <w:p>
            <w:pPr>
              <w:spacing w:before="0" w:after="0"/>
              <w:jc w:val="center"/>
              <w:rPr>
                <w:noProof/>
                <w:color w:val="000000"/>
                <w:sz w:val="22"/>
              </w:rPr>
            </w:pPr>
          </w:p>
        </w:tc>
      </w:tr>
    </w:tbl>
    <w:p>
      <w:pPr>
        <w:rPr>
          <w:noProof/>
        </w:rPr>
      </w:pPr>
    </w:p>
    <w:p>
      <w:pPr>
        <w:rPr>
          <w:noProof/>
          <w:u w:val="single"/>
        </w:rPr>
      </w:pPr>
      <w:r>
        <w:rPr>
          <w:noProof/>
          <w:u w:val="single"/>
        </w:rPr>
        <w:t>Estimated impact on the staff (additional) – external personnel</w:t>
      </w:r>
    </w:p>
    <w:tbl>
      <w:tblPr>
        <w:tblW w:w="9686" w:type="dxa"/>
        <w:tblInd w:w="93" w:type="dxa"/>
        <w:tblLook w:val="04A0" w:firstRow="1" w:lastRow="0" w:firstColumn="1" w:lastColumn="0" w:noHBand="0" w:noVBand="1"/>
      </w:tblPr>
      <w:tblGrid>
        <w:gridCol w:w="1855"/>
        <w:gridCol w:w="628"/>
        <w:gridCol w:w="627"/>
        <w:gridCol w:w="627"/>
        <w:gridCol w:w="627"/>
        <w:gridCol w:w="627"/>
        <w:gridCol w:w="627"/>
        <w:gridCol w:w="844"/>
        <w:gridCol w:w="716"/>
        <w:gridCol w:w="627"/>
        <w:gridCol w:w="627"/>
        <w:gridCol w:w="627"/>
        <w:gridCol w:w="627"/>
      </w:tblGrid>
      <w:tr>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Contract agents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2028</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851"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IV</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nil"/>
              <w:left w:val="single" w:sz="4" w:space="0" w:color="auto"/>
              <w:bottom w:val="dashed"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Function group I</w:t>
            </w:r>
          </w:p>
        </w:tc>
        <w:tc>
          <w:tcPr>
            <w:tcW w:w="0" w:type="auto"/>
            <w:tcBorders>
              <w:top w:val="nil"/>
              <w:left w:val="single" w:sz="4" w:space="0" w:color="auto"/>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0" w:type="auto"/>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844"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2"/>
              </w:rPr>
            </w:pPr>
          </w:p>
        </w:tc>
        <w:tc>
          <w:tcPr>
            <w:tcW w:w="709" w:type="dxa"/>
            <w:tcBorders>
              <w:top w:val="nil"/>
              <w:left w:val="nil"/>
              <w:bottom w:val="dashed"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c>
          <w:tcPr>
            <w:tcW w:w="648" w:type="dxa"/>
            <w:tcBorders>
              <w:top w:val="nil"/>
              <w:left w:val="nil"/>
              <w:bottom w:val="dashed" w:sz="4" w:space="0" w:color="auto"/>
              <w:right w:val="single" w:sz="4" w:space="0" w:color="auto"/>
            </w:tcBorders>
          </w:tcPr>
          <w:p>
            <w:pPr>
              <w:spacing w:before="0" w:after="0"/>
              <w:jc w:val="center"/>
              <w:rPr>
                <w:noProof/>
                <w:color w:val="000000"/>
                <w:sz w:val="20"/>
                <w:szCs w:val="20"/>
              </w:rPr>
            </w:pPr>
          </w:p>
        </w:tc>
      </w:tr>
      <w:tr>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noProof/>
                <w:color w:val="000000"/>
                <w:sz w:val="22"/>
              </w:rPr>
            </w:pPr>
            <w:r>
              <w:rPr>
                <w:noProof/>
                <w:color w:val="000000"/>
                <w:sz w:val="22"/>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25</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0" w:type="auto"/>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84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2"/>
              </w:rPr>
            </w:pPr>
            <w:r>
              <w:rPr>
                <w:noProof/>
                <w:color w:val="000000"/>
                <w:sz w:val="22"/>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center"/>
              <w:rPr>
                <w:noProof/>
                <w:color w:val="000000"/>
                <w:sz w:val="20"/>
                <w:szCs w:val="20"/>
              </w:rPr>
            </w:pPr>
          </w:p>
        </w:tc>
        <w:tc>
          <w:tcPr>
            <w:tcW w:w="639"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c>
          <w:tcPr>
            <w:tcW w:w="648" w:type="dxa"/>
            <w:tcBorders>
              <w:top w:val="single" w:sz="4" w:space="0" w:color="auto"/>
              <w:left w:val="nil"/>
              <w:bottom w:val="single" w:sz="4" w:space="0" w:color="auto"/>
              <w:right w:val="single" w:sz="4" w:space="0" w:color="auto"/>
            </w:tcBorders>
          </w:tcPr>
          <w:p>
            <w:pPr>
              <w:spacing w:before="0" w:after="0"/>
              <w:jc w:val="center"/>
              <w:rPr>
                <w:noProof/>
                <w:color w:val="000000"/>
                <w:sz w:val="20"/>
                <w:szCs w:val="20"/>
              </w:rPr>
            </w:pPr>
          </w:p>
        </w:tc>
      </w:tr>
    </w:tbl>
    <w:p>
      <w:pPr>
        <w:rPr>
          <w:noProof/>
        </w:rPr>
      </w:pPr>
    </w:p>
    <w:tbl>
      <w:tblPr>
        <w:tblW w:w="9996" w:type="dxa"/>
        <w:jc w:val="center"/>
        <w:tblLayout w:type="fixed"/>
        <w:tblLook w:val="04A0" w:firstRow="1" w:lastRow="0" w:firstColumn="1" w:lastColumn="0" w:noHBand="0" w:noVBand="1"/>
      </w:tblPr>
      <w:tblGrid>
        <w:gridCol w:w="1185"/>
        <w:gridCol w:w="734"/>
        <w:gridCol w:w="734"/>
        <w:gridCol w:w="735"/>
        <w:gridCol w:w="728"/>
        <w:gridCol w:w="735"/>
        <w:gridCol w:w="735"/>
        <w:gridCol w:w="735"/>
        <w:gridCol w:w="735"/>
        <w:gridCol w:w="735"/>
        <w:gridCol w:w="735"/>
        <w:gridCol w:w="735"/>
        <w:gridCol w:w="735"/>
      </w:tblGrid>
      <w:tr>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noProof/>
                <w:color w:val="000000"/>
                <w:sz w:val="22"/>
              </w:rPr>
            </w:pPr>
            <w:r>
              <w:rPr>
                <w:noProof/>
                <w:color w:val="000000"/>
                <w:sz w:val="22"/>
              </w:rPr>
              <w:t>Seconded national experts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7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2028</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2029</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2030</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Year 2031</w:t>
            </w:r>
          </w:p>
        </w:tc>
        <w:tc>
          <w:tcPr>
            <w:tcW w:w="735" w:type="dxa"/>
            <w:tcBorders>
              <w:top w:val="single" w:sz="4" w:space="0" w:color="auto"/>
              <w:left w:val="nil"/>
              <w:bottom w:val="single" w:sz="4" w:space="0" w:color="auto"/>
              <w:right w:val="single" w:sz="4" w:space="0" w:color="auto"/>
            </w:tcBorders>
            <w:vAlign w:val="center"/>
          </w:tcPr>
          <w:p>
            <w:pPr>
              <w:spacing w:before="0" w:after="0"/>
              <w:jc w:val="center"/>
              <w:rPr>
                <w:noProof/>
                <w:color w:val="000000"/>
                <w:sz w:val="20"/>
                <w:szCs w:val="20"/>
              </w:rPr>
            </w:pPr>
            <w:r>
              <w:rPr>
                <w:noProof/>
                <w:color w:val="000000"/>
                <w:sz w:val="20"/>
                <w:szCs w:val="20"/>
              </w:rPr>
              <w:t>Post 2031</w:t>
            </w:r>
          </w:p>
        </w:tc>
      </w:tr>
      <w:tr>
        <w:trPr>
          <w:trHeight w:val="300"/>
          <w:jc w:val="center"/>
        </w:trPr>
        <w:tc>
          <w:tcPr>
            <w:tcW w:w="1185" w:type="dxa"/>
            <w:tcBorders>
              <w:top w:val="nil"/>
              <w:left w:val="single" w:sz="4" w:space="0" w:color="auto"/>
              <w:bottom w:val="single" w:sz="4" w:space="0" w:color="auto"/>
              <w:right w:val="nil"/>
            </w:tcBorders>
            <w:shd w:val="clear" w:color="auto" w:fill="auto"/>
            <w:noWrap/>
            <w:vAlign w:val="center"/>
            <w:hideMark/>
          </w:tcPr>
          <w:p>
            <w:pPr>
              <w:spacing w:before="0" w:after="0"/>
              <w:jc w:val="left"/>
              <w:rPr>
                <w:noProof/>
                <w:color w:val="000000"/>
                <w:sz w:val="22"/>
              </w:rPr>
            </w:pPr>
            <w:r>
              <w:rPr>
                <w:noProof/>
                <w:color w:val="000000"/>
                <w:sz w:val="22"/>
              </w:rPr>
              <w:t>Total</w:t>
            </w:r>
          </w:p>
        </w:tc>
        <w:tc>
          <w:tcPr>
            <w:tcW w:w="734"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4"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28"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shd w:val="clear" w:color="auto" w:fill="auto"/>
            <w:noWrap/>
            <w:vAlign w:val="center"/>
            <w:hideMark/>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c>
          <w:tcPr>
            <w:tcW w:w="735" w:type="dxa"/>
            <w:tcBorders>
              <w:top w:val="nil"/>
              <w:left w:val="nil"/>
              <w:bottom w:val="single" w:sz="4" w:space="0" w:color="auto"/>
              <w:right w:val="single" w:sz="4" w:space="0" w:color="auto"/>
            </w:tcBorders>
            <w:vAlign w:val="center"/>
          </w:tcPr>
          <w:p>
            <w:pPr>
              <w:spacing w:before="0" w:after="0"/>
              <w:jc w:val="center"/>
              <w:rPr>
                <w:noProof/>
                <w:color w:val="000000"/>
                <w:sz w:val="22"/>
              </w:rPr>
            </w:pPr>
          </w:p>
        </w:tc>
      </w:tr>
    </w:tbl>
    <w:p>
      <w:pPr>
        <w:rPr>
          <w:noProof/>
        </w:rPr>
      </w:pPr>
    </w:p>
    <w:p>
      <w:pPr>
        <w:pStyle w:val="Heading3"/>
        <w:rPr>
          <w:noProof/>
        </w:rPr>
      </w:pPr>
      <w:bookmarkStart w:id="48" w:name="_Toc50541101"/>
      <w:r>
        <w:rPr>
          <w:noProof/>
        </w:rPr>
        <w:t>Estimated requirements of human resources Commission</w:t>
      </w:r>
      <w:bookmarkEnd w:id="48"/>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 xml:space="preserve"> 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8"/>
        <w:gridCol w:w="990"/>
        <w:gridCol w:w="1134"/>
        <w:gridCol w:w="990"/>
        <w:gridCol w:w="1134"/>
        <w:gridCol w:w="1132"/>
        <w:gridCol w:w="994"/>
        <w:gridCol w:w="1117"/>
      </w:tblGrid>
      <w:tr>
        <w:trPr>
          <w:trHeight w:val="289"/>
        </w:trPr>
        <w:tc>
          <w:tcPr>
            <w:tcW w:w="1473"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3"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466" w:type="pct"/>
            <w:shd w:val="clear" w:color="auto" w:fill="auto"/>
          </w:tcPr>
          <w:p>
            <w:pPr>
              <w:spacing w:beforeLines="20" w:before="48" w:afterLines="20" w:after="48"/>
              <w:jc w:val="center"/>
              <w:rPr>
                <w:noProof/>
                <w:sz w:val="16"/>
                <w:szCs w:val="16"/>
              </w:rPr>
            </w:pPr>
            <w:r>
              <w:rPr>
                <w:noProof/>
                <w:sz w:val="16"/>
                <w:szCs w:val="16"/>
              </w:rPr>
              <w:t>4</w:t>
            </w:r>
          </w:p>
        </w:tc>
        <w:tc>
          <w:tcPr>
            <w:tcW w:w="534" w:type="pct"/>
            <w:shd w:val="clear" w:color="auto" w:fill="auto"/>
          </w:tcPr>
          <w:p>
            <w:pPr>
              <w:spacing w:beforeLines="20" w:before="48" w:afterLines="20" w:after="48"/>
              <w:jc w:val="center"/>
              <w:rPr>
                <w:noProof/>
                <w:sz w:val="16"/>
                <w:szCs w:val="16"/>
              </w:rPr>
            </w:pPr>
            <w:r>
              <w:rPr>
                <w:noProof/>
                <w:sz w:val="16"/>
                <w:szCs w:val="16"/>
              </w:rPr>
              <w:t>4</w:t>
            </w:r>
          </w:p>
        </w:tc>
        <w:tc>
          <w:tcPr>
            <w:tcW w:w="533" w:type="pct"/>
            <w:shd w:val="clear" w:color="auto" w:fill="auto"/>
          </w:tcPr>
          <w:p>
            <w:pPr>
              <w:spacing w:beforeLines="20" w:before="48" w:afterLines="20" w:after="48"/>
              <w:jc w:val="center"/>
              <w:rPr>
                <w:noProof/>
                <w:sz w:val="16"/>
                <w:szCs w:val="16"/>
              </w:rPr>
            </w:pPr>
            <w:r>
              <w:rPr>
                <w:noProof/>
                <w:sz w:val="16"/>
                <w:szCs w:val="16"/>
              </w:rPr>
              <w:t>4</w:t>
            </w:r>
          </w:p>
        </w:tc>
        <w:tc>
          <w:tcPr>
            <w:tcW w:w="468" w:type="pct"/>
            <w:shd w:val="clear" w:color="auto" w:fill="auto"/>
          </w:tcPr>
          <w:p>
            <w:pPr>
              <w:spacing w:beforeLines="20" w:before="48" w:afterLines="20" w:after="48"/>
              <w:jc w:val="center"/>
              <w:rPr>
                <w:noProof/>
                <w:sz w:val="16"/>
                <w:szCs w:val="16"/>
              </w:rPr>
            </w:pPr>
            <w:r>
              <w:rPr>
                <w:noProof/>
                <w:sz w:val="16"/>
                <w:szCs w:val="16"/>
              </w:rPr>
              <w:t>4</w:t>
            </w:r>
          </w:p>
        </w:tc>
        <w:tc>
          <w:tcPr>
            <w:tcW w:w="526" w:type="pct"/>
            <w:shd w:val="clear" w:color="auto" w:fill="auto"/>
          </w:tcPr>
          <w:p>
            <w:pPr>
              <w:spacing w:beforeLines="20" w:before="48" w:afterLines="20" w:after="48"/>
              <w:jc w:val="center"/>
              <w:rPr>
                <w:noProof/>
                <w:sz w:val="16"/>
                <w:szCs w:val="16"/>
              </w:rPr>
            </w:pPr>
            <w:r>
              <w:rPr>
                <w:noProof/>
                <w:sz w:val="16"/>
                <w:szCs w:val="16"/>
              </w:rPr>
              <w:t>4</w:t>
            </w: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6"/>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466" w:type="pct"/>
            <w:shd w:val="clear" w:color="auto" w:fill="auto"/>
          </w:tcPr>
          <w:p>
            <w:pPr>
              <w:spacing w:beforeLines="20" w:before="48" w:afterLines="20" w:after="48"/>
              <w:jc w:val="center"/>
              <w:rPr>
                <w:noProof/>
                <w:sz w:val="16"/>
                <w:szCs w:val="16"/>
              </w:rPr>
            </w:pPr>
            <w:r>
              <w:rPr>
                <w:noProof/>
                <w:sz w:val="16"/>
                <w:szCs w:val="16"/>
              </w:rPr>
              <w:t>2</w:t>
            </w:r>
          </w:p>
        </w:tc>
        <w:tc>
          <w:tcPr>
            <w:tcW w:w="534" w:type="pct"/>
            <w:shd w:val="clear" w:color="auto" w:fill="auto"/>
          </w:tcPr>
          <w:p>
            <w:pPr>
              <w:spacing w:beforeLines="20" w:before="48" w:afterLines="20" w:after="48"/>
              <w:jc w:val="center"/>
              <w:rPr>
                <w:noProof/>
                <w:sz w:val="16"/>
                <w:szCs w:val="16"/>
              </w:rPr>
            </w:pPr>
            <w:r>
              <w:rPr>
                <w:noProof/>
                <w:sz w:val="16"/>
                <w:szCs w:val="16"/>
              </w:rPr>
              <w:t>2</w:t>
            </w:r>
          </w:p>
        </w:tc>
        <w:tc>
          <w:tcPr>
            <w:tcW w:w="533" w:type="pct"/>
            <w:shd w:val="clear" w:color="auto" w:fill="auto"/>
          </w:tcPr>
          <w:p>
            <w:pPr>
              <w:spacing w:beforeLines="20" w:before="48" w:afterLines="20" w:after="48"/>
              <w:jc w:val="center"/>
              <w:rPr>
                <w:noProof/>
                <w:sz w:val="16"/>
                <w:szCs w:val="16"/>
              </w:rPr>
            </w:pPr>
            <w:r>
              <w:rPr>
                <w:noProof/>
                <w:sz w:val="16"/>
                <w:szCs w:val="16"/>
              </w:rPr>
              <w:t>2</w:t>
            </w:r>
          </w:p>
        </w:tc>
        <w:tc>
          <w:tcPr>
            <w:tcW w:w="468" w:type="pct"/>
            <w:shd w:val="clear" w:color="auto" w:fill="auto"/>
          </w:tcPr>
          <w:p>
            <w:pPr>
              <w:spacing w:beforeLines="20" w:before="48" w:afterLines="20" w:after="48"/>
              <w:jc w:val="center"/>
              <w:rPr>
                <w:noProof/>
                <w:sz w:val="16"/>
                <w:szCs w:val="16"/>
              </w:rPr>
            </w:pPr>
            <w:r>
              <w:rPr>
                <w:noProof/>
                <w:sz w:val="16"/>
                <w:szCs w:val="16"/>
              </w:rPr>
              <w:t>2</w:t>
            </w:r>
          </w:p>
        </w:tc>
        <w:tc>
          <w:tcPr>
            <w:tcW w:w="526" w:type="pct"/>
            <w:shd w:val="clear" w:color="auto" w:fill="auto"/>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7"/>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3"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c>
          <w:tcPr>
            <w:tcW w:w="52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pPr>
    </w:p>
    <w:p>
      <w:pPr>
        <w:rPr>
          <w:noProof/>
        </w:rPr>
        <w:sectPr>
          <w:headerReference w:type="even" r:id="rId49"/>
          <w:headerReference w:type="default" r:id="rId50"/>
          <w:footerReference w:type="even" r:id="rId51"/>
          <w:footerReference w:type="default" r:id="rId52"/>
          <w:headerReference w:type="first" r:id="rId53"/>
          <w:footerReference w:type="first" r:id="rId54"/>
          <w:pgSz w:w="11907" w:h="16839"/>
          <w:pgMar w:top="1134" w:right="1417" w:bottom="1134" w:left="1417" w:header="709" w:footer="709" w:gutter="0"/>
          <w:cols w:space="720"/>
          <w:docGrid w:linePitch="326"/>
        </w:sectPr>
      </w:pPr>
    </w:p>
    <w:p>
      <w:pPr>
        <w:pStyle w:val="Heading3"/>
        <w:rPr>
          <w:bCs w:val="0"/>
          <w:noProof/>
          <w:szCs w:val="24"/>
        </w:rPr>
      </w:pPr>
      <w:bookmarkStart w:id="49" w:name="_Toc50541102"/>
      <w:r>
        <w:rPr>
          <w:noProof/>
        </w:rPr>
        <w:t>Third-party contributions</w:t>
      </w:r>
      <w:bookmarkEnd w:id="49"/>
      <w:r>
        <w:rPr>
          <w:rStyle w:val="FootnoteReference"/>
          <w:noProof/>
        </w:rPr>
        <w:footnoteReference w:id="18"/>
      </w:r>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tbl>
      <w:tblPr>
        <w:tblW w:w="10815" w:type="dxa"/>
        <w:tblInd w:w="-853" w:type="dxa"/>
        <w:tblLook w:val="04A0" w:firstRow="1" w:lastRow="0" w:firstColumn="1" w:lastColumn="0" w:noHBand="0" w:noVBand="1"/>
      </w:tblPr>
      <w:tblGrid>
        <w:gridCol w:w="3071"/>
        <w:gridCol w:w="866"/>
        <w:gridCol w:w="866"/>
        <w:gridCol w:w="866"/>
        <w:gridCol w:w="866"/>
        <w:gridCol w:w="866"/>
        <w:gridCol w:w="866"/>
        <w:gridCol w:w="866"/>
        <w:gridCol w:w="666"/>
        <w:gridCol w:w="1016"/>
      </w:tblGrid>
      <w:tr>
        <w:trPr>
          <w:trHeight w:val="305"/>
        </w:trPr>
        <w:tc>
          <w:tcPr>
            <w:tcW w:w="0" w:type="auto"/>
            <w:gridSpan w:val="10"/>
            <w:tcBorders>
              <w:top w:val="nil"/>
              <w:left w:val="nil"/>
              <w:bottom w:val="single" w:sz="4" w:space="0" w:color="auto"/>
              <w:right w:val="nil"/>
            </w:tcBorders>
            <w:shd w:val="clear" w:color="auto" w:fill="auto"/>
            <w:noWrap/>
            <w:vAlign w:val="bottom"/>
          </w:tcPr>
          <w:p>
            <w:pPr>
              <w:pStyle w:val="ListDash1"/>
              <w:rPr>
                <w:noProof/>
                <w:color w:val="000000"/>
                <w:szCs w:val="20"/>
              </w:rPr>
            </w:pPr>
            <w:r>
              <w:rPr>
                <w:noProof/>
              </w:rPr>
              <w:t>Appropriations in EUR million (to three decimal places)</w:t>
            </w:r>
          </w:p>
        </w:tc>
      </w:tr>
      <w:tr>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2021</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2022</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2023</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 2024</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Year</w:t>
            </w:r>
            <w:r>
              <w:rPr>
                <w:noProof/>
                <w:color w:val="000000"/>
                <w:sz w:val="18"/>
                <w:szCs w:val="18"/>
              </w:rPr>
              <w:t xml:space="preserve"> </w:t>
            </w:r>
            <w:r>
              <w:rPr>
                <w:noProof/>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20"/>
                <w:szCs w:val="20"/>
              </w:rPr>
            </w:pPr>
            <w:r>
              <w:rPr>
                <w:noProof/>
                <w:color w:val="000000"/>
                <w:sz w:val="20"/>
                <w:szCs w:val="20"/>
              </w:rPr>
              <w:t>Post 2027</w:t>
            </w:r>
          </w:p>
        </w:tc>
        <w:tc>
          <w:tcPr>
            <w:tcW w:w="0" w:type="auto"/>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20"/>
                <w:szCs w:val="20"/>
              </w:rPr>
            </w:pPr>
            <w:r>
              <w:rPr>
                <w:b/>
                <w:bCs/>
                <w:noProof/>
                <w:color w:val="000000"/>
                <w:sz w:val="20"/>
                <w:szCs w:val="20"/>
              </w:rPr>
              <w:t>TOTAL</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 xml:space="preserve">Financial contribution to the administrative costs of JU covered by the Participant States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2,295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3,175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8,655</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30,000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20"/>
              </w:rPr>
            </w:pPr>
            <w:r>
              <w:rPr>
                <w:noProof/>
                <w:sz w:val="20"/>
              </w:rPr>
              <w:t>Financial contributions to the administrative costs by the Private members/Associated Partners (Art 22.3.b SBA)</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0,000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noProof/>
                <w:color w:val="000000"/>
                <w:sz w:val="22"/>
              </w:rPr>
            </w:pPr>
            <w:r>
              <w:rPr>
                <w:noProof/>
                <w:sz w:val="20"/>
              </w:rPr>
              <w:t>1,000</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6,000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 xml:space="preserve">Financial contributions to operational costs by the Participating States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407,705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406,825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436,825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216,825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316,825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366,825</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418,170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r>
              <w:rPr>
                <w:noProof/>
                <w:sz w:val="20"/>
              </w:rPr>
              <w:t>0,00</w:t>
            </w:r>
          </w:p>
        </w:tc>
        <w:tc>
          <w:tcPr>
            <w:tcW w:w="0" w:type="auto"/>
            <w:tcBorders>
              <w:top w:val="nil"/>
              <w:left w:val="nil"/>
              <w:bottom w:val="single" w:sz="4" w:space="0" w:color="auto"/>
              <w:right w:val="single" w:sz="4" w:space="0" w:color="auto"/>
            </w:tcBorders>
            <w:shd w:val="clear" w:color="auto" w:fill="auto"/>
            <w:noWrap/>
            <w:vAlign w:val="center"/>
          </w:tcPr>
          <w:p>
            <w:pPr>
              <w:spacing w:before="9" w:after="9"/>
              <w:jc w:val="center"/>
              <w:rPr>
                <w:noProof/>
                <w:sz w:val="20"/>
              </w:rPr>
            </w:pPr>
          </w:p>
          <w:p>
            <w:pPr>
              <w:spacing w:before="9" w:after="9"/>
              <w:jc w:val="center"/>
              <w:rPr>
                <w:noProof/>
                <w:sz w:val="20"/>
              </w:rPr>
            </w:pPr>
          </w:p>
          <w:p>
            <w:pPr>
              <w:spacing w:before="0" w:after="0"/>
              <w:jc w:val="right"/>
              <w:rPr>
                <w:b/>
                <w:bCs/>
                <w:noProof/>
                <w:color w:val="000000"/>
                <w:sz w:val="22"/>
              </w:rPr>
            </w:pPr>
            <w:r>
              <w:rPr>
                <w:noProof/>
                <w:sz w:val="20"/>
              </w:rPr>
              <w:t>2 570,000</w:t>
            </w:r>
          </w:p>
        </w:tc>
      </w:tr>
      <w:tr>
        <w:trPr>
          <w:trHeight w:val="519"/>
        </w:trPr>
        <w:tc>
          <w:tcPr>
            <w:tcW w:w="0" w:type="auto"/>
            <w:tcBorders>
              <w:top w:val="nil"/>
              <w:left w:val="single" w:sz="4" w:space="0" w:color="auto"/>
              <w:bottom w:val="single" w:sz="4" w:space="0" w:color="auto"/>
              <w:right w:val="single" w:sz="4" w:space="0" w:color="auto"/>
            </w:tcBorders>
            <w:shd w:val="clear" w:color="auto" w:fill="auto"/>
          </w:tcPr>
          <w:p>
            <w:pPr>
              <w:spacing w:before="0" w:after="0"/>
              <w:jc w:val="left"/>
              <w:rPr>
                <w:noProof/>
                <w:color w:val="000000"/>
                <w:sz w:val="20"/>
                <w:szCs w:val="20"/>
              </w:rPr>
            </w:pPr>
            <w:r>
              <w:rPr>
                <w:noProof/>
                <w:sz w:val="20"/>
              </w:rPr>
              <w:t>In kind contributions to operational activities by the Private members/Associated Partners (Art 22.3.d SBA)</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488"/>
        </w:trPr>
        <w:tc>
          <w:tcPr>
            <w:tcW w:w="0" w:type="auto"/>
            <w:tcBorders>
              <w:top w:val="nil"/>
              <w:left w:val="single" w:sz="4" w:space="0" w:color="auto"/>
              <w:bottom w:val="single" w:sz="4" w:space="0" w:color="auto"/>
              <w:right w:val="single" w:sz="4" w:space="0" w:color="auto"/>
            </w:tcBorders>
            <w:shd w:val="clear" w:color="auto" w:fill="auto"/>
            <w:hideMark/>
          </w:tcPr>
          <w:p>
            <w:pPr>
              <w:spacing w:before="0" w:after="0"/>
              <w:jc w:val="left"/>
              <w:rPr>
                <w:noProof/>
                <w:color w:val="000000"/>
                <w:sz w:val="20"/>
                <w:szCs w:val="18"/>
              </w:rPr>
            </w:pPr>
            <w:r>
              <w:rPr>
                <w:noProof/>
                <w:sz w:val="20"/>
              </w:rPr>
              <w:t>In kind contributions to operational activities by Participating States</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noProof/>
                <w:color w:val="000000"/>
                <w:sz w:val="22"/>
              </w:rPr>
            </w:pP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p>
        </w:tc>
      </w:tr>
      <w:tr>
        <w:trPr>
          <w:trHeight w:val="3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noProof/>
                <w:color w:val="000000"/>
                <w:sz w:val="20"/>
                <w:szCs w:val="20"/>
              </w:rPr>
            </w:pPr>
            <w:r>
              <w:rPr>
                <w:noProof/>
                <w:color w:val="000000"/>
                <w:sz w:val="20"/>
                <w:szCs w:val="20"/>
              </w:rPr>
              <w:t xml:space="preserve">TOTAL appropriations co-financed </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410,000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441,000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221,000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321,000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371,000</w:t>
            </w:r>
          </w:p>
        </w:tc>
        <w:tc>
          <w:tcPr>
            <w:tcW w:w="0" w:type="auto"/>
            <w:tcBorders>
              <w:top w:val="nil"/>
              <w:left w:val="nil"/>
              <w:bottom w:val="single" w:sz="4" w:space="0" w:color="auto"/>
              <w:right w:val="single" w:sz="4" w:space="0" w:color="auto"/>
            </w:tcBorders>
            <w:shd w:val="clear" w:color="auto" w:fill="auto"/>
            <w:noWrap/>
            <w:vAlign w:val="bottom"/>
          </w:tcPr>
          <w:p>
            <w:pPr>
              <w:spacing w:before="0" w:after="0"/>
              <w:jc w:val="right"/>
              <w:rPr>
                <w:b/>
                <w:bCs/>
                <w:noProof/>
                <w:color w:val="000000"/>
                <w:sz w:val="22"/>
              </w:rPr>
            </w:pPr>
            <w:r>
              <w:rPr>
                <w:noProof/>
                <w:sz w:val="20"/>
              </w:rPr>
              <w:t>422,345</w:t>
            </w:r>
          </w:p>
        </w:tc>
        <w:tc>
          <w:tcPr>
            <w:tcW w:w="0" w:type="auto"/>
            <w:tcBorders>
              <w:top w:val="nil"/>
              <w:left w:val="nil"/>
              <w:bottom w:val="single" w:sz="4" w:space="0" w:color="auto"/>
              <w:right w:val="single" w:sz="4" w:space="0" w:color="auto"/>
            </w:tcBorders>
            <w:shd w:val="clear" w:color="auto" w:fill="auto"/>
            <w:noWrap/>
          </w:tcPr>
          <w:p>
            <w:pPr>
              <w:spacing w:before="9" w:after="9"/>
              <w:jc w:val="center"/>
              <w:rPr>
                <w:noProof/>
                <w:sz w:val="20"/>
              </w:rPr>
            </w:pPr>
          </w:p>
          <w:p>
            <w:pPr>
              <w:spacing w:before="0" w:after="0"/>
              <w:jc w:val="right"/>
              <w:rPr>
                <w:b/>
                <w:bCs/>
                <w:noProof/>
                <w:color w:val="000000"/>
                <w:sz w:val="22"/>
              </w:rPr>
            </w:pPr>
            <w:r>
              <w:rPr>
                <w:noProof/>
                <w:sz w:val="20"/>
              </w:rPr>
              <w:t>9,655</w:t>
            </w:r>
          </w:p>
        </w:tc>
        <w:tc>
          <w:tcPr>
            <w:tcW w:w="0" w:type="auto"/>
            <w:tcBorders>
              <w:top w:val="nil"/>
              <w:left w:val="nil"/>
              <w:bottom w:val="single" w:sz="4" w:space="0" w:color="auto"/>
              <w:right w:val="single" w:sz="4" w:space="0" w:color="auto"/>
            </w:tcBorders>
            <w:shd w:val="clear" w:color="auto" w:fill="auto"/>
            <w:noWrap/>
            <w:vAlign w:val="center"/>
          </w:tcPr>
          <w:p>
            <w:pPr>
              <w:spacing w:before="0" w:after="0"/>
              <w:jc w:val="right"/>
              <w:rPr>
                <w:b/>
                <w:bCs/>
                <w:noProof/>
                <w:color w:val="000000"/>
                <w:sz w:val="22"/>
              </w:rPr>
            </w:pPr>
            <w:r>
              <w:rPr>
                <w:noProof/>
                <w:sz w:val="20"/>
              </w:rPr>
              <w:t>2 606,000</w:t>
            </w:r>
          </w:p>
        </w:tc>
      </w:tr>
    </w:tbl>
    <w:p>
      <w:pPr>
        <w:jc w:val="left"/>
        <w:rPr>
          <w:noProof/>
        </w:rPr>
      </w:pPr>
      <w:r>
        <w:rPr>
          <w:noProof/>
        </w:rPr>
        <w:br/>
      </w:r>
    </w:p>
    <w:p>
      <w:pPr>
        <w:pStyle w:val="ListDash1"/>
        <w:numPr>
          <w:ilvl w:val="0"/>
          <w:numId w:val="0"/>
        </w:numPr>
        <w:ind w:left="1134"/>
        <w:rPr>
          <w:noProof/>
        </w:rPr>
      </w:pPr>
    </w:p>
    <w:p>
      <w:pPr>
        <w:pStyle w:val="Heading2"/>
        <w:numPr>
          <w:ilvl w:val="1"/>
          <w:numId w:val="5"/>
        </w:numPr>
        <w:rPr>
          <w:bCs w:val="0"/>
          <w:noProof/>
          <w:szCs w:val="24"/>
        </w:rPr>
      </w:pPr>
      <w:r>
        <w:rPr>
          <w:noProof/>
        </w:rPr>
        <w:br w:type="page"/>
      </w:r>
      <w:bookmarkStart w:id="50" w:name="_Toc50541103"/>
      <w:r>
        <w:rPr>
          <w:noProof/>
        </w:rPr>
        <w:t>Estimated impact on revenue</w:t>
      </w:r>
      <w:bookmarkEnd w:id="50"/>
      <w:r>
        <w:rPr>
          <w:noProof/>
        </w:rPr>
        <w:t xml:space="preserve"> </w:t>
      </w:r>
    </w:p>
    <w:p>
      <w:pPr>
        <w:pStyle w:val="ListDash1"/>
        <w:rPr>
          <w:noProof/>
        </w:rPr>
      </w:pPr>
      <w:r>
        <w:rPr>
          <w:noProof/>
        </w:rPr>
        <w:sym w:font="Wingdings 2" w:char="F051"/>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p>
    <w:p>
      <w:pPr>
        <w:pStyle w:val="Text1"/>
        <w:rPr>
          <w:noProof/>
        </w:rPr>
      </w:pPr>
    </w:p>
    <w:p>
      <w:pPr>
        <w:rPr>
          <w:noProof/>
        </w:rPr>
      </w:pPr>
    </w:p>
    <w:p>
      <w:pPr>
        <w:jc w:val="left"/>
        <w:rPr>
          <w:noProof/>
          <w:color w:val="0000FF"/>
        </w:rPr>
      </w:pPr>
    </w:p>
    <w:sectPr>
      <w:headerReference w:type="even" r:id="rId55"/>
      <w:headerReference w:type="default" r:id="rId56"/>
      <w:footerReference w:type="even" r:id="rId57"/>
      <w:footerReference w:type="default" r:id="rId58"/>
      <w:headerReference w:type="first" r:id="rId59"/>
      <w:footerReference w:type="first" r:id="rId60"/>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charset w:val="00"/>
    <w:family w:val="auto"/>
    <w:pitch w:val="variable"/>
    <w:sig w:usb0="800002EF" w:usb1="1000E0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t xml:space="preserve">                                                                          </w:t>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As referred to in Article 58(2)(a) or (b) of the Financial Regulation.</w:t>
      </w:r>
    </w:p>
  </w:footnote>
  <w:footnote w:id="2">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3">
    <w:p>
      <w:pPr>
        <w:pStyle w:val="FootnoteText"/>
        <w:spacing w:after="60"/>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4">
    <w:p>
      <w:pPr>
        <w:pStyle w:val="FootnoteText"/>
        <w:spacing w:after="60"/>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5">
    <w:p>
      <w:pPr>
        <w:pStyle w:val="FootnoteText"/>
        <w:rPr>
          <w:szCs w:val="24"/>
        </w:rPr>
      </w:pPr>
      <w:r>
        <w:rPr>
          <w:rStyle w:val="FootnoteReference"/>
        </w:rPr>
        <w:footnoteRef/>
      </w:r>
      <w:r>
        <w:tab/>
        <w:t>Diff. = Differentiated appropriations / Non-diff. = Non-differentiated appropriations.</w:t>
      </w:r>
    </w:p>
  </w:footnote>
  <w:footnote w:id="6">
    <w:p>
      <w:pPr>
        <w:pStyle w:val="FootnoteText"/>
        <w:rPr>
          <w:szCs w:val="24"/>
        </w:rPr>
      </w:pPr>
      <w:r>
        <w:rPr>
          <w:rStyle w:val="FootnoteReference"/>
        </w:rPr>
        <w:footnoteRef/>
      </w:r>
      <w:r>
        <w:tab/>
        <w:t xml:space="preserve">EFTA: European Free Trade Association. </w:t>
      </w:r>
    </w:p>
  </w:footnote>
  <w:footnote w:id="7">
    <w:p>
      <w:pPr>
        <w:pStyle w:val="FootnoteText"/>
      </w:pPr>
      <w:r>
        <w:rPr>
          <w:rStyle w:val="FootnoteReference"/>
        </w:rPr>
        <w:footnoteRef/>
      </w:r>
      <w:r>
        <w:tab/>
        <w:t>Candidate countries and, where applicable, potential candidates from the Western Balkans.</w:t>
      </w:r>
    </w:p>
  </w:footnote>
  <w:footnote w:id="8">
    <w:p>
      <w:pPr>
        <w:pStyle w:val="FootnoteText"/>
        <w:rPr>
          <w:lang w:val="en-US"/>
        </w:rPr>
      </w:pPr>
      <w:r>
        <w:rPr>
          <w:rStyle w:val="FootnoteReference"/>
        </w:rPr>
        <w:footnoteRef/>
      </w:r>
      <w:r>
        <w:t xml:space="preserve"> The HE contribution cannot be indicated at this stage. The following tables of this Financial Statement indicate only contributions related to DEP and CEF. It is intended that HE contribution will be commensurate to the current annual contribution to EuroHPC.</w:t>
      </w:r>
    </w:p>
  </w:footnote>
  <w:footnote w:id="9">
    <w:p>
      <w:pPr>
        <w:pStyle w:val="FootnoteText"/>
      </w:pPr>
      <w:r>
        <w:rPr>
          <w:rStyle w:val="FootnoteReference"/>
        </w:rPr>
        <w:footnoteRef/>
      </w:r>
      <w:r>
        <w:t xml:space="preserve"> This table includes the EU contribution from DEP and CEF Digital Programmes only.</w:t>
      </w:r>
    </w:p>
  </w:footnote>
  <w:footnote w:id="10">
    <w:p>
      <w:pPr>
        <w:pStyle w:val="FootnoteText"/>
        <w:ind w:left="284" w:hanging="284"/>
      </w:pPr>
      <w:r>
        <w:rPr>
          <w:rStyle w:val="FootnoteReference"/>
        </w:rPr>
        <w:footnoteRef/>
      </w:r>
      <w:r>
        <w:t xml:space="preserve"> Amounts in Titles 1 and 2 represent the EU contribution to the administrative costs of the Joint Undertaking. The other remaining part comes from contributions by the other Joint Undertaking members as shown in section 3.2.5.</w:t>
      </w:r>
    </w:p>
  </w:footnote>
  <w:footnote w:id="11">
    <w:p>
      <w:pPr>
        <w:pStyle w:val="FootnoteText"/>
      </w:pPr>
      <w:r>
        <w:rPr>
          <w:rStyle w:val="FootnoteReference"/>
        </w:rPr>
        <w:footnoteRef/>
      </w:r>
      <w:r>
        <w:t xml:space="preserve"> Payment appropriations for Titles 1 and 2 are based on a yearly consumption of all corresponding commitment appropriations, while for Title 3 they are determined by taking into account the nature of the indirect actions and their payment schedule (prefinancing, interim payments and payment of the balance).</w:t>
      </w:r>
    </w:p>
  </w:footnote>
  <w:footnote w:id="12">
    <w:p>
      <w:pPr>
        <w:pStyle w:val="FootnoteText"/>
      </w:pPr>
      <w:r>
        <w:rPr>
          <w:rStyle w:val="FootnoteReference"/>
        </w:rPr>
        <w:footnoteRef/>
      </w:r>
      <w:r>
        <w:t xml:space="preserve"> Titles 1 and 2 for year 2027 contain the commitments for the year and the frontloading of the commitments for the remaining years of the JU in the period 2027-2033.</w:t>
      </w:r>
    </w:p>
  </w:footnote>
  <w:footnote w:id="13">
    <w:p>
      <w:pPr>
        <w:rPr>
          <w:szCs w:val="24"/>
        </w:rPr>
      </w:pPr>
      <w:r>
        <w:rPr>
          <w:rStyle w:val="FootnoteReference"/>
        </w:rPr>
        <w:footnoteRef/>
      </w:r>
      <w:r>
        <w:t xml:space="preserve"> </w:t>
      </w:r>
      <w:r>
        <w:rPr>
          <w:sz w:val="18"/>
          <w:szCs w:val="18"/>
        </w:rPr>
        <w:t>The appropriations required for human resources and other expenditure of an administrative nature outside Heading 7 correspond to the amounts covered by the Union financial contribution. The above amounts do not include the contribution from Member States to the administrative costs of the Competence Centre, commensurate to the Union financial contribution.</w:t>
      </w:r>
    </w:p>
    <w:p>
      <w:pPr>
        <w:pStyle w:val="FootnoteText"/>
      </w:pPr>
    </w:p>
  </w:footnote>
  <w:footnote w:id="14">
    <w:p>
      <w:pPr>
        <w:pStyle w:val="FootnoteText"/>
        <w:tabs>
          <w:tab w:val="left" w:pos="284"/>
        </w:tabs>
        <w:ind w:left="284" w:hanging="284"/>
      </w:pPr>
      <w:r>
        <w:rPr>
          <w:rStyle w:val="FootnoteReference"/>
        </w:rPr>
        <w:footnoteRef/>
      </w:r>
      <w:r>
        <w:tab/>
        <w:t>Covering the administration of DEP and CEF Digital actions. The FTE costs are determined on the basis of the average yearly cost of AD (EUR 150 000) and CA  (EUR 80 000) staff.</w:t>
      </w:r>
    </w:p>
  </w:footnote>
  <w:footnote w:id="15">
    <w:p>
      <w:pPr>
        <w:pStyle w:val="FootnoteText"/>
      </w:pPr>
      <w:r>
        <w:rPr>
          <w:rStyle w:val="FootnoteReference"/>
        </w:rPr>
        <w:footnoteRef/>
      </w:r>
      <w:r>
        <w:t xml:space="preserve"> The JU staffing table includes also 16 FTE for the HE related part. These staff numbers related to this part remain stable as compared to the current EUR HPC staffing (16 FTE) and will cover also the implementation of the legacy of the current EUR HPC JU.   </w:t>
      </w:r>
    </w:p>
  </w:footnote>
  <w:footnote w:id="16">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7">
    <w:p>
      <w:pPr>
        <w:pStyle w:val="FootnoteText"/>
        <w:rPr>
          <w:szCs w:val="24"/>
        </w:rPr>
      </w:pPr>
      <w:r>
        <w:rPr>
          <w:rStyle w:val="FootnoteReference"/>
        </w:rPr>
        <w:footnoteRef/>
      </w:r>
      <w:r>
        <w:tab/>
        <w:t>Sub-ceiling for external staff covered by operational appropriations (former ‘BA’ lines).</w:t>
      </w:r>
    </w:p>
  </w:footnote>
  <w:footnote w:id="18">
    <w:p>
      <w:pPr>
        <w:pStyle w:val="FootnoteText"/>
        <w:rPr>
          <w:lang w:val="en-US"/>
        </w:rPr>
      </w:pPr>
      <w:r>
        <w:rPr>
          <w:rStyle w:val="FootnoteReference"/>
        </w:rPr>
        <w:footnoteRef/>
      </w:r>
      <w:r>
        <w:t xml:space="preserve"> </w:t>
      </w:r>
      <w:r>
        <w:tab/>
        <w:t>The Third-party contributions will have to be updated to reflect the effect of additional contributions from the Horizon Europe programme</w:t>
      </w:r>
    </w:p>
  </w:footnote>
  <w:footnote w:id="19">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EE3B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8454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2BC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69D6CA8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u w:val="none"/>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1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20"/>
  </w:num>
  <w:num w:numId="8">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num>
  <w:num w:numId="18">
    <w:abstractNumId w:val="19"/>
    <w:lvlOverride w:ilvl="0">
      <w:startOverride w:val="1"/>
    </w:lvlOverride>
  </w:num>
  <w:num w:numId="19">
    <w:abstractNumId w:val="17"/>
    <w:lvlOverride w:ilvl="0">
      <w:startOverride w:val="1"/>
    </w:lvlOverride>
  </w:num>
  <w:num w:numId="20">
    <w:abstractNumId w:val="13"/>
    <w:lvlOverride w:ilvl="0">
      <w:startOverride w:val="1"/>
    </w:lvlOverride>
  </w:num>
  <w:num w:numId="21">
    <w:abstractNumId w:val="11"/>
  </w:num>
  <w:num w:numId="22">
    <w:abstractNumId w:val="24"/>
  </w:num>
  <w:num w:numId="23">
    <w:abstractNumId w:val="10"/>
  </w:num>
  <w:num w:numId="24">
    <w:abstractNumId w:val="12"/>
  </w:num>
  <w:num w:numId="25">
    <w:abstractNumId w:val="8"/>
  </w:num>
  <w:num w:numId="26">
    <w:abstractNumId w:val="18"/>
  </w:num>
  <w:num w:numId="27">
    <w:abstractNumId w:val="9"/>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A55FDADA-6983-4780-AEE4-92D7F44FB046"/>
    <w:docVar w:name="LW_COVERPAGE_TYPE" w:val="1"/>
    <w:docVar w:name="LW_CROSSREFERENCE" w:val="{SWD(2020) 179 final}"/>
    <w:docVar w:name="LW_DocType" w:val="NORMAL"/>
    <w:docVar w:name="LW_EMISSION" w:val="18.9.2020"/>
    <w:docVar w:name="LW_EMISSION_ISODATE" w:val="2020-09-1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establishing the European High Performance Computing Joint Undertaking_x000d__x000d__x000d__x000d__x000d__x000d__x000d__x000b__x000d__x000d__x000d__x000d__x000d__x000d__x000d__x000d__x000b_"/>
    <w:docVar w:name="LW_PART_NBR" w:val="1"/>
    <w:docVar w:name="LW_PART_NBR_TOTAL" w:val="2"/>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val="fr-FR"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Number">
    <w:name w:val="List Number"/>
    <w:basedOn w:val="Normal"/>
    <w:pPr>
      <w:numPr>
        <w:numId w:val="3"/>
      </w:numPr>
    </w:pPr>
    <w:rPr>
      <w:rFonts w:eastAsia="Times New Roman"/>
      <w:lang w:eastAsia="de-DE"/>
    </w:rPr>
  </w:style>
  <w:style w:type="paragraph" w:customStyle="1" w:styleId="ListDash1">
    <w:name w:val="List Dash 1"/>
    <w:basedOn w:val="Normal"/>
    <w:pPr>
      <w:numPr>
        <w:numId w:val="1"/>
      </w:numPr>
    </w:pPr>
    <w:rPr>
      <w:rFonts w:eastAsia="Times New Roman"/>
      <w:lang w:eastAsia="de-DE"/>
    </w:rPr>
  </w:style>
  <w:style w:type="paragraph" w:customStyle="1" w:styleId="ListDash2">
    <w:name w:val="List Dash 2"/>
    <w:basedOn w:val="Normal"/>
    <w:pPr>
      <w:numPr>
        <w:numId w:val="2"/>
      </w:numPr>
    </w:pPr>
    <w:rPr>
      <w:rFonts w:eastAsia="Times New Roman"/>
      <w:lang w:eastAsia="de-DE"/>
    </w:rPr>
  </w:style>
  <w:style w:type="paragraph" w:customStyle="1" w:styleId="ListNumberLevel2">
    <w:name w:val="List Number (Level 2)"/>
    <w:basedOn w:val="Normal"/>
    <w:pPr>
      <w:numPr>
        <w:ilvl w:val="1"/>
        <w:numId w:val="3"/>
      </w:numPr>
    </w:pPr>
    <w:rPr>
      <w:rFonts w:eastAsia="Times New Roman"/>
      <w:lang w:eastAsia="de-DE"/>
    </w:rPr>
  </w:style>
  <w:style w:type="paragraph" w:customStyle="1" w:styleId="ListNumberLevel3">
    <w:name w:val="List Number (Level 3)"/>
    <w:basedOn w:val="Normal"/>
    <w:pPr>
      <w:numPr>
        <w:ilvl w:val="2"/>
        <w:numId w:val="3"/>
      </w:numPr>
    </w:pPr>
    <w:rPr>
      <w:rFonts w:eastAsia="Times New Roman"/>
      <w:lang w:eastAsia="de-DE"/>
    </w:rPr>
  </w:style>
  <w:style w:type="paragraph" w:customStyle="1" w:styleId="ListNumberLevel4">
    <w:name w:val="List Number (Level 4)"/>
    <w:basedOn w:val="Normal"/>
    <w:pPr>
      <w:numPr>
        <w:ilvl w:val="3"/>
        <w:numId w:val="3"/>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Pagedecouverture">
    <w:name w:val="Page de couverture"/>
    <w:basedOn w:val="Normal"/>
    <w:next w:val="Normal"/>
    <w:pPr>
      <w:spacing w:before="0" w:after="0"/>
    </w:pPr>
  </w:style>
  <w:style w:type="paragraph" w:customStyle="1" w:styleId="Annexetitre">
    <w:name w:val="Annexe titre"/>
    <w:basedOn w:val="Normal"/>
    <w:next w:val="Normal"/>
    <w:pPr>
      <w:jc w:val="center"/>
    </w:pPr>
    <w:rPr>
      <w:b/>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ListBullet1">
    <w:name w:val="List Bullet 1"/>
    <w:basedOn w:val="Normal"/>
    <w:pPr>
      <w:numPr>
        <w:numId w:val="6"/>
      </w:numPr>
    </w:pPr>
    <w:rPr>
      <w:rFonts w:eastAsia="Times New Roman"/>
      <w:lang w:eastAsia="de-DE"/>
    </w:rPr>
  </w:style>
  <w:style w:type="paragraph" w:styleId="ListBullet">
    <w:name w:val="List Bullet"/>
    <w:basedOn w:val="Normal"/>
    <w:pPr>
      <w:numPr>
        <w:numId w:val="7"/>
      </w:numPr>
    </w:pPr>
    <w:rPr>
      <w:rFonts w:eastAsia="Times New Roman"/>
      <w:lang w:val="fr-FR" w:eastAsia="en-GB"/>
    </w:rPr>
  </w:style>
  <w:style w:type="paragraph" w:styleId="ListParagraph">
    <w:name w:val="List Paragraph"/>
    <w:aliases w:val="List Paragraph compact,Dot pt,F5 List Paragraph,List Paragraph1,No Spacing1,List Paragraph Char Char Char,Indicator Text,Numbered Para 1,Bullet Points,MAIN CONTENT,List Paragraph12,OBC Bullet,Colorful List - Accent 11"/>
    <w:basedOn w:val="Normal"/>
    <w:link w:val="ListParagraphChar"/>
    <w:uiPriority w:val="34"/>
    <w:qFormat/>
    <w:pPr>
      <w:spacing w:before="0" w:after="0"/>
      <w:ind w:left="720"/>
    </w:pPr>
    <w:rPr>
      <w:rFonts w:ascii="Garamond" w:eastAsia="Garamond" w:hAnsi="Garamond"/>
      <w:sz w:val="20"/>
      <w:szCs w:val="20"/>
      <w:lang w:eastAsia="en-GB"/>
    </w:rPr>
  </w:style>
  <w:style w:type="character" w:customStyle="1" w:styleId="ListParagraphChar">
    <w:name w:val="List Paragraph Char"/>
    <w:aliases w:val="List Paragraph compact Char,Dot pt Char,F5 List Paragraph Char,List Paragraph1 Char,No Spacing1 Char,List Paragraph Char Char Char Char,Indicator Text Char,Numbered Para 1 Char,Bullet Points Char,MAIN CONTENT Char,OBC Bullet Char"/>
    <w:link w:val="ListParagraph"/>
    <w:uiPriority w:val="34"/>
    <w:qFormat/>
    <w:rPr>
      <w:rFonts w:ascii="Garamond" w:eastAsia="Garamond" w:hAnsi="Garamond" w:cs="Times New Roman"/>
      <w:sz w:val="20"/>
      <w:szCs w:val="20"/>
      <w:lang w:eastAsia="en-GB"/>
    </w:rPr>
  </w:style>
  <w:style w:type="paragraph" w:styleId="CommentText">
    <w:name w:val="annotation text"/>
    <w:basedOn w:val="Normal"/>
    <w:link w:val="CommentTextChar"/>
    <w:uiPriority w:val="99"/>
    <w:unhideWhenUsed/>
    <w:pPr>
      <w:spacing w:before="100" w:beforeAutospacing="1" w:after="100" w:afterAutospacing="1"/>
      <w:jc w:val="left"/>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heme="minorEastAsia"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paragraph" w:customStyle="1" w:styleId="Normal1">
    <w:name w:val="Normal1"/>
    <w:basedOn w:val="Normal"/>
    <w:pPr>
      <w:spacing w:after="0"/>
    </w:pPr>
    <w:rPr>
      <w:rFonts w:eastAsiaTheme="minorEastAsia"/>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paragraph" w:customStyle="1" w:styleId="sti-art">
    <w:name w:val="sti-art"/>
    <w:basedOn w:val="Normal"/>
    <w:pPr>
      <w:spacing w:before="60"/>
      <w:jc w:val="center"/>
    </w:pPr>
    <w:rPr>
      <w:rFonts w:eastAsiaTheme="minorEastAsia"/>
      <w:b/>
      <w:b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FollowedHyperlink">
    <w:name w:val="FollowedHyperlink"/>
    <w:basedOn w:val="DefaultParagraphFont"/>
    <w:unhideWhenUsed/>
    <w:rPr>
      <w:color w:val="800080" w:themeColor="followedHyperlink"/>
      <w:u w:val="singl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0"/>
      </w:numPr>
      <w:contextualSpacing/>
    </w:pPr>
    <w:rPr>
      <w:rFonts w:eastAsia="Times New Roman"/>
      <w:lang w:eastAsia="en-GB"/>
    </w:rPr>
  </w:style>
  <w:style w:type="paragraph" w:styleId="ListBullet3">
    <w:name w:val="List Bullet 3"/>
    <w:basedOn w:val="Normal"/>
    <w:pPr>
      <w:numPr>
        <w:numId w:val="11"/>
      </w:numPr>
      <w:contextualSpacing/>
    </w:pPr>
    <w:rPr>
      <w:rFonts w:eastAsia="Times New Roman"/>
      <w:lang w:eastAsia="en-GB"/>
    </w:rPr>
  </w:style>
  <w:style w:type="paragraph" w:styleId="ListBullet4">
    <w:name w:val="List Bullet 4"/>
    <w:basedOn w:val="Normal"/>
    <w:pPr>
      <w:numPr>
        <w:numId w:val="12"/>
      </w:numPr>
      <w:contextualSpacing/>
    </w:pPr>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0"/>
      </w:numPr>
    </w:pPr>
  </w:style>
  <w:style w:type="paragraph" w:customStyle="1" w:styleId="Bullet1">
    <w:name w:val="Bullet 1"/>
    <w:basedOn w:val="Normal"/>
    <w:pPr>
      <w:numPr>
        <w:numId w:val="19"/>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6005">
      <w:bodyDiv w:val="1"/>
      <w:marLeft w:val="0"/>
      <w:marRight w:val="0"/>
      <w:marTop w:val="0"/>
      <w:marBottom w:val="0"/>
      <w:divBdr>
        <w:top w:val="none" w:sz="0" w:space="0" w:color="auto"/>
        <w:left w:val="none" w:sz="0" w:space="0" w:color="auto"/>
        <w:bottom w:val="none" w:sz="0" w:space="0" w:color="auto"/>
        <w:right w:val="none" w:sz="0" w:space="0" w:color="auto"/>
      </w:divBdr>
    </w:div>
    <w:div w:id="1081365371">
      <w:bodyDiv w:val="1"/>
      <w:marLeft w:val="0"/>
      <w:marRight w:val="0"/>
      <w:marTop w:val="0"/>
      <w:marBottom w:val="0"/>
      <w:divBdr>
        <w:top w:val="none" w:sz="0" w:space="0" w:color="auto"/>
        <w:left w:val="none" w:sz="0" w:space="0" w:color="auto"/>
        <w:bottom w:val="none" w:sz="0" w:space="0" w:color="auto"/>
        <w:right w:val="none" w:sz="0" w:space="0" w:color="auto"/>
      </w:divBdr>
    </w:div>
    <w:div w:id="1270821905">
      <w:bodyDiv w:val="1"/>
      <w:marLeft w:val="0"/>
      <w:marRight w:val="0"/>
      <w:marTop w:val="0"/>
      <w:marBottom w:val="0"/>
      <w:divBdr>
        <w:top w:val="none" w:sz="0" w:space="0" w:color="auto"/>
        <w:left w:val="none" w:sz="0" w:space="0" w:color="auto"/>
        <w:bottom w:val="none" w:sz="0" w:space="0" w:color="auto"/>
        <w:right w:val="none" w:sz="0" w:space="0" w:color="auto"/>
      </w:divBdr>
    </w:div>
    <w:div w:id="1609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39433A02F1448BF88E41489093EC1" ma:contentTypeVersion="1" ma:contentTypeDescription="Create a new document." ma:contentTypeScope="" ma:versionID="b7f171fb8f66c38e6ba0f4b4edc7001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9235A7-531F-47A2-9845-B4F00A25BF19}">
  <ds:schemaRefs>
    <ds:schemaRef ds:uri="http://schemas.microsoft.com/sharepoint/v3/contenttype/forms"/>
  </ds:schemaRefs>
</ds:datastoreItem>
</file>

<file path=customXml/itemProps2.xml><?xml version="1.0" encoding="utf-8"?>
<ds:datastoreItem xmlns:ds="http://schemas.openxmlformats.org/officeDocument/2006/customXml" ds:itemID="{2CEC9570-0809-4904-959B-D4FFE17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142C0-FB90-4377-91D3-9BA4D59C3AEF}">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978BBC6-B794-4D3A-87B0-424EE7AD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4021</Words>
  <Characters>22841</Characters>
  <Application>Microsoft Office Word</Application>
  <DocSecurity>0</DocSecurity>
  <Lines>2076</Lines>
  <Paragraphs>959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CASTANHEIRA Bruno (BUDG)</dc:creator>
  <cp:keywords/>
  <dc:description/>
  <cp:lastModifiedBy>WES PDFC Administrator</cp:lastModifiedBy>
  <cp:revision>12</cp:revision>
  <cp:lastPrinted>2020-09-11T17:37:00Z</cp:lastPrinted>
  <dcterms:created xsi:type="dcterms:W3CDTF">2020-09-10T07:41:00Z</dcterms:created>
  <dcterms:modified xsi:type="dcterms:W3CDTF">2020-09-16T08:06:00Z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y fmtid="{D5CDD505-2E9C-101B-9397-08002B2CF9AE}" pid="12" name="_LW_INVALIDATED__LW_INVALIDATED__LW_INVALIDATED__LW_INVALIDATED__LW_INVALIDATED__LW_INVALIDATED__LW_INVALIDATED__LW_INVALIDATED_ContentTypeId">
    <vt:lpwstr>0x0101001CE39433A02F1448BF88E41489093EC1</vt:lpwstr>
  </property>
</Properties>
</file>