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241D6B-918C-45BA-B659-F0B43DB23336"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Theme="majorEastAsia"/>
          <w:b/>
          <w:bCs/>
          <w:smallCaps/>
          <w:noProof/>
          <w:szCs w:val="28"/>
        </w:rPr>
      </w:pPr>
      <w:r>
        <w:rPr>
          <w:noProof/>
        </w:rPr>
        <w:t>This proposal concerns the decision establishing the position to be taken on the Union's behalf in the General Assembly of the OIV on 27 November 2020 in connection with the envisaged adoption of OIV resolutions that may produce legal effects on Union law.</w:t>
      </w:r>
    </w:p>
    <w:p>
      <w:pPr>
        <w:pStyle w:val="ManualHeading1"/>
        <w:rPr>
          <w:noProof/>
        </w:rPr>
      </w:pPr>
      <w:r>
        <w:t>2.</w:t>
      </w:r>
      <w:r>
        <w:tab/>
      </w:r>
      <w:r>
        <w:rPr>
          <w:noProof/>
        </w:rPr>
        <w:t>Context of the proposal</w:t>
      </w:r>
    </w:p>
    <w:p>
      <w:pPr>
        <w:pStyle w:val="ManualHeading2"/>
        <w:rPr>
          <w:noProof/>
        </w:rPr>
      </w:pPr>
      <w:r>
        <w:t>2.1.</w:t>
      </w:r>
      <w:r>
        <w:tab/>
      </w:r>
      <w:r>
        <w:rPr>
          <w:noProof/>
        </w:rPr>
        <w:t>The Particular status of the EU within OIV</w:t>
      </w:r>
    </w:p>
    <w:p>
      <w:pPr>
        <w:rPr>
          <w:rFonts w:eastAsia="Arial Unicode MS"/>
          <w:noProof/>
        </w:rPr>
      </w:pPr>
      <w:r>
        <w:rPr>
          <w:noProof/>
          <w:szCs w:val="24"/>
        </w:rPr>
        <w:t xml:space="preserve">Currently 47 States are members of the OIV, among which 20 are Member States of the Union. The EU is not a member of the OIV. However, since 20 October 2017, the OIV has granted to the Union </w:t>
      </w:r>
      <w:r>
        <w:rPr>
          <w:rFonts w:eastAsia="Times New Roman"/>
          <w:noProof/>
          <w:color w:val="000000" w:themeColor="text1"/>
          <w:szCs w:val="24"/>
          <w:lang w:eastAsia="en-GB"/>
        </w:rPr>
        <w:t xml:space="preserve">the particular status provided for in Article 4 of the Rules of Procedure of the OIV, </w:t>
      </w:r>
      <w:r>
        <w:rPr>
          <w:rFonts w:eastAsia="Times New Roman"/>
          <w:noProof/>
          <w:szCs w:val="24"/>
          <w:lang w:eastAsia="en-GB"/>
        </w:rPr>
        <w:t>enabling it to intervene in the works of the Commissions, Sub-Commissions and groups of experts and attend the meetings of the General Assembly and the Executive Committee.</w:t>
      </w:r>
    </w:p>
    <w:p>
      <w:pPr>
        <w:pStyle w:val="ManualHeading2"/>
        <w:rPr>
          <w:noProof/>
        </w:rPr>
      </w:pPr>
      <w:r>
        <w:t>2.2.</w:t>
      </w:r>
      <w:r>
        <w:tab/>
      </w:r>
      <w:r>
        <w:rPr>
          <w:noProof/>
        </w:rPr>
        <w:t>The OIV</w:t>
      </w:r>
    </w:p>
    <w:p>
      <w:pPr>
        <w:rPr>
          <w:rFonts w:eastAsia="Arial Unicode MS"/>
          <w:noProof/>
        </w:rPr>
      </w:pPr>
      <w:r>
        <w:rPr>
          <w:noProof/>
        </w:rPr>
        <w:t xml:space="preserve">The International Organisation of Vine and Wine (OIV) is an intergovernmental scientific and technical organisation active in the sector of vine, wine, wine-based drinks, table grapes, raisins and other vine products. The objectives of the OIV are (i) to inform of measures whereby the concerns of producers, consumers and other players in the vine and wine products sector may be taken into consideration, (ii) to assist other international organisations involved in standardisation activities and (iii) to contribute to international harmonisation of </w:t>
      </w:r>
      <w:r>
        <w:rPr>
          <w:noProof/>
          <w:szCs w:val="24"/>
        </w:rPr>
        <w:t>existing practices and standards.</w:t>
      </w:r>
    </w:p>
    <w:p>
      <w:pPr>
        <w:pStyle w:val="ManualHeading2"/>
        <w:rPr>
          <w:noProof/>
        </w:rPr>
      </w:pPr>
      <w:r>
        <w:t>2.3.</w:t>
      </w:r>
      <w:r>
        <w:tab/>
      </w:r>
      <w:r>
        <w:rPr>
          <w:noProof/>
        </w:rPr>
        <w:t xml:space="preserve">The envisaged act of </w:t>
      </w:r>
      <w:r>
        <w:rPr>
          <w:noProof/>
          <w:color w:val="000000" w:themeColor="text1"/>
        </w:rPr>
        <w:t>the</w:t>
      </w:r>
      <w:r>
        <w:rPr>
          <w:noProof/>
        </w:rPr>
        <w:t xml:space="preserve"> OIV</w:t>
      </w:r>
    </w:p>
    <w:p>
      <w:pPr>
        <w:rPr>
          <w:noProof/>
        </w:rPr>
      </w:pPr>
      <w:r>
        <w:rPr>
          <w:noProof/>
        </w:rPr>
        <w:t>The next General Assembly of OIV will be held in Paris on 27 November 2020. In that context and on the basis of discussions held within the group of experts video-meetings that took place in June 2020, it can be expected that the following resolutions, producing legal effect on Union law, will be on the agenda of the General Assembly for adoption:</w:t>
      </w:r>
    </w:p>
    <w:p>
      <w:pPr>
        <w:pStyle w:val="Tiret0"/>
        <w:numPr>
          <w:ilvl w:val="0"/>
          <w:numId w:val="3"/>
        </w:numPr>
        <w:rPr>
          <w:noProof/>
        </w:rPr>
      </w:pPr>
      <w:r>
        <w:rPr>
          <w:noProof/>
        </w:rPr>
        <w:t>Draft Resolution OENO-TECHNO 19-659 updating the corresponding oenological practices. Draft Resolutions OENO-TECHNO 17-614A, 17-614B and  18-634 establishing new oenological practices. In accordance with Article 80(3)(a) and Article 90(2) of Regulation (EU) No 1308/2013</w:t>
      </w:r>
      <w:r>
        <w:rPr>
          <w:rStyle w:val="FootnoteReference"/>
          <w:noProof/>
        </w:rPr>
        <w:footnoteReference w:id="1"/>
      </w:r>
      <w:r>
        <w:rPr>
          <w:noProof/>
        </w:rPr>
        <w:t>, these Resolutions will have legal effect on Union law;</w:t>
      </w:r>
    </w:p>
    <w:p>
      <w:pPr>
        <w:pStyle w:val="Tiret0"/>
        <w:rPr>
          <w:noProof/>
        </w:rPr>
      </w:pPr>
      <w:r>
        <w:rPr>
          <w:noProof/>
        </w:rPr>
        <w:t>Draft Resolution OENO-MICRO 16-594B establishing new oenological practice. In accordance with Article 80(3)(a) and Article 90(2) of Regulation (EU) No 1308/2013, this Resolution will have legal effect on Union law.</w:t>
      </w:r>
    </w:p>
    <w:p>
      <w:pPr>
        <w:pStyle w:val="Tiret0"/>
        <w:rPr>
          <w:noProof/>
        </w:rPr>
      </w:pPr>
      <w:r>
        <w:rPr>
          <w:noProof/>
        </w:rPr>
        <w:t xml:space="preserve">Draft Resolution OENO-SPECIF 18-643 establishing a monograph to determine the identification specifications of absorbent styrene-divinylbenzene beads, draft Resolution OENO-SPECIF 18-644 establishing the identification specifications of calcium sulfate and draft Resolution OENO-SPECIF 18-645 establishing the method of determination of the mean molecular mass of potassium polyaspartate. In </w:t>
      </w:r>
      <w:r>
        <w:rPr>
          <w:noProof/>
        </w:rPr>
        <w:lastRenderedPageBreak/>
        <w:t>accordance with Article 80(3)(a) and Article 90(2) of Regulation (EU) No 1308/2013 and with Article 9 of Commission Delegated Regulation (EU) 2019/934</w:t>
      </w:r>
      <w:r>
        <w:rPr>
          <w:rStyle w:val="FootnoteReference"/>
          <w:noProof/>
        </w:rPr>
        <w:footnoteReference w:id="2"/>
      </w:r>
      <w:r>
        <w:rPr>
          <w:noProof/>
        </w:rPr>
        <w:t>, these Resolutions will have legal effect on Union law.</w:t>
      </w:r>
    </w:p>
    <w:p>
      <w:pPr>
        <w:pStyle w:val="Tiret0"/>
        <w:rPr>
          <w:noProof/>
        </w:rPr>
      </w:pPr>
      <w:r>
        <w:rPr>
          <w:noProof/>
        </w:rPr>
        <w:t>Draft Resolutions OENO-SCMA 17-618 and 17-620 establishing new methods of analysis. In accordance with Article 80(3)(a) and Article 80(5) of Regulation (EU) No 1308/2013, these Resolutions will have legal effect on Union law.</w:t>
      </w:r>
    </w:p>
    <w:p>
      <w:pPr>
        <w:rPr>
          <w:noProof/>
        </w:rPr>
      </w:pPr>
      <w:r>
        <w:rPr>
          <w:noProof/>
        </w:rPr>
        <w:t xml:space="preserve">As in the past, it can be expected that the agenda of the meeting of the General Assembly of the OIV will still evolve and that further Resolutions producing legal effects on Union law will be added to the agenda. In order to ensure efficiency of the work of the General Assembly while respecting the rules of the Treaties, the Commission will in due time supplement or amend the present proposal to enable the Council to adopt the position to be taken also for these Resolutions. </w:t>
      </w:r>
    </w:p>
    <w:p>
      <w:pPr>
        <w:rPr>
          <w:noProof/>
        </w:rPr>
      </w:pPr>
    </w:p>
    <w:p>
      <w:pPr>
        <w:pStyle w:val="ManualHeading1"/>
        <w:rPr>
          <w:noProof/>
        </w:rPr>
      </w:pPr>
      <w:r>
        <w:t>3.</w:t>
      </w:r>
      <w:r>
        <w:tab/>
      </w:r>
      <w:r>
        <w:rPr>
          <w:noProof/>
        </w:rPr>
        <w:t>Position to be taken on the Union's behalf</w:t>
      </w:r>
    </w:p>
    <w:p>
      <w:pPr>
        <w:rPr>
          <w:noProof/>
        </w:rPr>
      </w:pPr>
      <w:r>
        <w:rPr>
          <w:noProof/>
        </w:rPr>
        <w:t>The draft Resolutions that will be submitted to the vote of the next General Assembly of OIV have been extensively discussed between scientific and technical experts of the wine sector. They contribute to the international harmonisation of the wine standards and they will set a framework which will ensure fair competition in the trading of wine sector products. They should therefore be supported.</w:t>
      </w:r>
    </w:p>
    <w:p>
      <w:pPr>
        <w:pBdr>
          <w:top w:val="nil"/>
          <w:left w:val="nil"/>
          <w:bottom w:val="nil"/>
          <w:right w:val="nil"/>
          <w:between w:val="nil"/>
          <w:bar w:val="nil"/>
        </w:pBdr>
        <w:spacing w:before="0" w:after="240"/>
        <w:rPr>
          <w:noProof/>
        </w:rPr>
      </w:pP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3"/>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rPr>
          <w:noProof/>
        </w:rPr>
      </w:pPr>
    </w:p>
    <w:p>
      <w:pPr>
        <w:pStyle w:val="ManualHeading3"/>
        <w:rPr>
          <w:noProof/>
        </w:rPr>
      </w:pPr>
      <w:r>
        <w:lastRenderedPageBreak/>
        <w:t>4.1.2.</w:t>
      </w:r>
      <w:r>
        <w:tab/>
      </w:r>
      <w:r>
        <w:rPr>
          <w:noProof/>
        </w:rPr>
        <w:t>Application to the present case</w:t>
      </w:r>
    </w:p>
    <w:p>
      <w:pPr>
        <w:rPr>
          <w:rFonts w:eastAsia="Times New Roman"/>
          <w:noProof/>
          <w:szCs w:val="24"/>
          <w:lang w:eastAsia="en-GB"/>
        </w:rPr>
      </w:pPr>
      <w:r>
        <w:rPr>
          <w:noProof/>
        </w:rPr>
        <w:t xml:space="preserve">The International Organisation of Vine and Wine (OIV) is an intergovernmental scientific and technical organisation active in the sector of vine, wine, wine-based drinks, table grapes, raisins and other vine products. </w:t>
      </w:r>
      <w:r>
        <w:rPr>
          <w:noProof/>
          <w:szCs w:val="24"/>
        </w:rPr>
        <w:t xml:space="preserve">Currently 47 States are members of the OIV, among which 20 are Member States of the Union. The EU is not a member of the OIV. However, since 20 October 2017, the OIV has granted to the Union </w:t>
      </w:r>
      <w:r>
        <w:rPr>
          <w:rFonts w:eastAsia="Times New Roman"/>
          <w:noProof/>
          <w:color w:val="000000" w:themeColor="text1"/>
          <w:szCs w:val="24"/>
          <w:lang w:eastAsia="en-GB"/>
        </w:rPr>
        <w:t xml:space="preserve">the particular status provided for in Article 4 of the Rules of Procedure of the OIV, </w:t>
      </w:r>
      <w:r>
        <w:rPr>
          <w:rFonts w:eastAsia="Times New Roman"/>
          <w:noProof/>
          <w:szCs w:val="24"/>
          <w:lang w:eastAsia="en-GB"/>
        </w:rPr>
        <w:t xml:space="preserve">enabling it to intervene in the works of the Commissions, Sub-Commissions and groups of experts and attend the meetings of the General Assembly and the Executive Committee. </w:t>
      </w:r>
    </w:p>
    <w:p>
      <w:pPr>
        <w:rPr>
          <w:noProof/>
        </w:rPr>
      </w:pPr>
      <w:r>
        <w:rPr>
          <w:noProof/>
        </w:rPr>
        <w:t xml:space="preserve">Pursuant to Regulation (EU) No 1308/2013 of the European Parliament and of the Council and Commission Delegated Regulation (EU) 2019/934, certain resolutions adopted and published by the OIV have legal effect on EU law. The Union position with regard to those Resolutions in relation to matters within its competence should therefore be adopted by the Council and expressed at the OIV meetings by the Member States which are members of the OIV, acting jointly in the interest of the Union. </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color w:val="000000" w:themeColor="text1"/>
        </w:rPr>
      </w:pPr>
      <w:r>
        <w:rPr>
          <w:noProof/>
          <w:color w:val="000000" w:themeColor="text1"/>
        </w:rPr>
        <w:t>The main objective of the envisaged draft Resolutions relates to the harmonisation of wine standards and thus to the implementation of a common agriculture policy. Therefore, the substantive legal basis of the proposed decision comprises Article 43 of the TFEU</w:t>
      </w:r>
      <w:r>
        <w:rPr>
          <w:noProof/>
        </w:rPr>
        <w:t>.</w:t>
      </w:r>
    </w:p>
    <w:p>
      <w:pPr>
        <w:pStyle w:val="ManualHeading2"/>
        <w:rPr>
          <w:noProof/>
        </w:rPr>
      </w:pPr>
      <w:r>
        <w:t>4.3.</w:t>
      </w:r>
      <w:r>
        <w:tab/>
      </w:r>
      <w:r>
        <w:rPr>
          <w:noProof/>
        </w:rPr>
        <w:t>Conclusion</w:t>
      </w:r>
    </w:p>
    <w:p>
      <w:pPr>
        <w:rPr>
          <w:noProof/>
          <w:color w:val="000000" w:themeColor="text1"/>
        </w:rPr>
      </w:pPr>
      <w:r>
        <w:rPr>
          <w:noProof/>
          <w:color w:val="000000" w:themeColor="text1"/>
        </w:rPr>
        <w:t xml:space="preserve">The legal basis of the proposed decision should be </w:t>
      </w:r>
      <w:r>
        <w:rPr>
          <w:noProof/>
        </w:rPr>
        <w:t>Article 43,</w:t>
      </w:r>
      <w:r>
        <w:rPr>
          <w:noProof/>
          <w:color w:val="000000" w:themeColor="text1"/>
        </w:rPr>
        <w:t xml:space="preserve"> in conjunction with Article 218(9) TFEU.</w:t>
      </w:r>
    </w:p>
    <w:p>
      <w:pPr>
        <w:pStyle w:val="ManualHeading1"/>
        <w:rPr>
          <w:noProof/>
        </w:rPr>
      </w:pPr>
      <w:r>
        <w:t>5.</w:t>
      </w:r>
      <w:r>
        <w:tab/>
      </w:r>
      <w:r>
        <w:rPr>
          <w:noProof/>
        </w:rPr>
        <w:t>Publication of the envisaged act</w:t>
      </w:r>
    </w:p>
    <w:p>
      <w:pPr>
        <w:rPr>
          <w:noProof/>
          <w:color w:val="000000" w:themeColor="text1"/>
        </w:rPr>
      </w:pPr>
      <w:r>
        <w:rPr>
          <w:noProof/>
        </w:rPr>
        <w:t>Not applicable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Organisation for Vine and Wine (OIV)</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International Organisation of Vine and Wine (OIV) will examine and possibly adopt resolutions which will have legal effects for the purposes of Article 218(9) TFEU in its next General Assembly of 27 November 2020. </w:t>
      </w:r>
    </w:p>
    <w:p>
      <w:pPr>
        <w:pStyle w:val="ManualConsidrant"/>
        <w:rPr>
          <w:noProof/>
        </w:rPr>
      </w:pPr>
      <w:r>
        <w:t>(2)</w:t>
      </w:r>
      <w:r>
        <w:tab/>
      </w:r>
      <w:r>
        <w:rPr>
          <w:noProof/>
        </w:rPr>
        <w:t xml:space="preserve">The Union is not a member of the OIV. However, the OIV has granted to the Union, on 20 October 2017, the particular status provided for in Article 4 of the Rules of Procedure of the OIV. </w:t>
      </w:r>
    </w:p>
    <w:p>
      <w:pPr>
        <w:pStyle w:val="ManualConsidrant"/>
        <w:rPr>
          <w:noProof/>
        </w:rPr>
      </w:pPr>
      <w:r>
        <w:t>(3)</w:t>
      </w:r>
      <w:r>
        <w:tab/>
      </w:r>
      <w:r>
        <w:rPr>
          <w:noProof/>
        </w:rPr>
        <w:t>20 Member States are members of the OIV. Those Member States have the possibility to propose amendments to the draft OIV resolutions and will be asked to adopt some of the draft OIV resolutions in the next OIV General Assembly on 27 November 2020.</w:t>
      </w:r>
    </w:p>
    <w:p>
      <w:pPr>
        <w:pStyle w:val="ManualConsidrant"/>
        <w:rPr>
          <w:noProof/>
        </w:rPr>
      </w:pPr>
      <w:r>
        <w:t>(4)</w:t>
      </w:r>
      <w:r>
        <w:tab/>
      </w:r>
      <w:r>
        <w:rPr>
          <w:noProof/>
        </w:rPr>
        <w:t>The Union position with regard to those resolutions in relation to matters within its competence should therefore be adopted by the Council and expressed at the OIV meetings by the Member States which are members of the OIV, acting jointly in the interest of the Union.</w:t>
      </w:r>
    </w:p>
    <w:p>
      <w:pPr>
        <w:pStyle w:val="ManualConsidrant"/>
        <w:rPr>
          <w:noProof/>
        </w:rPr>
      </w:pPr>
      <w:r>
        <w:t>(5)</w:t>
      </w:r>
      <w:r>
        <w:tab/>
      </w:r>
      <w:r>
        <w:rPr>
          <w:noProof/>
        </w:rPr>
        <w:t>Pursuant to Regulation (EU) No 1308/2013 of the European Parliament and of the Council</w:t>
      </w:r>
      <w:r>
        <w:rPr>
          <w:rStyle w:val="FootnoteReference"/>
          <w:noProof/>
        </w:rPr>
        <w:footnoteReference w:id="5"/>
      </w:r>
      <w:r>
        <w:rPr>
          <w:noProof/>
        </w:rPr>
        <w:t xml:space="preserve"> and Commission Delegated Regulation (EU) 2019/934</w:t>
      </w:r>
      <w:r>
        <w:rPr>
          <w:rStyle w:val="FootnoteReference"/>
          <w:noProof/>
        </w:rPr>
        <w:footnoteReference w:id="6"/>
      </w:r>
      <w:r>
        <w:rPr>
          <w:noProof/>
        </w:rPr>
        <w:t>, certain resolutions adopted and published by the OIV will have legal effects.</w:t>
      </w:r>
    </w:p>
    <w:p>
      <w:pPr>
        <w:pStyle w:val="ManualConsidrant"/>
        <w:rPr>
          <w:noProof/>
        </w:rPr>
      </w:pPr>
      <w:r>
        <w:t>(6)</w:t>
      </w:r>
      <w:r>
        <w:tab/>
      </w:r>
      <w:r>
        <w:rPr>
          <w:noProof/>
        </w:rPr>
        <w:t>Article 80(3)(a) of Regulation (EU) No 1308/2013 provides that the Commission is to take into account the oenological practices and methods of analysis recommended and published by the OIV when it authorises oenological practices.</w:t>
      </w:r>
    </w:p>
    <w:p>
      <w:pPr>
        <w:pStyle w:val="ManualConsidrant"/>
        <w:rPr>
          <w:noProof/>
        </w:rPr>
      </w:pPr>
      <w:r>
        <w:t>(7)</w:t>
      </w:r>
      <w:r>
        <w:tab/>
      </w:r>
      <w:r>
        <w:rPr>
          <w:noProof/>
        </w:rPr>
        <w:t xml:space="preserve">Article 80(5) of Regulation (EU) No 1308/2013 provides that the Commission, when laying down methods of analysis for determining the composition of the products of the wine sector, is to base those methods on any relevant methods recommended and </w:t>
      </w:r>
      <w:r>
        <w:rPr>
          <w:noProof/>
        </w:rPr>
        <w:lastRenderedPageBreak/>
        <w:t>published by the OIV unless they would be ineffective or inappropriate in view of the objective pursued by the Union.</w:t>
      </w:r>
    </w:p>
    <w:p>
      <w:pPr>
        <w:pStyle w:val="ManualConsidrant"/>
        <w:rPr>
          <w:noProof/>
        </w:rPr>
      </w:pPr>
      <w:r>
        <w:t>(8)</w:t>
      </w:r>
      <w:r>
        <w:tab/>
      </w:r>
      <w:r>
        <w:rPr>
          <w:noProof/>
        </w:rPr>
        <w:t>Article 90(2) of Regulation (EU) No 1308/2013 provides that products of the wine sector imported into the Union are to be produced in accordance with oenological practices authorised by the Union pursuant to that Regulation or, prior to that authorisation, produced in accordance with oenological practices recommended and published by the OIV.</w:t>
      </w:r>
    </w:p>
    <w:p>
      <w:pPr>
        <w:pStyle w:val="ManualConsidrant"/>
        <w:rPr>
          <w:noProof/>
        </w:rPr>
      </w:pPr>
      <w:r>
        <w:t>(9)</w:t>
      </w:r>
      <w:r>
        <w:tab/>
      </w:r>
      <w:r>
        <w:rPr>
          <w:noProof/>
        </w:rPr>
        <w:t>Article 9(1) of Delegated Regulation (EU) 2019/934 provides that, where they are not laid down by the Commission, the purity and identification specifications of substances used in oenological practices are to be those referred to in column 4 of Table 2 of Part A of Annex I to that Regulation, which refer to OIV Codex files.</w:t>
      </w:r>
    </w:p>
    <w:p>
      <w:pPr>
        <w:pStyle w:val="ManualConsidrant"/>
        <w:rPr>
          <w:noProof/>
        </w:rPr>
      </w:pPr>
      <w:r>
        <w:t>(10)</w:t>
      </w:r>
      <w:r>
        <w:tab/>
      </w:r>
      <w:r>
        <w:rPr>
          <w:noProof/>
        </w:rPr>
        <w:t>Draft Resolution OENO-TECHNO 19-659 updates the corresponding oenological practices. Draft Resolutions OENO-TECHNO 17-614A, 17-614B and 18-634 establish new oenological practices. In accordance with Article 80(3)(a) and Article 90(2) of Regulation (EU) No 1308/2013, these Resolutions will have legal effects.</w:t>
      </w:r>
    </w:p>
    <w:p>
      <w:pPr>
        <w:pStyle w:val="ManualConsidrant"/>
        <w:rPr>
          <w:noProof/>
        </w:rPr>
      </w:pPr>
      <w:r>
        <w:t>(11)</w:t>
      </w:r>
      <w:r>
        <w:tab/>
      </w:r>
      <w:r>
        <w:rPr>
          <w:noProof/>
        </w:rPr>
        <w:t>Draft Resolution OENO-MICRO 16-594B establishes a new oenological practice. In accordance with Article 80(3)(a) and Article 90(2) of Regulation (EU) No 1308/2013, this Resolution will have legal effects.</w:t>
      </w:r>
    </w:p>
    <w:p>
      <w:pPr>
        <w:pStyle w:val="ManualConsidrant"/>
        <w:rPr>
          <w:noProof/>
        </w:rPr>
      </w:pPr>
      <w:r>
        <w:t>(12)</w:t>
      </w:r>
      <w:r>
        <w:tab/>
      </w:r>
      <w:r>
        <w:rPr>
          <w:noProof/>
        </w:rPr>
        <w:t>Draft Resolutions OENO-SPECIF 18-643, 18-644 and 18-645 establish the identification specifications of certain substances used in oenological practices. In accordance with Article 80(3)(a) and Article 90(2) of Regulation (EU) No 1308/2013, and with Article 9 of Delegated Regulation (EU) 2019/934, these Resolutions will have legal effects.</w:t>
      </w:r>
    </w:p>
    <w:p>
      <w:pPr>
        <w:pStyle w:val="ManualConsidrant"/>
        <w:rPr>
          <w:noProof/>
          <w:lang w:val="en-US"/>
        </w:rPr>
      </w:pPr>
      <w:r>
        <w:t>(13)</w:t>
      </w:r>
      <w:r>
        <w:tab/>
      </w:r>
      <w:r>
        <w:rPr>
          <w:noProof/>
        </w:rPr>
        <w:t>Draft Resolutions OENO-SCMA 17-618 and 17-620 establish new methods of analysis. In accordance with Article 80(3)(a) and Article 80(5) of Regulation (EU) No 1308/2013, these Resolutions will have legal effects.</w:t>
      </w:r>
    </w:p>
    <w:p>
      <w:pPr>
        <w:pStyle w:val="ManualConsidrant"/>
        <w:rPr>
          <w:noProof/>
        </w:rPr>
      </w:pPr>
      <w:r>
        <w:t>(14)</w:t>
      </w:r>
      <w:r>
        <w:tab/>
      </w:r>
      <w:r>
        <w:rPr>
          <w:noProof/>
        </w:rPr>
        <w:t>These draft Resolutions have been extensively discussed between scientific and technical experts of the wine sector. They contribute to the international harmonisation of the wine standards and will set a framework which will ensure fair competition in the trading of products of the wine sector. They should therefore be supported.</w:t>
      </w:r>
    </w:p>
    <w:p>
      <w:pPr>
        <w:pStyle w:val="ManualConsidrant"/>
        <w:rPr>
          <w:noProof/>
        </w:rPr>
      </w:pPr>
      <w:r>
        <w:t>(15)</w:t>
      </w:r>
      <w:r>
        <w:tab/>
      </w:r>
      <w:r>
        <w:rPr>
          <w:noProof/>
        </w:rPr>
        <w:t>In order to allow for the necessary flexibility during the negotiations ahead of the meeting of the General Assembly of the OIV, Member States which are members of the OIV should be authorised to agree to changes to these Resolutions provided that such changes do not alter the substance thereof,</w:t>
      </w:r>
    </w:p>
    <w:p>
      <w:pPr>
        <w:rPr>
          <w:noProof/>
        </w:rPr>
      </w:pPr>
    </w:p>
    <w:p>
      <w:pPr>
        <w:pStyle w:val="Formuledadoption"/>
        <w:rPr>
          <w:noProof/>
        </w:rPr>
      </w:pPr>
      <w:r>
        <w:rPr>
          <w:noProof/>
        </w:rPr>
        <w:t>HAS ADOPTED THIS DECISION:</w:t>
      </w:r>
    </w:p>
    <w:p>
      <w:pPr>
        <w:pStyle w:val="Titrearticle"/>
        <w:rPr>
          <w:noProof/>
        </w:rPr>
      </w:pPr>
      <w:r>
        <w:rPr>
          <w:noProof/>
        </w:rPr>
        <w:t>Article 1</w:t>
      </w:r>
    </w:p>
    <w:p>
      <w:pPr>
        <w:pStyle w:val="Titrearticle"/>
        <w:keepNext w:val="0"/>
        <w:jc w:val="both"/>
        <w:rPr>
          <w:i w:val="0"/>
          <w:noProof/>
        </w:rPr>
      </w:pPr>
      <w:r>
        <w:rPr>
          <w:i w:val="0"/>
          <w:noProof/>
        </w:rPr>
        <w:t>The position of the Union is set out in the Annex and shall be expressed at the General Assembly of the OIV on 27 November 2020 by the Member States which are Members of the OIV, acting jointly in the interest of the Union.</w:t>
      </w:r>
    </w:p>
    <w:p>
      <w:pPr>
        <w:pStyle w:val="Titrearticle"/>
        <w:rPr>
          <w:noProof/>
        </w:rPr>
      </w:pPr>
      <w:r>
        <w:rPr>
          <w:noProof/>
        </w:rPr>
        <w:lastRenderedPageBreak/>
        <w:t>Article 2</w:t>
      </w:r>
    </w:p>
    <w:p>
      <w:pPr>
        <w:pStyle w:val="ManualNumPar1"/>
        <w:rPr>
          <w:noProof/>
        </w:rPr>
      </w:pPr>
      <w:r>
        <w:t>1.</w:t>
      </w:r>
      <w:r>
        <w:tab/>
      </w:r>
      <w:r>
        <w:rPr>
          <w:noProof/>
        </w:rPr>
        <w:t>Where the position referred to in Article 1 is likely to be affected by new scientific or technical information presented before or during the meetings of the OIV, Member States which are Members of the OIV shall request that the voting in the OIV General Assembly be postponed until the position of the Union is established on the basis of the new elements.</w:t>
      </w:r>
    </w:p>
    <w:p>
      <w:pPr>
        <w:pStyle w:val="ManualNumPar1"/>
        <w:rPr>
          <w:noProof/>
        </w:rPr>
      </w:pPr>
      <w:r>
        <w:t>2.</w:t>
      </w:r>
      <w:r>
        <w:tab/>
      </w:r>
      <w:r>
        <w:rPr>
          <w:noProof/>
        </w:rPr>
        <w:t>Following coordination, in particular on the spot, and without further decision of the Council establishing the position of the Union, the Member States which are Members of the OIV, acting jointly in the interest of the Union, may agree to changes to the draft Resolutions referred to in the Annex which do not alter the substance thereof.</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2">
    <w:p>
      <w:pPr>
        <w:pStyle w:val="FootnoteText"/>
        <w:rPr>
          <w:lang w:val="en-US"/>
        </w:rPr>
      </w:pPr>
      <w:r>
        <w:rPr>
          <w:rStyle w:val="FootnoteReference"/>
        </w:rPr>
        <w:footnoteRef/>
      </w:r>
      <w:r>
        <w:tab/>
        <w:t>Commission Delegated Regulation (EU) 2019/934 of 12 March 2019 supplementing Regulation (EU) No 1308/2013 of the European Parliament and of the Council as regards wine-growing areas where the alcoholic strength may be increased, authorised oenological practices and restrictions applicable to the production and conservation of grapevine products, the minimum percentage of alcohol for by-products and their disposal, and publication of OIV files (</w:t>
      </w:r>
      <w:r>
        <w:rPr>
          <w:iCs/>
        </w:rPr>
        <w:t>OJ L 149, 7.6.2019, p. 1–52</w:t>
      </w:r>
      <w:r>
        <w:t>)</w:t>
      </w:r>
    </w:p>
  </w:footnote>
  <w:footnote w:id="3">
    <w:p>
      <w:pPr>
        <w:pStyle w:val="FootnoteText"/>
      </w:pPr>
      <w:r>
        <w:rPr>
          <w:rStyle w:val="FootnoteReference"/>
        </w:rPr>
        <w:footnoteRef/>
      </w:r>
      <w:r>
        <w:tab/>
        <w:t>Judgment of the Court of Justice of 7 October 2014, Germany v Council, C-399/12, ECLI:EU:C:2014:2258, paragraph 64.</w:t>
      </w:r>
    </w:p>
  </w:footnote>
  <w:footnote w:id="4">
    <w:p>
      <w:pPr>
        <w:pStyle w:val="FootnoteText"/>
      </w:pPr>
      <w:r>
        <w:rPr>
          <w:rStyle w:val="FootnoteReference"/>
        </w:rPr>
        <w:footnoteRef/>
      </w:r>
      <w:r>
        <w:tab/>
        <w:t>Judgment of the Court of Justice of 7 October 2014, Germany v Council, C-399/12, ECLI:EU:C:2014:2258, paragraphs 61 to 64.</w:t>
      </w:r>
    </w:p>
  </w:footnote>
  <w:footnote w:id="5">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6">
    <w:p>
      <w:pPr>
        <w:pStyle w:val="FootnoteText"/>
      </w:pPr>
      <w:r>
        <w:rPr>
          <w:rStyle w:val="FootnoteReference"/>
        </w:rPr>
        <w:footnoteRef/>
      </w:r>
      <w:r>
        <w:tab/>
        <w:t>Commission Delegated Regulation (EU) 2019/934 of 12 March 2019 supplementing Regulation (EU) No 1308/2013 of the European Parliament and of the Council as regards wine-growing areas where the alcoholic strength may be increased, authorised oenological practices and restrictions applicable to the production and conservation of grapevine products, the minimum percentage of alcohol for by-products and their disposal, and publication of OIV files (</w:t>
      </w:r>
      <w:r>
        <w:rPr>
          <w:iCs/>
        </w:rPr>
        <w:t>OJ L 149, 7.6.2019, p.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6AB0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3079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3AA3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02B9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622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6EA4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883D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3A50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2:22: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241D6B-918C-45BA-B659-F0B43DB23336"/>
    <w:docVar w:name="LW_COVERPAGE_TYPE" w:val="1"/>
    <w:docVar w:name="LW_CROSSREFERENCE" w:val="&lt;UNUSED&gt;"/>
    <w:docVar w:name="LW_DocType" w:val="COM"/>
    <w:docVar w:name="LW_EMISSION" w:val="18.9.2020"/>
    <w:docVar w:name="LW_EMISSION_ISODATE" w:val="2020-09-1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1"/>
    <w:docVar w:name="LW_REF.II.NEW.CP_YEAR" w:val="2020"/>
    <w:docVar w:name="LW_REF.INST.NEW" w:val="COM"/>
    <w:docVar w:name="LW_REF.INST.NEW_ADOPTED" w:val="final"/>
    <w:docVar w:name="LW_REF.INST.NEW_TEXT" w:val="(2020)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Organisation for Vine and Wine (OIV)"/>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7BA7-2CB5-478C-B456-104ED635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2091</Words>
  <Characters>10941</Characters>
  <Application>Microsoft Office Word</Application>
  <DocSecurity>0</DocSecurity>
  <Lines>198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2020-08-10T11:19:00Z</cp:lastPrinted>
  <dcterms:created xsi:type="dcterms:W3CDTF">2020-09-07T10:40:00Z</dcterms:created>
  <dcterms:modified xsi:type="dcterms:W3CDTF">2020-09-18T10:22:00Z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