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D090E16-5283-4533-BF95-38A4F831984A" style="width:451.25pt;height:45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NormalCentered"/>
        <w:rPr>
          <w:noProof/>
        </w:rPr>
      </w:pPr>
      <w:bookmarkStart w:id="0" w:name="_GoBack"/>
      <w:bookmarkEnd w:id="0"/>
      <w:r>
        <w:rPr>
          <w:b/>
          <w:noProof/>
        </w:rPr>
        <w:lastRenderedPageBreak/>
        <w:t>ПРОТОКОЛ</w:t>
      </w:r>
    </w:p>
    <w:p>
      <w:pPr>
        <w:spacing w:line="360" w:lineRule="auto"/>
        <w:jc w:val="center"/>
        <w:rPr>
          <w:b/>
          <w:noProof/>
        </w:rPr>
      </w:pPr>
      <w:r>
        <w:rPr>
          <w:b/>
          <w:noProof/>
        </w:rPr>
        <w:t xml:space="preserve">КЪМ СПОГОДБАТА ЗА МЕЖДУНАРОДНИ СЛУЧАЙНИ ПРЕВОЗИ НА </w:t>
      </w:r>
    </w:p>
    <w:p>
      <w:pPr>
        <w:spacing w:line="360" w:lineRule="auto"/>
        <w:jc w:val="center"/>
        <w:rPr>
          <w:b/>
          <w:noProof/>
        </w:rPr>
      </w:pPr>
      <w:r>
        <w:rPr>
          <w:b/>
          <w:noProof/>
        </w:rPr>
        <w:t xml:space="preserve">ПЪТНИЦИ, ИЗВЪРШВАНИ С АВТОБУСИ („СПОГОДБАТА ИНТЕРБУС“), ОТНОСНО </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МЕЖДУНАРОДНИТЕ РЕДОВНИ И СПЕЦИАЛИЗИРАНИ РЕДОВНИ ПРЕВОЗИ НА ПЪТНИЦИ, ИЗВЪРШВАНИ С АВТОБУСИ</w:t>
      </w:r>
    </w:p>
    <w:p>
      <w:pPr>
        <w:pStyle w:val="Institutionquiagit"/>
        <w:rPr>
          <w:noProof/>
        </w:rPr>
      </w:pPr>
    </w:p>
    <w:p>
      <w:pPr>
        <w:pStyle w:val="Institutionquiagit"/>
        <w:rPr>
          <w:noProof/>
        </w:rPr>
      </w:pPr>
      <w:r>
        <w:rPr>
          <w:noProof/>
        </w:rPr>
        <w:t>ДОГОВАРЯЩИТЕ СЕ СТРАНИ,</w:t>
      </w:r>
    </w:p>
    <w:p>
      <w:pPr>
        <w:rPr>
          <w:noProof/>
        </w:rPr>
      </w:pPr>
      <w:r>
        <w:rPr>
          <w:noProof/>
        </w:rPr>
        <w:t>като взеха предвид желанието за по-нататъшно развитие и насърчаване на международния превоз на пътници в Европа и улесняване на неговата организация и функциониране,</w:t>
      </w:r>
    </w:p>
    <w:p>
      <w:pPr>
        <w:rPr>
          <w:noProof/>
        </w:rPr>
      </w:pPr>
      <w:r>
        <w:rPr>
          <w:noProof/>
        </w:rPr>
        <w:t>като взеха предвид нарастващото значение на туризма и желанието за по-нататъшно насърчаване на културния обмен между договарящите се страни по настоящия протокол,</w:t>
      </w:r>
    </w:p>
    <w:p>
      <w:pPr>
        <w:rPr>
          <w:noProof/>
          <w:szCs w:val="24"/>
        </w:rPr>
      </w:pPr>
      <w:r>
        <w:rPr>
          <w:noProof/>
        </w:rPr>
        <w:t>като взеха предвид Спогодбата за международни случайни превози на пътници, извършвани с автобуси („Спогодбата Интербус“)</w:t>
      </w:r>
      <w:r>
        <w:rPr>
          <w:rStyle w:val="FootnoteReference"/>
          <w:noProof/>
          <w:szCs w:val="24"/>
        </w:rPr>
        <w:footnoteReference w:id="1"/>
      </w:r>
      <w:r>
        <w:rPr>
          <w:noProof/>
        </w:rPr>
        <w:t>, с последващото изменение, което е в сила от 1 януари 2003 г.</w:t>
      </w:r>
      <w:r>
        <w:rPr>
          <w:rStyle w:val="FootnoteReference"/>
          <w:noProof/>
          <w:szCs w:val="24"/>
          <w:lang w:eastAsia="en-GB"/>
        </w:rPr>
        <w:footnoteReference w:id="2"/>
      </w:r>
      <w:r>
        <w:rPr>
          <w:noProof/>
        </w:rPr>
        <w:t>,</w:t>
      </w:r>
    </w:p>
    <w:p>
      <w:pPr>
        <w:rPr>
          <w:noProof/>
        </w:rPr>
      </w:pPr>
      <w:r>
        <w:rPr>
          <w:noProof/>
        </w:rPr>
        <w:t>като взеха предвид желанието да бъде разширен кръгът на транспортните услуги, обхванати от Спогодбата Интербус, така че да включва и редовните и специализираните редовни превози при определени условия,</w:t>
      </w:r>
    </w:p>
    <w:p>
      <w:pPr>
        <w:rPr>
          <w:noProof/>
        </w:rPr>
      </w:pPr>
      <w:r>
        <w:rPr>
          <w:noProof/>
        </w:rPr>
        <w:t>като имат предвид, че:</w:t>
      </w:r>
    </w:p>
    <w:p>
      <w:pPr>
        <w:pStyle w:val="Considrant"/>
        <w:numPr>
          <w:ilvl w:val="0"/>
          <w:numId w:val="22"/>
        </w:numPr>
        <w:spacing w:after="240"/>
        <w:rPr>
          <w:noProof/>
        </w:rPr>
      </w:pPr>
      <w:r>
        <w:rPr>
          <w:noProof/>
        </w:rPr>
        <w:t>Приложното поле на Спогодбата Интербус следва да бъде разширено чрез разпоредби, въвеждащи процедури по отношение на редовните и специализираните редовни превози, подлежащи на издаване на разрешително.</w:t>
      </w:r>
    </w:p>
    <w:p>
      <w:pPr>
        <w:pStyle w:val="Considrant"/>
        <w:spacing w:after="240"/>
        <w:rPr>
          <w:noProof/>
        </w:rPr>
      </w:pPr>
      <w:r>
        <w:rPr>
          <w:noProof/>
        </w:rPr>
        <w:t>Към настоящия протокол, който съдържа такива разпоредби, следва да могат да се присъединят договарящите се страни по Спогодбата Интербус.</w:t>
      </w:r>
    </w:p>
    <w:p>
      <w:pPr>
        <w:pStyle w:val="Considrant"/>
        <w:spacing w:after="240"/>
        <w:rPr>
          <w:noProof/>
        </w:rPr>
      </w:pPr>
      <w:r>
        <w:rPr>
          <w:noProof/>
        </w:rPr>
        <w:t>С изключение на случаите на договорености за партньорство, засега либерализацията на редовните и на специализираните редовни превози, подлежащи на издаване на разрешително, следва да се прилага само по отношение на превози с отправен пункт или местоназначение в договарящата се страна, в която е установен автомобилният превозвач и където са регистрирани неговите превозни средства.</w:t>
      </w:r>
    </w:p>
    <w:p>
      <w:pPr>
        <w:pStyle w:val="Considrant"/>
        <w:spacing w:after="240"/>
        <w:rPr>
          <w:noProof/>
        </w:rPr>
      </w:pPr>
      <w:r>
        <w:rPr>
          <w:noProof/>
        </w:rPr>
        <w:t>Въпреки че следва да се изключи възможността за извършване на редовни или специализирани редовни превози с отправен пункт и местоназначение в една и съща договаряща се страна от превозвачи, установени в друга договаряща се страна, на такива превозвачи следва да бъде разрешено да вземат или да оставят пътници на предварително определени места за спиране като част от превозната услуга, при условие че не превозват пътници между две места за спиране, разположени в една и съща договаряща се страна, различна от страната, в която превозвачите са установени.</w:t>
      </w:r>
    </w:p>
    <w:p>
      <w:pPr>
        <w:pStyle w:val="Considrant"/>
        <w:spacing w:after="240"/>
        <w:rPr>
          <w:noProof/>
        </w:rPr>
      </w:pPr>
      <w:r>
        <w:rPr>
          <w:noProof/>
        </w:rPr>
        <w:t>Принципът за недопускане на дискриминация въз основа на националната принадлежност или на мястото на установяване на превозвача, на отправния пункт или местоназначението на автобуса и на предоставяната услуга следва да се прилага като една от основите за осигуряването на международни автомобилни превози на пътници.</w:t>
      </w:r>
    </w:p>
    <w:p>
      <w:pPr>
        <w:pStyle w:val="Considrant"/>
        <w:spacing w:after="240"/>
        <w:rPr>
          <w:noProof/>
        </w:rPr>
      </w:pPr>
      <w:r>
        <w:rPr>
          <w:noProof/>
        </w:rPr>
        <w:t>Необходимо е да се предвидят уеднаквени образци на заявлението за издаване на разрешително и на разрешителното за международни редовни и специализирани редовни превози, за да се улеснят и опростят процедурите. Документите, свързани с изискванията за контрол, които се съхраняват в превозното средство и се представят при поискване на всеки служител, оправомощен да извършва проверки в съответствие с настоящия протокол, следва да се конкретизират, за да се избегнат различни тълкувания.</w:t>
      </w:r>
    </w:p>
    <w:p>
      <w:pPr>
        <w:pStyle w:val="Considrant"/>
        <w:spacing w:after="240"/>
        <w:rPr>
          <w:noProof/>
        </w:rPr>
      </w:pPr>
      <w:r>
        <w:rPr>
          <w:noProof/>
        </w:rPr>
        <w:t>Разрешителното за международни редовни или специализирани редовни автомобилни превози на пътници, одобрено в съответствие с процедурата по разрешаване от компетентните органи на всички съответни договарящи се страни или държави — членки на Европейския съюз, в които е отправният пункт или местоназначението на превоза, и на онези, които превозът пресича, и издадено от разрешаващия орган за отправния пункт или местоназначението на превоза, позволява на заявителя превозвач, установен в договарящата се страна на отправния пункт или местоназначението на превоза, или — в случай на партньорство или групи — на оператора, установен в договарящата се страна на отправния пункт или местоназначението на превоза, който е получил правомощия от останалите превозвачи за целта, да извършва превоза по маршрута между отправния пункт и местоназначението. Това разрешително е единственият необходим документ, даващ право да се извършва превозът. Не са необходими отделни разрешителни за пресичането на договарящите се страни, на държавите — членки на Европейския съюз, или на техните граници като част от превоза, независимо дали се качват или слизат пътници в договарящата се страна или в държавата — членка на Европейския съюз, по маршрута.</w:t>
      </w:r>
    </w:p>
    <w:p>
      <w:pPr>
        <w:pStyle w:val="Considrant"/>
        <w:spacing w:after="240"/>
        <w:rPr>
          <w:noProof/>
        </w:rPr>
      </w:pPr>
      <w:r>
        <w:rPr>
          <w:noProof/>
        </w:rPr>
        <w:t>При определени условия всяка договаряща се страна или държава — членка на Европейския съюз, има право да избере да направи международните редовни или специализирани редовни превози с отправен пункт или с местоназначение на нейна територия предмет на договорености за партньорство между превозвачите от държавите на отправния пункт и на местоназначението на дадения превоз. Превозвачи, установени в договарящите се страни или в държави — членки на Европейския съюз, чиято територия превозът пресича, като се качват и слизат пътници, следва да имат правото да се присъединят към такива договорености за партньорство.</w:t>
      </w:r>
    </w:p>
    <w:p>
      <w:pPr>
        <w:pStyle w:val="Considrant"/>
        <w:spacing w:after="240"/>
        <w:rPr>
          <w:noProof/>
        </w:rPr>
      </w:pPr>
      <w:r>
        <w:rPr>
          <w:noProof/>
        </w:rPr>
        <w:t>Уместно е да бъде създаден Смесен комитет за прилагането на настоящия Протокол, който да осигури неговото правилно и еднакво изпълнение, както и да се адаптират приложенията, за да бъде отразен техническият напредък и промените в законодателството.</w:t>
      </w:r>
    </w:p>
    <w:p>
      <w:pPr>
        <w:pStyle w:val="Considrant"/>
        <w:spacing w:after="240"/>
        <w:rPr>
          <w:noProof/>
        </w:rPr>
      </w:pPr>
      <w:r>
        <w:rPr>
          <w:noProof/>
        </w:rPr>
        <w:t>Необходимо е договарящите се страни да прилагат еднакви социални мерки по отношение на работата на екипажите на автобуси, извършващи международни автомобилни превози, ръководейки се от правилата, заложени в Спогодбата Интербус, на които настоящият Протокол следва да се позовава.</w:t>
      </w:r>
    </w:p>
    <w:p>
      <w:pPr>
        <w:pStyle w:val="Considrant"/>
        <w:spacing w:after="240"/>
        <w:rPr>
          <w:noProof/>
        </w:rPr>
      </w:pPr>
      <w:r>
        <w:rPr>
          <w:noProof/>
        </w:rPr>
        <w:t>Условията, при които се изпълняват редовни и специализирани редовни превози, следва да се ръководят от правилата, заложени в Спогодбата Интербус, на които настоящият Протокол следва да се позовава, при съблюдаване на специфичните правила, посочени в приложение 1 към настоящия Протокол.</w:t>
      </w:r>
    </w:p>
    <w:p>
      <w:pPr>
        <w:pStyle w:val="Considrant"/>
        <w:spacing w:after="480"/>
        <w:rPr>
          <w:noProof/>
        </w:rPr>
      </w:pPr>
      <w:r>
        <w:rPr>
          <w:noProof/>
        </w:rPr>
        <w:t>Хармонизирането на техническите условия, на които трябва да отговарят автобусите, изпълняващи международни превози между договарящите се страни, следва да се ръководи от правилата, заложени в Спогодбата Интербус, на които настоящият Протокол следва да се позовава и които са посочени в приложение 2 към него.</w:t>
      </w:r>
    </w:p>
    <w:p>
      <w:pPr>
        <w:rPr>
          <w:noProof/>
        </w:rPr>
      </w:pPr>
      <w:r>
        <w:rPr>
          <w:noProof/>
        </w:rPr>
        <w:t>РЕШИХА да определят единни правила за международните редовни и специализирани редовни превози на пътници, извършвани с автобуси, и</w:t>
      </w:r>
    </w:p>
    <w:p>
      <w:pPr>
        <w:pStyle w:val="Formuledadoption"/>
        <w:rPr>
          <w:noProof/>
        </w:rPr>
      </w:pPr>
      <w:r>
        <w:rPr>
          <w:noProof/>
        </w:rPr>
        <w:t>СЕ СПОРАЗУМЯХА ЗА СЛЕДНОТО:</w:t>
      </w:r>
    </w:p>
    <w:p>
      <w:pPr>
        <w:pStyle w:val="SectionTitle"/>
        <w:rPr>
          <w:noProof/>
        </w:rPr>
      </w:pPr>
      <w:r>
        <w:rPr>
          <w:noProof/>
        </w:rPr>
        <w:t>РАЗДЕЛ I</w:t>
      </w:r>
    </w:p>
    <w:p>
      <w:pPr>
        <w:jc w:val="center"/>
        <w:rPr>
          <w:b/>
          <w:bCs/>
          <w:noProof/>
        </w:rPr>
      </w:pPr>
      <w:r>
        <w:rPr>
          <w:b/>
          <w:bCs/>
          <w:noProof/>
        </w:rPr>
        <w:t>ПРИЛОЖНО ПОЛЕ И ОПРЕДЕЛЕНИЯ</w:t>
      </w:r>
    </w:p>
    <w:p>
      <w:pPr>
        <w:pStyle w:val="Titrearticle"/>
        <w:rPr>
          <w:noProof/>
        </w:rPr>
      </w:pPr>
      <w:r>
        <w:rPr>
          <w:noProof/>
        </w:rPr>
        <w:t>Член 1</w:t>
      </w:r>
    </w:p>
    <w:p>
      <w:pPr>
        <w:jc w:val="center"/>
        <w:rPr>
          <w:b/>
          <w:bCs/>
          <w:noProof/>
        </w:rPr>
      </w:pPr>
      <w:r>
        <w:rPr>
          <w:b/>
          <w:bCs/>
          <w:noProof/>
        </w:rPr>
        <w:t>Приложно поле</w:t>
      </w:r>
    </w:p>
    <w:p>
      <w:pPr>
        <w:rPr>
          <w:noProof/>
        </w:rPr>
      </w:pPr>
      <w:r>
        <w:rPr>
          <w:noProof/>
        </w:rPr>
        <w:t>1.</w:t>
      </w:r>
      <w:r>
        <w:rPr>
          <w:noProof/>
        </w:rPr>
        <w:tab/>
        <w:t>Настоящият Протокол се прилага:</w:t>
      </w:r>
    </w:p>
    <w:p>
      <w:pPr>
        <w:rPr>
          <w:noProof/>
          <w:szCs w:val="24"/>
        </w:rPr>
      </w:pPr>
      <w:r>
        <w:rPr>
          <w:noProof/>
        </w:rPr>
        <w:t>а)</w:t>
      </w:r>
      <w:r>
        <w:rPr>
          <w:noProof/>
        </w:rPr>
        <w:tab/>
        <w:t>по отношение на международния автомобилен превоз на пътници, независимо от тяхната национална принадлежност, чрез редовни и специализирани редовни превози, извършвани с автобус:</w:t>
      </w:r>
    </w:p>
    <w:p>
      <w:pPr>
        <w:rPr>
          <w:noProof/>
        </w:rPr>
      </w:pPr>
      <w:r>
        <w:rPr>
          <w:noProof/>
        </w:rPr>
        <w:t>i)</w:t>
      </w:r>
      <w:r>
        <w:rPr>
          <w:noProof/>
        </w:rPr>
        <w:tab/>
        <w:t>между териториите на две договарящи се страни, и ако при такива превози е нужно — пресичайки територията на друга договаряща се страна или на държава, която не е договаряща се страна;</w:t>
      </w:r>
    </w:p>
    <w:p>
      <w:pPr>
        <w:rPr>
          <w:noProof/>
          <w:szCs w:val="24"/>
        </w:rPr>
      </w:pPr>
      <w:r>
        <w:rPr>
          <w:noProof/>
        </w:rPr>
        <w:t>ii)</w:t>
      </w:r>
      <w:r>
        <w:rPr>
          <w:noProof/>
        </w:rPr>
        <w:tab/>
        <w:t>изпълнявани за чужда сметка или срещу възнаграждение от един или повече превозвачи, установени в договаряща се страна на отправния пункт или местоназначението на превоза, а в случаите на партньорство — също от един или повече превозвачи, установени в договарящи се страни или държави — членки на Европейския съюз, чиято територия превозът пресича, като се качват и слизат пътници, ако превозвачите са взели такова решение в съответствие с приложимото законодателство и като притежават лиценз за транспортиране на пътници чрез международни редовни и специализирани редовни превози с автобуси;</w:t>
      </w:r>
    </w:p>
    <w:p>
      <w:pPr>
        <w:rPr>
          <w:noProof/>
          <w:szCs w:val="24"/>
        </w:rPr>
      </w:pPr>
      <w:r>
        <w:rPr>
          <w:noProof/>
        </w:rPr>
        <w:t>iii)</w:t>
      </w:r>
      <w:r>
        <w:rPr>
          <w:noProof/>
        </w:rPr>
        <w:tab/>
        <w:t>с използване на автобуси, регистрирани в договарящата се страна, в която е установен превозвачът.</w:t>
      </w:r>
    </w:p>
    <w:p>
      <w:pPr>
        <w:rPr>
          <w:noProof/>
          <w:szCs w:val="24"/>
        </w:rPr>
      </w:pPr>
      <w:r>
        <w:rPr>
          <w:noProof/>
        </w:rPr>
        <w:t>б)</w:t>
      </w:r>
      <w:r>
        <w:rPr>
          <w:noProof/>
        </w:rPr>
        <w:tab/>
        <w:t>по отношение на празни курсове на автобусите, свързани с тези превози.</w:t>
      </w:r>
    </w:p>
    <w:p>
      <w:pPr>
        <w:rPr>
          <w:noProof/>
        </w:rPr>
      </w:pPr>
      <w:r>
        <w:rPr>
          <w:noProof/>
        </w:rPr>
        <w:t>2.</w:t>
      </w:r>
      <w:r>
        <w:rPr>
          <w:noProof/>
        </w:rPr>
        <w:tab/>
        <w:t>Никоя от клаузите на настоящия Протокол не може да се тълкува като даваща възможност редовни или специализирани редовни превози, при които отправният пункт и местоназначението са в една и съща договаряща се страна, да се извършват от превозвачи, установени в друга договаряща се страна (каботаж).</w:t>
      </w:r>
    </w:p>
    <w:p>
      <w:pPr>
        <w:rPr>
          <w:noProof/>
          <w:szCs w:val="24"/>
        </w:rPr>
      </w:pPr>
      <w:r>
        <w:rPr>
          <w:noProof/>
        </w:rPr>
        <w:t>3.</w:t>
      </w:r>
      <w:r>
        <w:rPr>
          <w:noProof/>
        </w:rPr>
        <w:tab/>
        <w:t>В съответствие с параграф 1 и при спазване на параграф 2, когато превозът е част от транспортна услуга до или от територията, в която е установен превозвачът, пътници могат да се качват и слизат на територията на всяка договаряща се страна, намираща се по маршрута, която разреши спиране на своя територия.</w:t>
      </w:r>
    </w:p>
    <w:p>
      <w:pPr>
        <w:rPr>
          <w:noProof/>
          <w:szCs w:val="24"/>
        </w:rPr>
      </w:pPr>
      <w:r>
        <w:rPr>
          <w:noProof/>
        </w:rPr>
        <w:t>4.</w:t>
      </w:r>
      <w:r>
        <w:rPr>
          <w:noProof/>
        </w:rPr>
        <w:tab/>
        <w:t>Настоящият Протокол не се прилага по отношение на:</w:t>
      </w:r>
    </w:p>
    <w:p>
      <w:pPr>
        <w:pStyle w:val="Point1"/>
        <w:rPr>
          <w:noProof/>
        </w:rPr>
      </w:pPr>
      <w:r>
        <w:rPr>
          <w:noProof/>
        </w:rPr>
        <w:t>а)</w:t>
      </w:r>
      <w:r>
        <w:rPr>
          <w:noProof/>
        </w:rPr>
        <w:tab/>
        <w:t>използването на автобуси, предназначени за превоз на пътници, за превози на стоки с търговска цел;</w:t>
      </w:r>
    </w:p>
    <w:p>
      <w:pPr>
        <w:pStyle w:val="Point1"/>
        <w:rPr>
          <w:noProof/>
          <w:szCs w:val="24"/>
        </w:rPr>
      </w:pPr>
      <w:r>
        <w:rPr>
          <w:noProof/>
        </w:rPr>
        <w:t>б)</w:t>
      </w:r>
      <w:r>
        <w:rPr>
          <w:noProof/>
        </w:rPr>
        <w:tab/>
        <w:t>превози за собствена сметка.</w:t>
      </w:r>
    </w:p>
    <w:p>
      <w:pPr>
        <w:pStyle w:val="Titrearticle"/>
        <w:rPr>
          <w:bCs/>
          <w:noProof/>
        </w:rPr>
      </w:pPr>
      <w:r>
        <w:rPr>
          <w:noProof/>
        </w:rPr>
        <w:t>Член 2</w:t>
      </w:r>
    </w:p>
    <w:p>
      <w:pPr>
        <w:jc w:val="center"/>
        <w:rPr>
          <w:b/>
          <w:bCs/>
          <w:noProof/>
        </w:rPr>
      </w:pPr>
      <w:r>
        <w:rPr>
          <w:b/>
          <w:bCs/>
          <w:noProof/>
        </w:rPr>
        <w:t>Недопускане на дискриминация</w:t>
      </w:r>
    </w:p>
    <w:p>
      <w:pPr>
        <w:rPr>
          <w:noProof/>
        </w:rPr>
      </w:pPr>
      <w:r>
        <w:rPr>
          <w:noProof/>
        </w:rPr>
        <w:t>Договарящите се страни осигуряват прилагане към настоящия Протокол на принципа на недопускане на дискриминация въз основа на националната принадлежност или на мястото на установяване на превозвача и въз основа на отправния пункт или местоназначението на даден автобусен превоз и на предоставяната услуга.</w:t>
      </w:r>
    </w:p>
    <w:p>
      <w:pPr>
        <w:pStyle w:val="Titrearticle"/>
        <w:rPr>
          <w:bCs/>
          <w:noProof/>
        </w:rPr>
      </w:pPr>
      <w:r>
        <w:rPr>
          <w:noProof/>
        </w:rPr>
        <w:t>Член 3</w:t>
      </w:r>
    </w:p>
    <w:p>
      <w:pPr>
        <w:jc w:val="center"/>
        <w:rPr>
          <w:b/>
          <w:bCs/>
          <w:noProof/>
        </w:rPr>
      </w:pPr>
      <w:r>
        <w:rPr>
          <w:b/>
          <w:bCs/>
          <w:noProof/>
        </w:rPr>
        <w:t>Определения</w:t>
      </w:r>
    </w:p>
    <w:p>
      <w:pPr>
        <w:rPr>
          <w:noProof/>
        </w:rPr>
      </w:pPr>
      <w:r>
        <w:rPr>
          <w:noProof/>
        </w:rPr>
        <w:t>1.</w:t>
      </w:r>
      <w:r>
        <w:rPr>
          <w:noProof/>
        </w:rPr>
        <w:tab/>
        <w:t>За целите на настоящия протокол се прилагат определенията, дадени в член 3 от Спогодбата Интербус.</w:t>
      </w:r>
    </w:p>
    <w:p>
      <w:pPr>
        <w:rPr>
          <w:noProof/>
        </w:rPr>
      </w:pPr>
      <w:r>
        <w:rPr>
          <w:noProof/>
        </w:rPr>
        <w:t>2.</w:t>
      </w:r>
      <w:r>
        <w:rPr>
          <w:noProof/>
        </w:rPr>
        <w:tab/>
        <w:t>Без да се засяга параграф 1, за целите на настоящия протокол се прилагат следните допълнителни определения:</w:t>
      </w:r>
    </w:p>
    <w:p>
      <w:pPr>
        <w:pStyle w:val="Point1"/>
        <w:rPr>
          <w:noProof/>
        </w:rPr>
      </w:pPr>
      <w:r>
        <w:rPr>
          <w:noProof/>
        </w:rPr>
        <w:t>а)</w:t>
      </w:r>
      <w:r>
        <w:rPr>
          <w:noProof/>
        </w:rPr>
        <w:tab/>
        <w:t>„Спогодба Интербус“ означава Спогодбата за международни случайни превози на пътници, извършвани с автобуси</w:t>
      </w:r>
      <w:r>
        <w:rPr>
          <w:rStyle w:val="FootnoteReference"/>
          <w:iCs/>
          <w:noProof/>
          <w:szCs w:val="24"/>
        </w:rPr>
        <w:footnoteReference w:id="3"/>
      </w:r>
      <w:r>
        <w:rPr>
          <w:noProof/>
        </w:rPr>
        <w:t>, която е в сила от 1 януари 2003 г.</w:t>
      </w:r>
      <w:r>
        <w:rPr>
          <w:rStyle w:val="FootnoteReference"/>
          <w:iCs/>
          <w:noProof/>
          <w:lang w:eastAsia="en-GB"/>
        </w:rPr>
        <w:footnoteReference w:id="4"/>
      </w:r>
      <w:r>
        <w:rPr>
          <w:noProof/>
        </w:rPr>
        <w:t>, с последващите изменения;</w:t>
      </w:r>
    </w:p>
    <w:p>
      <w:pPr>
        <w:pStyle w:val="Point1"/>
        <w:rPr>
          <w:noProof/>
          <w:szCs w:val="24"/>
        </w:rPr>
      </w:pPr>
      <w:r>
        <w:rPr>
          <w:noProof/>
        </w:rPr>
        <w:t>б)</w:t>
      </w:r>
      <w:r>
        <w:rPr>
          <w:noProof/>
        </w:rPr>
        <w:tab/>
        <w:t>„партньорство“ означава споразумение или друга договореност от какъвто и да е вид, съгласно която страните по нея, наричани партньори, се ангажират да си сътрудничат по отношение на осигурявания превоз;</w:t>
      </w:r>
    </w:p>
    <w:p>
      <w:pPr>
        <w:pStyle w:val="Point1"/>
        <w:rPr>
          <w:noProof/>
          <w:szCs w:val="24"/>
        </w:rPr>
      </w:pPr>
      <w:r>
        <w:rPr>
          <w:noProof/>
        </w:rPr>
        <w:t>в)</w:t>
      </w:r>
      <w:r>
        <w:rPr>
          <w:noProof/>
        </w:rPr>
        <w:tab/>
        <w:t>„асоциирано предприятие“ означава предприятие, в което едно или повече предприятия (предприятието майка или предприятията майки) имат дялово участие и върху чиито оперативни и финансови политики въпросното друго предприятие (въпросните други предприятия) упражнява(т) значително влияние;</w:t>
      </w:r>
    </w:p>
    <w:p>
      <w:pPr>
        <w:pStyle w:val="Point1"/>
        <w:rPr>
          <w:noProof/>
          <w:szCs w:val="24"/>
        </w:rPr>
      </w:pPr>
      <w:r>
        <w:rPr>
          <w:noProof/>
        </w:rPr>
        <w:t>г)</w:t>
      </w:r>
      <w:r>
        <w:rPr>
          <w:noProof/>
        </w:rPr>
        <w:tab/>
        <w:t>„група“ означава всяко от следните:</w:t>
      </w:r>
    </w:p>
    <w:p>
      <w:pPr>
        <w:rPr>
          <w:noProof/>
        </w:rPr>
      </w:pPr>
      <w:r>
        <w:rPr>
          <w:noProof/>
        </w:rPr>
        <w:t>i)</w:t>
      </w:r>
      <w:r>
        <w:rPr>
          <w:noProof/>
        </w:rPr>
        <w:tab/>
        <w:t>едно или повече асоциирани предприятия и тяхното предприятие майка (техните предприятия майки);</w:t>
      </w:r>
    </w:p>
    <w:p>
      <w:pPr>
        <w:rPr>
          <w:iCs/>
          <w:noProof/>
        </w:rPr>
      </w:pPr>
      <w:r>
        <w:rPr>
          <w:noProof/>
        </w:rPr>
        <w:t>ii)</w:t>
      </w:r>
      <w:r>
        <w:rPr>
          <w:noProof/>
        </w:rPr>
        <w:tab/>
        <w:t>едно или повече асоциирани предприятия, които имат едно и също предприятие майка (предприятия майки).</w:t>
      </w:r>
    </w:p>
    <w:p>
      <w:pPr>
        <w:pStyle w:val="SectionTitle"/>
        <w:rPr>
          <w:noProof/>
        </w:rPr>
      </w:pPr>
      <w:r>
        <w:rPr>
          <w:noProof/>
        </w:rPr>
        <w:t>РАЗДЕЛ II</w:t>
      </w:r>
    </w:p>
    <w:p>
      <w:pPr>
        <w:jc w:val="center"/>
        <w:rPr>
          <w:b/>
          <w:bCs/>
          <w:noProof/>
        </w:rPr>
      </w:pPr>
      <w:r>
        <w:rPr>
          <w:b/>
          <w:bCs/>
          <w:noProof/>
        </w:rPr>
        <w:t>ИЗИСКВАНИЯ КЪМ ПРЕВОЗВАЧИТЕ, КОИТО ИЗВЪРШВАТ АВТОМОБИЛЕН ПРЕВОЗ НА ПЪТНИЦИ</w:t>
      </w:r>
    </w:p>
    <w:p>
      <w:pPr>
        <w:pStyle w:val="Titrearticle"/>
        <w:rPr>
          <w:bCs/>
          <w:noProof/>
        </w:rPr>
      </w:pPr>
      <w:r>
        <w:rPr>
          <w:noProof/>
        </w:rPr>
        <w:t>Член 4</w:t>
      </w:r>
    </w:p>
    <w:p>
      <w:pPr>
        <w:rPr>
          <w:noProof/>
          <w:szCs w:val="24"/>
        </w:rPr>
      </w:pPr>
      <w:r>
        <w:rPr>
          <w:noProof/>
        </w:rPr>
        <w:t>Договарящите се страни прилагат разпоредбите, посочени в приложение 1.</w:t>
      </w:r>
    </w:p>
    <w:p>
      <w:pPr>
        <w:pStyle w:val="SectionTitle"/>
        <w:rPr>
          <w:b w:val="0"/>
          <w:bCs/>
          <w:noProof/>
        </w:rPr>
      </w:pPr>
      <w:r>
        <w:rPr>
          <w:noProof/>
        </w:rPr>
        <w:t>РАЗДЕЛ III</w:t>
      </w:r>
    </w:p>
    <w:p>
      <w:pPr>
        <w:jc w:val="center"/>
        <w:rPr>
          <w:b/>
          <w:bCs/>
          <w:noProof/>
        </w:rPr>
      </w:pPr>
      <w:r>
        <w:rPr>
          <w:b/>
          <w:bCs/>
          <w:noProof/>
        </w:rPr>
        <w:t>ТЕХНИЧЕСКИ ИЗИСКВАНИЯ КЪМ ПРЕВОЗНИТЕ СРЕДСТВА</w:t>
      </w:r>
    </w:p>
    <w:p>
      <w:pPr>
        <w:pStyle w:val="Titrearticle"/>
        <w:rPr>
          <w:bCs/>
          <w:noProof/>
        </w:rPr>
      </w:pPr>
      <w:r>
        <w:rPr>
          <w:noProof/>
        </w:rPr>
        <w:t>Член 5</w:t>
      </w:r>
    </w:p>
    <w:p>
      <w:pPr>
        <w:rPr>
          <w:noProof/>
        </w:rPr>
      </w:pPr>
      <w:r>
        <w:rPr>
          <w:noProof/>
        </w:rPr>
        <w:t>Автобусите, използвани за извършване на международните редовни или специализирани редовни превози, обхванати от настоящия Протокол, трябва да съответстват на техническите стандарти, посочени в приложение 2.</w:t>
      </w:r>
    </w:p>
    <w:p>
      <w:pPr>
        <w:pStyle w:val="SectionTitle"/>
        <w:rPr>
          <w:b w:val="0"/>
          <w:bCs/>
          <w:noProof/>
        </w:rPr>
      </w:pPr>
      <w:r>
        <w:rPr>
          <w:noProof/>
        </w:rPr>
        <w:t>РАЗДЕЛ IV</w:t>
      </w:r>
    </w:p>
    <w:p>
      <w:pPr>
        <w:jc w:val="center"/>
        <w:rPr>
          <w:b/>
          <w:bCs/>
          <w:noProof/>
        </w:rPr>
      </w:pPr>
      <w:r>
        <w:rPr>
          <w:b/>
          <w:bCs/>
          <w:noProof/>
        </w:rPr>
        <w:t>ДОСТЪП ДО ПАЗАРА</w:t>
      </w:r>
    </w:p>
    <w:p>
      <w:pPr>
        <w:pStyle w:val="Titrearticle"/>
        <w:rPr>
          <w:bCs/>
          <w:noProof/>
        </w:rPr>
      </w:pPr>
      <w:r>
        <w:rPr>
          <w:noProof/>
        </w:rPr>
        <w:t>Член 6</w:t>
      </w:r>
    </w:p>
    <w:p>
      <w:pPr>
        <w:jc w:val="center"/>
        <w:rPr>
          <w:b/>
          <w:bCs/>
          <w:noProof/>
        </w:rPr>
      </w:pPr>
      <w:r>
        <w:rPr>
          <w:b/>
          <w:bCs/>
          <w:noProof/>
        </w:rPr>
        <w:t>Международни редовни и специализирани редовни превози, подлежащи на издаване на разрешително</w:t>
      </w:r>
    </w:p>
    <w:p>
      <w:pPr>
        <w:rPr>
          <w:rFonts w:eastAsia="Arial Unicode MS"/>
          <w:noProof/>
        </w:rPr>
      </w:pPr>
      <w:r>
        <w:rPr>
          <w:noProof/>
        </w:rPr>
        <w:t>1.</w:t>
      </w:r>
      <w:r>
        <w:rPr>
          <w:noProof/>
        </w:rPr>
        <w:tab/>
        <w:t>Редовните превози могат да се ползват от всички, а когато това е целесъобразно — след задължителна резервация.</w:t>
      </w:r>
    </w:p>
    <w:p>
      <w:pPr>
        <w:rPr>
          <w:rFonts w:eastAsia="Arial Unicode MS"/>
          <w:noProof/>
        </w:rPr>
      </w:pPr>
      <w:r>
        <w:rPr>
          <w:noProof/>
        </w:rPr>
        <w:t>2.</w:t>
      </w:r>
      <w:r>
        <w:rPr>
          <w:noProof/>
        </w:rPr>
        <w:tab/>
        <w:t>Редовните и специализираните редовни превози подлежат на издаване на разрешително в съответствие с раздел VI.</w:t>
      </w:r>
    </w:p>
    <w:p>
      <w:pPr>
        <w:rPr>
          <w:rFonts w:eastAsia="Arial Unicode MS"/>
          <w:noProof/>
        </w:rPr>
      </w:pPr>
      <w:r>
        <w:rPr>
          <w:noProof/>
        </w:rPr>
        <w:t>3.</w:t>
      </w:r>
      <w:r>
        <w:rPr>
          <w:noProof/>
        </w:rPr>
        <w:tab/>
        <w:t>Редовният характер на превоза не се засяга от адаптирането на условията за извършване на превоза.</w:t>
      </w:r>
    </w:p>
    <w:p>
      <w:pPr>
        <w:rPr>
          <w:rFonts w:eastAsia="Arial Unicode MS"/>
          <w:noProof/>
        </w:rPr>
      </w:pPr>
      <w:r>
        <w:rPr>
          <w:noProof/>
        </w:rPr>
        <w:t>4.</w:t>
      </w:r>
      <w:r>
        <w:rPr>
          <w:noProof/>
        </w:rPr>
        <w:tab/>
        <w:t>Организирането на паралелни или временни превози, обслужващи същите потребители като съществуващи редовни превози, необслужването на определени места за спиране и обслужването на допълнителни места за спиране на съществуващи редовни превози се ръководят от същите правила като приложимите към съществуващите редовни превози.</w:t>
      </w:r>
    </w:p>
    <w:p>
      <w:pPr>
        <w:rPr>
          <w:rFonts w:eastAsia="Arial Unicode MS"/>
          <w:noProof/>
        </w:rPr>
      </w:pPr>
      <w:r>
        <w:rPr>
          <w:noProof/>
        </w:rPr>
        <w:t>5.</w:t>
      </w:r>
      <w:r>
        <w:rPr>
          <w:noProof/>
        </w:rPr>
        <w:tab/>
        <w:t>В съответствие с приложимите правила относно конкуренцията всяка договаряща се страна или държава — членка на Европейския съюз, може да вземе решение, за всеки случай поотделно и без дискриминиране, че международните редовни и специализирани редовни пътнически автомобилни превози с отправен пункт или местоназначение на нейна територия подлежат на договорености за партньорство между превозвачите, установени в договарящата се страна или държавата — членка на Европейския съюз, в която са отправният пункт и местоназначението на този превоз.</w:t>
      </w:r>
    </w:p>
    <w:p>
      <w:pPr>
        <w:rPr>
          <w:rFonts w:eastAsia="Arial Unicode MS"/>
          <w:noProof/>
          <w:szCs w:val="24"/>
        </w:rPr>
      </w:pPr>
      <w:r>
        <w:rPr>
          <w:noProof/>
        </w:rPr>
        <w:t>Превозвачите, установени в договарящите се страни и в държави — членки на Европейския съюз, чиято територия превозът пресича, като се качват и слизат пътници, имат правото, ако решат, да се присъединят към такива договорености за партньорство по свое усмотрение.</w:t>
      </w:r>
    </w:p>
    <w:p>
      <w:pPr>
        <w:rPr>
          <w:noProof/>
          <w:szCs w:val="24"/>
        </w:rPr>
      </w:pPr>
      <w:r>
        <w:rPr>
          <w:noProof/>
        </w:rPr>
        <w:t>Съответните договарящи се страни и държави — членки на Европейския съюз, уведомяват Смесения комитет, създаден по силата на член 18 от настоящия Протокол, за всички такива решения, заедно с тяхната обосновка.</w:t>
      </w:r>
    </w:p>
    <w:p>
      <w:pPr>
        <w:rPr>
          <w:noProof/>
        </w:rPr>
      </w:pPr>
      <w:r>
        <w:rPr>
          <w:smallCaps/>
          <w:noProof/>
          <w:szCs w:val="24"/>
        </w:rPr>
        <w:t>6.</w:t>
      </w:r>
      <w:r>
        <w:rPr>
          <w:noProof/>
        </w:rPr>
        <w:tab/>
        <w:t>В съответствие с приложимите правила относно конкуренцията превозвачите могат доброволно да създават партньорства за целите на извършване на редовни или специализирани редовни превози. В тези партньорства могат да участват следните превозвачи:</w:t>
      </w:r>
    </w:p>
    <w:p>
      <w:pPr>
        <w:rPr>
          <w:noProof/>
        </w:rPr>
      </w:pPr>
      <w:r>
        <w:rPr>
          <w:noProof/>
        </w:rPr>
        <w:t>а)</w:t>
      </w:r>
      <w:r>
        <w:rPr>
          <w:noProof/>
        </w:rPr>
        <w:tab/>
        <w:t>превозвачи, установени в договарящите се страни или държави — членки на Европейския съюз, в които е отправният пункт или местоназначението на превоза;</w:t>
      </w:r>
    </w:p>
    <w:p>
      <w:pPr>
        <w:rPr>
          <w:noProof/>
        </w:rPr>
      </w:pPr>
      <w:r>
        <w:rPr>
          <w:noProof/>
        </w:rPr>
        <w:t>б)</w:t>
      </w:r>
      <w:r>
        <w:rPr>
          <w:noProof/>
        </w:rPr>
        <w:tab/>
        <w:t>превозвачи, установени в договарящите се страни и държави — членки на Европейския съюз, чиято територия превозът пресича, като се качват и слизат пътници.</w:t>
      </w:r>
    </w:p>
    <w:p>
      <w:pPr>
        <w:pStyle w:val="SectionTitle"/>
        <w:rPr>
          <w:b w:val="0"/>
          <w:bCs/>
          <w:noProof/>
        </w:rPr>
      </w:pPr>
      <w:r>
        <w:rPr>
          <w:noProof/>
        </w:rPr>
        <w:t>РАЗДЕЛ V</w:t>
      </w:r>
    </w:p>
    <w:p>
      <w:pPr>
        <w:jc w:val="center"/>
        <w:rPr>
          <w:b/>
          <w:bCs/>
          <w:noProof/>
        </w:rPr>
      </w:pPr>
      <w:r>
        <w:rPr>
          <w:b/>
          <w:bCs/>
          <w:noProof/>
        </w:rPr>
        <w:t>СОЦИАЛНИ, МИТНИЧЕСКИ И ФИСКАЛНИ РАЗПОРЕДБИ</w:t>
      </w:r>
    </w:p>
    <w:p>
      <w:pPr>
        <w:pStyle w:val="Titrearticle"/>
        <w:rPr>
          <w:bCs/>
          <w:noProof/>
        </w:rPr>
      </w:pPr>
      <w:r>
        <w:rPr>
          <w:noProof/>
        </w:rPr>
        <w:t>Член 7</w:t>
      </w:r>
    </w:p>
    <w:p>
      <w:pPr>
        <w:rPr>
          <w:noProof/>
        </w:rPr>
      </w:pPr>
      <w:r>
        <w:rPr>
          <w:noProof/>
        </w:rPr>
        <w:t>Раздел V (социални разпоредби) и раздел VI (митнически и фискални разпоредби) от Спогодбата Интербус се прилагат по отношение на настоящия Протокол.</w:t>
      </w:r>
    </w:p>
    <w:p>
      <w:pPr>
        <w:pStyle w:val="SectionTitle"/>
        <w:rPr>
          <w:b w:val="0"/>
          <w:bCs/>
          <w:noProof/>
        </w:rPr>
      </w:pPr>
      <w:r>
        <w:rPr>
          <w:noProof/>
        </w:rPr>
        <w:t>РАЗДЕЛ VI</w:t>
      </w:r>
    </w:p>
    <w:p>
      <w:pPr>
        <w:jc w:val="center"/>
        <w:rPr>
          <w:b/>
          <w:bCs/>
          <w:noProof/>
        </w:rPr>
      </w:pPr>
      <w:r>
        <w:rPr>
          <w:b/>
          <w:bCs/>
          <w:noProof/>
        </w:rPr>
        <w:t>РАЗРЕШИТЕЛНО ЗА МЕЖДУНАРОДНИ РЕДОВНИ</w:t>
      </w:r>
      <w:r>
        <w:rPr>
          <w:noProof/>
        </w:rPr>
        <w:t xml:space="preserve"> </w:t>
      </w:r>
      <w:r>
        <w:rPr>
          <w:b/>
          <w:bCs/>
          <w:noProof/>
        </w:rPr>
        <w:t>И СПЕЦИАЛИЗИРАНИ РЕДОВНИ ПРЕВОЗИ</w:t>
      </w:r>
    </w:p>
    <w:p>
      <w:pPr>
        <w:pStyle w:val="Titrearticle"/>
        <w:rPr>
          <w:bCs/>
          <w:noProof/>
        </w:rPr>
      </w:pPr>
      <w:r>
        <w:rPr>
          <w:noProof/>
        </w:rPr>
        <w:t>Член 8</w:t>
      </w:r>
    </w:p>
    <w:p>
      <w:pPr>
        <w:jc w:val="center"/>
        <w:rPr>
          <w:b/>
          <w:bCs/>
          <w:noProof/>
        </w:rPr>
      </w:pPr>
      <w:r>
        <w:rPr>
          <w:b/>
          <w:bCs/>
          <w:noProof/>
        </w:rPr>
        <w:t>Характер на разрешителното</w:t>
      </w:r>
    </w:p>
    <w:p>
      <w:pPr>
        <w:rPr>
          <w:rFonts w:eastAsia="Arial Unicode MS"/>
          <w:noProof/>
        </w:rPr>
      </w:pPr>
      <w:r>
        <w:rPr>
          <w:noProof/>
        </w:rPr>
        <w:t>1.</w:t>
      </w:r>
      <w:r>
        <w:rPr>
          <w:noProof/>
        </w:rPr>
        <w:tab/>
        <w:t>Разрешителните за извършване на международни редовни и специализирани редовни превози на пътници се издават от компетентния орган на договарящата се страна, на чиято територия е установен превозвачът (наричан по-долу „разрешаващ орган“).</w:t>
      </w:r>
    </w:p>
    <w:p>
      <w:pPr>
        <w:rPr>
          <w:rFonts w:eastAsia="Arial Unicode MS"/>
          <w:noProof/>
        </w:rPr>
      </w:pPr>
      <w:r>
        <w:rPr>
          <w:noProof/>
        </w:rPr>
        <w:t>2.</w:t>
      </w:r>
      <w:r>
        <w:rPr>
          <w:noProof/>
        </w:rPr>
        <w:tab/>
        <w:t>За превозвач, установен в Европейския съюз, разрешаващ орган е компетентният орган на държавата членка, в която е отправният пункт или местоназначението на превоза.</w:t>
      </w:r>
    </w:p>
    <w:p>
      <w:pPr>
        <w:rPr>
          <w:rFonts w:eastAsia="Arial Unicode MS"/>
          <w:noProof/>
        </w:rPr>
      </w:pPr>
      <w:r>
        <w:rPr>
          <w:noProof/>
        </w:rPr>
        <w:t>3.</w:t>
      </w:r>
      <w:r>
        <w:rPr>
          <w:noProof/>
        </w:rPr>
        <w:tab/>
        <w:t>За група превозвачи, които възнамеряват да извършват международни редовни или специализирани редовни превози, както и за партньорства между предприятия (превозвачи) от най-малко две договарящи се страни, на чиято територия се качват и слизат пътници, разрешаващ орган е компетентният орган, до който е адресирано заявлението в съответствие с член 9, параграф 1, втора алинея.</w:t>
      </w:r>
    </w:p>
    <w:p>
      <w:pPr>
        <w:rPr>
          <w:rFonts w:eastAsia="Arial Unicode MS"/>
          <w:noProof/>
        </w:rPr>
      </w:pPr>
      <w:r>
        <w:rPr>
          <w:noProof/>
        </w:rPr>
        <w:t>4.</w:t>
      </w:r>
      <w:r>
        <w:rPr>
          <w:noProof/>
        </w:rPr>
        <w:tab/>
        <w:t>Разрешителните се издават на името на превозвача и не могат да се прехвърлят. Независимо от това, превозвач, получил разрешително, може — със съгласието на разрешаващия орган — да извършва превоза чрез подизпълнител, ако тази възможност е в съответствие със законодателството на договарящата се страна. В този случай името на подизпълнителя и неговата роля се посочват в разрешителното. Подизпълнителят отговаря на условията, посочени в членове 1, 4 и 5, а във връзка със социалните разпоредби — на условията, посочени в член 7, както и в приложения 1 и 2.</w:t>
      </w:r>
    </w:p>
    <w:p>
      <w:pPr>
        <w:rPr>
          <w:rFonts w:eastAsia="Arial Unicode MS"/>
          <w:noProof/>
        </w:rPr>
      </w:pPr>
      <w:r>
        <w:rPr>
          <w:noProof/>
        </w:rPr>
        <w:t>В случая на група превозвачи, които възнамеряват да извършват международни редовни или специализирани редовни превози, разрешителното се издава на името на всички предприятия от групата и в него се посочват имената на всички превозвачи. То се предоставя на предприятието, което е получило правомощия от останалите превозвачи за целта и което е подало заявление за издаване на разрешителното, а на останалите предприятия се предоставят заверени копия.</w:t>
      </w:r>
    </w:p>
    <w:p>
      <w:pPr>
        <w:rPr>
          <w:rFonts w:eastAsia="Arial Unicode MS"/>
          <w:noProof/>
        </w:rPr>
      </w:pPr>
      <w:r>
        <w:rPr>
          <w:noProof/>
        </w:rPr>
        <w:t>В случаите на партньорство оригинали на разрешителното се издават на всяко предприятие партньор и в него се посочва името на всяко предприятие.</w:t>
      </w:r>
    </w:p>
    <w:p>
      <w:pPr>
        <w:rPr>
          <w:rFonts w:eastAsia="Arial Unicode MS"/>
          <w:noProof/>
        </w:rPr>
      </w:pPr>
      <w:r>
        <w:rPr>
          <w:noProof/>
        </w:rPr>
        <w:t>В случаите, когато международни редовни или специализирани редовни превози се извършват от група или от партньорство, както е посочено във втора и трета алинея, решението относно конкретното разпределение на транспортните дейности между участващите превозвачи се взема по усмотрение на самите превозвачи.</w:t>
      </w:r>
    </w:p>
    <w:p>
      <w:pPr>
        <w:rPr>
          <w:rFonts w:eastAsia="Arial Unicode MS"/>
          <w:noProof/>
        </w:rPr>
      </w:pPr>
      <w:r>
        <w:rPr>
          <w:noProof/>
        </w:rPr>
        <w:t>5.</w:t>
      </w:r>
      <w:r>
        <w:rPr>
          <w:noProof/>
        </w:rPr>
        <w:tab/>
        <w:t>Периодът на валидност на едно разрешително не превишава пет години. По-кратък срок може да се определя или по искане на заявителя, или по взаимно съгласие на компетентните органи на договарящите се страни, на територията на които се качват или слизат пътници.</w:t>
      </w:r>
    </w:p>
    <w:p>
      <w:pPr>
        <w:rPr>
          <w:rFonts w:eastAsia="Arial Unicode MS"/>
          <w:noProof/>
        </w:rPr>
      </w:pPr>
      <w:r>
        <w:rPr>
          <w:noProof/>
        </w:rPr>
        <w:t>6.</w:t>
      </w:r>
      <w:r>
        <w:rPr>
          <w:noProof/>
        </w:rPr>
        <w:tab/>
        <w:t>В разрешителното се посочва:</w:t>
      </w:r>
    </w:p>
    <w:p>
      <w:pPr>
        <w:pStyle w:val="Point1"/>
        <w:rPr>
          <w:noProof/>
        </w:rPr>
      </w:pPr>
      <w:r>
        <w:rPr>
          <w:noProof/>
        </w:rPr>
        <w:t>а)</w:t>
      </w:r>
      <w:r>
        <w:rPr>
          <w:noProof/>
        </w:rPr>
        <w:tab/>
        <w:t>видът на услугата;</w:t>
      </w:r>
    </w:p>
    <w:p>
      <w:pPr>
        <w:pStyle w:val="Point1"/>
        <w:rPr>
          <w:noProof/>
        </w:rPr>
      </w:pPr>
      <w:r>
        <w:rPr>
          <w:noProof/>
        </w:rPr>
        <w:t>б)</w:t>
      </w:r>
      <w:r>
        <w:rPr>
          <w:noProof/>
        </w:rPr>
        <w:tab/>
        <w:t>маршрутът на услугата, по-специално мястото на отпътуване и мястото на пристигане;</w:t>
      </w:r>
    </w:p>
    <w:p>
      <w:pPr>
        <w:pStyle w:val="Point1"/>
        <w:rPr>
          <w:noProof/>
        </w:rPr>
      </w:pPr>
      <w:r>
        <w:rPr>
          <w:noProof/>
        </w:rPr>
        <w:t>в)</w:t>
      </w:r>
      <w:r>
        <w:rPr>
          <w:noProof/>
        </w:rPr>
        <w:tab/>
        <w:t>срокът на валидност на разрешителното;</w:t>
      </w:r>
    </w:p>
    <w:p>
      <w:pPr>
        <w:pStyle w:val="Point1"/>
        <w:rPr>
          <w:noProof/>
        </w:rPr>
      </w:pPr>
      <w:r>
        <w:rPr>
          <w:noProof/>
        </w:rPr>
        <w:t>г)</w:t>
      </w:r>
      <w:r>
        <w:rPr>
          <w:noProof/>
        </w:rPr>
        <w:tab/>
        <w:t>спирките и разписанието.</w:t>
      </w:r>
    </w:p>
    <w:p>
      <w:pPr>
        <w:rPr>
          <w:rFonts w:eastAsia="Arial Unicode MS"/>
          <w:noProof/>
        </w:rPr>
      </w:pPr>
      <w:r>
        <w:rPr>
          <w:noProof/>
        </w:rPr>
        <w:t>7.</w:t>
      </w:r>
      <w:r>
        <w:rPr>
          <w:noProof/>
        </w:rPr>
        <w:tab/>
        <w:t>Разрешителните съответстват на образеца, даден в приложение 4.</w:t>
      </w:r>
    </w:p>
    <w:p>
      <w:pPr>
        <w:rPr>
          <w:rFonts w:eastAsia="Arial Unicode MS"/>
          <w:noProof/>
        </w:rPr>
      </w:pPr>
      <w:r>
        <w:rPr>
          <w:noProof/>
        </w:rPr>
        <w:t>8.</w:t>
      </w:r>
      <w:r>
        <w:rPr>
          <w:noProof/>
        </w:rPr>
        <w:tab/>
        <w:t>При спазване на член 1, параграф 2, разрешителното дава право на неговия(те) притежател(и) да изпълнява(т) международни редовни и/или специализирани редовни превози на територията на всички договарящи се страни, през които преминават маршрутите на превозите.</w:t>
      </w:r>
    </w:p>
    <w:p>
      <w:pPr>
        <w:rPr>
          <w:rFonts w:eastAsia="Arial Unicode MS"/>
          <w:noProof/>
        </w:rPr>
      </w:pPr>
      <w:r>
        <w:rPr>
          <w:noProof/>
        </w:rPr>
        <w:t>9.</w:t>
      </w:r>
      <w:r>
        <w:rPr>
          <w:noProof/>
        </w:rPr>
        <w:tab/>
        <w:t>Превозвачът, извършващ редовен или специализиран редовен превоз, може да използва допълнителни превозни средства, за да се справи с временни или извънредни ситуации. Такива допълнителни превозни средства може да бъдат използвани единствено съгласно същите условия, като установените в разрешителното, както е посочено в параграф 6.</w:t>
      </w:r>
    </w:p>
    <w:p>
      <w:pPr>
        <w:rPr>
          <w:rFonts w:eastAsia="Arial Unicode MS"/>
          <w:noProof/>
        </w:rPr>
      </w:pPr>
      <w:r>
        <w:rPr>
          <w:noProof/>
        </w:rPr>
        <w:t>В този случай освен документите, посочени в член 15, превозвачът осигурява наличието в превозното средство на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 който се представя при поискване на всеки служител, оправомощен да извършва проверки.</w:t>
      </w:r>
    </w:p>
    <w:p>
      <w:pPr>
        <w:pStyle w:val="Titrearticle"/>
        <w:rPr>
          <w:rFonts w:eastAsia="Arial Unicode MS"/>
          <w:iCs/>
          <w:noProof/>
          <w:szCs w:val="24"/>
        </w:rPr>
      </w:pPr>
      <w:r>
        <w:rPr>
          <w:noProof/>
        </w:rPr>
        <w:t>Член 9</w:t>
      </w:r>
    </w:p>
    <w:p>
      <w:pPr>
        <w:jc w:val="center"/>
        <w:rPr>
          <w:b/>
          <w:noProof/>
        </w:rPr>
      </w:pPr>
      <w:r>
        <w:rPr>
          <w:b/>
          <w:noProof/>
        </w:rPr>
        <w:t>Подаване на заявление за разрешително</w:t>
      </w:r>
      <w:r>
        <w:rPr>
          <w:noProof/>
        </w:rPr>
        <w:t xml:space="preserve"> </w:t>
      </w:r>
      <w:r>
        <w:rPr>
          <w:b/>
          <w:noProof/>
        </w:rPr>
        <w:t>за международни редовни и специализирани редовни превози</w:t>
      </w:r>
    </w:p>
    <w:p>
      <w:pPr>
        <w:rPr>
          <w:rFonts w:eastAsia="Arial Unicode MS"/>
          <w:noProof/>
        </w:rPr>
      </w:pPr>
      <w:r>
        <w:rPr>
          <w:noProof/>
        </w:rPr>
        <w:t>1.</w:t>
      </w:r>
      <w:r>
        <w:rPr>
          <w:noProof/>
        </w:rPr>
        <w:tab/>
        <w:t>Заявления за разрешително за международни редовни и специализирани редовни превози се подават от превозвачите до техните компетентни разрешаващи органи.</w:t>
      </w:r>
    </w:p>
    <w:p>
      <w:pPr>
        <w:rPr>
          <w:rFonts w:eastAsia="Arial Unicode MS"/>
          <w:noProof/>
        </w:rPr>
      </w:pPr>
      <w:r>
        <w:rPr>
          <w:noProof/>
        </w:rPr>
        <w:t>За всеки превоз се подава само едно заявление. В случаите, посочени в член 8, параграф 3, заявлението се подава от превозвача, който е получил правомощия от останалите превозвачи за целта.</w:t>
      </w:r>
    </w:p>
    <w:p>
      <w:pPr>
        <w:rPr>
          <w:rFonts w:eastAsia="Arial Unicode MS"/>
          <w:noProof/>
        </w:rPr>
      </w:pPr>
      <w:r>
        <w:rPr>
          <w:noProof/>
        </w:rPr>
        <w:t>Заявлението се адресира до разрешаващия орган на договарящата се страна, в която подаващият заявлението превозвач е установен.</w:t>
      </w:r>
    </w:p>
    <w:p>
      <w:pPr>
        <w:rPr>
          <w:rFonts w:eastAsia="Arial Unicode MS"/>
          <w:noProof/>
        </w:rPr>
      </w:pPr>
      <w:r>
        <w:rPr>
          <w:noProof/>
        </w:rPr>
        <w:t>2.</w:t>
      </w:r>
      <w:r>
        <w:rPr>
          <w:noProof/>
        </w:rPr>
        <w:tab/>
        <w:t>Заявленията за разрешително се подават въз основа на образеца, даден в приложение 3.</w:t>
      </w:r>
    </w:p>
    <w:p>
      <w:pPr>
        <w:rPr>
          <w:rFonts w:eastAsia="Arial Unicode MS"/>
          <w:noProof/>
        </w:rPr>
      </w:pPr>
      <w:r>
        <w:rPr>
          <w:noProof/>
        </w:rPr>
        <w:t>3.</w:t>
      </w:r>
      <w:r>
        <w:rPr>
          <w:noProof/>
        </w:rPr>
        <w:tab/>
        <w:t>Заявителите представят всякакви допълнителни сведения, които сметнат за необходими или които са им поискани от разрешаващия орган, и по-специално документите, посочени в приложение 3.</w:t>
      </w:r>
    </w:p>
    <w:p>
      <w:pPr>
        <w:pStyle w:val="Titrearticle"/>
        <w:rPr>
          <w:noProof/>
        </w:rPr>
      </w:pPr>
      <w:r>
        <w:rPr>
          <w:noProof/>
        </w:rPr>
        <w:t>Член 10</w:t>
      </w:r>
    </w:p>
    <w:p>
      <w:pPr>
        <w:jc w:val="center"/>
        <w:rPr>
          <w:b/>
          <w:noProof/>
        </w:rPr>
      </w:pPr>
      <w:r>
        <w:rPr>
          <w:b/>
          <w:noProof/>
        </w:rPr>
        <w:t>Процедура по издаване на разрешително</w:t>
      </w:r>
    </w:p>
    <w:p>
      <w:pPr>
        <w:rPr>
          <w:rFonts w:eastAsia="Arial Unicode MS"/>
          <w:noProof/>
        </w:rPr>
      </w:pPr>
      <w:r>
        <w:rPr>
          <w:noProof/>
        </w:rPr>
        <w:t>1.</w:t>
      </w:r>
      <w:r>
        <w:rPr>
          <w:noProof/>
        </w:rPr>
        <w:tab/>
        <w:t>Разрешителното се издава със съгласието на компетентните органи от всички договарящи се страни, на чиито територии се качват или слизат пътници. Разрешаващият орган предоставя на тези компетентни органи, както и на компетентните органи на договарящите се страни, през чиито територии се преминава без да се качват или да слизат пътници, едновременно със своята преценка и копие от заявлението, както и от всякакви други относими документи.</w:t>
      </w:r>
    </w:p>
    <w:p>
      <w:pPr>
        <w:rPr>
          <w:rFonts w:eastAsia="Arial Unicode MS"/>
          <w:noProof/>
        </w:rPr>
      </w:pPr>
      <w:r>
        <w:rPr>
          <w:noProof/>
        </w:rPr>
        <w:t>По отношение на Европейския съюз компетентните органи, посочени в първата алинея, са органите на държавите членки, на чиито територии се качват или слизат пътници и през чиито територии се преминава, без да се качват или да слизат пътници.</w:t>
      </w:r>
    </w:p>
    <w:p>
      <w:pPr>
        <w:rPr>
          <w:rFonts w:eastAsia="Arial Unicode MS"/>
          <w:noProof/>
        </w:rPr>
      </w:pPr>
      <w:r>
        <w:rPr>
          <w:noProof/>
        </w:rPr>
        <w:t>2.</w:t>
      </w:r>
      <w:r>
        <w:rPr>
          <w:noProof/>
        </w:rPr>
        <w:tab/>
        <w:t>Компетентните органи на договарящите се страни, чието съгласие е било поискано, уведомяват разрешаващия орган за своето решение по заявлението в срок от четири месеца. Този срок започва да тече от датата на получаване на заявлението за разрешително, фигурираща в потвърждението за получаване. Ако решението, получено от компетентните органи на договарящата се страна, чието съгласие е било поискано, съдържа отказ, в него се посочват мотивите за това. Ако разрешаващият орган не получи отговор в срок от четири месеца, се счита, че запитаните компетентни органи са дали своето съгласие и разрешаващият орган може да издаде разрешителното.</w:t>
      </w:r>
    </w:p>
    <w:p>
      <w:pPr>
        <w:rPr>
          <w:rFonts w:eastAsia="Arial Unicode MS"/>
          <w:noProof/>
        </w:rPr>
      </w:pPr>
      <w:r>
        <w:rPr>
          <w:noProof/>
        </w:rPr>
        <w:t>Компетентните органи на договарящите се страни, през чиито територии се преминава, без да се качват или слизат пътници, могат, в рамките на срока, посочен в първа алинея, да уведомят разрешаващия орган за забележките си.</w:t>
      </w:r>
    </w:p>
    <w:p>
      <w:pPr>
        <w:rPr>
          <w:rFonts w:eastAsia="Arial Unicode MS"/>
          <w:noProof/>
          <w:szCs w:val="24"/>
        </w:rPr>
      </w:pPr>
      <w:r>
        <w:rPr>
          <w:noProof/>
        </w:rPr>
        <w:t>3.</w:t>
      </w:r>
      <w:r>
        <w:rPr>
          <w:noProof/>
        </w:rPr>
        <w:tab/>
        <w:t>Разрешаващият орган взема решение по отношение на заявлението в срок от шест месеца, считано от датата на подаване на заявлението от превозвача</w:t>
      </w:r>
      <w:r>
        <w:rPr>
          <w:rStyle w:val="FootnoteReference"/>
          <w:rFonts w:eastAsia="Arial Unicode MS"/>
          <w:noProof/>
          <w:szCs w:val="24"/>
          <w:lang w:eastAsia="en-GB"/>
        </w:rPr>
        <w:footnoteReference w:id="5"/>
      </w:r>
      <w:r>
        <w:rPr>
          <w:noProof/>
        </w:rPr>
        <w:t>.</w:t>
      </w:r>
    </w:p>
    <w:p>
      <w:pPr>
        <w:rPr>
          <w:rFonts w:eastAsia="Arial Unicode MS"/>
          <w:noProof/>
          <w:szCs w:val="24"/>
        </w:rPr>
      </w:pPr>
      <w:r>
        <w:rPr>
          <w:noProof/>
        </w:rPr>
        <w:t>4.</w:t>
      </w:r>
      <w:r>
        <w:rPr>
          <w:noProof/>
        </w:rPr>
        <w:tab/>
        <w:t>Разрешителното се предоставя, освен в случаите, когато:</w:t>
      </w:r>
    </w:p>
    <w:p>
      <w:pPr>
        <w:pStyle w:val="Point1"/>
        <w:rPr>
          <w:noProof/>
        </w:rPr>
      </w:pPr>
      <w:r>
        <w:rPr>
          <w:noProof/>
        </w:rPr>
        <w:t>а)</w:t>
      </w:r>
      <w:r>
        <w:rPr>
          <w:noProof/>
        </w:rPr>
        <w:tab/>
        <w:t>заявителят не е способен да предоставя услугата, която е обект на заявлението, с оборудването, с което пряко разполага;</w:t>
      </w:r>
    </w:p>
    <w:p>
      <w:pPr>
        <w:pStyle w:val="Point1"/>
        <w:rPr>
          <w:noProof/>
        </w:rPr>
      </w:pPr>
      <w:r>
        <w:rPr>
          <w:noProof/>
        </w:rPr>
        <w:t>б)</w:t>
      </w:r>
      <w:r>
        <w:rPr>
          <w:noProof/>
        </w:rPr>
        <w:tab/>
        <w:t>заявителят е нарушил националните или международните разпоредби в областта на автомобилния транспорт, и по-специално условията и изискванията, отнасящи се до разрешителните за международни автомобилни пътнически превози, или е извършил тежки нарушения на законодателството на договаряща се страна в областта на автомобилния транспорт, особено по отношение на правилата, приложими за превозните средства, периодите на управление на превозното средство и почивка на водачите;</w:t>
      </w:r>
    </w:p>
    <w:p>
      <w:pPr>
        <w:pStyle w:val="Point1"/>
        <w:rPr>
          <w:noProof/>
        </w:rPr>
      </w:pPr>
      <w:r>
        <w:rPr>
          <w:noProof/>
        </w:rPr>
        <w:t>в)</w:t>
      </w:r>
      <w:r>
        <w:rPr>
          <w:noProof/>
        </w:rPr>
        <w:tab/>
        <w:t>в случай на заявление за подновяване на разрешително, не са били удовлетворени условията за издаване на разрешително;</w:t>
      </w:r>
    </w:p>
    <w:p>
      <w:pPr>
        <w:pStyle w:val="Point1"/>
        <w:rPr>
          <w:noProof/>
        </w:rPr>
      </w:pPr>
      <w:r>
        <w:rPr>
          <w:noProof/>
        </w:rPr>
        <w:t>г)</w:t>
      </w:r>
      <w:r>
        <w:rPr>
          <w:noProof/>
        </w:rPr>
        <w:tab/>
        <w:t>дадена договаряща се страна реши въз основа на подробен анализ, че съответният превоз ще засегне сериозно жизнеспособността на сходна услуга, обхваната от един или повече договори за обществени услуги съгласно законодателството на договарящата се страна за съответните преки участъци. В тези случаи договарящата се страна, на недискриминационна основа, установява критерии, за да се определи дали превозът, за който е подадено заявление, би застрашил сериозно жизнеспособността на посочената по-горе сходна услуга, и съобщава тези критерии на останалите договарящи се страни, посочени в член 10, параграф 1;</w:t>
      </w:r>
    </w:p>
    <w:p>
      <w:pPr>
        <w:pStyle w:val="Point1"/>
        <w:rPr>
          <w:noProof/>
        </w:rPr>
      </w:pPr>
      <w:r>
        <w:rPr>
          <w:noProof/>
        </w:rPr>
        <w:t>д)</w:t>
      </w:r>
      <w:r>
        <w:rPr>
          <w:noProof/>
        </w:rPr>
        <w:tab/>
        <w:t>дадена договаряща се страна реши въз основа на подробен анализ, че основното предназначение на услугата не е превозът на пътници между места за спиране, разположени в различни договарящи се страни.</w:t>
      </w:r>
    </w:p>
    <w:p>
      <w:pPr>
        <w:pStyle w:val="Text1"/>
        <w:rPr>
          <w:noProof/>
        </w:rPr>
      </w:pPr>
      <w:r>
        <w:rPr>
          <w:noProof/>
        </w:rPr>
        <w:t>В случаите, когато съществуваща международна автобусна услуга засяга сериозно жизнеспособността на сходна услуга по превоз, обхваната от един или повече договори за обществена услуга съгласно законодателството на договаряща се страна за съответните преки участъци, по изключителни причини, които не са могли да бъдат предвидени към момента на издаване на разрешителното, договарящата се страна може, със съгласието на останалите договарящи се страни, посочени в член 10, параграф 1, да спре или да отнеме разрешителното за предоставяне на международната автобусна услуга, след като даде шестмесечно предизвестие на превозвача.</w:t>
      </w:r>
    </w:p>
    <w:p>
      <w:pPr>
        <w:pStyle w:val="Text1"/>
        <w:rPr>
          <w:noProof/>
        </w:rPr>
      </w:pPr>
      <w:r>
        <w:rPr>
          <w:noProof/>
        </w:rPr>
        <w:t>Фактът, че превозвач предлага по-ниски цени от тези, предлагани от други автомобилни превозвачи, или че въпросната връзка вече се обслужва от други автомобилни превозвачи, не е сам по себе си основание за отказ на заявлението.</w:t>
      </w:r>
    </w:p>
    <w:p>
      <w:pPr>
        <w:rPr>
          <w:rFonts w:eastAsia="Arial Unicode MS"/>
          <w:noProof/>
        </w:rPr>
      </w:pPr>
      <w:r>
        <w:rPr>
          <w:noProof/>
        </w:rPr>
        <w:t>5.</w:t>
      </w:r>
      <w:r>
        <w:rPr>
          <w:noProof/>
        </w:rPr>
        <w:tab/>
        <w:t>Разрешаващият орган, както и компетентните органи на всички договарящи се страни, участващи в процедурата по постигане на съгласието, предвидено в параграф 1, могат да отхвърлят заявленията единствено поради причините, предвидени в настоящия Протокол.</w:t>
      </w:r>
    </w:p>
    <w:p>
      <w:pPr>
        <w:rPr>
          <w:rFonts w:eastAsia="Arial Unicode MS"/>
          <w:noProof/>
        </w:rPr>
      </w:pPr>
      <w:r>
        <w:rPr>
          <w:noProof/>
        </w:rPr>
        <w:t>6.</w:t>
      </w:r>
      <w:r>
        <w:rPr>
          <w:noProof/>
        </w:rPr>
        <w:tab/>
        <w:t>След като приключи процедурата, предвидена в параграфи 1—5, разрешаващият орган издава разрешителното или изрично отхвърля заявлението.</w:t>
      </w:r>
    </w:p>
    <w:p>
      <w:pPr>
        <w:rPr>
          <w:rFonts w:eastAsia="Arial Unicode MS"/>
          <w:noProof/>
        </w:rPr>
      </w:pPr>
      <w:r>
        <w:rPr>
          <w:noProof/>
        </w:rPr>
        <w:t>Решенията за отказ се обосновават. Договарящите се страни осигуряват на предприятията за превози възможност да представят мнението си в случай на отказ.</w:t>
      </w:r>
    </w:p>
    <w:p>
      <w:pPr>
        <w:rPr>
          <w:rFonts w:eastAsia="Arial Unicode MS"/>
          <w:noProof/>
        </w:rPr>
      </w:pPr>
      <w:r>
        <w:rPr>
          <w:noProof/>
        </w:rPr>
        <w:t>Разрешаващият орган информира всички компетентни органи, посочени в параграф 1, за своето решение и им изпраща копие от разрешителното.</w:t>
      </w:r>
    </w:p>
    <w:p>
      <w:pPr>
        <w:pStyle w:val="Titrearticle"/>
        <w:rPr>
          <w:rFonts w:eastAsia="Arial Unicode MS"/>
          <w:noProof/>
        </w:rPr>
      </w:pPr>
      <w:r>
        <w:rPr>
          <w:noProof/>
        </w:rPr>
        <w:t>Член 11</w:t>
      </w:r>
    </w:p>
    <w:p>
      <w:pPr>
        <w:jc w:val="center"/>
        <w:rPr>
          <w:rFonts w:eastAsia="Arial Unicode MS"/>
          <w:b/>
          <w:noProof/>
        </w:rPr>
      </w:pPr>
      <w:r>
        <w:rPr>
          <w:b/>
          <w:noProof/>
        </w:rPr>
        <w:t>Подновяване и изменение на разрешителното</w:t>
      </w:r>
    </w:p>
    <w:p>
      <w:pPr>
        <w:rPr>
          <w:rFonts w:eastAsia="Arial Unicode MS"/>
          <w:noProof/>
        </w:rPr>
      </w:pPr>
      <w:r>
        <w:rPr>
          <w:noProof/>
        </w:rPr>
        <w:t>1.</w:t>
      </w:r>
      <w:r>
        <w:rPr>
          <w:noProof/>
        </w:rPr>
        <w:tab/>
        <w:t xml:space="preserve">Член 10 се прилага </w:t>
      </w:r>
      <w:r>
        <w:rPr>
          <w:i/>
          <w:iCs/>
          <w:noProof/>
        </w:rPr>
        <w:t>mutatis mutandis</w:t>
      </w:r>
      <w:r>
        <w:rPr>
          <w:noProof/>
        </w:rPr>
        <w:t xml:space="preserve"> по отношение на заявленията за подновяване на разрешителни или за изменение на условията, при които трябва да се извършват превозите, подлежащи на издаване на разрешително.</w:t>
      </w:r>
    </w:p>
    <w:p>
      <w:pPr>
        <w:rPr>
          <w:rFonts w:eastAsia="Arial Unicode MS"/>
          <w:noProof/>
        </w:rPr>
      </w:pPr>
      <w:r>
        <w:rPr>
          <w:noProof/>
        </w:rPr>
        <w:t>2.</w:t>
      </w:r>
      <w:r>
        <w:rPr>
          <w:noProof/>
        </w:rPr>
        <w:tab/>
        <w:t>При незначителни промени в условията за извършване на превоза, и по-конкретно при коригиране на интервали, тарифи и разписания, е необходимо само разрешаващият орган да предостави свързаната с промяната информация на другите заинтересовани договарящи се страни. Промяна на разписанията или интервалите по начин, засягащ времето, когато се извършва контролът на границите между договарящите се страни или на границите на трети държави, не се счита за незначителна промяна.</w:t>
      </w:r>
    </w:p>
    <w:p>
      <w:pPr>
        <w:rPr>
          <w:rFonts w:eastAsia="Arial Unicode MS"/>
          <w:noProof/>
        </w:rPr>
      </w:pPr>
      <w:r>
        <w:rPr>
          <w:noProof/>
        </w:rPr>
        <w:t>3.</w:t>
      </w:r>
      <w:r>
        <w:rPr>
          <w:noProof/>
        </w:rPr>
        <w:tab/>
        <w:t>Заинтересованите договарящи се страни могат да постигнат съгласие разрешаващият орган сам да взема решения за промяна на условията за извършване на услугата.</w:t>
      </w:r>
    </w:p>
    <w:p>
      <w:pPr>
        <w:pStyle w:val="Titrearticle"/>
        <w:rPr>
          <w:rFonts w:eastAsia="Arial Unicode MS"/>
          <w:noProof/>
        </w:rPr>
      </w:pPr>
      <w:r>
        <w:rPr>
          <w:noProof/>
        </w:rPr>
        <w:t>Член 12</w:t>
      </w:r>
    </w:p>
    <w:p>
      <w:pPr>
        <w:jc w:val="center"/>
        <w:rPr>
          <w:rFonts w:eastAsia="Arial Unicode MS"/>
          <w:b/>
          <w:noProof/>
        </w:rPr>
      </w:pPr>
      <w:r>
        <w:rPr>
          <w:b/>
          <w:noProof/>
        </w:rPr>
        <w:t>Прекратяване на действието на разрешителното</w:t>
      </w:r>
    </w:p>
    <w:p>
      <w:pPr>
        <w:rPr>
          <w:rFonts w:eastAsia="Arial Unicode MS"/>
          <w:noProof/>
        </w:rPr>
      </w:pPr>
      <w:r>
        <w:rPr>
          <w:noProof/>
        </w:rPr>
        <w:t>1.</w:t>
      </w:r>
      <w:r>
        <w:rPr>
          <w:noProof/>
        </w:rPr>
        <w:tab/>
        <w:t>Действието на разрешителното за международен редовен превоз или специализиран редовен превоз се прекратява след изтичане на срока на неговата валидност или три месеца след като разрешаващият орган е получил от притежателя на разрешителното уведомление за намерението му да преустанови предоставянето на услугата. В уведомлението се посочват причините за това.</w:t>
      </w:r>
    </w:p>
    <w:p>
      <w:pPr>
        <w:rPr>
          <w:rFonts w:eastAsia="Arial Unicode MS"/>
          <w:noProof/>
        </w:rPr>
      </w:pPr>
      <w:r>
        <w:rPr>
          <w:noProof/>
        </w:rPr>
        <w:t>2.</w:t>
      </w:r>
      <w:r>
        <w:rPr>
          <w:noProof/>
        </w:rPr>
        <w:tab/>
        <w:t>Ако вече няма търсене на услугата, предвиденият в параграф 1 срок за уведомление е един месец.</w:t>
      </w:r>
    </w:p>
    <w:p>
      <w:pPr>
        <w:rPr>
          <w:rFonts w:eastAsia="Arial Unicode MS"/>
          <w:noProof/>
        </w:rPr>
      </w:pPr>
      <w:r>
        <w:rPr>
          <w:noProof/>
        </w:rPr>
        <w:t>3.</w:t>
      </w:r>
      <w:r>
        <w:rPr>
          <w:noProof/>
        </w:rPr>
        <w:tab/>
        <w:t>Разрешаващият орган информира компетентните органи на другите заинтересовани договарящи се страни за прекратяването на действието на разрешителното.</w:t>
      </w:r>
    </w:p>
    <w:p>
      <w:pPr>
        <w:rPr>
          <w:rFonts w:eastAsia="Arial Unicode MS"/>
          <w:noProof/>
        </w:rPr>
      </w:pPr>
      <w:r>
        <w:rPr>
          <w:noProof/>
        </w:rPr>
        <w:t>4.</w:t>
      </w:r>
      <w:r>
        <w:rPr>
          <w:noProof/>
        </w:rPr>
        <w:tab/>
        <w:t>Притежателят на разрешителното информира потребителите на съответната услуга за нейното преустановяване един месец предварително чрез разгласяване с подходящи средства.</w:t>
      </w:r>
    </w:p>
    <w:p>
      <w:pPr>
        <w:pStyle w:val="Titrearticle"/>
        <w:rPr>
          <w:rFonts w:eastAsia="Arial Unicode MS"/>
          <w:noProof/>
        </w:rPr>
      </w:pPr>
      <w:r>
        <w:rPr>
          <w:noProof/>
        </w:rPr>
        <w:t>Член 13</w:t>
      </w:r>
    </w:p>
    <w:p>
      <w:pPr>
        <w:jc w:val="center"/>
        <w:rPr>
          <w:rFonts w:eastAsia="Arial Unicode MS"/>
          <w:b/>
          <w:noProof/>
        </w:rPr>
      </w:pPr>
      <w:r>
        <w:rPr>
          <w:b/>
          <w:noProof/>
        </w:rPr>
        <w:t>Задължения на превозвачите</w:t>
      </w:r>
    </w:p>
    <w:p>
      <w:pPr>
        <w:rPr>
          <w:rFonts w:eastAsia="Arial Unicode MS"/>
          <w:noProof/>
        </w:rPr>
      </w:pPr>
      <w:r>
        <w:rPr>
          <w:noProof/>
        </w:rPr>
        <w:t>1.</w:t>
      </w:r>
      <w:r>
        <w:rPr>
          <w:noProof/>
        </w:rPr>
        <w:tab/>
        <w:t>Освен в случаите на непреодолима сила, операторът на международен редовен или специализиран редовен превоз започва без забавяне да изпълнява превоза и до изтичането на срока на разрешителното взема всички мерки, за да осигури транспортна услуга, която съответства на стандартите за непрекъснатост, редовност и капацитет, и отговаря на условията, определени в член 8, параграф 6.</w:t>
      </w:r>
    </w:p>
    <w:p>
      <w:pPr>
        <w:rPr>
          <w:rFonts w:eastAsia="Arial Unicode MS"/>
          <w:noProof/>
        </w:rPr>
      </w:pPr>
      <w:r>
        <w:rPr>
          <w:noProof/>
        </w:rPr>
        <w:t>2.</w:t>
      </w:r>
      <w:r>
        <w:rPr>
          <w:noProof/>
        </w:rPr>
        <w:tab/>
        <w:t>Превозвачът излага на видно място маршрута на превоза, местата за спиране на автобусите, разписанието, таксите и условията за превоз по начин, който гарантира лесен достъп на всички потребители до тази информация.</w:t>
      </w:r>
    </w:p>
    <w:p>
      <w:pPr>
        <w:rPr>
          <w:rFonts w:eastAsia="Arial Unicode MS"/>
          <w:noProof/>
        </w:rPr>
      </w:pPr>
      <w:r>
        <w:rPr>
          <w:noProof/>
        </w:rPr>
        <w:t>3.</w:t>
      </w:r>
      <w:r>
        <w:rPr>
          <w:noProof/>
        </w:rPr>
        <w:tab/>
        <w:t>Заинтересованите договарящи се страни могат да направят промени в условията за извършване на превоза, уреждащи международния редовен или специализиран редовен превоз, по взаимно съгласие и със съгласието на титуляря на разрешителното.</w:t>
      </w:r>
    </w:p>
    <w:p>
      <w:pPr>
        <w:pStyle w:val="SectionTitle"/>
        <w:rPr>
          <w:noProof/>
        </w:rPr>
      </w:pPr>
      <w:r>
        <w:rPr>
          <w:noProof/>
        </w:rPr>
        <w:t>РАЗДЕЛ VII</w:t>
      </w:r>
    </w:p>
    <w:p>
      <w:pPr>
        <w:jc w:val="center"/>
        <w:rPr>
          <w:rFonts w:eastAsia="Arial Unicode MS"/>
          <w:b/>
          <w:noProof/>
        </w:rPr>
      </w:pPr>
      <w:r>
        <w:rPr>
          <w:b/>
          <w:noProof/>
        </w:rPr>
        <w:t>РАЗПОРЕДБИ, ПРЕДНАЗНАЧЕНИ ДА ОСИГУРЯТ СПАЗВАНЕ НА НАСТОЯЩИЯ ПРОТОКОЛ</w:t>
      </w:r>
    </w:p>
    <w:p>
      <w:pPr>
        <w:pStyle w:val="Titrearticle"/>
        <w:rPr>
          <w:rFonts w:eastAsia="Arial Unicode MS"/>
          <w:noProof/>
        </w:rPr>
      </w:pPr>
      <w:r>
        <w:rPr>
          <w:noProof/>
        </w:rPr>
        <w:t>Член 14</w:t>
      </w:r>
    </w:p>
    <w:p>
      <w:pPr>
        <w:rPr>
          <w:noProof/>
        </w:rPr>
      </w:pPr>
      <w:r>
        <w:rPr>
          <w:noProof/>
        </w:rPr>
        <w:t>Компетентните органи на договарящите се страни следят за спазването на разпоредбите на настоящия Протокол от страна на превозвачите.</w:t>
      </w:r>
    </w:p>
    <w:p>
      <w:pPr>
        <w:pStyle w:val="Titrearticle"/>
        <w:rPr>
          <w:rFonts w:eastAsia="Arial Unicode MS"/>
          <w:noProof/>
        </w:rPr>
      </w:pPr>
      <w:r>
        <w:rPr>
          <w:noProof/>
        </w:rPr>
        <w:t>Член 15</w:t>
      </w:r>
    </w:p>
    <w:p>
      <w:pPr>
        <w:rPr>
          <w:noProof/>
        </w:rPr>
      </w:pPr>
      <w:r>
        <w:rPr>
          <w:noProof/>
        </w:rPr>
        <w:t>1.</w:t>
      </w:r>
      <w:r>
        <w:rPr>
          <w:noProof/>
        </w:rPr>
        <w:tab/>
        <w:t>Без да се нарушават разпоредбите на член 8, параграф 9, разрешителното за извършване на международни редовни или специализирани редовни превози, или заверено копие от него, и 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Европейския съюз, или заверено копие от него, се съхраняват на борда на автобуса и се представят при поискване на служителя, оправомощен да извършва проверки.</w:t>
      </w:r>
    </w:p>
    <w:p>
      <w:pPr>
        <w:rPr>
          <w:noProof/>
        </w:rPr>
      </w:pPr>
      <w:r>
        <w:rPr>
          <w:noProof/>
        </w:rPr>
        <w:t>2.</w:t>
      </w:r>
      <w:r>
        <w:rPr>
          <w:noProof/>
        </w:rPr>
        <w:tab/>
        <w:t>Без да се нарушават разпоредбите на параграф 1 и на член 8, параграф 9, в случаите на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 също служат за контролни документи, съхраняват се на борда на превозното средство и се представят при поискване на служителя, оправомощен да извършва проверки.</w:t>
      </w:r>
    </w:p>
    <w:p>
      <w:pPr>
        <w:pStyle w:val="SectionTitle"/>
        <w:rPr>
          <w:rFonts w:eastAsia="Arial Unicode MS"/>
          <w:b w:val="0"/>
          <w:noProof/>
        </w:rPr>
      </w:pPr>
      <w:r>
        <w:rPr>
          <w:noProof/>
        </w:rPr>
        <w:t>РАЗДЕЛ VIII</w:t>
      </w:r>
    </w:p>
    <w:p>
      <w:pPr>
        <w:jc w:val="center"/>
        <w:rPr>
          <w:rFonts w:eastAsia="Arial Unicode MS"/>
          <w:b/>
          <w:noProof/>
        </w:rPr>
      </w:pPr>
      <w:r>
        <w:rPr>
          <w:b/>
          <w:noProof/>
        </w:rPr>
        <w:t>ОБЩИ И ЗАКЛЮЧИТЕЛНИ РАЗПОРЕДБИ</w:t>
      </w:r>
    </w:p>
    <w:p>
      <w:pPr>
        <w:pStyle w:val="Titrearticle"/>
        <w:rPr>
          <w:rFonts w:eastAsia="Arial Unicode MS"/>
          <w:noProof/>
        </w:rPr>
      </w:pPr>
      <w:r>
        <w:rPr>
          <w:noProof/>
        </w:rPr>
        <w:t>Член 16</w:t>
      </w:r>
    </w:p>
    <w:p>
      <w:pPr>
        <w:jc w:val="center"/>
        <w:rPr>
          <w:rFonts w:eastAsia="Arial Unicode MS"/>
          <w:b/>
          <w:noProof/>
        </w:rPr>
      </w:pPr>
      <w:r>
        <w:rPr>
          <w:b/>
          <w:noProof/>
        </w:rPr>
        <w:t>Срок на Протокола — оценка на действието на Протокола</w:t>
      </w:r>
    </w:p>
    <w:p>
      <w:pPr>
        <w:rPr>
          <w:noProof/>
        </w:rPr>
      </w:pPr>
      <w:r>
        <w:rPr>
          <w:noProof/>
        </w:rPr>
        <w:t>1.</w:t>
      </w:r>
      <w:r>
        <w:rPr>
          <w:noProof/>
        </w:rPr>
        <w:tab/>
        <w:t>Настоящият Протокол се сключва за срок от пет години, считано от датата на влизането му в сила.</w:t>
      </w:r>
    </w:p>
    <w:p>
      <w:pPr>
        <w:rPr>
          <w:noProof/>
        </w:rPr>
      </w:pPr>
      <w:r>
        <w:rPr>
          <w:noProof/>
        </w:rPr>
        <w:t>2.</w:t>
      </w:r>
      <w:r>
        <w:rPr>
          <w:noProof/>
        </w:rPr>
        <w:tab/>
        <w:t>Срокът на настоящия Протокол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 В този случай съответната договаряща се страна уведомява депозитаря за своето намерение в съответствие с член 31 от Спогодбата Интербус.</w:t>
      </w:r>
    </w:p>
    <w:p>
      <w:pPr>
        <w:rPr>
          <w:noProof/>
        </w:rPr>
      </w:pPr>
      <w:r>
        <w:rPr>
          <w:noProof/>
        </w:rPr>
        <w:t>3.</w:t>
      </w:r>
      <w:r>
        <w:rPr>
          <w:noProof/>
        </w:rPr>
        <w:tab/>
        <w:t>Преди изтичането на всеки петгодишен период Смесеният комитет, посочен в член 18 от настоящия Протокол, прави оценка на действието на Протокола, за предпочитане съвместно с оценката на самата Спогодба Интербус.</w:t>
      </w:r>
    </w:p>
    <w:p>
      <w:pPr>
        <w:pStyle w:val="Titrearticle"/>
        <w:rPr>
          <w:rFonts w:eastAsia="Arial Unicode MS"/>
          <w:noProof/>
        </w:rPr>
      </w:pPr>
      <w:r>
        <w:rPr>
          <w:noProof/>
        </w:rPr>
        <w:t>Член 17</w:t>
      </w:r>
    </w:p>
    <w:p>
      <w:pPr>
        <w:jc w:val="center"/>
        <w:rPr>
          <w:rFonts w:eastAsia="Arial Unicode MS"/>
          <w:b/>
          <w:noProof/>
        </w:rPr>
      </w:pPr>
      <w:r>
        <w:rPr>
          <w:b/>
          <w:noProof/>
        </w:rPr>
        <w:t>Двустранни спогодби, ратификация или одобряване и депозиране на Протокола, влизане на Протокола в сила, денонсиране и езиков режим</w:t>
      </w:r>
    </w:p>
    <w:p>
      <w:pPr>
        <w:rPr>
          <w:noProof/>
        </w:rPr>
      </w:pPr>
      <w:r>
        <w:rPr>
          <w:noProof/>
        </w:rPr>
        <w:t>1.</w:t>
      </w:r>
      <w:r>
        <w:rPr>
          <w:noProof/>
        </w:rPr>
        <w:tab/>
        <w:t xml:space="preserve">Разпоредбите на членове 25, 27, 28, 31 и 34 от Спогодбата Интербус се прилагат </w:t>
      </w:r>
      <w:r>
        <w:rPr>
          <w:i/>
          <w:noProof/>
        </w:rPr>
        <w:t>mutatis mutandis</w:t>
      </w:r>
      <w:r>
        <w:rPr>
          <w:noProof/>
        </w:rPr>
        <w:t xml:space="preserve"> по отношение на настоящия Протокол при спазване на следните изменения:</w:t>
      </w:r>
    </w:p>
    <w:p>
      <w:pPr>
        <w:pStyle w:val="Point1"/>
        <w:rPr>
          <w:noProof/>
        </w:rPr>
      </w:pPr>
      <w:r>
        <w:rPr>
          <w:noProof/>
        </w:rPr>
        <w:t>а)</w:t>
      </w:r>
      <w:r>
        <w:rPr>
          <w:noProof/>
        </w:rPr>
        <w:tab/>
        <w:t>числителните „четири“ и „четвърти“, посочени в член 28, параграф 1 от Спогодбата Интербус, се заменят съответно с „три“ и „трети“;</w:t>
      </w:r>
    </w:p>
    <w:p>
      <w:pPr>
        <w:pStyle w:val="Point1"/>
        <w:rPr>
          <w:noProof/>
        </w:rPr>
      </w:pPr>
      <w:r>
        <w:rPr>
          <w:noProof/>
        </w:rPr>
        <w:t>б)</w:t>
      </w:r>
      <w:r>
        <w:rPr>
          <w:noProof/>
        </w:rPr>
        <w:tab/>
        <w:t>Настоящият Протокол влиза в сила — за договарящите се страни, които са го подписали и одобрили или ратифицирали — на първия ден от месеца, следващ месеца, през който три договарящи се страни, включително Съюзът, са депозирали своите инструменти за одобрение или ратификация в Генералния секретариат на Съвета на Европейския съюз.</w:t>
      </w:r>
    </w:p>
    <w:p>
      <w:pPr>
        <w:rPr>
          <w:noProof/>
        </w:rPr>
      </w:pPr>
      <w:r>
        <w:rPr>
          <w:noProof/>
        </w:rPr>
        <w:t>2.</w:t>
      </w:r>
      <w:r>
        <w:rPr>
          <w:noProof/>
        </w:rPr>
        <w:tab/>
        <w:t>Разпоредбите на настоящия Протокол заменят съответните разпоредби в спогодбите, сключени между договарящите се страни и между договарящи се страни и държави — членки на Европейския съюз.</w:t>
      </w:r>
    </w:p>
    <w:p>
      <w:pPr>
        <w:rPr>
          <w:noProof/>
        </w:rPr>
      </w:pPr>
      <w:r>
        <w:rPr>
          <w:noProof/>
        </w:rPr>
        <w:t>Независимо от разпоредбите на член 25 от Спогодбата Интербус, съответните разпоредби в действащите спогодби между договарящите се страни и между договарящи се страни и държавите — членки на Европейския съюз, могат да останат в сила за период от пет години, указан в член 8, параграф 5, считано от датата на влизане в сила на настоящия Протокол за въпросните договарящи се страни.</w:t>
      </w:r>
    </w:p>
    <w:p>
      <w:pPr>
        <w:pStyle w:val="Titrearticle"/>
        <w:rPr>
          <w:rFonts w:eastAsia="Arial Unicode MS"/>
          <w:noProof/>
        </w:rPr>
      </w:pPr>
      <w:r>
        <w:rPr>
          <w:noProof/>
        </w:rPr>
        <w:t>Член 18</w:t>
      </w:r>
    </w:p>
    <w:p>
      <w:pPr>
        <w:jc w:val="center"/>
        <w:rPr>
          <w:rFonts w:eastAsia="Arial Unicode MS"/>
          <w:b/>
          <w:noProof/>
        </w:rPr>
      </w:pPr>
      <w:r>
        <w:rPr>
          <w:b/>
          <w:noProof/>
        </w:rPr>
        <w:t>Смесен комитет</w:t>
      </w:r>
    </w:p>
    <w:p>
      <w:pPr>
        <w:rPr>
          <w:noProof/>
        </w:rPr>
      </w:pPr>
      <w:r>
        <w:rPr>
          <w:noProof/>
        </w:rPr>
        <w:t>1.</w:t>
      </w:r>
      <w:r>
        <w:rPr>
          <w:noProof/>
        </w:rPr>
        <w:tab/>
        <w:t>С оглед да се улесни прилагането на този протокол се създава Смесен комитет. Този Смесен комитет се състои от представители на договарящите се страни.</w:t>
      </w:r>
    </w:p>
    <w:p>
      <w:pPr>
        <w:rPr>
          <w:noProof/>
        </w:rPr>
      </w:pPr>
      <w:r>
        <w:rPr>
          <w:noProof/>
        </w:rPr>
        <w:t>2.</w:t>
      </w:r>
      <w:r>
        <w:rPr>
          <w:noProof/>
        </w:rPr>
        <w:tab/>
        <w:t xml:space="preserve">Разпоредбите на членове 23 и  24 от Спогодбата Интербус се прилагат </w:t>
      </w:r>
      <w:r>
        <w:rPr>
          <w:i/>
          <w:noProof/>
        </w:rPr>
        <w:t>mutatis mutandis</w:t>
      </w:r>
      <w:r>
        <w:rPr>
          <w:noProof/>
        </w:rPr>
        <w:t>.</w:t>
      </w:r>
    </w:p>
    <w:p>
      <w:pPr>
        <w:pStyle w:val="Titrearticle"/>
        <w:rPr>
          <w:rFonts w:eastAsia="Arial Unicode MS"/>
          <w:noProof/>
        </w:rPr>
      </w:pPr>
      <w:r>
        <w:rPr>
          <w:noProof/>
        </w:rPr>
        <w:t>Член 19</w:t>
      </w:r>
    </w:p>
    <w:p>
      <w:pPr>
        <w:jc w:val="center"/>
        <w:rPr>
          <w:rFonts w:eastAsia="Arial Unicode MS"/>
          <w:b/>
          <w:noProof/>
        </w:rPr>
      </w:pPr>
      <w:r>
        <w:rPr>
          <w:b/>
          <w:noProof/>
        </w:rPr>
        <w:t>Присъединяване към Европейския съюз на договаряща се страна извън Съюза</w:t>
      </w:r>
    </w:p>
    <w:p>
      <w:pPr>
        <w:rPr>
          <w:noProof/>
        </w:rPr>
      </w:pPr>
      <w:r>
        <w:rPr>
          <w:noProof/>
        </w:rPr>
        <w:t>1.</w:t>
      </w:r>
      <w:r>
        <w:rPr>
          <w:noProof/>
        </w:rPr>
        <w:tab/>
        <w:t>Смесеният комитет, създаден по силата на член 18, трябва да бъде уведомен за всяко искане, заявено от договаряща се страна или от трета държава, да стане член на Европейския съюз.</w:t>
      </w:r>
    </w:p>
    <w:p>
      <w:pPr>
        <w:rPr>
          <w:noProof/>
        </w:rPr>
      </w:pPr>
      <w:r>
        <w:rPr>
          <w:noProof/>
        </w:rPr>
        <w:t>2.</w:t>
      </w:r>
      <w:r>
        <w:rPr>
          <w:noProof/>
        </w:rPr>
        <w:tab/>
        <w:t>Европейският съюз уведомява договарящите се страни за всяко присъединяване на договаряща се страна към Съюза.</w:t>
      </w:r>
    </w:p>
    <w:p>
      <w:pPr>
        <w:rPr>
          <w:noProof/>
        </w:rPr>
      </w:pPr>
      <w:r>
        <w:rPr>
          <w:noProof/>
        </w:rPr>
        <w:t>3.</w:t>
      </w:r>
      <w:r>
        <w:rPr>
          <w:noProof/>
        </w:rPr>
        <w:tab/>
        <w:t>Договаряща се страна по настоящия Протокол, която се присъедини към Европейския съюз, от датата на присъединяването се третира като държава — членка на Европейския съюз, а не като отделна договаряща се страна по настоящия Протокол.</w:t>
      </w:r>
    </w:p>
    <w:p>
      <w:pPr>
        <w:rPr>
          <w:noProof/>
        </w:rPr>
      </w:pPr>
      <w:r>
        <w:rPr>
          <w:noProof/>
        </w:rPr>
        <w:t>4.</w:t>
      </w:r>
      <w:r>
        <w:rPr>
          <w:noProof/>
        </w:rPr>
        <w:tab/>
        <w:t>Договарящите се страни разглеждат, в рамките на Смесения комитет, последиците от това присъединяване за настоящия Протокол. Смесеният комитет взема решение относно евентуално необходими мерки за коригиране или преходни мерки в тази връзка.</w:t>
      </w:r>
    </w:p>
    <w:p>
      <w:pPr>
        <w:spacing w:before="0" w:after="200" w:line="276" w:lineRule="auto"/>
        <w:jc w:val="left"/>
        <w:rPr>
          <w:noProof/>
        </w:rPr>
      </w:pPr>
      <w:r>
        <w:rPr>
          <w:noProof/>
        </w:rPr>
        <w:br w:type="page"/>
      </w:r>
    </w:p>
    <w:p>
      <w:pPr>
        <w:pStyle w:val="Titrearticle"/>
        <w:rPr>
          <w:rFonts w:eastAsia="Arial Unicode MS"/>
          <w:noProof/>
        </w:rPr>
      </w:pPr>
      <w:r>
        <w:rPr>
          <w:noProof/>
        </w:rPr>
        <w:t>Член 20</w:t>
      </w:r>
    </w:p>
    <w:p>
      <w:pPr>
        <w:jc w:val="center"/>
        <w:rPr>
          <w:rFonts w:eastAsia="Arial Unicode MS"/>
          <w:b/>
          <w:noProof/>
        </w:rPr>
      </w:pPr>
      <w:r>
        <w:rPr>
          <w:b/>
          <w:noProof/>
        </w:rPr>
        <w:t>Подписване</w:t>
      </w:r>
    </w:p>
    <w:p>
      <w:pPr>
        <w:rPr>
          <w:noProof/>
        </w:rPr>
      </w:pPr>
      <w:r>
        <w:rPr>
          <w:noProof/>
        </w:rPr>
        <w:t>1.</w:t>
      </w:r>
      <w:r>
        <w:rPr>
          <w:noProof/>
        </w:rPr>
        <w:tab/>
        <w:t>Настоящият Протокол е открит за подписване в Брюксел в Генералния секретариат на Съвета на Европейския съюз, който е депозитар на Протокола, за срок от две години, считано от датата на приемане на решението на Съвета на Европейския съюз за подписването на настоящия Протокол от Европейския съюз. Депозитарят своевременно уведомява всички договарящи се страни за посочената дата.</w:t>
      </w:r>
    </w:p>
    <w:p>
      <w:pPr>
        <w:rPr>
          <w:noProof/>
          <w:szCs w:val="24"/>
        </w:rPr>
      </w:pPr>
      <w:r>
        <w:rPr>
          <w:noProof/>
        </w:rPr>
        <w:t>2.</w:t>
      </w:r>
      <w:r>
        <w:rPr>
          <w:noProof/>
        </w:rPr>
        <w:tab/>
        <w:t>Само договарящи се страни по Спогодбата Интербус могат да подписват или да се присъединяват към настоящия Протокол, или да го ратифицират. Инструментите за подписване, присъединяване или ратифициране се депозират при депозитаря, който уведомява останалите договарящи се страни за това.</w:t>
      </w:r>
    </w:p>
    <w:p>
      <w:pPr>
        <w:pStyle w:val="Titrearticle"/>
        <w:rPr>
          <w:rFonts w:eastAsia="Arial Unicode MS"/>
          <w:noProof/>
        </w:rPr>
      </w:pPr>
      <w:r>
        <w:rPr>
          <w:noProof/>
        </w:rPr>
        <w:t>Член 21</w:t>
      </w:r>
    </w:p>
    <w:p>
      <w:pPr>
        <w:jc w:val="center"/>
        <w:rPr>
          <w:rFonts w:eastAsia="Arial Unicode MS"/>
          <w:b/>
          <w:noProof/>
        </w:rPr>
      </w:pPr>
      <w:r>
        <w:rPr>
          <w:b/>
          <w:noProof/>
        </w:rPr>
        <w:t>Присъединяване</w:t>
      </w:r>
    </w:p>
    <w:p>
      <w:pPr>
        <w:rPr>
          <w:noProof/>
        </w:rPr>
      </w:pPr>
      <w:r>
        <w:rPr>
          <w:noProof/>
        </w:rPr>
        <w:t>След влизането в сила на настоящия протокол всяка договаряща се страна по Спогодбата Интербус може да се присъедини и към настоящия Протокол.</w:t>
      </w:r>
    </w:p>
    <w:p>
      <w:pPr>
        <w:rPr>
          <w:noProof/>
        </w:rPr>
      </w:pPr>
      <w:r>
        <w:rPr>
          <w:noProof/>
        </w:rPr>
        <w:t xml:space="preserve">Член 30, параграфи 3 и 4 от Спогодбата Интербус се прилагат </w:t>
      </w:r>
      <w:r>
        <w:rPr>
          <w:i/>
          <w:noProof/>
          <w:szCs w:val="24"/>
        </w:rPr>
        <w:t>mutatis mutandis</w:t>
      </w:r>
      <w:r>
        <w:rPr>
          <w:noProof/>
        </w:rPr>
        <w:t>.</w:t>
      </w:r>
    </w:p>
    <w:p>
      <w:pPr>
        <w:pStyle w:val="Titrearticle"/>
        <w:rPr>
          <w:rFonts w:eastAsia="Arial Unicode MS"/>
          <w:noProof/>
        </w:rPr>
      </w:pPr>
      <w:r>
        <w:rPr>
          <w:noProof/>
        </w:rPr>
        <w:t>Член 22</w:t>
      </w:r>
    </w:p>
    <w:p>
      <w:pPr>
        <w:jc w:val="center"/>
        <w:rPr>
          <w:rFonts w:eastAsia="Arial Unicode MS"/>
          <w:b/>
          <w:noProof/>
        </w:rPr>
      </w:pPr>
      <w:r>
        <w:rPr>
          <w:b/>
          <w:noProof/>
        </w:rPr>
        <w:t>Приложения</w:t>
      </w:r>
    </w:p>
    <w:p>
      <w:pPr>
        <w:rPr>
          <w:noProof/>
        </w:rPr>
      </w:pPr>
      <w:r>
        <w:rPr>
          <w:noProof/>
        </w:rPr>
        <w:t>Приложенията към настоящия Протокол представляват неразделна част от него.</w:t>
      </w:r>
    </w:p>
    <w:p>
      <w:pPr>
        <w:pStyle w:val="Titrearticle"/>
        <w:rPr>
          <w:rFonts w:eastAsia="Arial Unicode MS"/>
          <w:i w:val="0"/>
          <w:noProof/>
        </w:rPr>
      </w:pPr>
      <w:r>
        <w:rPr>
          <w:noProof/>
        </w:rPr>
        <w:t>Член 23</w:t>
      </w:r>
    </w:p>
    <w:p>
      <w:pPr>
        <w:jc w:val="center"/>
        <w:rPr>
          <w:rFonts w:eastAsia="Arial Unicode MS"/>
          <w:b/>
          <w:noProof/>
        </w:rPr>
      </w:pPr>
      <w:r>
        <w:rPr>
          <w:b/>
          <w:noProof/>
        </w:rPr>
        <w:t>Замяна на предишния Протокол</w:t>
      </w:r>
    </w:p>
    <w:p>
      <w:pPr>
        <w:rPr>
          <w:noProof/>
        </w:rPr>
      </w:pPr>
      <w:r>
        <w:rPr>
          <w:noProof/>
        </w:rPr>
        <w:t xml:space="preserve">Настоящият Протокол заменя Протокола към Спогодбата за международни случайни превози на пътници, извършвани с автобуси („Спогодбата Интербус“), относно международните редовни и специализирани редовни превози на пътници, извършвани с автобуси, който беше открит за подписване между 16 юли 2018 г. и 16 април 2019 г. Този предишен Протокол вече няма правна стойност. </w:t>
      </w:r>
    </w:p>
    <w:p>
      <w:pPr>
        <w:pStyle w:val="Fait"/>
        <w:rPr>
          <w:noProof/>
        </w:rPr>
      </w:pPr>
      <w:r>
        <w:rPr>
          <w:noProof/>
        </w:rPr>
        <w:t>Съставено в Брюксел на […] година.</w:t>
      </w:r>
    </w:p>
    <w:p>
      <w:pPr>
        <w:rPr>
          <w:noProof/>
        </w:rPr>
      </w:pPr>
      <w:r>
        <w:rPr>
          <w:noProof/>
        </w:rPr>
        <w:t>В ДОКАЗАТЕЛСТВО ЗА КОЕТО долуподписаните, надлежно оправомощени за целта представители, положиха подписите си под настоящия Протокол.</w:t>
      </w:r>
    </w:p>
    <w:p>
      <w:pPr>
        <w:autoSpaceDE w:val="0"/>
        <w:autoSpaceDN w:val="0"/>
        <w:adjustRightInd w:val="0"/>
        <w:spacing w:before="80" w:after="0"/>
        <w:rPr>
          <w:noProof/>
          <w:szCs w:val="24"/>
        </w:rPr>
      </w:pPr>
      <w:r>
        <w:rPr>
          <w:noProof/>
        </w:rPr>
        <w:t>За Европейския съюз</w:t>
      </w:r>
    </w:p>
    <w:p>
      <w:pPr>
        <w:autoSpaceDE w:val="0"/>
        <w:autoSpaceDN w:val="0"/>
        <w:adjustRightInd w:val="0"/>
        <w:spacing w:before="80" w:after="0"/>
        <w:rPr>
          <w:noProof/>
          <w:szCs w:val="24"/>
        </w:rPr>
      </w:pPr>
      <w:r>
        <w:rPr>
          <w:noProof/>
        </w:rPr>
        <w:t>За Република Албания</w:t>
      </w:r>
    </w:p>
    <w:p>
      <w:pPr>
        <w:autoSpaceDE w:val="0"/>
        <w:autoSpaceDN w:val="0"/>
        <w:adjustRightInd w:val="0"/>
        <w:spacing w:before="80" w:after="0"/>
        <w:rPr>
          <w:noProof/>
          <w:szCs w:val="24"/>
        </w:rPr>
      </w:pPr>
      <w:r>
        <w:rPr>
          <w:noProof/>
        </w:rPr>
        <w:t>За Босна и Херцеговина</w:t>
      </w:r>
    </w:p>
    <w:p>
      <w:pPr>
        <w:autoSpaceDE w:val="0"/>
        <w:autoSpaceDN w:val="0"/>
        <w:adjustRightInd w:val="0"/>
        <w:spacing w:before="80" w:after="0"/>
        <w:rPr>
          <w:noProof/>
          <w:szCs w:val="24"/>
        </w:rPr>
      </w:pPr>
      <w:r>
        <w:rPr>
          <w:noProof/>
        </w:rPr>
        <w:t>За Република Молдова</w:t>
      </w:r>
    </w:p>
    <w:p>
      <w:pPr>
        <w:autoSpaceDE w:val="0"/>
        <w:autoSpaceDN w:val="0"/>
        <w:adjustRightInd w:val="0"/>
        <w:spacing w:before="80" w:after="0"/>
        <w:rPr>
          <w:noProof/>
          <w:szCs w:val="24"/>
        </w:rPr>
      </w:pPr>
      <w:r>
        <w:rPr>
          <w:noProof/>
        </w:rPr>
        <w:t>За Черна гора</w:t>
      </w:r>
    </w:p>
    <w:p>
      <w:pPr>
        <w:autoSpaceDE w:val="0"/>
        <w:autoSpaceDN w:val="0"/>
        <w:adjustRightInd w:val="0"/>
        <w:spacing w:before="80" w:after="0"/>
        <w:rPr>
          <w:noProof/>
          <w:szCs w:val="24"/>
        </w:rPr>
      </w:pPr>
      <w:r>
        <w:rPr>
          <w:noProof/>
        </w:rPr>
        <w:t>За Република Северна Македония</w:t>
      </w:r>
    </w:p>
    <w:p>
      <w:pPr>
        <w:autoSpaceDE w:val="0"/>
        <w:autoSpaceDN w:val="0"/>
        <w:adjustRightInd w:val="0"/>
        <w:spacing w:before="80" w:after="0"/>
        <w:rPr>
          <w:noProof/>
          <w:szCs w:val="24"/>
        </w:rPr>
      </w:pPr>
      <w:r>
        <w:rPr>
          <w:noProof/>
        </w:rPr>
        <w:t>За Република Турция</w:t>
      </w:r>
    </w:p>
    <w:p>
      <w:pPr>
        <w:autoSpaceDE w:val="0"/>
        <w:autoSpaceDN w:val="0"/>
        <w:adjustRightInd w:val="0"/>
        <w:spacing w:before="80" w:after="0"/>
        <w:rPr>
          <w:noProof/>
          <w:szCs w:val="24"/>
        </w:rPr>
      </w:pPr>
      <w:r>
        <w:rPr>
          <w:noProof/>
        </w:rPr>
        <w:t>За Украйна</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rPr>
      </w:pPr>
      <w:r>
        <w:rPr>
          <w:noProof/>
        </w:rPr>
        <w:t>ПРИЛОЖЕНИЕ 1</w:t>
      </w:r>
    </w:p>
    <w:p>
      <w:pPr>
        <w:pStyle w:val="NormalCentered"/>
        <w:rPr>
          <w:b/>
          <w:bCs/>
          <w:noProof/>
        </w:rPr>
      </w:pPr>
      <w:r>
        <w:rPr>
          <w:b/>
          <w:bCs/>
          <w:noProof/>
        </w:rPr>
        <w:t>Изисквания към автомобилните превозвачи, извършващи превоз на пътници</w:t>
      </w:r>
    </w:p>
    <w:p>
      <w:pPr>
        <w:rPr>
          <w:noProof/>
          <w:szCs w:val="24"/>
        </w:rPr>
      </w:pPr>
      <w:r>
        <w:rPr>
          <w:noProof/>
        </w:rPr>
        <w:t>Приложение 1 към Спогодбата Интербус се прилага по отношение на настоящия Протокол при спазване на следното:</w:t>
      </w:r>
    </w:p>
    <w:p>
      <w:pPr>
        <w:rPr>
          <w:noProof/>
          <w:szCs w:val="24"/>
        </w:rPr>
      </w:pPr>
      <w:r>
        <w:rPr>
          <w:noProof/>
        </w:rPr>
        <w:t xml:space="preserve">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(OВ L 300, 14.11.2009 г., стp. 51), с най-новите изменения, въведени с Регламент (ЕС) № 517/2013 на Съвета от 13 май 2013 г. (OВ L 158, 10.6.2013 г., стp. 1), се прилага по отношение на настоящия Протокол, с изключение на член 16, параграфи 5—7, както и членове 18—21, 23 и 25—28. Правата и задълженията на държавите — членки на Европейския съюз, се прилагат </w:t>
      </w:r>
      <w:r>
        <w:rPr>
          <w:i/>
          <w:noProof/>
          <w:szCs w:val="24"/>
        </w:rPr>
        <w:t>mutatis mutandis</w:t>
      </w:r>
      <w:r>
        <w:rPr>
          <w:noProof/>
        </w:rPr>
        <w:t xml:space="preserve"> по отношение на договарящите се страни.</w:t>
      </w:r>
    </w:p>
    <w:p>
      <w:pPr>
        <w:rPr>
          <w:noProof/>
          <w:szCs w:val="24"/>
        </w:rPr>
      </w:pPr>
      <w:r>
        <w:rPr>
          <w:noProof/>
        </w:rPr>
        <w:t xml:space="preserve">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(OВ L 55, 28.2.2011 г., стp. 1) се прилага по отношение на настоящия Протокол, с изключение на: член 3, букви а) и  б); последните две изречения от член 12, член 18, член 28, параграф 2, член 29, член 30, последното изречение от член 31 и член 32. Правата и задълженията на държавите — членки на Европейския съюз, се прилагат </w:t>
      </w:r>
      <w:r>
        <w:rPr>
          <w:i/>
          <w:noProof/>
          <w:szCs w:val="24"/>
        </w:rPr>
        <w:t>mutatis mutandis</w:t>
      </w:r>
      <w:r>
        <w:rPr>
          <w:noProof/>
        </w:rPr>
        <w:t xml:space="preserve"> по отношение на договарящите се страни.</w:t>
      </w:r>
    </w:p>
    <w:p>
      <w:pPr>
        <w:jc w:val="center"/>
        <w:rPr>
          <w:noProof/>
          <w:szCs w:val="24"/>
        </w:rPr>
      </w:pPr>
      <w:r>
        <w:rPr>
          <w:noProof/>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ПРИЛОЖЕНИЕ 2</w:t>
      </w:r>
    </w:p>
    <w:p>
      <w:pPr>
        <w:jc w:val="center"/>
        <w:rPr>
          <w:b/>
          <w:noProof/>
        </w:rPr>
      </w:pPr>
      <w:r>
        <w:rPr>
          <w:b/>
          <w:noProof/>
        </w:rPr>
        <w:t>Технически изисквания към автобусите</w:t>
      </w:r>
    </w:p>
    <w:p>
      <w:pPr>
        <w:rPr>
          <w:noProof/>
        </w:rPr>
      </w:pPr>
      <w:r>
        <w:rPr>
          <w:noProof/>
        </w:rPr>
        <w:t>Приложение 2 към Спогодбата Интербус се прилага по отношение на настоящия Протокол.</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ПРИЛОЖЕНИЕ 3</w:t>
      </w:r>
    </w:p>
    <w:p>
      <w:pPr>
        <w:spacing w:after="0"/>
        <w:jc w:val="center"/>
        <w:rPr>
          <w:b/>
          <w:noProof/>
        </w:rPr>
      </w:pPr>
      <w:r>
        <w:rPr>
          <w:b/>
          <w:noProof/>
        </w:rPr>
        <w:t>Образец на заявление за разрешително за международен редовен и специализиран редовен превоз</w:t>
      </w:r>
    </w:p>
    <w:p>
      <w:pPr>
        <w:spacing w:after="160"/>
        <w:jc w:val="center"/>
        <w:rPr>
          <w:rFonts w:eastAsia="Times New Roman"/>
          <w:noProof/>
        </w:rPr>
      </w:pPr>
      <w:r>
        <w:rPr>
          <w:noProof/>
        </w:rPr>
        <w:t>(Бяла хартия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rPr>
      </w:pPr>
      <w:r>
        <w:rPr>
          <w:b/>
          <w:noProof/>
          <w:szCs w:val="24"/>
        </w:rPr>
        <w:t>ЗАЯВЛЕНИЕ ЗА ИЗДАВАНЕ НА РАЗРЕШИТЕЛНО ИЛИ ЗА ПОДНОВЯВАНЕ НА РАЗРЕШИТЕЛНО ЗА ИЗВЪРШВАНЕ НА МЕЖДУНАРОДЕН РЕДОВЕН ПРЕВОЗ ИЛИ МЕЖДУНАРОДЕН СПЕЦИАЛИЗИРАН РЕДОВЕН ПРЕВОЗ(</w:t>
      </w:r>
      <w:r>
        <w:rPr>
          <w:rStyle w:val="FootnoteReference"/>
          <w:rFonts w:eastAsia="Times New Roman"/>
          <w:b/>
          <w:noProof/>
          <w:szCs w:val="24"/>
          <w:lang w:eastAsia="en-GB"/>
        </w:rPr>
        <w:footnoteReference w:id="6"/>
      </w:r>
      <w:r>
        <w:rPr>
          <w:b/>
          <w:noProof/>
          <w:szCs w:val="24"/>
        </w:rPr>
        <w:t xml:space="preserve">) </w:t>
      </w:r>
    </w:p>
    <w:p>
      <w:pPr>
        <w:widowControl w:val="0"/>
        <w:spacing w:after="0" w:line="355" w:lineRule="exact"/>
        <w:rPr>
          <w:noProof/>
          <w:sz w:val="20"/>
          <w:szCs w:val="20"/>
          <w:shd w:val="clear" w:color="auto" w:fill="FFFFFF"/>
        </w:rPr>
      </w:pPr>
      <w:r>
        <w:rPr>
          <w:noProof/>
          <w:sz w:val="20"/>
          <w:szCs w:val="20"/>
          <w:shd w:val="clear" w:color="auto" w:fill="FFFFFF"/>
        </w:rPr>
        <w:t>За започване на редовен превоз</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За започване на специализиран редовен превоз</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За подновяване на разрешително за превоз</w:t>
      </w:r>
      <w:r>
        <w:rPr>
          <w:noProof/>
        </w:rPr>
        <w:tab/>
      </w:r>
      <w:r>
        <w:rPr>
          <w:noProof/>
          <w:sz w:val="20"/>
          <w:szCs w:val="20"/>
          <w:shd w:val="clear" w:color="auto" w:fill="FFFFFF"/>
        </w:rPr>
        <w:t>□</w:t>
      </w:r>
    </w:p>
    <w:p>
      <w:pPr>
        <w:widowControl w:val="0"/>
        <w:spacing w:line="355" w:lineRule="exact"/>
        <w:rPr>
          <w:noProof/>
          <w:sz w:val="20"/>
          <w:szCs w:val="20"/>
        </w:rPr>
      </w:pPr>
      <w:r>
        <w:rPr>
          <w:noProof/>
          <w:sz w:val="20"/>
          <w:szCs w:val="20"/>
          <w:shd w:val="clear" w:color="auto" w:fill="FFFFFF"/>
        </w:rPr>
        <w:t>За промяна на условията на разрешително за превоз</w:t>
      </w:r>
      <w:r>
        <w:rPr>
          <w:noProof/>
        </w:rPr>
        <w:tab/>
      </w:r>
      <w:r>
        <w:rPr>
          <w:noProof/>
          <w:sz w:val="20"/>
          <w:szCs w:val="20"/>
          <w:shd w:val="clear" w:color="auto" w:fill="FFFFFF"/>
        </w:rPr>
        <w:t>□</w:t>
      </w:r>
    </w:p>
    <w:p>
      <w:pPr>
        <w:widowControl w:val="0"/>
        <w:rPr>
          <w:rFonts w:eastAsia="Times New Roman"/>
          <w:noProof/>
          <w:sz w:val="20"/>
          <w:szCs w:val="20"/>
        </w:rPr>
      </w:pPr>
      <w:r>
        <w:rPr>
          <w:noProof/>
          <w:sz w:val="20"/>
          <w:szCs w:val="20"/>
        </w:rPr>
        <w:t>извършван с автобуси, между договарящите се страни в съответствие с Протокола за международни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(Спогодба Интербус).</w:t>
      </w:r>
    </w:p>
    <w:p>
      <w:pPr>
        <w:widowControl w:val="0"/>
        <w:spacing w:after="60" w:line="346" w:lineRule="exact"/>
        <w:rPr>
          <w:rFonts w:eastAsia="Times New Roman"/>
          <w:noProof/>
          <w:sz w:val="20"/>
          <w:szCs w:val="20"/>
        </w:rPr>
      </w:pPr>
      <w:r>
        <w:rPr>
          <w:noProof/>
          <w:sz w:val="20"/>
          <w:szCs w:val="20"/>
        </w:rPr>
        <w:t>………………………………………………………………………………………………………........</w:t>
      </w:r>
    </w:p>
    <w:p>
      <w:pPr>
        <w:widowControl w:val="0"/>
        <w:spacing w:before="60" w:line="190" w:lineRule="exact"/>
        <w:jc w:val="center"/>
        <w:rPr>
          <w:noProof/>
          <w:sz w:val="20"/>
          <w:szCs w:val="20"/>
        </w:rPr>
      </w:pPr>
      <w:r>
        <w:rPr>
          <w:noProof/>
          <w:sz w:val="20"/>
          <w:szCs w:val="20"/>
          <w:shd w:val="clear" w:color="auto" w:fill="FFFFFF"/>
        </w:rPr>
        <w:t>(Разрешаващ орган)</w:t>
      </w:r>
    </w:p>
    <w:p>
      <w:pPr>
        <w:pStyle w:val="NumPar1"/>
        <w:numPr>
          <w:ilvl w:val="0"/>
          <w:numId w:val="2"/>
        </w:numPr>
        <w:rPr>
          <w:rStyle w:val="Corpsdutexte"/>
          <w:noProof/>
          <w:sz w:val="20"/>
          <w:szCs w:val="20"/>
        </w:rPr>
      </w:pPr>
      <w:r>
        <w:rPr>
          <w:rStyle w:val="Corpsdutexte"/>
          <w:noProof/>
          <w:sz w:val="20"/>
          <w:szCs w:val="20"/>
        </w:rPr>
        <w:t>Име и фамилия или търговско название на превозвача заявител; в случай, че заявлението се подава от група превозвачи или от партньорство — название на превозвача, който е получил правомощия от останалите превозвачи да подаде заявлението:</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 xml:space="preserve">Превозите ще се извършват: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от превозвач □ от група превозвачи □ от партньорство □ от подизпълнител □</w:t>
      </w:r>
    </w:p>
    <w:p>
      <w:pPr>
        <w:pStyle w:val="NumPar1"/>
        <w:numPr>
          <w:ilvl w:val="0"/>
          <w:numId w:val="11"/>
        </w:numPr>
        <w:rPr>
          <w:rStyle w:val="Corpsdutexte"/>
          <w:noProof/>
          <w:sz w:val="20"/>
          <w:szCs w:val="20"/>
        </w:rPr>
      </w:pPr>
      <w:r>
        <w:rPr>
          <w:rStyle w:val="Corpsdutexte"/>
          <w:noProof/>
          <w:sz w:val="20"/>
          <w:szCs w:val="20"/>
        </w:rPr>
        <w:t>Названия и адреси на превозвача, или, в случай на група превозвачи или партньорство — названията на всички превозвачи от групата или от партньорството; посочват се и названията на евентуалните подизпълнители (</w:t>
      </w:r>
      <w:r>
        <w:rPr>
          <w:rStyle w:val="FootnoteReference"/>
          <w:noProof/>
          <w:sz w:val="20"/>
          <w:szCs w:val="20"/>
        </w:rPr>
        <w:footnoteReference w:id="7"/>
      </w:r>
      <w:r>
        <w:rPr>
          <w:rStyle w:val="Corpsdutexte"/>
          <w:noProof/>
          <w:sz w:val="20"/>
          <w:szCs w:val="20"/>
        </w:rPr>
        <w:t xml:space="preserve">) </w:t>
      </w:r>
    </w:p>
    <w:p>
      <w:pPr>
        <w:pStyle w:val="NumPar2"/>
        <w:numPr>
          <w:ilvl w:val="1"/>
          <w:numId w:val="11"/>
        </w:numPr>
        <w:jc w:val="left"/>
        <w:rPr>
          <w:noProof/>
          <w:sz w:val="20"/>
          <w:szCs w:val="20"/>
        </w:rPr>
      </w:pPr>
      <w:r>
        <w:rPr>
          <w:rStyle w:val="Corpsdutexte"/>
          <w:noProof/>
          <w:sz w:val="20"/>
          <w:szCs w:val="20"/>
        </w:rPr>
        <w:t>…………………………………………………..………. тел. ………………….…….…</w:t>
      </w:r>
    </w:p>
    <w:p>
      <w:pPr>
        <w:pStyle w:val="NumPar2"/>
        <w:numPr>
          <w:ilvl w:val="1"/>
          <w:numId w:val="11"/>
        </w:numPr>
        <w:jc w:val="left"/>
        <w:rPr>
          <w:noProof/>
          <w:sz w:val="20"/>
          <w:szCs w:val="20"/>
        </w:rPr>
      </w:pPr>
      <w:r>
        <w:rPr>
          <w:rStyle w:val="Corpsdutexte"/>
          <w:noProof/>
          <w:sz w:val="20"/>
          <w:szCs w:val="20"/>
        </w:rPr>
        <w:t>……………………………………………………..….… тел. ………………….……….</w:t>
      </w:r>
    </w:p>
    <w:p>
      <w:pPr>
        <w:pStyle w:val="NumPar2"/>
        <w:numPr>
          <w:ilvl w:val="1"/>
          <w:numId w:val="11"/>
        </w:numPr>
        <w:jc w:val="left"/>
        <w:rPr>
          <w:noProof/>
          <w:sz w:val="20"/>
          <w:szCs w:val="20"/>
        </w:rPr>
      </w:pPr>
      <w:r>
        <w:rPr>
          <w:rStyle w:val="Corpsdutexte"/>
          <w:noProof/>
          <w:sz w:val="20"/>
          <w:szCs w:val="20"/>
        </w:rPr>
        <w:t>………………………………………………………....... тел. ………………….....….…</w:t>
      </w:r>
    </w:p>
    <w:p>
      <w:pPr>
        <w:pStyle w:val="NumPar2"/>
        <w:numPr>
          <w:ilvl w:val="1"/>
          <w:numId w:val="11"/>
        </w:numPr>
        <w:jc w:val="left"/>
        <w:rPr>
          <w:noProof/>
          <w:sz w:val="20"/>
          <w:szCs w:val="20"/>
        </w:rPr>
      </w:pPr>
      <w:r>
        <w:rPr>
          <w:rStyle w:val="Corpsdutexte"/>
          <w:noProof/>
          <w:sz w:val="20"/>
          <w:szCs w:val="20"/>
        </w:rPr>
        <w:t>…………………………………………………………... тел. ……………………......…</w:t>
      </w:r>
    </w:p>
    <w:p>
      <w:pPr>
        <w:widowControl w:val="0"/>
        <w:spacing w:after="0"/>
        <w:jc w:val="center"/>
        <w:rPr>
          <w:noProof/>
          <w:sz w:val="20"/>
          <w:szCs w:val="20"/>
          <w:shd w:val="clear" w:color="auto" w:fill="FFFFFF"/>
        </w:rPr>
      </w:pPr>
      <w:r>
        <w:rPr>
          <w:noProof/>
        </w:rPr>
        <w:br w:type="page"/>
      </w:r>
      <w:r>
        <w:rPr>
          <w:noProof/>
          <w:sz w:val="20"/>
          <w:szCs w:val="20"/>
          <w:shd w:val="clear" w:color="auto" w:fill="FFFFFF"/>
        </w:rPr>
        <w:t>(Страница втора на заявлението за издаване или подновяване на разрешително)</w:t>
      </w:r>
    </w:p>
    <w:p>
      <w:pPr>
        <w:pStyle w:val="NumPar1"/>
        <w:numPr>
          <w:ilvl w:val="0"/>
          <w:numId w:val="11"/>
        </w:numPr>
        <w:spacing w:before="0" w:after="140"/>
        <w:rPr>
          <w:noProof/>
          <w:sz w:val="20"/>
          <w:szCs w:val="20"/>
        </w:rPr>
      </w:pPr>
      <w:r>
        <w:rPr>
          <w:noProof/>
          <w:sz w:val="20"/>
          <w:szCs w:val="20"/>
          <w:shd w:val="clear" w:color="auto" w:fill="FFFFFF"/>
        </w:rPr>
        <w:t>В случай</w:t>
      </w:r>
      <w:r>
        <w:rPr>
          <w:noProof/>
          <w:sz w:val="20"/>
          <w:szCs w:val="20"/>
        </w:rPr>
        <w:t xml:space="preserve"> </w:t>
      </w:r>
      <w:r>
        <w:rPr>
          <w:rStyle w:val="Corpsdutexte"/>
          <w:noProof/>
          <w:sz w:val="20"/>
          <w:szCs w:val="20"/>
        </w:rPr>
        <w:t>на</w:t>
      </w:r>
      <w:r>
        <w:rPr>
          <w:noProof/>
          <w:sz w:val="20"/>
          <w:szCs w:val="20"/>
        </w:rPr>
        <w:t xml:space="preserve"> </w:t>
      </w:r>
      <w:r>
        <w:rPr>
          <w:noProof/>
          <w:sz w:val="20"/>
          <w:szCs w:val="20"/>
          <w:shd w:val="clear" w:color="auto" w:fill="FFFFFF"/>
        </w:rPr>
        <w:t>специализиран редовен превоз:</w:t>
      </w:r>
    </w:p>
    <w:p>
      <w:pPr>
        <w:pStyle w:val="NumPar2"/>
        <w:numPr>
          <w:ilvl w:val="1"/>
          <w:numId w:val="11"/>
        </w:numPr>
        <w:spacing w:before="0" w:after="140"/>
        <w:rPr>
          <w:noProof/>
          <w:sz w:val="20"/>
          <w:szCs w:val="20"/>
        </w:rPr>
      </w:pPr>
      <w:r>
        <w:rPr>
          <w:rStyle w:val="Corpsdutexte"/>
          <w:noProof/>
          <w:sz w:val="20"/>
          <w:szCs w:val="20"/>
        </w:rPr>
        <w:t>Категория</w:t>
      </w:r>
      <w:r>
        <w:rPr>
          <w:noProof/>
          <w:sz w:val="20"/>
          <w:szCs w:val="20"/>
        </w:rPr>
        <w:t xml:space="preserve"> </w:t>
      </w:r>
      <w:r>
        <w:rPr>
          <w:noProof/>
          <w:sz w:val="20"/>
          <w:szCs w:val="20"/>
          <w:shd w:val="clear" w:color="auto" w:fill="FFFFFF"/>
        </w:rPr>
        <w:t>пътници: (</w:t>
      </w:r>
      <w:r>
        <w:rPr>
          <w:rStyle w:val="FootnoteReference"/>
          <w:noProof/>
          <w:sz w:val="20"/>
          <w:szCs w:val="20"/>
        </w:rPr>
        <w:footnoteReference w:id="8"/>
      </w:r>
      <w:r>
        <w:rPr>
          <w:noProof/>
          <w:sz w:val="20"/>
          <w:szCs w:val="20"/>
          <w:shd w:val="clear" w:color="auto" w:fill="FFFFFF"/>
        </w:rPr>
        <w:t>) работници □ ученици/студенти □ други □</w:t>
      </w:r>
    </w:p>
    <w:p>
      <w:pPr>
        <w:pStyle w:val="NumPar1"/>
        <w:numPr>
          <w:ilvl w:val="0"/>
          <w:numId w:val="11"/>
        </w:numPr>
        <w:spacing w:before="0" w:after="140"/>
        <w:rPr>
          <w:noProof/>
          <w:sz w:val="20"/>
          <w:szCs w:val="20"/>
          <w:shd w:val="clear" w:color="auto" w:fill="FFFFFF"/>
        </w:rPr>
      </w:pPr>
      <w:r>
        <w:rPr>
          <w:noProof/>
          <w:sz w:val="20"/>
          <w:szCs w:val="20"/>
          <w:shd w:val="clear" w:color="auto" w:fill="FFFFFF"/>
        </w:rPr>
        <w:t>Период, за който се иска разрешително, или дата, на която приключват превозите:</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Основен маршрут на превоза (посочете местата на качване и слизане на пътници, с пълни адреси)</w:t>
      </w:r>
      <w:r>
        <w:rPr>
          <w:noProof/>
          <w:sz w:val="20"/>
          <w:szCs w:val="20"/>
        </w:rPr>
        <w:t>:(</w:t>
      </w:r>
      <w:r>
        <w:rPr>
          <w:rStyle w:val="FootnoteReference"/>
          <w:noProof/>
          <w:sz w:val="20"/>
          <w:szCs w:val="20"/>
        </w:rPr>
        <w:footnoteReference w:id="9"/>
      </w:r>
      <w:r>
        <w:rPr>
          <w:noProof/>
          <w:sz w:val="20"/>
          <w:szCs w:val="20"/>
          <w:shd w:val="clear" w:color="auto" w:fill="FFFFFF"/>
        </w:rPr>
        <w:t xml:space="preserve">)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Период на извършване на превоза: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Периодичност (ежедневно, ежеседмично, и др.): ………………………………………………………...…….</w:t>
      </w:r>
    </w:p>
    <w:p>
      <w:pPr>
        <w:pStyle w:val="NumPar1"/>
        <w:numPr>
          <w:ilvl w:val="0"/>
          <w:numId w:val="11"/>
        </w:numPr>
        <w:spacing w:before="0" w:after="140"/>
        <w:jc w:val="left"/>
        <w:rPr>
          <w:noProof/>
          <w:sz w:val="20"/>
          <w:szCs w:val="20"/>
        </w:rPr>
      </w:pPr>
      <w:r>
        <w:rPr>
          <w:noProof/>
          <w:sz w:val="20"/>
          <w:szCs w:val="20"/>
        </w:rPr>
        <w:t>Цени на билетите ….................. Прибавено приложение.</w:t>
      </w:r>
    </w:p>
    <w:p>
      <w:pPr>
        <w:pStyle w:val="NumPar1"/>
        <w:numPr>
          <w:ilvl w:val="0"/>
          <w:numId w:val="11"/>
        </w:numPr>
        <w:spacing w:before="0" w:after="140"/>
        <w:rPr>
          <w:noProof/>
          <w:sz w:val="20"/>
          <w:szCs w:val="20"/>
        </w:rPr>
      </w:pPr>
      <w:r>
        <w:rPr>
          <w:noProof/>
          <w:sz w:val="20"/>
          <w:szCs w:val="20"/>
          <w:shd w:val="clear" w:color="auto" w:fill="FFFFFF"/>
        </w:rPr>
        <w:t>Приложете разписание за управлението, за да може да се провери спазването на международните правила по отношение на периодите на управление на превозното средство и почивка.</w:t>
      </w:r>
    </w:p>
    <w:p>
      <w:pPr>
        <w:pStyle w:val="NumPar1"/>
        <w:numPr>
          <w:ilvl w:val="0"/>
          <w:numId w:val="11"/>
        </w:numPr>
        <w:spacing w:before="0" w:after="160"/>
        <w:rPr>
          <w:noProof/>
          <w:sz w:val="20"/>
          <w:szCs w:val="20"/>
        </w:rPr>
      </w:pPr>
      <w:r>
        <w:rPr>
          <w:noProof/>
          <w:sz w:val="20"/>
          <w:szCs w:val="20"/>
          <w:shd w:val="clear" w:color="auto" w:fill="FFFFFF"/>
        </w:rPr>
        <w:t xml:space="preserve">Брой искани разрешителни или заверени копия на разрешителните: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Допълнителна информация:</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(място и дата)</w:t>
      </w:r>
      <w:r>
        <w:rPr>
          <w:noProof/>
        </w:rPr>
        <w:tab/>
      </w:r>
      <w:r>
        <w:rPr>
          <w:noProof/>
          <w:sz w:val="20"/>
          <w:szCs w:val="20"/>
          <w:shd w:val="clear" w:color="auto" w:fill="FFFFFF"/>
        </w:rPr>
        <w:t>(подпис на заявителя)</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Насочваме вниманието на заявителя към факта, че тъй като разрешителното или негово заверено копие трябва да се съхранява на борда на превозното средство, броят на разрешителните или техни заверени копия, издадени от разрешаващия орган, които заявителят трябва да има, следва да отговаря на броя превозни средства, необходими в едно и също време за извършване на искания превоз.</w:t>
      </w:r>
    </w:p>
    <w:p>
      <w:pPr>
        <w:widowControl w:val="0"/>
        <w:rPr>
          <w:b/>
          <w:noProof/>
          <w:sz w:val="20"/>
          <w:szCs w:val="20"/>
        </w:rPr>
      </w:pPr>
      <w:r>
        <w:rPr>
          <w:b/>
          <w:noProof/>
          <w:sz w:val="20"/>
          <w:szCs w:val="20"/>
          <w:shd w:val="clear" w:color="auto" w:fill="FFFFFF"/>
        </w:rPr>
        <w:t>Важна забележка</w:t>
      </w:r>
    </w:p>
    <w:p>
      <w:pPr>
        <w:widowControl w:val="0"/>
        <w:spacing w:after="0"/>
        <w:rPr>
          <w:noProof/>
          <w:sz w:val="20"/>
          <w:szCs w:val="20"/>
        </w:rPr>
      </w:pPr>
      <w:r>
        <w:rPr>
          <w:noProof/>
          <w:sz w:val="20"/>
          <w:szCs w:val="20"/>
          <w:shd w:val="clear" w:color="auto" w:fill="FFFFFF"/>
        </w:rPr>
        <w:t>Към заявлението трябва да бъдат приложени по-конкретно следните документи:</w:t>
      </w:r>
    </w:p>
    <w:p>
      <w:pPr>
        <w:pStyle w:val="ManualNumPar1"/>
        <w:spacing w:before="0" w:after="0"/>
        <w:rPr>
          <w:noProof/>
          <w:sz w:val="20"/>
          <w:szCs w:val="20"/>
        </w:rPr>
      </w:pPr>
      <w:r>
        <w:rPr>
          <w:noProof/>
          <w:sz w:val="20"/>
          <w:szCs w:val="20"/>
          <w:shd w:val="clear" w:color="auto" w:fill="FFFFFF"/>
        </w:rPr>
        <w:t>а) разписанието, включително времевите интервали за контрол при пресичане на съответните граници;</w:t>
      </w:r>
    </w:p>
    <w:p>
      <w:pPr>
        <w:pStyle w:val="ManualNumPar1"/>
        <w:spacing w:before="0" w:after="0"/>
        <w:rPr>
          <w:noProof/>
          <w:sz w:val="20"/>
          <w:szCs w:val="20"/>
        </w:rPr>
      </w:pPr>
      <w:r>
        <w:rPr>
          <w:noProof/>
          <w:sz w:val="20"/>
          <w:szCs w:val="20"/>
          <w:shd w:val="clear" w:color="auto" w:fill="FFFFFF"/>
        </w:rPr>
        <w:t>б) заверено копие на лиценза на превозвача (лицензите на превозвачите) за извършване на международни автомобилни превози на пътници, издаден(и) съгласно националното законодателство или законодателството на ЕС;</w:t>
      </w:r>
    </w:p>
    <w:p>
      <w:pPr>
        <w:pStyle w:val="ManualNumPar1"/>
        <w:spacing w:before="0" w:after="0"/>
        <w:rPr>
          <w:noProof/>
          <w:sz w:val="20"/>
          <w:szCs w:val="20"/>
        </w:rPr>
      </w:pPr>
      <w:r>
        <w:rPr>
          <w:noProof/>
          <w:sz w:val="20"/>
          <w:szCs w:val="20"/>
          <w:shd w:val="clear" w:color="auto" w:fill="FFFFFF"/>
        </w:rPr>
        <w:t>в) карта в подходящ мащаб, на която са отбелязани маршрутът и местата за спиране, където се качват или слизат пътници;</w:t>
      </w:r>
    </w:p>
    <w:p>
      <w:pPr>
        <w:pStyle w:val="ManualNumPar1"/>
        <w:spacing w:before="0" w:after="0"/>
        <w:rPr>
          <w:noProof/>
          <w:sz w:val="20"/>
          <w:szCs w:val="20"/>
        </w:rPr>
      </w:pPr>
      <w:r>
        <w:rPr>
          <w:noProof/>
          <w:sz w:val="20"/>
          <w:szCs w:val="20"/>
          <w:shd w:val="clear" w:color="auto" w:fill="FFFFFF"/>
        </w:rPr>
        <w:t>г) разписание за управлението, позволяващо да се провери спазването на международните правила по отношение на периодите на управление на превозното средство и на почивка;</w:t>
      </w:r>
    </w:p>
    <w:p>
      <w:pPr>
        <w:pStyle w:val="ManualNumPar1"/>
        <w:spacing w:before="0" w:after="0"/>
        <w:rPr>
          <w:noProof/>
          <w:sz w:val="20"/>
          <w:szCs w:val="20"/>
          <w:shd w:val="clear" w:color="auto" w:fill="FFFFFF"/>
        </w:rPr>
      </w:pPr>
      <w:r>
        <w:rPr>
          <w:noProof/>
          <w:sz w:val="20"/>
          <w:szCs w:val="20"/>
          <w:shd w:val="clear" w:color="auto" w:fill="FFFFFF"/>
        </w:rPr>
        <w:t>д) всякаква уместна информация относно автогарите.</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rPr>
      </w:pPr>
      <w:r>
        <w:rPr>
          <w:b/>
          <w:noProof/>
          <w:u w:val="single"/>
          <w:shd w:val="clear" w:color="auto" w:fill="FFFFFF"/>
        </w:rPr>
        <w:t>ПРИЛОЖЕНИЕ 4</w:t>
      </w:r>
    </w:p>
    <w:p>
      <w:pPr>
        <w:pStyle w:val="NormalCentered"/>
        <w:spacing w:after="0"/>
        <w:rPr>
          <w:b/>
          <w:noProof/>
        </w:rPr>
      </w:pPr>
      <w:r>
        <w:rPr>
          <w:b/>
          <w:noProof/>
        </w:rPr>
        <w:t>Образец на разрешително за международни редовни и специализирани редовни превози</w:t>
      </w:r>
    </w:p>
    <w:p>
      <w:pPr>
        <w:keepNext/>
        <w:keepLines/>
        <w:widowControl w:val="0"/>
        <w:spacing w:after="240"/>
        <w:jc w:val="center"/>
        <w:outlineLvl w:val="2"/>
        <w:rPr>
          <w:rFonts w:eastAsia="Times New Roman"/>
          <w:noProof/>
          <w:sz w:val="22"/>
          <w:shd w:val="clear" w:color="auto" w:fill="FFFFFF"/>
        </w:rPr>
      </w:pPr>
      <w:r>
        <w:rPr>
          <w:noProof/>
          <w:sz w:val="22"/>
          <w:shd w:val="clear" w:color="auto" w:fill="FFFFFF"/>
        </w:rPr>
        <w:t>(Страница първа на разрешителното)</w:t>
      </w:r>
    </w:p>
    <w:p>
      <w:pPr>
        <w:keepNext/>
        <w:keepLines/>
        <w:widowControl w:val="0"/>
        <w:spacing w:after="240" w:line="270" w:lineRule="exact"/>
        <w:jc w:val="center"/>
        <w:outlineLvl w:val="2"/>
        <w:rPr>
          <w:rFonts w:eastAsia="Times New Roman"/>
          <w:noProof/>
          <w:sz w:val="22"/>
          <w:shd w:val="clear" w:color="auto" w:fill="FFFFFF"/>
        </w:rPr>
      </w:pPr>
      <w:r>
        <w:rPr>
          <w:noProof/>
          <w:sz w:val="22"/>
          <w:shd w:val="clear" w:color="auto" w:fill="FFFFFF"/>
        </w:rPr>
        <w:t>(Хартия с оранжев цвят —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(Изготвя се на официалния език/официалните езици или на един от официалните езици на договарящата се страна, в която се подава заявлението)</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rPr>
      </w:pPr>
      <w:r>
        <w:rPr>
          <w:b/>
          <w:noProof/>
          <w:sz w:val="27"/>
          <w:szCs w:val="27"/>
          <w:shd w:val="clear" w:color="auto" w:fill="FFFFFF"/>
        </w:rPr>
        <w:t>Разрешително</w:t>
      </w:r>
    </w:p>
    <w:p>
      <w:pPr>
        <w:widowControl w:val="0"/>
        <w:spacing w:after="240"/>
        <w:rPr>
          <w:rFonts w:eastAsia="Times New Roman"/>
          <w:noProof/>
          <w:sz w:val="22"/>
        </w:rPr>
      </w:pPr>
      <w:r>
        <w:rPr>
          <w:noProof/>
          <w:sz w:val="22"/>
        </w:rPr>
        <w:t xml:space="preserve">В съответствие с </w:t>
      </w:r>
      <w:r>
        <w:rPr>
          <w:noProof/>
          <w:sz w:val="22"/>
          <w:shd w:val="clear" w:color="auto" w:fill="FFFFFF"/>
        </w:rPr>
        <w:t>Протокола за международни редовни и специализирани редовни превози на пътници, извършвани с автобуси</w:t>
      </w:r>
      <w:r>
        <w:rPr>
          <w:noProof/>
          <w:sz w:val="22"/>
        </w:rPr>
        <w:t>, между договарящите се страни, към Спогодбата за международни случайни превози на пътници, извършвани с автобуси („Спогодба Интербус“).</w:t>
      </w:r>
    </w:p>
    <w:p>
      <w:pPr>
        <w:widowControl w:val="0"/>
        <w:jc w:val="left"/>
        <w:rPr>
          <w:rFonts w:eastAsia="Times New Roman"/>
          <w:noProof/>
          <w:sz w:val="22"/>
        </w:rPr>
      </w:pPr>
      <w:r>
        <w:rPr>
          <w:noProof/>
          <w:sz w:val="22"/>
        </w:rPr>
        <w:t>ИЗДАВАЩА ДЪРЖАВА:</w:t>
      </w:r>
      <w:r>
        <w:rPr>
          <w:noProof/>
        </w:rPr>
        <w:t xml:space="preserve"> </w:t>
      </w:r>
      <w:r>
        <w:rPr>
          <w:noProof/>
          <w:sz w:val="22"/>
        </w:rPr>
        <w:t>……………………………………………………………………….…..</w:t>
      </w:r>
    </w:p>
    <w:p>
      <w:pPr>
        <w:widowControl w:val="0"/>
        <w:jc w:val="left"/>
        <w:rPr>
          <w:rFonts w:eastAsia="Times New Roman"/>
          <w:noProof/>
          <w:sz w:val="22"/>
        </w:rPr>
      </w:pPr>
      <w:r>
        <w:rPr>
          <w:noProof/>
          <w:sz w:val="22"/>
        </w:rPr>
        <w:t>Разрешаващ орган:</w:t>
      </w:r>
      <w:r>
        <w:rPr>
          <w:noProof/>
        </w:rPr>
        <w:t xml:space="preserve"> </w:t>
      </w:r>
      <w:r>
        <w:rPr>
          <w:noProof/>
          <w:sz w:val="22"/>
        </w:rPr>
        <w:t>……………………………………………………………………………….</w:t>
      </w:r>
    </w:p>
    <w:p>
      <w:pPr>
        <w:widowControl w:val="0"/>
        <w:rPr>
          <w:rFonts w:eastAsia="Times New Roman"/>
          <w:noProof/>
          <w:sz w:val="22"/>
        </w:rPr>
      </w:pPr>
      <w:r>
        <w:rPr>
          <w:noProof/>
          <w:sz w:val="22"/>
        </w:rPr>
        <w:t>Отличителен знак на договарящата се страна</w:t>
      </w:r>
      <w:r>
        <w:rPr>
          <w:noProof/>
          <w:sz w:val="22"/>
          <w:shd w:val="clear" w:color="auto" w:fill="FFFFFF"/>
        </w:rPr>
        <w:t>: …………….(</w:t>
      </w:r>
      <w:r>
        <w:rPr>
          <w:rStyle w:val="FootnoteReference"/>
          <w:noProof/>
          <w:sz w:val="22"/>
          <w:lang w:eastAsia="en-GB"/>
        </w:rPr>
        <w:footnoteReference w:id="11"/>
      </w:r>
      <w:r>
        <w:rPr>
          <w:noProof/>
          <w:sz w:val="22"/>
          <w:shd w:val="clear" w:color="auto" w:fill="FFFFFF"/>
        </w:rPr>
        <w:t xml:space="preserve">) </w:t>
      </w:r>
    </w:p>
    <w:p>
      <w:pPr>
        <w:widowControl w:val="0"/>
        <w:rPr>
          <w:rFonts w:eastAsia="Times New Roman"/>
          <w:noProof/>
          <w:sz w:val="22"/>
        </w:rPr>
      </w:pPr>
      <w:r>
        <w:rPr>
          <w:b/>
          <w:bCs/>
          <w:noProof/>
          <w:sz w:val="22"/>
        </w:rPr>
        <w:t>РАЗРЕШИТЕЛНО №</w:t>
      </w:r>
      <w:r>
        <w:rPr>
          <w:bCs/>
          <w:noProof/>
          <w:sz w:val="22"/>
        </w:rPr>
        <w:t xml:space="preserve"> ……………………………...</w:t>
      </w:r>
    </w:p>
    <w:p>
      <w:pPr>
        <w:widowControl w:val="0"/>
        <w:rPr>
          <w:rFonts w:eastAsia="Times New Roman"/>
          <w:noProof/>
          <w:sz w:val="22"/>
        </w:rPr>
      </w:pPr>
      <w:r>
        <w:rPr>
          <w:noProof/>
          <w:sz w:val="22"/>
        </w:rPr>
        <w:t>за редовен превоз □(</w:t>
      </w:r>
      <w:r>
        <w:rPr>
          <w:rStyle w:val="FootnoteReference"/>
          <w:rFonts w:eastAsia="Times New Roman"/>
          <w:noProof/>
          <w:sz w:val="22"/>
          <w:lang w:eastAsia="en-GB"/>
        </w:rPr>
        <w:footnoteReference w:id="12"/>
      </w:r>
      <w:r>
        <w:rPr>
          <w:noProof/>
          <w:sz w:val="22"/>
        </w:rPr>
        <w:t xml:space="preserve">) </w:t>
      </w:r>
    </w:p>
    <w:p>
      <w:pPr>
        <w:widowControl w:val="0"/>
        <w:rPr>
          <w:rFonts w:eastAsia="Times New Roman"/>
          <w:noProof/>
          <w:sz w:val="22"/>
        </w:rPr>
      </w:pPr>
      <w:r>
        <w:rPr>
          <w:noProof/>
          <w:sz w:val="22"/>
        </w:rPr>
        <w:t>за специализиран редовен превоз □ (</w:t>
      </w:r>
      <w:r>
        <w:rPr>
          <w:noProof/>
          <w:sz w:val="22"/>
          <w:vertAlign w:val="superscript"/>
        </w:rPr>
        <w:t>2</w:t>
      </w:r>
      <w:r>
        <w:rPr>
          <w:noProof/>
          <w:sz w:val="22"/>
        </w:rPr>
        <w:t>)</w:t>
      </w:r>
    </w:p>
    <w:p>
      <w:pPr>
        <w:widowControl w:val="0"/>
        <w:rPr>
          <w:rFonts w:eastAsia="Times New Roman"/>
          <w:noProof/>
          <w:sz w:val="22"/>
        </w:rPr>
      </w:pPr>
      <w:r>
        <w:rPr>
          <w:noProof/>
          <w:sz w:val="22"/>
        </w:rPr>
        <w:t>с автобус между договарящите се страни по Протокола за международни редовни и специализирани редовни превози на пътници, извършвани с автобуси (Протокол към Спогодбата Интербус)</w:t>
      </w:r>
    </w:p>
    <w:p>
      <w:pPr>
        <w:widowControl w:val="0"/>
        <w:rPr>
          <w:rFonts w:eastAsia="Times New Roman"/>
          <w:noProof/>
          <w:sz w:val="22"/>
        </w:rPr>
      </w:pPr>
      <w:r>
        <w:rPr>
          <w:noProof/>
          <w:sz w:val="22"/>
        </w:rPr>
        <w:t>На: …………………………………………………………………………………………………...</w:t>
      </w:r>
    </w:p>
    <w:p>
      <w:pPr>
        <w:widowControl w:val="0"/>
        <w:spacing w:after="60"/>
        <w:rPr>
          <w:rFonts w:eastAsia="Times New Roman"/>
          <w:noProof/>
          <w:sz w:val="22"/>
        </w:rPr>
      </w:pPr>
      <w:r>
        <w:rPr>
          <w:noProof/>
          <w:sz w:val="22"/>
        </w:rPr>
        <w:t>………………………………………………………………………………………………………..</w:t>
      </w:r>
    </w:p>
    <w:p>
      <w:pPr>
        <w:widowControl w:val="0"/>
        <w:rPr>
          <w:rFonts w:eastAsia="Times New Roman"/>
          <w:noProof/>
          <w:sz w:val="22"/>
        </w:rPr>
      </w:pPr>
      <w:r>
        <w:rPr>
          <w:noProof/>
          <w:sz w:val="22"/>
        </w:rPr>
        <w:t>Име и фамилия или търговско название на превозвача или, в случая на група предприятия или партньорство — на ръководещия превозвач:</w:t>
      </w:r>
    </w:p>
    <w:p>
      <w:pPr>
        <w:widowControl w:val="0"/>
        <w:rPr>
          <w:rFonts w:eastAsia="Times New Roman"/>
          <w:noProof/>
          <w:sz w:val="22"/>
        </w:rPr>
      </w:pPr>
      <w:r>
        <w:rPr>
          <w:noProof/>
          <w:sz w:val="22"/>
        </w:rPr>
        <w:t>Адрес: …………………………………………………………………………………………………...</w:t>
      </w:r>
    </w:p>
    <w:p>
      <w:pPr>
        <w:widowControl w:val="0"/>
        <w:rPr>
          <w:rFonts w:eastAsia="Times New Roman"/>
          <w:noProof/>
          <w:sz w:val="22"/>
        </w:rPr>
      </w:pPr>
      <w:r>
        <w:rPr>
          <w:noProof/>
          <w:sz w:val="22"/>
        </w:rPr>
        <w:t>……………………………………………………………………………………………………………...</w:t>
      </w:r>
    </w:p>
    <w:p>
      <w:pPr>
        <w:widowControl w:val="0"/>
        <w:jc w:val="left"/>
        <w:rPr>
          <w:rFonts w:eastAsia="Times New Roman"/>
          <w:noProof/>
          <w:sz w:val="22"/>
        </w:rPr>
      </w:pPr>
      <w:r>
        <w:rPr>
          <w:noProof/>
          <w:sz w:val="22"/>
        </w:rPr>
        <w:t>Телефон и факс или ел. поща: .…………………………………………………………………………….</w:t>
      </w:r>
    </w:p>
    <w:p>
      <w:pPr>
        <w:spacing w:after="157"/>
        <w:jc w:val="center"/>
        <w:rPr>
          <w:noProof/>
          <w:szCs w:val="24"/>
        </w:rPr>
      </w:pPr>
      <w:r>
        <w:rPr>
          <w:noProof/>
          <w:sz w:val="22"/>
        </w:rPr>
        <w:t>………………………………………………………………………………………………………..</w:t>
      </w:r>
    </w:p>
    <w:p>
      <w:pPr>
        <w:rPr>
          <w:noProof/>
        </w:rPr>
      </w:pPr>
      <w:r>
        <w:rPr>
          <w:noProof/>
        </w:rPr>
        <w:br w:type="page"/>
      </w:r>
    </w:p>
    <w:p>
      <w:pPr>
        <w:widowControl w:val="0"/>
        <w:spacing w:after="157"/>
        <w:jc w:val="center"/>
        <w:rPr>
          <w:rFonts w:eastAsia="Times New Roman"/>
          <w:noProof/>
          <w:sz w:val="20"/>
          <w:szCs w:val="20"/>
        </w:rPr>
      </w:pPr>
      <w:r>
        <w:rPr>
          <w:noProof/>
          <w:sz w:val="20"/>
          <w:szCs w:val="20"/>
        </w:rPr>
        <w:t>(Страница втора на разрешителното)</w:t>
      </w:r>
    </w:p>
    <w:p>
      <w:pPr>
        <w:widowControl w:val="0"/>
        <w:spacing w:after="140"/>
        <w:rPr>
          <w:rFonts w:eastAsia="Times New Roman"/>
          <w:noProof/>
          <w:sz w:val="20"/>
          <w:szCs w:val="20"/>
        </w:rPr>
      </w:pPr>
      <w:r>
        <w:rPr>
          <w:noProof/>
          <w:sz w:val="20"/>
          <w:szCs w:val="20"/>
        </w:rPr>
        <w:t>Название, адрес, телефон и факс или ел. поща на превозвача, или, в случай на група превозвачи или партньорство — названията на всички превозвачи от групата или от партньорството; посочват се също и названията на евентуалните подизпълнители, определени като такива:</w:t>
      </w:r>
    </w:p>
    <w:p>
      <w:pPr>
        <w:widowControl w:val="0"/>
        <w:spacing w:after="140"/>
        <w:rPr>
          <w:rFonts w:eastAsia="Times New Roman"/>
          <w:noProof/>
          <w:sz w:val="20"/>
          <w:szCs w:val="20"/>
        </w:rPr>
      </w:pPr>
      <w:r>
        <w:rPr>
          <w:noProof/>
          <w:sz w:val="20"/>
          <w:szCs w:val="20"/>
        </w:rPr>
        <w:t>(1) ……………………………………………………………………………………………………………</w:t>
      </w:r>
    </w:p>
    <w:p>
      <w:pPr>
        <w:widowControl w:val="0"/>
        <w:spacing w:after="140"/>
        <w:rPr>
          <w:rFonts w:eastAsia="Times New Roman"/>
          <w:noProof/>
          <w:sz w:val="20"/>
          <w:szCs w:val="20"/>
        </w:rPr>
      </w:pPr>
      <w:r>
        <w:rPr>
          <w:noProof/>
          <w:sz w:val="20"/>
          <w:szCs w:val="20"/>
        </w:rPr>
        <w:t>(2) ……………………………………………………………………………………………………………</w:t>
      </w:r>
    </w:p>
    <w:p>
      <w:pPr>
        <w:widowControl w:val="0"/>
        <w:spacing w:after="140"/>
        <w:rPr>
          <w:rFonts w:eastAsia="Times New Roman"/>
          <w:noProof/>
          <w:sz w:val="20"/>
          <w:szCs w:val="20"/>
        </w:rPr>
      </w:pPr>
      <w:r>
        <w:rPr>
          <w:noProof/>
          <w:sz w:val="20"/>
          <w:szCs w:val="20"/>
        </w:rPr>
        <w:t>(3) ……………………………………………………………………………………………………………</w:t>
      </w:r>
    </w:p>
    <w:p>
      <w:pPr>
        <w:widowControl w:val="0"/>
        <w:spacing w:after="140"/>
        <w:rPr>
          <w:rFonts w:eastAsia="Times New Roman"/>
          <w:noProof/>
          <w:sz w:val="20"/>
          <w:szCs w:val="20"/>
        </w:rPr>
      </w:pPr>
      <w:r>
        <w:rPr>
          <w:noProof/>
          <w:sz w:val="20"/>
          <w:szCs w:val="20"/>
        </w:rPr>
        <w:t>(4) ……………………………………………………………………………………………………………</w:t>
      </w:r>
    </w:p>
    <w:p>
      <w:pPr>
        <w:widowControl w:val="0"/>
        <w:spacing w:after="140"/>
        <w:rPr>
          <w:rFonts w:eastAsia="Times New Roman"/>
          <w:noProof/>
          <w:sz w:val="20"/>
          <w:szCs w:val="20"/>
        </w:rPr>
      </w:pPr>
      <w:r>
        <w:rPr>
          <w:noProof/>
          <w:sz w:val="20"/>
          <w:szCs w:val="20"/>
        </w:rPr>
        <w:t>(5) ……………………………………………………………………………………………………………</w:t>
      </w:r>
    </w:p>
    <w:p>
      <w:pPr>
        <w:widowControl w:val="0"/>
        <w:spacing w:after="140"/>
        <w:rPr>
          <w:rFonts w:eastAsia="Times New Roman"/>
          <w:noProof/>
          <w:sz w:val="20"/>
          <w:szCs w:val="20"/>
        </w:rPr>
      </w:pPr>
      <w:r>
        <w:rPr>
          <w:noProof/>
          <w:sz w:val="20"/>
          <w:szCs w:val="20"/>
        </w:rPr>
        <w:t>Приложете списък, ако е уместно.</w:t>
      </w:r>
    </w:p>
    <w:p>
      <w:pPr>
        <w:widowControl w:val="0"/>
        <w:spacing w:after="140"/>
        <w:rPr>
          <w:rFonts w:eastAsia="Times New Roman"/>
          <w:noProof/>
          <w:sz w:val="20"/>
          <w:szCs w:val="20"/>
        </w:rPr>
      </w:pPr>
      <w:r>
        <w:rPr>
          <w:noProof/>
          <w:sz w:val="20"/>
          <w:szCs w:val="20"/>
        </w:rPr>
        <w:t>Валидност на разрешителното: Считано от: ………………………………. До: ……………………………..……...</w:t>
      </w:r>
    </w:p>
    <w:p>
      <w:pPr>
        <w:widowControl w:val="0"/>
        <w:spacing w:after="140"/>
        <w:rPr>
          <w:rFonts w:eastAsia="Times New Roman"/>
          <w:noProof/>
          <w:sz w:val="20"/>
          <w:szCs w:val="20"/>
        </w:rPr>
      </w:pPr>
      <w:r>
        <w:rPr>
          <w:noProof/>
          <w:sz w:val="20"/>
          <w:szCs w:val="20"/>
        </w:rPr>
        <w:t>Място и дата на издаване: ………………………………………………………………………………………..</w:t>
      </w:r>
    </w:p>
    <w:p>
      <w:pPr>
        <w:widowControl w:val="0"/>
        <w:tabs>
          <w:tab w:val="left" w:pos="5809"/>
        </w:tabs>
        <w:spacing w:after="140"/>
        <w:rPr>
          <w:rFonts w:eastAsia="Times New Roman"/>
          <w:noProof/>
          <w:sz w:val="20"/>
          <w:szCs w:val="20"/>
        </w:rPr>
      </w:pPr>
      <w:r>
        <w:rPr>
          <w:noProof/>
          <w:sz w:val="20"/>
          <w:szCs w:val="20"/>
        </w:rPr>
        <w:t>Подпис и печат на издаващия орган или издаващата агенция: ……………………………………………………..</w:t>
      </w:r>
    </w:p>
    <w:p>
      <w:pPr>
        <w:widowControl w:val="0"/>
        <w:spacing w:after="140"/>
        <w:rPr>
          <w:rFonts w:eastAsia="Times New Roman"/>
          <w:noProof/>
          <w:sz w:val="20"/>
          <w:szCs w:val="20"/>
        </w:rPr>
      </w:pPr>
      <w:r>
        <w:rPr>
          <w:noProof/>
          <w:sz w:val="20"/>
          <w:szCs w:val="20"/>
        </w:rPr>
        <w:t>1. Маршрут: ……………………………………………………………………………………………………….</w:t>
      </w:r>
    </w:p>
    <w:p>
      <w:pPr>
        <w:widowControl w:val="0"/>
        <w:tabs>
          <w:tab w:val="left" w:pos="5809"/>
        </w:tabs>
        <w:spacing w:after="140"/>
        <w:rPr>
          <w:rFonts w:eastAsia="Times New Roman"/>
          <w:noProof/>
          <w:sz w:val="20"/>
          <w:szCs w:val="20"/>
        </w:rPr>
      </w:pPr>
      <w:r>
        <w:rPr>
          <w:noProof/>
          <w:sz w:val="20"/>
          <w:szCs w:val="20"/>
        </w:rPr>
        <w:t>………………………………………………………………………………………..:…………………….….</w:t>
      </w:r>
    </w:p>
    <w:p>
      <w:pPr>
        <w:pStyle w:val="Point0letter"/>
        <w:numPr>
          <w:ilvl w:val="1"/>
          <w:numId w:val="1"/>
        </w:numPr>
        <w:spacing w:before="0" w:after="140"/>
        <w:jc w:val="left"/>
        <w:rPr>
          <w:noProof/>
          <w:sz w:val="20"/>
          <w:szCs w:val="20"/>
        </w:rPr>
      </w:pPr>
      <w:r>
        <w:rPr>
          <w:noProof/>
          <w:sz w:val="20"/>
          <w:szCs w:val="20"/>
          <w:shd w:val="clear" w:color="auto" w:fill="FFFFFF"/>
        </w:rPr>
        <w:t>Отправен пункт на превоза: …………………………………...…………………………………</w:t>
      </w:r>
    </w:p>
    <w:p>
      <w:pPr>
        <w:widowControl w:val="0"/>
        <w:spacing w:after="140"/>
        <w:rPr>
          <w:rFonts w:eastAsia="Times New Roman"/>
          <w:iCs/>
          <w:noProof/>
          <w:sz w:val="20"/>
          <w:szCs w:val="20"/>
          <w:shd w:val="clear" w:color="auto" w:fill="FFFFFF"/>
        </w:rPr>
      </w:pPr>
      <w:r>
        <w:rPr>
          <w:iCs/>
          <w:noProof/>
          <w:sz w:val="20"/>
          <w:szCs w:val="20"/>
          <w:shd w:val="clear" w:color="auto" w:fill="FFFFFF"/>
        </w:rPr>
        <w:t>……………………………………………………………………..............…………………………………....</w:t>
      </w:r>
    </w:p>
    <w:p>
      <w:pPr>
        <w:pStyle w:val="Point0letter"/>
        <w:numPr>
          <w:ilvl w:val="1"/>
          <w:numId w:val="1"/>
        </w:numPr>
        <w:spacing w:before="0" w:after="140"/>
        <w:jc w:val="left"/>
        <w:rPr>
          <w:rFonts w:eastAsia="Times New Roman"/>
          <w:noProof/>
          <w:sz w:val="20"/>
          <w:szCs w:val="20"/>
        </w:rPr>
      </w:pPr>
      <w:r>
        <w:rPr>
          <w:noProof/>
          <w:sz w:val="20"/>
          <w:szCs w:val="20"/>
          <w:shd w:val="clear" w:color="auto" w:fill="FFFFFF"/>
        </w:rPr>
        <w:t>Краен</w:t>
      </w:r>
      <w:r>
        <w:rPr>
          <w:noProof/>
          <w:sz w:val="20"/>
          <w:szCs w:val="20"/>
        </w:rPr>
        <w:t xml:space="preserve"> пункт на превоза: …………….……………………………………………………..</w:t>
      </w:r>
    </w:p>
    <w:p>
      <w:pPr>
        <w:widowControl w:val="0"/>
        <w:spacing w:after="140"/>
        <w:rPr>
          <w:rFonts w:eastAsia="Times New Roman"/>
          <w:noProof/>
          <w:sz w:val="20"/>
          <w:szCs w:val="20"/>
        </w:rPr>
      </w:pPr>
      <w:r>
        <w:rPr>
          <w:noProof/>
          <w:sz w:val="20"/>
          <w:szCs w:val="20"/>
        </w:rPr>
        <w:t>…………………………………………………………..……………………………………………………....</w:t>
      </w:r>
    </w:p>
    <w:p>
      <w:pPr>
        <w:widowControl w:val="0"/>
        <w:spacing w:after="140"/>
        <w:rPr>
          <w:rFonts w:eastAsia="Times New Roman"/>
          <w:noProof/>
          <w:sz w:val="20"/>
          <w:szCs w:val="20"/>
        </w:rPr>
      </w:pPr>
      <w:r>
        <w:rPr>
          <w:noProof/>
          <w:sz w:val="20"/>
          <w:szCs w:val="20"/>
          <w:shd w:val="clear" w:color="auto" w:fill="FFFFFF"/>
        </w:rPr>
        <w:t>Основен</w:t>
      </w:r>
      <w:r>
        <w:rPr>
          <w:noProof/>
          <w:sz w:val="20"/>
          <w:szCs w:val="20"/>
        </w:rPr>
        <w:t xml:space="preserve"> маршрут, с посочени пунктове за качване и слизане на пътници: ………………..……..…………</w:t>
      </w:r>
    </w:p>
    <w:p>
      <w:pPr>
        <w:widowControl w:val="0"/>
        <w:spacing w:after="140"/>
        <w:rPr>
          <w:rFonts w:eastAsia="Times New Roman"/>
          <w:noProof/>
          <w:sz w:val="20"/>
          <w:szCs w:val="20"/>
        </w:rPr>
      </w:pPr>
      <w:r>
        <w:rPr>
          <w:noProof/>
          <w:sz w:val="20"/>
          <w:szCs w:val="20"/>
        </w:rPr>
        <w:t>…………………………………………………………………………………………………………………..</w:t>
      </w:r>
    </w:p>
    <w:p>
      <w:pPr>
        <w:widowControl w:val="0"/>
        <w:spacing w:after="0"/>
        <w:rPr>
          <w:rFonts w:eastAsia="Times New Roman"/>
          <w:noProof/>
          <w:sz w:val="20"/>
          <w:szCs w:val="20"/>
        </w:rPr>
      </w:pPr>
      <w:r>
        <w:rPr>
          <w:noProof/>
          <w:sz w:val="20"/>
          <w:szCs w:val="20"/>
        </w:rPr>
        <w:t>2. Разписание: ………………………………………………………………………………………………..….</w:t>
      </w:r>
    </w:p>
    <w:p>
      <w:pPr>
        <w:widowControl w:val="0"/>
        <w:spacing w:before="0" w:after="140"/>
        <w:rPr>
          <w:rFonts w:eastAsia="Times New Roman"/>
          <w:noProof/>
          <w:sz w:val="20"/>
          <w:szCs w:val="20"/>
        </w:rPr>
      </w:pPr>
      <w:r>
        <w:rPr>
          <w:noProof/>
          <w:sz w:val="20"/>
          <w:szCs w:val="20"/>
        </w:rPr>
        <w:t>(прилага се към настоящото разрешително)</w:t>
      </w:r>
    </w:p>
    <w:p>
      <w:pPr>
        <w:widowControl w:val="0"/>
        <w:spacing w:after="140"/>
        <w:rPr>
          <w:rFonts w:eastAsia="Times New Roman"/>
          <w:noProof/>
          <w:sz w:val="20"/>
          <w:szCs w:val="20"/>
        </w:rPr>
      </w:pPr>
      <w:r>
        <w:rPr>
          <w:noProof/>
          <w:sz w:val="20"/>
          <w:szCs w:val="20"/>
        </w:rPr>
        <w:t>3. Специализиран редовен превоз:</w:t>
      </w:r>
    </w:p>
    <w:p>
      <w:pPr>
        <w:pStyle w:val="Text2"/>
        <w:spacing w:before="0" w:after="140"/>
        <w:jc w:val="left"/>
        <w:rPr>
          <w:noProof/>
          <w:sz w:val="20"/>
          <w:szCs w:val="20"/>
        </w:rPr>
      </w:pPr>
      <w:r>
        <w:rPr>
          <w:noProof/>
          <w:sz w:val="20"/>
          <w:szCs w:val="20"/>
        </w:rPr>
        <w:t>а) категория пътници: ………………….………………….…….</w:t>
      </w:r>
    </w:p>
    <w:p>
      <w:pPr>
        <w:pStyle w:val="Text2"/>
        <w:spacing w:before="0" w:after="140"/>
        <w:jc w:val="left"/>
        <w:rPr>
          <w:rFonts w:eastAsia="Times New Roman"/>
          <w:noProof/>
          <w:sz w:val="20"/>
          <w:szCs w:val="20"/>
        </w:rPr>
      </w:pPr>
      <w:r>
        <w:rPr>
          <w:noProof/>
          <w:sz w:val="20"/>
          <w:szCs w:val="20"/>
        </w:rPr>
        <w:t>……………………………...........................................................................</w:t>
      </w:r>
    </w:p>
    <w:p>
      <w:pPr>
        <w:widowControl w:val="0"/>
        <w:spacing w:after="140"/>
        <w:jc w:val="left"/>
        <w:rPr>
          <w:rFonts w:eastAsia="Times New Roman"/>
          <w:noProof/>
          <w:sz w:val="20"/>
          <w:szCs w:val="20"/>
        </w:rPr>
      </w:pPr>
      <w:r>
        <w:rPr>
          <w:noProof/>
          <w:sz w:val="20"/>
          <w:szCs w:val="20"/>
        </w:rPr>
        <w:t>4. Други условия или специални особености …...…</w:t>
      </w:r>
    </w:p>
    <w:p>
      <w:pPr>
        <w:pStyle w:val="Text2"/>
        <w:spacing w:before="0" w:after="140"/>
        <w:jc w:val="left"/>
        <w:rPr>
          <w:rFonts w:eastAsia="Times New Roman"/>
          <w:noProof/>
          <w:sz w:val="20"/>
          <w:szCs w:val="20"/>
        </w:rPr>
      </w:pPr>
      <w:r>
        <w:rPr>
          <w:noProof/>
          <w:sz w:val="20"/>
          <w:szCs w:val="20"/>
        </w:rPr>
        <w:t>.............................................................................................................</w:t>
      </w:r>
    </w:p>
    <w:p>
      <w:pPr>
        <w:pStyle w:val="Text2"/>
        <w:spacing w:before="0" w:after="140"/>
        <w:jc w:val="left"/>
        <w:rPr>
          <w:rFonts w:eastAsia="Times New Roman"/>
          <w:noProof/>
          <w:sz w:val="20"/>
          <w:szCs w:val="20"/>
        </w:rPr>
      </w:pPr>
      <w:r>
        <w:rPr>
          <w:noProof/>
          <w:sz w:val="20"/>
          <w:szCs w:val="20"/>
        </w:rPr>
        <w:t>.............................................................................................................</w:t>
      </w:r>
    </w:p>
    <w:p>
      <w:pPr>
        <w:pStyle w:val="Text2"/>
        <w:spacing w:before="0" w:after="0"/>
        <w:jc w:val="right"/>
        <w:rPr>
          <w:rFonts w:eastAsia="Times New Roman"/>
          <w:noProof/>
          <w:sz w:val="20"/>
          <w:szCs w:val="20"/>
        </w:rPr>
      </w:pPr>
      <w:r>
        <w:rPr>
          <w:noProof/>
          <w:sz w:val="20"/>
          <w:szCs w:val="20"/>
        </w:rPr>
        <w:t>Печат на органа, издаващ разрешителното:</w:t>
      </w:r>
    </w:p>
    <w:p>
      <w:pPr>
        <w:widowControl w:val="0"/>
        <w:spacing w:after="0"/>
        <w:rPr>
          <w:rFonts w:eastAsia="Times New Roman"/>
          <w:b/>
          <w:noProof/>
          <w:sz w:val="20"/>
          <w:szCs w:val="20"/>
          <w:u w:val="single"/>
        </w:rPr>
      </w:pPr>
      <w:r>
        <w:rPr>
          <w:b/>
          <w:noProof/>
          <w:sz w:val="20"/>
          <w:szCs w:val="20"/>
          <w:u w:val="single"/>
        </w:rPr>
        <w:t>Важна забележка:</w:t>
      </w:r>
    </w:p>
    <w:p>
      <w:pPr>
        <w:pStyle w:val="Point0number"/>
        <w:numPr>
          <w:ilvl w:val="0"/>
          <w:numId w:val="1"/>
        </w:numPr>
        <w:rPr>
          <w:noProof/>
          <w:sz w:val="20"/>
          <w:szCs w:val="20"/>
        </w:rPr>
      </w:pPr>
      <w:r>
        <w:rPr>
          <w:noProof/>
          <w:sz w:val="20"/>
          <w:szCs w:val="20"/>
        </w:rPr>
        <w:t>Настоящото разрешително е валидно за цялото пътуване.</w:t>
      </w:r>
    </w:p>
    <w:p>
      <w:pPr>
        <w:pStyle w:val="Point0number"/>
        <w:numPr>
          <w:ilvl w:val="0"/>
          <w:numId w:val="1"/>
        </w:numPr>
        <w:rPr>
          <w:noProof/>
          <w:sz w:val="20"/>
          <w:szCs w:val="20"/>
        </w:rPr>
      </w:pPr>
      <w:r>
        <w:rPr>
          <w:noProof/>
          <w:sz w:val="20"/>
          <w:szCs w:val="20"/>
        </w:rPr>
        <w:t>Разрешителното или негово копие, заверено от издалия го разрешаващ орган, се съхранява на борда на превозното средство през цялото времетраене на пътуването и се представя при поискване на длъжностните лица по изпълнението.</w:t>
      </w:r>
    </w:p>
    <w:p>
      <w:pPr>
        <w:pStyle w:val="Point0number"/>
        <w:numPr>
          <w:ilvl w:val="0"/>
          <w:numId w:val="1"/>
        </w:numPr>
        <w:rPr>
          <w:noProof/>
        </w:rPr>
      </w:pPr>
      <w:r>
        <w:rPr>
          <w:noProof/>
          <w:sz w:val="20"/>
          <w:szCs w:val="20"/>
        </w:rPr>
        <w:t>Отправният пункт или крайният пункт трябва да бъде на територията на договарящата се страна, в която превозвачът е установен и където са регистрирани автобусите.</w:t>
      </w:r>
    </w:p>
    <w:p>
      <w:pPr>
        <w:spacing w:before="0" w:after="200" w:line="276" w:lineRule="auto"/>
        <w:jc w:val="left"/>
        <w:rPr>
          <w:noProof/>
        </w:rPr>
      </w:pPr>
      <w:r>
        <w:rPr>
          <w:noProof/>
        </w:rPr>
        <w:br w:type="page"/>
      </w:r>
    </w:p>
    <w:p>
      <w:pPr>
        <w:jc w:val="center"/>
        <w:rPr>
          <w:noProof/>
        </w:rPr>
      </w:pPr>
      <w:r>
        <w:rPr>
          <w:noProof/>
        </w:rPr>
        <w:t>(Страница трета на разрешителното)</w:t>
      </w:r>
    </w:p>
    <w:p>
      <w:pPr>
        <w:spacing w:after="0"/>
        <w:jc w:val="center"/>
        <w:rPr>
          <w:b/>
          <w:noProof/>
        </w:rPr>
      </w:pPr>
      <w:r>
        <w:rPr>
          <w:b/>
          <w:noProof/>
        </w:rPr>
        <w:t>ОБЩИ СЪОБРАЖЕНИЯ</w:t>
      </w:r>
    </w:p>
    <w:p>
      <w:pPr>
        <w:spacing w:after="0"/>
        <w:rPr>
          <w:noProof/>
        </w:rPr>
      </w:pPr>
      <w:r>
        <w:rPr>
          <w:noProof/>
        </w:rPr>
        <w:t>(1)</w:t>
      </w:r>
      <w:r>
        <w:rPr>
          <w:noProof/>
        </w:rPr>
        <w:tab/>
        <w:t>Превозвачът започва да извършва транспортната услуга в срока, посочен в решението на разрешаващия орган, издал разрешителното.</w:t>
      </w:r>
    </w:p>
    <w:p>
      <w:pPr>
        <w:spacing w:after="0"/>
        <w:rPr>
          <w:noProof/>
          <w:szCs w:val="24"/>
        </w:rPr>
      </w:pPr>
      <w:r>
        <w:rPr>
          <w:noProof/>
        </w:rPr>
        <w:t>(2)</w:t>
      </w:r>
      <w:r>
        <w:rPr>
          <w:noProof/>
        </w:rPr>
        <w:tab/>
        <w:t>Освен в случаите на непреодолима сила, превозвачът, извършващ международен редовен или специализиран редовен превоз, взема всички необходими мерки, за да осигури транспортна услуга, която съответства на посочените в разрешителното условия.</w:t>
      </w:r>
    </w:p>
    <w:p>
      <w:pPr>
        <w:spacing w:after="0"/>
        <w:rPr>
          <w:noProof/>
          <w:szCs w:val="24"/>
        </w:rPr>
      </w:pPr>
      <w:r>
        <w:rPr>
          <w:noProof/>
        </w:rPr>
        <w:t>(3)</w:t>
      </w:r>
      <w:r>
        <w:rPr>
          <w:noProof/>
        </w:rPr>
        <w:tab/>
        <w:t>Превозвачът следва да направи обществено достъпна информацията относно маршрута, местата за спиране, разписанието, цените на билетите и условията на превоза.</w:t>
      </w:r>
    </w:p>
    <w:p>
      <w:pPr>
        <w:spacing w:after="0"/>
        <w:rPr>
          <w:noProof/>
          <w:szCs w:val="24"/>
        </w:rPr>
      </w:pPr>
      <w:r>
        <w:rPr>
          <w:noProof/>
        </w:rPr>
        <w:t>(4)</w:t>
      </w:r>
      <w:r>
        <w:rPr>
          <w:noProof/>
        </w:rPr>
        <w:tab/>
        <w:t>Компетентните органи на заинтересованите договарящи се страни могат по общо съгласие и със съгласието на притежателя на разрешителното да променят условията, приложими за извършването на международен редовен и специализиран редовен превоз.</w:t>
      </w:r>
    </w:p>
    <w:p>
      <w:pPr>
        <w:spacing w:after="0"/>
        <w:rPr>
          <w:noProof/>
          <w:szCs w:val="24"/>
        </w:rPr>
      </w:pPr>
      <w:r>
        <w:rPr>
          <w:noProof/>
        </w:rPr>
        <w:t>(5)</w:t>
      </w:r>
      <w:r>
        <w:rPr>
          <w:noProof/>
        </w:rPr>
        <w:tab/>
        <w:t>В допълнение към документите, свързани с превозното средство и водача (например удостоверение за регистрация на превозното средство, шофьорска книжка) следните документи служат за контролни документи съгласно настоящия Протокол, съхраняват се на борда на превозното средство и се представят при поискване на всеки служител, оправомощен да извършва проверки:</w:t>
      </w:r>
    </w:p>
    <w:p>
      <w:pPr>
        <w:spacing w:after="0"/>
        <w:rPr>
          <w:noProof/>
        </w:rPr>
      </w:pPr>
      <w:r>
        <w:rPr>
          <w:noProof/>
        </w:rPr>
        <w:t>–</w:t>
      </w:r>
      <w:r>
        <w:rPr>
          <w:noProof/>
        </w:rPr>
        <w:tab/>
        <w:t>разрешителното за извършване на международен редовен или специализиран редовен превоз, или негово заверено копие;</w:t>
      </w:r>
    </w:p>
    <w:p>
      <w:pPr>
        <w:spacing w:after="0"/>
        <w:rPr>
          <w:noProof/>
          <w:szCs w:val="24"/>
        </w:rPr>
      </w:pPr>
      <w:r>
        <w:rPr>
          <w:noProof/>
        </w:rPr>
        <w:t>–</w:t>
      </w:r>
      <w:r>
        <w:rPr>
          <w:noProof/>
        </w:rPr>
        <w:tab/>
        <w:t>лицензът на превозвача за извършване на международни автомобилни превози на пътници, издаден съгласно националното законодателство или законодателството на ЕС, или заверено копие на този лиценз;</w:t>
      </w:r>
    </w:p>
    <w:p>
      <w:pPr>
        <w:spacing w:after="0"/>
        <w:rPr>
          <w:noProof/>
          <w:szCs w:val="24"/>
        </w:rPr>
      </w:pPr>
      <w:r>
        <w:rPr>
          <w:noProof/>
        </w:rPr>
        <w:t>–</w:t>
      </w:r>
      <w:r>
        <w:rPr>
          <w:noProof/>
        </w:rPr>
        <w:tab/>
        <w:t>когато се извършва международен специализиран редовен превоз: договорът между организатора и превозвача, или заверено копие от него, както и документ, удостоверяващ, че пътниците са специфична категория, изключвайки други пътници, за целите на специализиран редовен превоз;</w:t>
      </w:r>
    </w:p>
    <w:p>
      <w:pPr>
        <w:spacing w:after="0"/>
        <w:rPr>
          <w:rFonts w:eastAsia="Arial Unicode MS"/>
          <w:noProof/>
          <w:szCs w:val="24"/>
        </w:rPr>
      </w:pPr>
      <w:r>
        <w:rPr>
          <w:noProof/>
        </w:rPr>
        <w:t>–</w:t>
      </w:r>
      <w:r>
        <w:rPr>
          <w:noProof/>
        </w:rPr>
        <w:tab/>
        <w:t>когато превозвачът, извършващ редовен или специализиран редовен превоз, използва допълнителни превозни средства, за да се справи с временни или извънредни ситуации, в допълнение към посочените по-горе документи – копие от договора, сключен между превозвача, извършващ международния редовен или специализиран редовен превоз, и предприятието, което предоставя допълнителните превозни средства, или равностоен документ.</w:t>
      </w:r>
    </w:p>
    <w:p>
      <w:pPr>
        <w:jc w:val="center"/>
        <w:rPr>
          <w:noProof/>
          <w:szCs w:val="24"/>
        </w:rPr>
      </w:pPr>
      <w:r>
        <w:rPr>
          <w:noProof/>
        </w:rPr>
        <w:br w:type="page"/>
        <w:t>(Страница четвърта на разрешителното)</w:t>
      </w:r>
    </w:p>
    <w:p>
      <w:pPr>
        <w:jc w:val="center"/>
        <w:rPr>
          <w:noProof/>
        </w:rPr>
      </w:pPr>
      <w:r>
        <w:rPr>
          <w:b/>
          <w:noProof/>
        </w:rPr>
        <w:t>ОБЩИ СЪОБРАЖЕНИЯ</w:t>
      </w:r>
      <w:r>
        <w:rPr>
          <w:noProof/>
        </w:rPr>
        <w:t xml:space="preserve"> (продължение)</w:t>
      </w:r>
    </w:p>
    <w:p>
      <w:pPr>
        <w:rPr>
          <w:noProof/>
          <w:szCs w:val="24"/>
        </w:rPr>
      </w:pPr>
      <w:r>
        <w:rPr>
          <w:noProof/>
        </w:rPr>
        <w:t>(6)</w:t>
      </w:r>
      <w:r>
        <w:rPr>
          <w:noProof/>
        </w:rPr>
        <w:tab/>
        <w:t>Превозвачите, извършващи международен редовен превоз, с изключение на специализиран редовен превоз, издават билети за пътуване, които потвърждават правото на пътника да бъде превозен и служат като контролен документ, който е доказателство, че между пътника и превозвача е сключен договор за превозване, индивидуален или колективен. Билетите могат да са също и електронни и в тях трябва да е посочено:</w:t>
      </w:r>
    </w:p>
    <w:p>
      <w:pPr>
        <w:pStyle w:val="Point1"/>
        <w:rPr>
          <w:noProof/>
          <w:shd w:val="clear" w:color="auto" w:fill="FFFFFF"/>
        </w:rPr>
      </w:pPr>
      <w:r>
        <w:rPr>
          <w:noProof/>
        </w:rPr>
        <w:t>а)</w:t>
      </w:r>
      <w:r>
        <w:rPr>
          <w:noProof/>
        </w:rPr>
        <w:tab/>
      </w:r>
      <w:r>
        <w:rPr>
          <w:noProof/>
          <w:shd w:val="clear" w:color="auto" w:fill="FFFFFF"/>
        </w:rPr>
        <w:t>названието на превозвача;</w:t>
      </w:r>
    </w:p>
    <w:p>
      <w:pPr>
        <w:pStyle w:val="Point1"/>
        <w:rPr>
          <w:noProof/>
          <w:shd w:val="clear" w:color="auto" w:fill="FFFFFF"/>
        </w:rPr>
      </w:pPr>
      <w:r>
        <w:rPr>
          <w:noProof/>
        </w:rPr>
        <w:t>б)</w:t>
      </w:r>
      <w:r>
        <w:rPr>
          <w:noProof/>
        </w:rPr>
        <w:tab/>
      </w:r>
      <w:r>
        <w:rPr>
          <w:noProof/>
          <w:shd w:val="clear" w:color="auto" w:fill="FFFFFF"/>
        </w:rPr>
        <w:t>отправният и крайният пункт, и — ако е приложимо — обратното пътуване;</w:t>
      </w:r>
    </w:p>
    <w:p>
      <w:pPr>
        <w:pStyle w:val="Point1"/>
        <w:rPr>
          <w:noProof/>
          <w:shd w:val="clear" w:color="auto" w:fill="FFFFFF"/>
        </w:rPr>
      </w:pPr>
      <w:r>
        <w:rPr>
          <w:noProof/>
        </w:rPr>
        <w:t>в)</w:t>
      </w:r>
      <w:r>
        <w:rPr>
          <w:noProof/>
        </w:rPr>
        <w:tab/>
      </w:r>
      <w:r>
        <w:rPr>
          <w:noProof/>
          <w:shd w:val="clear" w:color="auto" w:fill="FFFFFF"/>
        </w:rPr>
        <w:t>срокът на валидност на билета, и ако е приложимо — дата и час на тръгване;</w:t>
      </w:r>
    </w:p>
    <w:p>
      <w:pPr>
        <w:pStyle w:val="Point1"/>
        <w:rPr>
          <w:noProof/>
          <w:shd w:val="clear" w:color="auto" w:fill="FFFFFF"/>
        </w:rPr>
      </w:pPr>
      <w:r>
        <w:rPr>
          <w:noProof/>
        </w:rPr>
        <w:t>г)</w:t>
      </w:r>
      <w:r>
        <w:rPr>
          <w:noProof/>
        </w:rPr>
        <w:tab/>
      </w:r>
      <w:r>
        <w:rPr>
          <w:noProof/>
          <w:shd w:val="clear" w:color="auto" w:fill="FFFFFF"/>
        </w:rPr>
        <w:t>цената на пътуването.</w:t>
      </w:r>
    </w:p>
    <w:p>
      <w:pPr>
        <w:rPr>
          <w:noProof/>
        </w:rPr>
      </w:pPr>
      <w:r>
        <w:rPr>
          <w:noProof/>
        </w:rPr>
        <w:t>Пътникът представя билета за пътуване при поискване на всеки служител, упълномощен да извършва проверки.</w:t>
      </w:r>
    </w:p>
    <w:p>
      <w:pPr>
        <w:rPr>
          <w:noProof/>
          <w:szCs w:val="24"/>
        </w:rPr>
      </w:pPr>
      <w:r>
        <w:rPr>
          <w:noProof/>
        </w:rPr>
        <w:t>(7)</w:t>
      </w:r>
      <w:r>
        <w:rPr>
          <w:noProof/>
        </w:rPr>
        <w:tab/>
        <w:t>Превозвачите, извършващи международни редовни или специализирани редовни превози на пътници, позволяват извършването на проверки, които имат за цел да гарантират, че дейността се извършва правилно, по-специално по отношение на периодите на управление на превозното средство и на почивка на водачите, пътната безопасност и емисиите.</w:t>
      </w:r>
    </w:p>
    <w:p>
      <w:pPr>
        <w:jc w:val="center"/>
        <w:rPr>
          <w:noProof/>
          <w:szCs w:val="23"/>
        </w:rPr>
      </w:pPr>
      <w:r>
        <w:rPr>
          <w:noProof/>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321, 26.11.2002 г., стр. 13.</w:t>
      </w:r>
    </w:p>
  </w:footnote>
  <w:footnote w:id="2">
    <w:p>
      <w:pPr>
        <w:pStyle w:val="FootnoteText"/>
      </w:pPr>
      <w:r>
        <w:rPr>
          <w:rStyle w:val="FootnoteReference"/>
        </w:rPr>
        <w:footnoteRef/>
      </w:r>
      <w:r>
        <w:tab/>
        <w:t>ОВ L 321, 26.11.2002 г., стр. 44.</w:t>
      </w:r>
    </w:p>
  </w:footnote>
  <w:footnote w:id="3">
    <w:p>
      <w:pPr>
        <w:pStyle w:val="FootnoteText"/>
        <w:spacing w:after="60"/>
      </w:pPr>
      <w:r>
        <w:rPr>
          <w:rStyle w:val="FootnoteReference"/>
        </w:rPr>
        <w:footnoteRef/>
      </w:r>
      <w:r>
        <w:tab/>
        <w:t>ОВ L 321, 26.11.2002 г., стр. 13.</w:t>
      </w:r>
    </w:p>
  </w:footnote>
  <w:footnote w:id="4">
    <w:p>
      <w:pPr>
        <w:pStyle w:val="FootnoteText"/>
      </w:pPr>
      <w:r>
        <w:rPr>
          <w:rStyle w:val="FootnoteReference"/>
        </w:rPr>
        <w:footnoteRef/>
      </w:r>
      <w:r>
        <w:tab/>
        <w:t>ОВ L 321, 26.11.2002 г., стр. 44.</w:t>
      </w:r>
    </w:p>
  </w:footnote>
  <w:footnote w:id="5">
    <w:p>
      <w:pPr>
        <w:pStyle w:val="FootnoteText"/>
        <w:spacing w:after="60"/>
      </w:pPr>
      <w:r>
        <w:rPr>
          <w:rStyle w:val="FootnoteReference"/>
        </w:rPr>
        <w:footnoteRef/>
      </w:r>
      <w:r>
        <w:tab/>
        <w:t>В настоящия член за „превозвачи“ на английски език се използват термините „operators“ и „carriers“.</w:t>
      </w:r>
    </w:p>
  </w:footnote>
  <w:footnote w:id="6">
    <w:p>
      <w:pPr>
        <w:pStyle w:val="FootnoteText"/>
        <w:spacing w:after="60"/>
      </w:pPr>
      <w:r>
        <w:rPr>
          <w:rStyle w:val="FootnoteReference"/>
        </w:rPr>
        <w:footnoteRef/>
      </w:r>
      <w:r>
        <w:tab/>
        <w:t>Отбележете с отметка или попълнете необходимата информация.</w:t>
      </w:r>
    </w:p>
  </w:footnote>
  <w:footnote w:id="7">
    <w:p>
      <w:pPr>
        <w:pStyle w:val="FootnoteText"/>
        <w:spacing w:after="60"/>
      </w:pPr>
      <w:r>
        <w:rPr>
          <w:rStyle w:val="FootnoteReference"/>
        </w:rPr>
        <w:footnoteRef/>
      </w:r>
      <w:r>
        <w:tab/>
        <w:t>Ако е уместно, приложете списък.</w:t>
      </w:r>
    </w:p>
  </w:footnote>
  <w:footnote w:id="8">
    <w:p>
      <w:pPr>
        <w:pStyle w:val="FootnoteText"/>
        <w:spacing w:after="60"/>
      </w:pPr>
      <w:r>
        <w:rPr>
          <w:rStyle w:val="FootnoteReference"/>
        </w:rPr>
        <w:footnoteRef/>
      </w:r>
      <w:r>
        <w:tab/>
        <w:t>Отбележете с отметка или попълнете необходимата информация.</w:t>
      </w:r>
    </w:p>
  </w:footnote>
  <w:footnote w:id="9">
    <w:p>
      <w:pPr>
        <w:pStyle w:val="FootnoteText"/>
        <w:spacing w:after="60"/>
      </w:pPr>
      <w:r>
        <w:rPr>
          <w:rStyle w:val="FootnoteReference"/>
        </w:rPr>
        <w:footnoteRef/>
      </w:r>
      <w:r>
        <w:tab/>
        <w:t>Разрешаващият орган може да изиска към това заявление да бъде приложен отделен пълен списък на пунктовете, където се качват и слизат пътници.</w:t>
      </w:r>
    </w:p>
  </w:footnote>
  <w:footnote w:id="10">
    <w:p>
      <w:pPr>
        <w:pStyle w:val="FootnoteText"/>
        <w:spacing w:after="60"/>
      </w:pPr>
      <w:r>
        <w:rPr>
          <w:rStyle w:val="FootnoteReference"/>
        </w:rPr>
        <w:footnoteRef/>
      </w:r>
      <w:r>
        <w:tab/>
      </w:r>
      <w:r>
        <w:rPr>
          <w:rStyle w:val="Notedebasdepage"/>
          <w:sz w:val="20"/>
          <w:szCs w:val="20"/>
        </w:rPr>
        <w:t>Попълнете, както е уместно.</w:t>
      </w:r>
    </w:p>
  </w:footnote>
  <w:footnote w:id="11">
    <w:p>
      <w:pPr>
        <w:pStyle w:val="FootnoteText"/>
        <w:spacing w:after="60"/>
      </w:pPr>
      <w:r>
        <w:rPr>
          <w:rStyle w:val="FootnoteReference"/>
        </w:rPr>
        <w:footnoteRef/>
      </w:r>
      <w:r>
        <w:tab/>
        <w:t>Да се попълни: Албания (AL), Австрия (A), Белгия (B), Босна и Херцеговина (BIH), България (BG), Кипър (CY), Хърватия (HR), Чешка република (CZ), Дания (DK), Естония (EST), Финландия (FIN), Франция (F), Германия (D), Гърция (GR), Унгария (H), Ирландия (IRL), Италия (I), Латвия (LV), Литва (LT), Люксембург (L), Малта (MT), Република Молдова (MD), Черна гора (ME), Нидерландия (NL), Северна Македония (MK), Полша (PL), Португалия (P), Румъния (RO), Словашка република (SK), Словения (SLO), Испания (E), Швеция (S), Турция (TR), Украйна (UA), Обединено кралство (UK).</w:t>
      </w:r>
    </w:p>
  </w:footnote>
  <w:footnote w:id="12">
    <w:p>
      <w:pPr>
        <w:pStyle w:val="FootnoteText"/>
        <w:spacing w:after="60"/>
      </w:pPr>
      <w:r>
        <w:rPr>
          <w:rStyle w:val="FootnoteReference"/>
        </w:rPr>
        <w:footnoteRef/>
      </w:r>
      <w:r>
        <w:tab/>
        <w:t>Отбележете с отметка или попълнете необходимата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26"/>
  </w:num>
  <w:num w:numId="24">
    <w:abstractNumId w:val="19"/>
  </w:num>
  <w:num w:numId="25">
    <w:abstractNumId w:val="28"/>
  </w:num>
  <w:num w:numId="26">
    <w:abstractNumId w:val="13"/>
  </w:num>
  <w:num w:numId="27">
    <w:abstractNumId w:val="20"/>
  </w:num>
  <w:num w:numId="28">
    <w:abstractNumId w:val="11"/>
  </w:num>
  <w:num w:numId="29">
    <w:abstractNumId w:val="27"/>
  </w:num>
  <w:num w:numId="30">
    <w:abstractNumId w:val="9"/>
  </w:num>
  <w:num w:numId="31">
    <w:abstractNumId w:val="22"/>
  </w:num>
  <w:num w:numId="32">
    <w:abstractNumId w:val="24"/>
  </w:num>
  <w:num w:numId="33">
    <w:abstractNumId w:val="25"/>
  </w:num>
  <w:num w:numId="34">
    <w:abstractNumId w:val="12"/>
  </w:num>
  <w:num w:numId="35">
    <w:abstractNumId w:val="23"/>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474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9 09:23: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D090E16-5283-4533-BF95-38A4F831984A"/>
    <w:docVar w:name="LW_COVERPAGE_TYPE" w:val="1"/>
    <w:docVar w:name="LW_CROSSREFERENCE" w:val="&lt;UNUSED&gt;"/>
    <w:docVar w:name="LW_DocType" w:val="ANNEX"/>
    <w:docVar w:name="LW_EMISSION" w:val="18.9.2020"/>
    <w:docVar w:name="LW_EMISSION_ISODATE" w:val="2020-09-18"/>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lt;/FMT&gt;_x000b__x000d__x000d__x000d__x000d__x000d__x000d__x000d__x000d__x000d__x000d__x000b_"/>
    <w:docVar w:name="LW_OBJETACTEPRINCIPAL.CP" w:val="&lt;FMT:Font=Calibri Cyr&gt;\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lt;/FMT&gt;_x000b__x000d__x000d__x000d__x000d__x000d__x000d__x000d__x000d__x000d__x000d__x000b_"/>
    <w:docVar w:name="LW_PART_NBR" w:val="1"/>
    <w:docVar w:name="LW_PART_NBR_TOTAL" w:val="1"/>
    <w:docVar w:name="LW_REF.INST.NEW" w:val="COM"/>
    <w:docVar w:name="LW_REF.INST.NEW_ADOPTED" w:val="final"/>
    <w:docVar w:name="LW_REF.INST.NEW_TEXT" w:val="(2020) 5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45?\u1064?\u1045?\u1053?\u1048?\u1045? \u1053?\u1040? \u1057?\u1066?\u1042?\u1045?\u1058?\u1040?"/>
    <w:docVar w:name="LW_TYPEACTEPRINCIPAL.CP" w:val="\u1055?\u1088?\u1077?\u1076?\u1083?\u1086?\u1078?\u1077?\u1085?\u1080?\u1077? \u1079?\u1072?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bg-BG" w:eastAsia="fr-BE"/>
    </w:rPr>
  </w:style>
  <w:style w:type="character" w:customStyle="1" w:styleId="Heading6Char">
    <w:name w:val="Heading 6 Char"/>
    <w:basedOn w:val="DefaultParagraphFont"/>
    <w:link w:val="Heading6"/>
    <w:rPr>
      <w:rFonts w:ascii="Arial" w:eastAsia="Times New Roman" w:hAnsi="Arial" w:cs="Times New Roman"/>
      <w:i/>
      <w:szCs w:val="20"/>
      <w:lang w:val="bg-BG" w:eastAsia="fr-BE"/>
    </w:rPr>
  </w:style>
  <w:style w:type="character" w:customStyle="1" w:styleId="Heading7Char">
    <w:name w:val="Heading 7 Char"/>
    <w:basedOn w:val="DefaultParagraphFont"/>
    <w:link w:val="Heading7"/>
    <w:rPr>
      <w:rFonts w:ascii="Arial" w:eastAsia="Times New Roman" w:hAnsi="Arial" w:cs="Times New Roman"/>
      <w:sz w:val="20"/>
      <w:szCs w:val="20"/>
      <w:lang w:val="bg-BG"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047B-15C1-4903-AEFF-7B4D359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23</Pages>
  <Words>6056</Words>
  <Characters>37911</Characters>
  <Application>Microsoft Office Word</Application>
  <DocSecurity>0</DocSecurity>
  <Lines>729</Lines>
  <Paragraphs>382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9</cp:revision>
  <cp:lastPrinted>2018-04-24T09:49:00Z</cp:lastPrinted>
  <dcterms:created xsi:type="dcterms:W3CDTF">2020-08-31T13:25:00Z</dcterms:created>
  <dcterms:modified xsi:type="dcterms:W3CDTF">2020-09-09T07:23:00Z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