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76055E6-1765-4D18-9045-0F9817CD707D" style="width:450.75pt;height:43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СПОРАЗУМЕНИЕ</w:t>
      </w:r>
    </w:p>
    <w:p>
      <w:pPr>
        <w:keepNext/>
        <w:spacing w:before="600"/>
        <w:jc w:val="center"/>
        <w:rPr>
          <w:b/>
          <w:noProof/>
        </w:rPr>
      </w:pPr>
      <w:r>
        <w:rPr>
          <w:b/>
          <w:noProof/>
        </w:rPr>
        <w:t>за изменение на Временното споразумение за партньорство между Европейската общност, от една страна, и държавите от Тихоокеанския басейн, от друга страна, по отношение на присъединяването на Независимата държава Самоа и Соломоновите острови и бъдещите присъединявания на други тихоокеански островни държави</w:t>
      </w:r>
    </w:p>
    <w:p>
      <w:pPr>
        <w:keepNext/>
        <w:spacing w:before="600"/>
        <w:rPr>
          <w:noProof/>
        </w:rPr>
      </w:pPr>
      <w:r>
        <w:rPr>
          <w:noProof/>
        </w:rPr>
        <w:t>ЕВРОПЕЙСКИЯТ СЪЮЗ,</w:t>
      </w:r>
    </w:p>
    <w:p>
      <w:pPr>
        <w:rPr>
          <w:noProof/>
        </w:rPr>
      </w:pPr>
      <w:r>
        <w:rPr>
          <w:noProof/>
        </w:rPr>
        <w:t>от една страна, и</w:t>
      </w:r>
    </w:p>
    <w:p>
      <w:pPr>
        <w:rPr>
          <w:noProof/>
        </w:rPr>
      </w:pPr>
      <w:r>
        <w:rPr>
          <w:noProof/>
        </w:rPr>
        <w:t>РЕПУБЛИКА ФИДЖИ (наричана по-долу „Фиджи“),</w:t>
      </w:r>
    </w:p>
    <w:p>
      <w:pPr>
        <w:rPr>
          <w:noProof/>
        </w:rPr>
      </w:pPr>
      <w:r>
        <w:rPr>
          <w:noProof/>
        </w:rPr>
        <w:t>НЕЗАВИСИМАТА ДЪРЖАВА ПАПУА-НОВА ГВИНЕЯ (наричана по-долу „Папуа-Нова Гвинея“),</w:t>
      </w:r>
    </w:p>
    <w:p>
      <w:pPr>
        <w:rPr>
          <w:noProof/>
        </w:rPr>
      </w:pPr>
      <w:r>
        <w:rPr>
          <w:noProof/>
        </w:rPr>
        <w:t>НЕЗАВИСИМАТА ДЪРЖАВА САМОА (наричана по-долу „Самоа“) и</w:t>
      </w:r>
    </w:p>
    <w:p>
      <w:pPr>
        <w:rPr>
          <w:noProof/>
        </w:rPr>
      </w:pPr>
      <w:r>
        <w:rPr>
          <w:noProof/>
        </w:rPr>
        <w:t>СОЛОМОНОВИТЕ ОСТРОВИ (наричани по-долу „Соломоновите острови“),</w:t>
      </w:r>
    </w:p>
    <w:p>
      <w:pPr>
        <w:rPr>
          <w:noProof/>
        </w:rPr>
      </w:pPr>
      <w:r>
        <w:rPr>
          <w:noProof/>
        </w:rPr>
        <w:t>също наричани по-долу „държавите от Тихоокеанския басейн“,</w:t>
      </w:r>
    </w:p>
    <w:p>
      <w:pPr>
        <w:rPr>
          <w:noProof/>
        </w:rPr>
      </w:pPr>
      <w:r>
        <w:rPr>
          <w:noProof/>
        </w:rPr>
        <w:t>от друга страна,</w:t>
      </w:r>
    </w:p>
    <w:p>
      <w:pPr>
        <w:rPr>
          <w:noProof/>
        </w:rPr>
      </w:pPr>
      <w:r>
        <w:rPr>
          <w:noProof/>
        </w:rPr>
        <w:t>КАТО ВЗЕХА ПРЕДВИД, ЧЕ Временното споразумение за партньорство между Европейската общност, от една страна, и държавите от Тихоокеанския басейн, от друга страна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(„Временното споразумение за партньорство“), с което се установява рамка за споразумение за икономическо партньорство, подписано в Лондон на 30 юли 2009 г., се прилага временно между Европейския съюз и Папуа-Нова Гвинея от 20 декември 2009 г. и между Европейския съюз и Фиджи от 28 юли 2014 г.;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  <w:szCs w:val="20"/>
        </w:rPr>
        <w:t>КАТО ВЗЕХА ПРЕДВИД факта, че в член 80 от него се предвижда, че други тихоокеански острови могат да се присъединят към споразумението, като подадат предложение за достъп до пазара в съответствие с член ХХIV от ГАТТ от 1994 г.;</w:t>
      </w:r>
    </w:p>
    <w:p>
      <w:pPr>
        <w:rPr>
          <w:noProof/>
        </w:rPr>
      </w:pPr>
      <w:r>
        <w:rPr>
          <w:noProof/>
        </w:rPr>
        <w:t>КАТО ВЗЕХА ПРЕДВИД факта, че с депозирането на своите актове за присъединяване Самоа и Соломоновите острови са се присъединили към Временното споразумение за партньорство съответно на 21 декември 2018 г. и 7 май 2020 г., и така са станали договарящи се страни по споразумението;</w:t>
      </w:r>
    </w:p>
    <w:p>
      <w:pPr>
        <w:rPr>
          <w:noProof/>
        </w:rPr>
      </w:pPr>
      <w:r>
        <w:rPr>
          <w:noProof/>
        </w:rPr>
        <w:t>КАТО ВЗЕХА ПРЕДВИД факта, че Временното споразумение за партньорство се прилага временно между Европейския съюз и Самоа от 31 декември 2018 г., както и между Европейския съюз и Соломоновите острови от 17 май 2020 г.;</w:t>
      </w:r>
    </w:p>
    <w:p>
      <w:pPr>
        <w:rPr>
          <w:noProof/>
        </w:rPr>
      </w:pPr>
      <w:r>
        <w:rPr>
          <w:noProof/>
        </w:rPr>
        <w:t>КАТО ВЗЕХА ПРЕДВИД препоръката от 4 октомври 2019 г. на Комитета по търговия, създаден съгласно Временното споразумение за партньорство, относно измененията, които трябва да се направят в него, за да се вземе предвид присъединяването на тихоокеанските островни държави към Временното споразумение за партньорство;</w:t>
      </w:r>
    </w:p>
    <w:p>
      <w:pPr>
        <w:rPr>
          <w:noProof/>
        </w:rPr>
      </w:pPr>
      <w:r>
        <w:rPr>
          <w:noProof/>
        </w:rPr>
        <w:t>КАТО ПОТВЪРДИХА своя ангажимент за прилагането на Временното споразумение за партньорство и изявиха желание да работят заедно за постигането на целите на споразумението;</w:t>
      </w:r>
    </w:p>
    <w:p>
      <w:pPr>
        <w:rPr>
          <w:noProof/>
        </w:rPr>
      </w:pPr>
      <w:r>
        <w:rPr>
          <w:noProof/>
        </w:rPr>
        <w:t>КАТО ИЗЯВИХА ЖЕЛАНИЕ да улеснят присъединяването на други тихоокеански островни държави към Временното споразумение за партньорство и да им предоставят ползите, произтичащи от споразумението,</w:t>
      </w:r>
    </w:p>
    <w:p>
      <w:pPr>
        <w:keepNext/>
        <w:rPr>
          <w:noProof/>
        </w:rPr>
      </w:pPr>
      <w:r>
        <w:rPr>
          <w:noProof/>
        </w:rPr>
        <w:t>РЕШИХА ДА СКЛЮЧАТ НАСТОЯЩОТО СПОРАЗУМЕНИЕ: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1</w:t>
      </w:r>
    </w:p>
    <w:p>
      <w:pPr>
        <w:jc w:val="center"/>
        <w:rPr>
          <w:b/>
          <w:noProof/>
        </w:rPr>
      </w:pPr>
      <w:r>
        <w:rPr>
          <w:b/>
          <w:noProof/>
        </w:rPr>
        <w:t>Изменение на Временното споразумение за партньорство</w:t>
      </w:r>
    </w:p>
    <w:p>
      <w:pPr>
        <w:rPr>
          <w:noProof/>
        </w:rPr>
      </w:pPr>
      <w:r>
        <w:rPr>
          <w:noProof/>
        </w:rPr>
        <w:t>Временното споразумение за партньорство между Европейската общност, от една страна, и държавите от Тихоокеанския басейн, от друга страна, се изменя, както следва:</w:t>
      </w:r>
    </w:p>
    <w:p>
      <w:pPr>
        <w:pStyle w:val="NumPar1"/>
        <w:numPr>
          <w:ilvl w:val="0"/>
          <w:numId w:val="10"/>
        </w:numPr>
        <w:rPr>
          <w:noProof/>
        </w:rPr>
      </w:pPr>
      <w:r>
        <w:rPr>
          <w:noProof/>
        </w:rPr>
        <w:t>В член 70 параграф 1 се заменя със следното:</w:t>
      </w:r>
    </w:p>
    <w:p>
      <w:pPr>
        <w:pStyle w:val="Text1"/>
        <w:rPr>
          <w:noProof/>
        </w:rPr>
      </w:pPr>
      <w:r>
        <w:rPr>
          <w:noProof/>
        </w:rPr>
        <w:t>„1.</w:t>
      </w:r>
      <w:r>
        <w:rPr>
          <w:noProof/>
        </w:rPr>
        <w:tab/>
        <w:t>За целите на настоящото споразумение „договарящи страни“ са Европейската общност, наричана „страната по споразумението ЕО“, от една страна, и Папуа-Нова Гвинея, Република Фиджи, Независимата държава Самоа и Соломоновите острови, наричани „държавите от Тихоокеанския басейн“, от друга страна.“.</w:t>
      </w:r>
    </w:p>
    <w:p>
      <w:pPr>
        <w:pStyle w:val="NumPar1"/>
        <w:numPr>
          <w:ilvl w:val="0"/>
          <w:numId w:val="10"/>
        </w:numPr>
        <w:rPr>
          <w:noProof/>
        </w:rPr>
      </w:pPr>
      <w:r>
        <w:rPr>
          <w:noProof/>
        </w:rPr>
        <w:t>В член 80 се добавя следният параграф 3:</w:t>
      </w:r>
    </w:p>
    <w:p>
      <w:pPr>
        <w:pStyle w:val="Text1"/>
        <w:rPr>
          <w:i/>
          <w:noProof/>
        </w:rPr>
      </w:pPr>
      <w:r>
        <w:rPr>
          <w:noProof/>
        </w:rPr>
        <w:t>„3.</w:t>
      </w:r>
      <w:r>
        <w:rPr>
          <w:noProof/>
        </w:rPr>
        <w:tab/>
        <w:t>Комитетът по търговия може да взема решения относно всяко изменение на споразумението, което може да се окаже необходимо след присъединяването на нови тихоокеански островни държави.“.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2</w:t>
      </w:r>
    </w:p>
    <w:p>
      <w:pPr>
        <w:jc w:val="center"/>
        <w:rPr>
          <w:b/>
          <w:noProof/>
        </w:rPr>
      </w:pPr>
      <w:r>
        <w:rPr>
          <w:b/>
          <w:noProof/>
        </w:rPr>
        <w:t>Влизане в сила</w:t>
      </w:r>
    </w:p>
    <w:p>
      <w:pPr>
        <w:pStyle w:val="NumPar1"/>
        <w:numPr>
          <w:ilvl w:val="0"/>
          <w:numId w:val="9"/>
        </w:numPr>
        <w:rPr>
          <w:noProof/>
        </w:rPr>
      </w:pPr>
      <w:r>
        <w:rPr>
          <w:noProof/>
        </w:rPr>
        <w:t>Настоящото споразумение влиза в сила при същите условия като тези, които са предвидени в член 76, параграф 1 от Временното споразумение за партньорство.</w:t>
      </w:r>
    </w:p>
    <w:p>
      <w:pPr>
        <w:pStyle w:val="NumPar1"/>
        <w:numPr>
          <w:ilvl w:val="0"/>
          <w:numId w:val="9"/>
        </w:numPr>
        <w:rPr>
          <w:b/>
          <w:noProof/>
        </w:rPr>
      </w:pPr>
      <w:r>
        <w:rPr>
          <w:noProof/>
        </w:rPr>
        <w:t>Настоящото споразумение се прилага временно при същите условия като тези, които са предвидени в член 76, параграф 2 от Временното споразумение за партньорство.</w:t>
      </w:r>
    </w:p>
    <w:p>
      <w:pPr>
        <w:keepNext/>
        <w:spacing w:before="360"/>
        <w:jc w:val="center"/>
        <w:rPr>
          <w:i/>
          <w:noProof/>
        </w:rPr>
      </w:pPr>
      <w:r>
        <w:rPr>
          <w:i/>
          <w:noProof/>
        </w:rPr>
        <w:t>Член 3</w:t>
      </w:r>
    </w:p>
    <w:p>
      <w:pPr>
        <w:jc w:val="center"/>
        <w:rPr>
          <w:b/>
          <w:noProof/>
        </w:rPr>
      </w:pPr>
      <w:r>
        <w:rPr>
          <w:b/>
          <w:noProof/>
        </w:rPr>
        <w:t>Автентични текстове</w:t>
      </w:r>
    </w:p>
    <w:p>
      <w:pPr>
        <w:rPr>
          <w:noProof/>
        </w:rPr>
      </w:pPr>
      <w:r>
        <w:rPr>
          <w:noProof/>
        </w:rPr>
        <w:t>Настоящото споразумение е съставено в два еднообразни екземпляра на английски, български, гръцки, датски, естонски, испански, италиански, латвийски, литовски, малтийски, немски, нидерландски, полски, португалски, румънски, словашки, словенски, унгарски, фински, френски, чешки, шведски и хърватски език, като всички тези текстове са еднакво автентични.</w:t>
      </w:r>
    </w:p>
    <w:p>
      <w:pPr>
        <w:rPr>
          <w:noProof/>
        </w:rPr>
      </w:pPr>
      <w:r>
        <w:rPr>
          <w:noProof/>
        </w:rPr>
        <w:t>В ПОТВЪРЖДЕНИЕ НА КОЕТО долуподписаните, надлежно упълномощени за целта представители, положиха подписите си под настоящото споразумение.</w:t>
      </w:r>
    </w:p>
    <w:p>
      <w:pPr>
        <w:keepNext/>
        <w:spacing w:after="0"/>
        <w:rPr>
          <w:noProof/>
        </w:rPr>
      </w:pPr>
      <w:r>
        <w:rPr>
          <w:noProof/>
        </w:rPr>
        <w:t xml:space="preserve">Съставено в </w:t>
      </w:r>
      <w:r>
        <w:rPr>
          <w:noProof/>
          <w:color w:val="FF0000"/>
        </w:rPr>
        <w:t xml:space="preserve">[град] </w:t>
      </w:r>
      <w:r>
        <w:rPr>
          <w:noProof/>
        </w:rPr>
        <w:t xml:space="preserve">на </w:t>
      </w:r>
      <w:r>
        <w:rPr>
          <w:noProof/>
          <w:color w:val="FF0000"/>
        </w:rPr>
        <w:t>[дата]</w:t>
      </w:r>
      <w:r>
        <w:rPr>
          <w:noProof/>
        </w:rPr>
        <w:t>.</w:t>
      </w:r>
    </w:p>
    <w:p>
      <w:pPr>
        <w:keepNext/>
        <w:tabs>
          <w:tab w:val="left" w:pos="4252"/>
        </w:tabs>
        <w:spacing w:before="240" w:after="0"/>
        <w:rPr>
          <w:noProof/>
        </w:rPr>
      </w:pPr>
      <w:r>
        <w:rPr>
          <w:noProof/>
        </w:rPr>
        <w:t>За Европейския съюз</w:t>
      </w:r>
    </w:p>
    <w:p>
      <w:pPr>
        <w:keepNext/>
        <w:tabs>
          <w:tab w:val="left" w:pos="4252"/>
        </w:tabs>
        <w:spacing w:before="240" w:after="0"/>
        <w:rPr>
          <w:noProof/>
        </w:rPr>
      </w:pPr>
      <w:r>
        <w:rPr>
          <w:noProof/>
        </w:rPr>
        <w:t>За Република Фиджи</w:t>
      </w:r>
    </w:p>
    <w:p>
      <w:pPr>
        <w:keepNext/>
        <w:tabs>
          <w:tab w:val="left" w:pos="4252"/>
        </w:tabs>
        <w:spacing w:before="240" w:after="0"/>
        <w:rPr>
          <w:noProof/>
        </w:rPr>
      </w:pPr>
      <w:r>
        <w:rPr>
          <w:noProof/>
        </w:rPr>
        <w:t>За Независима държава Папуа-Нова Гвинея</w:t>
      </w:r>
    </w:p>
    <w:p>
      <w:pPr>
        <w:keepNext/>
        <w:tabs>
          <w:tab w:val="left" w:pos="4252"/>
        </w:tabs>
        <w:spacing w:before="240" w:after="0"/>
        <w:rPr>
          <w:noProof/>
        </w:rPr>
      </w:pPr>
      <w:r>
        <w:rPr>
          <w:noProof/>
        </w:rPr>
        <w:t>За Независима държава Самоа</w:t>
      </w:r>
    </w:p>
    <w:p>
      <w:pPr>
        <w:keepNext/>
        <w:tabs>
          <w:tab w:val="left" w:pos="4252"/>
        </w:tabs>
        <w:spacing w:before="240" w:after="0"/>
        <w:rPr>
          <w:noProof/>
        </w:rPr>
      </w:pPr>
      <w:r>
        <w:rPr>
          <w:noProof/>
        </w:rPr>
        <w:t>За Соломонови острови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OB L 272, 16.10.2009 г., стр.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2522F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37A47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AB686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CBA8B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5DC2C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72273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F1CF5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EBE0F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9-14 10:36:0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76055E6-1765-4D18-9045-0F9817CD707D"/>
    <w:docVar w:name="LW_COVERPAGE_TYPE" w:val="1"/>
    <w:docVar w:name="LW_CROSSREFERENCE" w:val="&lt;UNUSED&gt;"/>
    <w:docVar w:name="LW_DocType" w:val="ANNEX"/>
    <w:docVar w:name="LW_EMISSION" w:val="22.9.2020"/>
    <w:docVar w:name="LW_EMISSION_ISODATE" w:val="2020-09-22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6?\u1087?\u1080?\u1089?\u1074?\u1072?\u1085?\u1077?\u1090?\u1086?, \u1086?\u1090? \u1080?\u1084?\u1077?\u1090?\u1086? \u1085?\u1072? \u1045?\u1074?\u1088?\u1086?\u1087?\u1077?\u1081?\u1089?\u1082?\u1080?\u1103? \u1089?\u1098?\u1102?\u1079?, \u1080? \u1074?\u1088?\u1077?\u1084?\u1077?\u1085?\u1085?\u1086?\u1090?\u1086? \u1087?\u1088?\u1080?\u1083?\u1072?\u1075?\u1072?\u1085?\u1077? \u1085?\u1072? \u1057?\u1087?\u1086?\u1088?\u1072?\u1079?\u1091?\u1084?\u1077?\u1085?\u1080?\u1077?\u1090?\u1086? \u1079?\u1072? \u1080?\u1079?\u1084?\u1077?\u1085?\u1077?\u1085?\u1080?\u1077? \u1085?\u1072? \u1042?\u1088?\u1077?\u1084?\u1077?\u1085?\u1085?\u1086?\u1090?\u1086? \u1089?\u1087?\u1086?\u1088?\u1072?\u1079?\u1091?\u1084?\u1077?\u1085?\u1080?\u1077? \u1079?\u1072? \u1087?\u1072?\u1088?\u1090?\u1085?\u1100?\u1086?\u1088?\u1089?\u1090?\u1074?\u1086? \u1084?\u1077?\u1078?\u1076?\u1091? \u1045?\u1074?\u1088?\u1086?\u1087?\u1077?\u1081?\u1089?\u1082?\u1072?\u1090?\u1072? \u1086?\u1073?\u1097?\u1085?\u1086?\u1089?\u1090?, \u1086?\u1090? \u1077?\u1076?\u1085?\u1072? \u1089?\u1090?\u1088?\u1072?\u1085?\u1072?, \u1080? \u1076?\u1098?\u1088?\u1078?\u1072?\u1074?\u1080?\u1090?\u1077? \u1086?\u1090? \u1058?\u1080?\u1093?\u1086?\u1086?\u1082?\u1077?\u1072?\u1085?\u1089?\u1082?\u1080?\u1103? \u1073?\u1072?\u1089?\u1077?\u1081?\u1085?, \u1086?\u1090? \u1076?\u1088?\u1091?\u1075?\u1072? \u1089?\u1090?\u1088?\u1072?\u1085?\u1072?, \u1087?\u1086? \u1086?\u1090?\u1085?\u1086?\u1096?\u1077?\u1085?\u1080?\u1077? \u1085?\u1072? \u1087?\u1088?\u1080?\u1089?\u1098?\u1077?\u1076?\u1080?\u1085?\u1103?\u1074?\u1072?\u1085?\u1077?\u1090?\u1086? \u1085?\u1072? \u1053?\u1077?\u1079?\u1072?\u1074?\u1080?\u1089?\u1080?\u1084?\u1072?\u1090?\u1072? \u1076?\u1098?\u1088?\u1078?\u1072?\u1074?\u1072? \u1057?\u1072?\u1084?\u1086?\u1072? \u1080? \u1057?\u1086?\u1083?\u1086?\u1084?\u1086?\u1085?\u1086?\u1074?\u1080?\u1090?\u1077? \u1086?\u1089?\u1090?\u1088?\u1086?\u1074?\u1080? \u1080? \u1073?\u1098?\u1076?\u1077?\u1097?\u1080?\u1090?\u1077? \u1087?\u1088?\u1080?\u1089?\u1098?\u1077?\u1076?\u1080?\u1085?\u1103?\u1074?\u1072?\u1085?\u1080?\u1103? \u1085?\u1072? \u1076?\u1088?\u1091?\u1075?\u1080? \u1090?\u1080?\u1093?\u1086?\u1086?\u1082?\u1077?\u1072?\u1085?\u1089?\u1082?\u1080? \u1086?\u1089?\u1090?\u1088?\u1086?\u1074?\u1085?\u1080? \u1076?\u1098?\u1088?\u1078?\u1072?\u1074?\u1080?"/>
    <w:docVar w:name="LW_OBJETACTEPRINCIPAL.CP" w:val="\u1086?\u1090?\u1085?\u1086?\u1089?\u1085?\u1086? \u1087?\u1086?\u1076?\u1087?\u1080?\u1089?\u1074?\u1072?\u1085?\u1077?\u1090?\u1086?, \u1086?\u1090? \u1080?\u1084?\u1077?\u1090?\u1086? \u1085?\u1072? \u1045?\u1074?\u1088?\u1086?\u1087?\u1077?\u1081?\u1089?\u1082?\u1080?\u1103? \u1089?\u1098?\u1102?\u1079?, \u1080? \u1074?\u1088?\u1077?\u1084?\u1077?\u1085?\u1085?\u1086?\u1090?\u1086? \u1087?\u1088?\u1080?\u1083?\u1072?\u1075?\u1072?\u1085?\u1077? \u1085?\u1072? \u1057?\u1087?\u1086?\u1088?\u1072?\u1079?\u1091?\u1084?\u1077?\u1085?\u1080?\u1077?\u1090?\u1086? \u1079?\u1072? \u1080?\u1079?\u1084?\u1077?\u1085?\u1077?\u1085?\u1080?\u1077? \u1085?\u1072? \u1042?\u1088?\u1077?\u1084?\u1077?\u1085?\u1085?\u1086?\u1090?\u1086? \u1089?\u1087?\u1086?\u1088?\u1072?\u1079?\u1091?\u1084?\u1077?\u1085?\u1080?\u1077? \u1079?\u1072? \u1087?\u1072?\u1088?\u1090?\u1085?\u1100?\u1086?\u1088?\u1089?\u1090?\u1074?\u1086? \u1084?\u1077?\u1078?\u1076?\u1091? \u1045?\u1074?\u1088?\u1086?\u1087?\u1077?\u1081?\u1089?\u1082?\u1072?\u1090?\u1072? \u1086?\u1073?\u1097?\u1085?\u1086?\u1089?\u1090?, \u1086?\u1090? \u1077?\u1076?\u1085?\u1072? \u1089?\u1090?\u1088?\u1072?\u1085?\u1072?, \u1080? \u1076?\u1098?\u1088?\u1078?\u1072?\u1074?\u1080?\u1090?\u1077? \u1086?\u1090? \u1058?\u1080?\u1093?\u1086?\u1086?\u1082?\u1077?\u1072?\u1085?\u1089?\u1082?\u1080?\u1103? \u1073?\u1072?\u1089?\u1077?\u1081?\u1085?, \u1086?\u1090? \u1076?\u1088?\u1091?\u1075?\u1072? \u1089?\u1090?\u1088?\u1072?\u1085?\u1072?, \u1087?\u1086? \u1086?\u1090?\u1085?\u1086?\u1096?\u1077?\u1085?\u1080?\u1077? \u1085?\u1072? \u1087?\u1088?\u1080?\u1089?\u1098?\u1077?\u1076?\u1080?\u1085?\u1103?\u1074?\u1072?\u1085?\u1077?\u1090?\u1086? \u1085?\u1072? \u1053?\u1077?\u1079?\u1072?\u1074?\u1080?\u1089?\u1080?\u1084?\u1072?\u1090?\u1072? \u1076?\u1098?\u1088?\u1078?\u1072?\u1074?\u1072? \u1057?\u1072?\u1084?\u1086?\u1072? \u1080? \u1057?\u1086?\u1083?\u1086?\u1084?\u1086?\u1085?\u1086?\u1074?\u1080?\u1090?\u1077? \u1086?\u1089?\u1090?\u1088?\u1086?\u1074?\u1080? \u1080? \u1073?\u1098?\u1076?\u1077?\u1097?\u1080?\u1090?\u1077? \u1087?\u1088?\u1080?\u1089?\u1098?\u1077?\u1076?\u1080?\u1085?\u1103?\u1074?\u1072?\u1085?\u1080?\u1103? \u1085?\u1072? \u1076?\u1088?\u1091?\u1075?\u1080? \u1090?\u1080?\u1093?\u1086?\u1086?\u1082?\u1077?\u1072?\u1085?\u1089?\u1082?\u1080? \u1086?\u1089?\u1090?\u1088?\u1086?\u1074?\u1085?\u1080? \u1076?\u1098?\u1088?\u1078?\u1072?\u1074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20) 5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613</Words>
  <Characters>3770</Characters>
  <Application>Microsoft Office Word</Application>
  <DocSecurity>0</DocSecurity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WES PDFC Administrator</cp:lastModifiedBy>
  <cp:revision>9</cp:revision>
  <dcterms:created xsi:type="dcterms:W3CDTF">2020-09-10T11:14:00Z</dcterms:created>
  <dcterms:modified xsi:type="dcterms:W3CDTF">2020-09-14T08:36:00Z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