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63AF738-76F5-4DEB-9101-4276F7B56836"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DRAFT </w:t>
      </w:r>
    </w:p>
    <w:p>
      <w:pPr>
        <w:jc w:val="center"/>
        <w:rPr>
          <w:b/>
          <w:noProof/>
        </w:rPr>
      </w:pPr>
      <w:r>
        <w:rPr>
          <w:b/>
          <w:noProof/>
        </w:rPr>
        <w:t>DECISION No …/… OF THE EU-ARMENIA PARTNERSHIP COMMITTEE</w:t>
      </w:r>
    </w:p>
    <w:p>
      <w:pPr>
        <w:jc w:val="center"/>
        <w:rPr>
          <w:b/>
          <w:noProof/>
        </w:rPr>
      </w:pPr>
      <w:r>
        <w:rPr>
          <w:b/>
          <w:noProof/>
        </w:rPr>
        <w:t>of …</w:t>
      </w:r>
    </w:p>
    <w:p>
      <w:pPr>
        <w:spacing w:after="360"/>
        <w:jc w:val="center"/>
        <w:rPr>
          <w:b/>
          <w:noProof/>
          <w:szCs w:val="24"/>
        </w:rPr>
      </w:pPr>
      <w:r>
        <w:rPr>
          <w:b/>
          <w:noProof/>
          <w:szCs w:val="24"/>
        </w:rPr>
        <w:t xml:space="preserve">amending the list of </w:t>
      </w:r>
      <w:r>
        <w:rPr>
          <w:b/>
          <w:noProof/>
        </w:rPr>
        <w:t xml:space="preserve">arbitrators referred to in Article 339 of the Comprehensive and Enhanced Partnership Agreement between the European Union and the European Atomic Energy Community and their Member States, of the one part, and the Republic of Armenia, of the other part </w:t>
      </w:r>
    </w:p>
    <w:p>
      <w:pPr>
        <w:rPr>
          <w:noProof/>
          <w:lang w:eastAsia="ko-KR"/>
        </w:rPr>
      </w:pPr>
      <w:r>
        <w:rPr>
          <w:noProof/>
        </w:rPr>
        <w:t>THE PARTNERSHIP COMMITTEE,</w:t>
      </w:r>
    </w:p>
    <w:p>
      <w:pPr>
        <w:rPr>
          <w:noProof/>
        </w:rPr>
      </w:pPr>
      <w:r>
        <w:rPr>
          <w:noProof/>
        </w:rPr>
        <w:t xml:space="preserve">Having regard to the Comprehensive and Enhanced </w:t>
      </w:r>
      <w:r>
        <w:rPr>
          <w:noProof/>
          <w:szCs w:val="20"/>
        </w:rPr>
        <w:t xml:space="preserve">Partnership Agreement between the European Union </w:t>
      </w:r>
      <w:r>
        <w:rPr>
          <w:noProof/>
        </w:rPr>
        <w:t>and the European Atomic Energy Community and their Member States, of the one part, and the Republic of Armenia, of the other part (‘the Agreement’), and in particular Article 339(1) thereof,</w:t>
      </w:r>
    </w:p>
    <w:p>
      <w:pPr>
        <w:rPr>
          <w:noProof/>
        </w:rPr>
      </w:pPr>
      <w:r>
        <w:rPr>
          <w:noProof/>
        </w:rPr>
        <w:t>Whereas:</w:t>
      </w:r>
    </w:p>
    <w:p>
      <w:pPr>
        <w:pStyle w:val="Point0number"/>
        <w:numPr>
          <w:ilvl w:val="0"/>
          <w:numId w:val="3"/>
        </w:numPr>
        <w:rPr>
          <w:noProof/>
        </w:rPr>
      </w:pPr>
      <w:r>
        <w:rPr>
          <w:noProof/>
        </w:rPr>
        <w:t xml:space="preserve">The Partnership Committee, at its meeting of 17 October 2019, established a list of 15 individuals who are willing and able to serve as arbitrators (‘the list of arbitrators’). </w:t>
      </w:r>
    </w:p>
    <w:p>
      <w:pPr>
        <w:pStyle w:val="Point0number"/>
        <w:rPr>
          <w:noProof/>
        </w:rPr>
      </w:pPr>
      <w:r>
        <w:rPr>
          <w:noProof/>
        </w:rPr>
        <w:t>In accordance with Article 339(2) of the Agreement, the individuals on the list should be independent, serve in their individual capacities and not take instructions from any organisation or government, or be affiliated with the government of any of the Parties, and should comply with the Code of Conduct.</w:t>
      </w:r>
    </w:p>
    <w:p>
      <w:pPr>
        <w:pStyle w:val="Point0number"/>
        <w:rPr>
          <w:noProof/>
        </w:rPr>
      </w:pPr>
      <w:r>
        <w:rPr>
          <w:noProof/>
        </w:rPr>
        <w:t xml:space="preserve">Armenia has informed the Union that one of the arbitrators it had proposed no longer fulfills the conditions set out in Article 339(2) of the Agreement and therefore proposed another individual as replacement. </w:t>
      </w:r>
    </w:p>
    <w:p>
      <w:pPr>
        <w:pStyle w:val="Point0number"/>
        <w:rPr>
          <w:noProof/>
        </w:rPr>
      </w:pPr>
      <w:r>
        <w:rPr>
          <w:noProof/>
        </w:rPr>
        <w:t>In order to ensure the operation of the provisionally applied provisions of the Agreement, the list of arbitrators should be amended by the Partnership Committee.</w:t>
      </w:r>
    </w:p>
    <w:p>
      <w:pPr>
        <w:pStyle w:val="Point0number"/>
        <w:rPr>
          <w:noProof/>
        </w:rPr>
      </w:pPr>
      <w:r>
        <w:rPr>
          <w:noProof/>
        </w:rPr>
        <w:t>The European Union accepts that the proposed individual fulfills the conditions of Article 339(2) of the Agreement,</w:t>
      </w:r>
    </w:p>
    <w:p>
      <w:pPr>
        <w:rPr>
          <w:noProof/>
        </w:rPr>
      </w:pPr>
      <w:r>
        <w:rPr>
          <w:noProof/>
        </w:rPr>
        <w:t>HAS ADOPTED THIS DECISION:</w:t>
      </w:r>
    </w:p>
    <w:p>
      <w:pPr>
        <w:pStyle w:val="Titrearticle"/>
        <w:rPr>
          <w:noProof/>
        </w:rPr>
      </w:pPr>
      <w:r>
        <w:rPr>
          <w:noProof/>
        </w:rPr>
        <w:t>Article 1</w:t>
      </w:r>
    </w:p>
    <w:p>
      <w:pPr>
        <w:rPr>
          <w:noProof/>
        </w:rPr>
      </w:pPr>
      <w:r>
        <w:rPr>
          <w:noProof/>
        </w:rPr>
        <w:t>The list of individuals who are willing and able to serve as arbitrators, established pursuant to Article 339(1) of the Agreement, is hereby replaced by the list of arbitrators</w:t>
      </w:r>
      <w:r>
        <w:rPr>
          <w:noProof/>
          <w:szCs w:val="24"/>
        </w:rPr>
        <w:t xml:space="preserve"> </w:t>
      </w:r>
      <w:r>
        <w:rPr>
          <w:noProof/>
        </w:rPr>
        <w:t>set out in the Annex to this Decision.</w:t>
      </w:r>
    </w:p>
    <w:p>
      <w:pPr>
        <w:pStyle w:val="Titrearticle"/>
        <w:rPr>
          <w:i w:val="0"/>
          <w:noProof/>
          <w:lang w:eastAsia="ko-KR"/>
        </w:rPr>
      </w:pPr>
      <w:r>
        <w:rPr>
          <w:noProof/>
        </w:rPr>
        <w:t>Article</w:t>
      </w:r>
      <w:r>
        <w:rPr>
          <w:i w:val="0"/>
          <w:noProof/>
          <w:lang w:eastAsia="ko-KR"/>
        </w:rPr>
        <w:t xml:space="preserve"> 2</w:t>
      </w:r>
    </w:p>
    <w:p>
      <w:pPr>
        <w:rPr>
          <w:noProof/>
        </w:rPr>
      </w:pPr>
      <w:r>
        <w:rPr>
          <w:noProof/>
        </w:rPr>
        <w:t xml:space="preserve">This </w:t>
      </w:r>
      <w:r>
        <w:rPr>
          <w:noProof/>
          <w:lang w:eastAsia="ko-KR"/>
        </w:rPr>
        <w:t>Decision</w:t>
      </w:r>
      <w:r>
        <w:rPr>
          <w:noProof/>
        </w:rPr>
        <w:t xml:space="preserve"> shall enter into force on the day of its adoption. </w:t>
      </w:r>
    </w:p>
    <w:p>
      <w:pPr>
        <w:pStyle w:val="Titrearticle"/>
        <w:rPr>
          <w:i w:val="0"/>
          <w:noProof/>
          <w:lang w:eastAsia="ko-KR"/>
        </w:rPr>
      </w:pPr>
      <w:r>
        <w:rPr>
          <w:noProof/>
        </w:rPr>
        <w:t>Article</w:t>
      </w:r>
      <w:r>
        <w:rPr>
          <w:noProof/>
          <w:lang w:eastAsia="ko-KR"/>
        </w:rPr>
        <w:t xml:space="preserve"> 3</w:t>
      </w:r>
    </w:p>
    <w:p>
      <w:pPr>
        <w:rPr>
          <w:i/>
          <w:noProof/>
          <w:lang w:eastAsia="ko-KR"/>
        </w:rPr>
      </w:pPr>
      <w:r>
        <w:rPr>
          <w:noProof/>
          <w:lang w:eastAsia="ko-KR"/>
        </w:rPr>
        <w:t xml:space="preserve">This Decision is drawn up in duplicate in the English language. Each Party may provide translations into its official languages. </w:t>
      </w:r>
    </w:p>
    <w:p>
      <w:pPr>
        <w:spacing w:after="480"/>
        <w:rPr>
          <w:noProof/>
        </w:rPr>
      </w:pPr>
      <w:r>
        <w:rPr>
          <w:noProof/>
        </w:rPr>
        <w:t>Done 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spacing w:before="0" w:after="0"/>
              <w:rPr>
                <w:i/>
                <w:noProof/>
              </w:rPr>
            </w:pPr>
            <w:r>
              <w:rPr>
                <w:i/>
                <w:noProof/>
              </w:rPr>
              <w:t>For the Partnership Committee</w:t>
            </w:r>
          </w:p>
          <w:p>
            <w:pPr>
              <w:spacing w:before="0" w:after="0"/>
              <w:rPr>
                <w:i/>
                <w:noProof/>
              </w:rPr>
            </w:pPr>
          </w:p>
        </w:tc>
      </w:tr>
      <w:tr>
        <w:tc>
          <w:tcPr>
            <w:tcW w:w="4606" w:type="dxa"/>
          </w:tcPr>
          <w:p>
            <w:pPr>
              <w:rPr>
                <w:i/>
                <w:noProof/>
              </w:rPr>
            </w:pPr>
            <w:r>
              <w:rPr>
                <w:i/>
                <w:noProof/>
              </w:rPr>
              <w:t>The Chair</w:t>
            </w:r>
          </w:p>
        </w:tc>
        <w:tc>
          <w:tcPr>
            <w:tcW w:w="4607" w:type="dxa"/>
          </w:tcPr>
          <w:p>
            <w:pPr>
              <w:rPr>
                <w:i/>
                <w:noProof/>
              </w:rPr>
            </w:pPr>
            <w:r>
              <w:rPr>
                <w:i/>
                <w:noProof/>
              </w:rPr>
              <w:t>The Secretaries</w:t>
            </w:r>
          </w:p>
        </w:tc>
      </w:tr>
    </w:tbl>
    <w:p>
      <w:pPr>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noProof/>
          <w:u w:val="single"/>
        </w:rPr>
      </w:pPr>
      <w:r>
        <w:rPr>
          <w:noProof/>
          <w:u w:val="single"/>
        </w:rPr>
        <w:t>ANNEX</w:t>
      </w:r>
    </w:p>
    <w:p>
      <w:pPr>
        <w:pStyle w:val="NormalCentered"/>
        <w:spacing w:after="360"/>
        <w:rPr>
          <w:noProof/>
        </w:rPr>
      </w:pPr>
      <w:r>
        <w:rPr>
          <w:noProof/>
        </w:rPr>
        <w:t>LIST OF ARBITRATORS REFERRED TO IN ARTICLE 339 OF THE AGREEMENT</w:t>
      </w:r>
    </w:p>
    <w:p>
      <w:pPr>
        <w:rPr>
          <w:noProof/>
        </w:rPr>
      </w:pPr>
      <w:r>
        <w:rPr>
          <w:noProof/>
        </w:rPr>
        <w:t>Arbitrators proposed by the European Union</w:t>
      </w:r>
    </w:p>
    <w:p>
      <w:pPr>
        <w:pStyle w:val="Point0"/>
        <w:rPr>
          <w:noProof/>
          <w:lang w:val="fr-BE"/>
        </w:rPr>
      </w:pPr>
      <w:r>
        <w:rPr>
          <w:noProof/>
          <w:lang w:val="fr-BE"/>
        </w:rPr>
        <w:t>1.</w:t>
      </w:r>
      <w:r>
        <w:rPr>
          <w:noProof/>
          <w:lang w:val="fr-BE"/>
        </w:rPr>
        <w:tab/>
        <w:t>Claus-Dieter EHLERMANN</w:t>
      </w:r>
    </w:p>
    <w:p>
      <w:pPr>
        <w:pStyle w:val="Point0"/>
        <w:rPr>
          <w:noProof/>
          <w:lang w:val="fr-BE"/>
        </w:rPr>
      </w:pPr>
      <w:r>
        <w:rPr>
          <w:noProof/>
          <w:lang w:val="fr-BE"/>
        </w:rPr>
        <w:t>2.</w:t>
      </w:r>
      <w:r>
        <w:rPr>
          <w:noProof/>
          <w:lang w:val="fr-BE"/>
        </w:rPr>
        <w:tab/>
        <w:t>Giorgio SACERDOTI</w:t>
      </w:r>
    </w:p>
    <w:p>
      <w:pPr>
        <w:pStyle w:val="Point0"/>
        <w:rPr>
          <w:noProof/>
          <w:lang w:val="fr-BE"/>
        </w:rPr>
      </w:pPr>
      <w:r>
        <w:rPr>
          <w:noProof/>
          <w:lang w:val="fr-BE"/>
        </w:rPr>
        <w:t>3.</w:t>
      </w:r>
      <w:r>
        <w:rPr>
          <w:noProof/>
          <w:lang w:val="fr-BE"/>
        </w:rPr>
        <w:tab/>
        <w:t>Jacques BOURGEOIS</w:t>
      </w:r>
    </w:p>
    <w:p>
      <w:pPr>
        <w:pStyle w:val="Point0"/>
        <w:rPr>
          <w:noProof/>
        </w:rPr>
      </w:pPr>
      <w:r>
        <w:rPr>
          <w:noProof/>
        </w:rPr>
        <w:t>4.</w:t>
      </w:r>
      <w:r>
        <w:rPr>
          <w:noProof/>
        </w:rPr>
        <w:tab/>
        <w:t>Pieter Jan KUIJPER</w:t>
      </w:r>
    </w:p>
    <w:p>
      <w:pPr>
        <w:pStyle w:val="Point0"/>
        <w:spacing w:after="360"/>
        <w:rPr>
          <w:noProof/>
        </w:rPr>
      </w:pPr>
      <w:r>
        <w:rPr>
          <w:noProof/>
        </w:rPr>
        <w:t>5.</w:t>
      </w:r>
      <w:r>
        <w:rPr>
          <w:noProof/>
        </w:rPr>
        <w:tab/>
        <w:t>Ramon TORRENT</w:t>
      </w:r>
    </w:p>
    <w:p>
      <w:pPr>
        <w:rPr>
          <w:noProof/>
        </w:rPr>
      </w:pPr>
      <w:r>
        <w:rPr>
          <w:noProof/>
        </w:rPr>
        <w:t>Arbitrators proposed by the Republic of Armenia</w:t>
      </w:r>
    </w:p>
    <w:p>
      <w:pPr>
        <w:pStyle w:val="Point0"/>
        <w:rPr>
          <w:noProof/>
          <w:lang w:val="es-ES"/>
        </w:rPr>
      </w:pPr>
      <w:r>
        <w:rPr>
          <w:noProof/>
          <w:lang w:val="es-ES"/>
        </w:rPr>
        <w:t>1.</w:t>
      </w:r>
      <w:r>
        <w:rPr>
          <w:noProof/>
          <w:lang w:val="es-ES"/>
        </w:rPr>
        <w:tab/>
        <w:t>Nora SARGSYAN</w:t>
      </w:r>
    </w:p>
    <w:p>
      <w:pPr>
        <w:pStyle w:val="Point0"/>
        <w:rPr>
          <w:noProof/>
          <w:lang w:val="es-ES"/>
        </w:rPr>
      </w:pPr>
      <w:r>
        <w:rPr>
          <w:noProof/>
          <w:lang w:val="es-ES"/>
        </w:rPr>
        <w:t>2.</w:t>
      </w:r>
      <w:r>
        <w:rPr>
          <w:noProof/>
          <w:lang w:val="es-ES"/>
        </w:rPr>
        <w:tab/>
        <w:t>Arman SARGSYAN</w:t>
      </w:r>
    </w:p>
    <w:p>
      <w:pPr>
        <w:pStyle w:val="Point0"/>
        <w:ind w:left="851" w:hanging="851"/>
        <w:rPr>
          <w:noProof/>
          <w:lang w:val="es-ES"/>
        </w:rPr>
      </w:pPr>
      <w:r>
        <w:rPr>
          <w:noProof/>
          <w:lang w:val="es-ES"/>
        </w:rPr>
        <w:t>3.</w:t>
      </w:r>
      <w:r>
        <w:rPr>
          <w:noProof/>
          <w:lang w:val="es-ES"/>
        </w:rPr>
        <w:tab/>
        <w:t>Arsen TAVADYAN</w:t>
      </w:r>
    </w:p>
    <w:p>
      <w:pPr>
        <w:pStyle w:val="Point0"/>
        <w:ind w:left="851" w:hanging="851"/>
        <w:rPr>
          <w:noProof/>
        </w:rPr>
      </w:pPr>
      <w:r>
        <w:rPr>
          <w:noProof/>
        </w:rPr>
        <w:t>4.</w:t>
      </w:r>
      <w:r>
        <w:rPr>
          <w:noProof/>
        </w:rPr>
        <w:tab/>
        <w:t>Levon GEVORGYAN</w:t>
      </w:r>
    </w:p>
    <w:p>
      <w:pPr>
        <w:pStyle w:val="Point0"/>
        <w:spacing w:after="360"/>
        <w:ind w:left="851" w:hanging="851"/>
        <w:rPr>
          <w:noProof/>
        </w:rPr>
      </w:pPr>
      <w:r>
        <w:rPr>
          <w:noProof/>
        </w:rPr>
        <w:t>5.</w:t>
      </w:r>
      <w:r>
        <w:rPr>
          <w:noProof/>
        </w:rPr>
        <w:tab/>
        <w:t>Mushegh MANUKYAN</w:t>
      </w:r>
    </w:p>
    <w:p>
      <w:pPr>
        <w:rPr>
          <w:noProof/>
        </w:rPr>
      </w:pPr>
      <w:r>
        <w:rPr>
          <w:noProof/>
        </w:rPr>
        <w:t>Chairpersons</w:t>
      </w:r>
    </w:p>
    <w:p>
      <w:pPr>
        <w:pStyle w:val="Point0"/>
        <w:rPr>
          <w:noProof/>
        </w:rPr>
      </w:pPr>
      <w:r>
        <w:rPr>
          <w:noProof/>
        </w:rPr>
        <w:t>1.</w:t>
      </w:r>
      <w:r>
        <w:rPr>
          <w:noProof/>
        </w:rPr>
        <w:tab/>
        <w:t>William DAVEY (USA)</w:t>
      </w:r>
    </w:p>
    <w:p>
      <w:pPr>
        <w:pStyle w:val="Point0"/>
        <w:rPr>
          <w:noProof/>
        </w:rPr>
      </w:pPr>
      <w:r>
        <w:rPr>
          <w:noProof/>
        </w:rPr>
        <w:t>2.</w:t>
      </w:r>
      <w:r>
        <w:rPr>
          <w:noProof/>
        </w:rPr>
        <w:tab/>
        <w:t>Helge SELAND (Norway)</w:t>
      </w:r>
    </w:p>
    <w:p>
      <w:pPr>
        <w:pStyle w:val="Point0"/>
        <w:rPr>
          <w:noProof/>
        </w:rPr>
      </w:pPr>
      <w:r>
        <w:rPr>
          <w:noProof/>
        </w:rPr>
        <w:t>3.</w:t>
      </w:r>
      <w:r>
        <w:rPr>
          <w:noProof/>
        </w:rPr>
        <w:tab/>
        <w:t>Maryse ROBERT (Canada)</w:t>
      </w:r>
    </w:p>
    <w:p>
      <w:pPr>
        <w:pStyle w:val="Point0"/>
        <w:rPr>
          <w:noProof/>
          <w:lang w:val="de-DE"/>
        </w:rPr>
      </w:pPr>
      <w:r>
        <w:rPr>
          <w:noProof/>
          <w:lang w:val="de-DE"/>
        </w:rPr>
        <w:t>4.</w:t>
      </w:r>
      <w:r>
        <w:rPr>
          <w:noProof/>
          <w:lang w:val="de-DE"/>
        </w:rPr>
        <w:tab/>
        <w:t>Christian HÄBERLI (Switzerland)</w:t>
      </w:r>
    </w:p>
    <w:p>
      <w:pPr>
        <w:pStyle w:val="Point0"/>
        <w:rPr>
          <w:noProof/>
          <w:lang w:val="de-DE"/>
        </w:rPr>
      </w:pPr>
      <w:r>
        <w:rPr>
          <w:noProof/>
          <w:lang w:val="de-DE"/>
        </w:rPr>
        <w:t>5.</w:t>
      </w:r>
      <w:r>
        <w:rPr>
          <w:noProof/>
          <w:lang w:val="de-DE"/>
        </w:rPr>
        <w:tab/>
        <w:t>Merit JANOW (USA)</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98FC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DAAF2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9AB0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5093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F0DE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5B264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B0AEE0C"/>
    <w:lvl w:ilvl="0">
      <w:start w:val="1"/>
      <w:numFmt w:val="decimal"/>
      <w:pStyle w:val="ListNumber"/>
      <w:lvlText w:val="%1."/>
      <w:lvlJc w:val="left"/>
      <w:pPr>
        <w:tabs>
          <w:tab w:val="num" w:pos="360"/>
        </w:tabs>
        <w:ind w:left="360" w:hanging="360"/>
      </w:pPr>
    </w:lvl>
  </w:abstractNum>
  <w:abstractNum w:abstractNumId="7">
    <w:nsid w:val="FFFFFF89"/>
    <w:multiLevelType w:val="singleLevel"/>
    <w:tmpl w:val="F0743D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7 09:12: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63AF738-76F5-4DEB-9101-4276F7B56836"/>
    <w:docVar w:name="LW_COVERPAGE_TYPE" w:val="1"/>
    <w:docVar w:name="LW_CROSSREFERENCE" w:val="&lt;UNUSED&gt;"/>
    <w:docVar w:name="LW_DocType" w:val="ANNEX"/>
    <w:docVar w:name="LW_EMISSION" w:val="24.9.2020"/>
    <w:docVar w:name="LW_EMISSION_ISODATE" w:val="2020-09-2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Partnership Committee established by the Comprehensive and Enhanced Partnership Agreement between the European Union and the European Atomic Energy Community and their Member States, of the one part, and the Republic of Armenia, of the other part, as regards the amendment of the list of individuals to serve as arbitrators in dispute-settlement proceedings"/>
    <w:docVar w:name="LW_OBJETACTEPRINCIPAL.CP" w:val="on the position to be taken on behalf of the European Union in the Partnership Committee established by the Comprehensive and Enhanced Partnership Agreement between the European Union and the European Atomic Energy Community and their Member States, of the one part, and the Republic of Armenia, of the other part, as regards the amendment of the list of individuals to serve as arbitrators in dispute-settlement proceedings"/>
    <w:docVar w:name="LW_PART_NBR" w:val="1"/>
    <w:docVar w:name="LW_PART_NBR_TOTAL" w:val="1"/>
    <w:docVar w:name="LW_REF.INST.NEW" w:val="COM"/>
    <w:docVar w:name="LW_REF.INST.NEW_ADOPTED" w:val="final"/>
    <w:docVar w:name="LW_REF.INST.NEW_TEXT" w:val="(2020) 5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b/>
    </w:rPr>
  </w:style>
  <w:style w:type="paragraph" w:styleId="ListNumber4">
    <w:name w:val="List Number 4"/>
    <w:basedOn w:val="Normal"/>
    <w:uiPriority w:val="99"/>
    <w:semiHidden/>
    <w:unhideWhenUsed/>
    <w:pPr>
      <w:numPr>
        <w:numId w:val="1"/>
      </w:numPr>
      <w:spacing w:line="360" w:lineRule="auto"/>
      <w:contextualSpacing/>
      <w:jc w:val="left"/>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pPr>
      <w:numPr>
        <w:numId w:val="2"/>
      </w:numPr>
      <w:spacing w:line="360" w:lineRule="auto"/>
      <w:contextualSpacing/>
      <w:jc w:val="left"/>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b/>
    </w:rPr>
  </w:style>
  <w:style w:type="paragraph" w:styleId="ListNumber4">
    <w:name w:val="List Number 4"/>
    <w:basedOn w:val="Normal"/>
    <w:uiPriority w:val="99"/>
    <w:semiHidden/>
    <w:unhideWhenUsed/>
    <w:pPr>
      <w:numPr>
        <w:numId w:val="1"/>
      </w:numPr>
      <w:spacing w:line="360" w:lineRule="auto"/>
      <w:contextualSpacing/>
      <w:jc w:val="left"/>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pPr>
      <w:numPr>
        <w:numId w:val="2"/>
      </w:numPr>
      <w:spacing w:line="360" w:lineRule="auto"/>
      <w:contextualSpacing/>
      <w:jc w:val="left"/>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Pages>
  <Words>427</Words>
  <Characters>2260</Characters>
  <Application>Microsoft Office Word</Application>
  <DocSecurity>0</DocSecurity>
  <Lines>66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2020-08-21T08:26:00Z</dcterms:created>
  <dcterms:modified xsi:type="dcterms:W3CDTF">2020-09-17T07:12:00Z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