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759583-D6F2-4E66-BD77-BCE105735CBA" style="width:450.75pt;height:39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Heading2"/>
        <w:rPr>
          <w:rFonts w:eastAsia="Arial Unicode MS"/>
          <w:noProof/>
        </w:rPr>
      </w:pPr>
      <w:r>
        <w:rPr>
          <w:noProof/>
          <w:u w:color="000000"/>
          <w:bdr w:val="nil"/>
        </w:rPr>
        <w:t>•</w:t>
      </w:r>
      <w:r>
        <w:rPr>
          <w:noProof/>
        </w:rPr>
        <w:tab/>
      </w:r>
      <w:r>
        <w:rPr>
          <w:noProof/>
          <w:u w:color="000000"/>
          <w:bdr w:val="nil"/>
        </w:rPr>
        <w:t>Основания и цели на предложението</w:t>
      </w:r>
    </w:p>
    <w:p>
      <w:pPr>
        <w:pBdr>
          <w:top w:val="nil"/>
          <w:left w:val="nil"/>
          <w:bottom w:val="nil"/>
          <w:right w:val="nil"/>
          <w:between w:val="nil"/>
          <w:bar w:val="nil"/>
        </w:pBdr>
        <w:spacing w:before="0" w:after="240"/>
        <w:rPr>
          <w:noProof/>
        </w:rPr>
      </w:pPr>
      <w:r>
        <w:rPr>
          <w:noProof/>
        </w:rPr>
        <w:t xml:space="preserve">На 7 юли 2020 г. Съветът прие мандат, с който упълномощи Европейската комисия да започне преговори за нов протокол към Споразумението за партньорство в областта на устойчивото рибарство между Европейския съюз и правителството на островите Кук и за възможно удължаване на срока на действащия в момента протокол към същото споразумение, който изтича на 13 октомври 2020 г. </w:t>
      </w:r>
    </w:p>
    <w:p>
      <w:pPr>
        <w:pBdr>
          <w:top w:val="nil"/>
          <w:left w:val="nil"/>
          <w:bottom w:val="nil"/>
          <w:right w:val="nil"/>
          <w:between w:val="nil"/>
          <w:bar w:val="nil"/>
        </w:pBdr>
        <w:spacing w:before="0" w:after="240"/>
        <w:rPr>
          <w:noProof/>
        </w:rPr>
      </w:pPr>
      <w:r>
        <w:rPr>
          <w:noProof/>
        </w:rPr>
        <w:t xml:space="preserve">В мандата се посочва, че ако преговорите за нов протокол към Споразумението за партньорство в областта на устойчивото рибарство между Европейския съюз и правителството на островите Кук продължат по-дълго от очакваното и за да се избегне продължително прекъсване на риболовните дейности, Комисията следва да се стреми да договори с правителството на островите Кук удължаване на срока на действащия в момента протокол за ограничен период — по възможност не повече от една година, като същевременно продължи усилията си за постигането на споразумение за нов протокол в съответствие с определените в мандата цели. </w:t>
      </w:r>
    </w:p>
    <w:p>
      <w:pPr>
        <w:pBdr>
          <w:top w:val="nil"/>
          <w:left w:val="nil"/>
          <w:bottom w:val="nil"/>
          <w:right w:val="nil"/>
          <w:between w:val="nil"/>
          <w:bar w:val="nil"/>
        </w:pBdr>
        <w:spacing w:before="0" w:after="240"/>
        <w:rPr>
          <w:noProof/>
        </w:rPr>
      </w:pPr>
      <w:r>
        <w:rPr>
          <w:noProof/>
        </w:rPr>
        <w:t>По време на първия кръг от преговорите (16 юли 2020 г.) представителите на ЕС и на островите Кук се договориха, че поради сложността на преговорния процес той трябва да протече в няколко кръга. Двете страни съответно се договориха да удължат прилагането на действащия в момента протокол за максимален период от една година съгласно получения от Съвета мандат. Това удължаване се определя в споразумение под формата на размяна на писма, което беше парафирано на 29 юли 2020 г. в Брюксел и Раротонга (острови Кук).</w:t>
      </w:r>
    </w:p>
    <w:p>
      <w:pPr>
        <w:pBdr>
          <w:top w:val="nil"/>
          <w:left w:val="nil"/>
          <w:bottom w:val="nil"/>
          <w:right w:val="nil"/>
          <w:between w:val="nil"/>
          <w:bar w:val="nil"/>
        </w:pBdr>
        <w:spacing w:before="0" w:after="240"/>
        <w:rPr>
          <w:noProof/>
        </w:rPr>
      </w:pPr>
      <w:r>
        <w:rPr>
          <w:noProof/>
        </w:rPr>
        <w:t xml:space="preserve">За да се избегне прекъсване на риболовните дейности на европейския флот във водите на островите Кук, е необходимо своевременно приемане на решение на Съвета, с което се одобрява споразумението под формата на размяна на писма, така че двете страни да могат да подпишат това споразумение преди 13 октомври 2020 г., когато изтича срокът на действащия в момента протокол. </w:t>
      </w:r>
    </w:p>
    <w:p>
      <w:pPr>
        <w:pBdr>
          <w:top w:val="nil"/>
          <w:left w:val="nil"/>
          <w:bottom w:val="nil"/>
          <w:right w:val="nil"/>
          <w:between w:val="nil"/>
          <w:bar w:val="nil"/>
        </w:pBdr>
        <w:spacing w:before="0" w:after="240"/>
        <w:rPr>
          <w:noProof/>
        </w:rPr>
      </w:pPr>
      <w:r>
        <w:rPr>
          <w:noProof/>
        </w:rPr>
        <w:t>Целта на настоящото предложение е да се разреши сключването на протокола.</w:t>
      </w:r>
    </w:p>
    <w:p>
      <w:pPr>
        <w:pBdr>
          <w:top w:val="nil"/>
          <w:left w:val="nil"/>
          <w:bottom w:val="nil"/>
          <w:right w:val="nil"/>
          <w:between w:val="nil"/>
          <w:bar w:val="nil"/>
        </w:pBdr>
        <w:spacing w:before="0" w:after="240"/>
        <w:rPr>
          <w:noProof/>
        </w:rPr>
      </w:pPr>
      <w:r>
        <w:rPr>
          <w:noProof/>
        </w:rPr>
        <w:t>Следва да се припомни, че целта на протокола е да се предоставят възможности за риболов на корабите на Европейския съюз във водите на островите Кук, в рамките на наличния излишък, с оглед на научните становища и препоръките на Комисията за риболова в Западния и Централния Тихи океан (WCPFC). Протоколът също така е насочен към засилване на сътрудничеството между Европейския съюз и правителството на островите Кук, така че да се установи рамка за партньорство за развитието на политика на устойчиво рибарство и за отговорно използване на рибните ресурси в риболовната зона на островите Кук, което е в интерес и на двете страни.</w:t>
      </w:r>
    </w:p>
    <w:p>
      <w:pPr>
        <w:spacing w:before="100" w:beforeAutospacing="1" w:after="100" w:afterAutospacing="1"/>
        <w:rPr>
          <w:rFonts w:eastAsia="Times New Roman"/>
          <w:noProof/>
          <w:color w:val="000000"/>
          <w:szCs w:val="24"/>
        </w:rPr>
      </w:pPr>
      <w:r>
        <w:rPr>
          <w:noProof/>
          <w:color w:val="000000"/>
          <w:szCs w:val="24"/>
        </w:rPr>
        <w:t xml:space="preserve">По силата на действащия в момента протокол между Европейския съюз и островите Кук флотът на ЕС има право да извършва улов на риба тон във водите на островите Кук в рамките на годишни възможности за риболов в размер на 7000 тона. </w:t>
      </w:r>
    </w:p>
    <w:p>
      <w:pPr>
        <w:pStyle w:val="ManualHeading2"/>
        <w:rPr>
          <w:rFonts w:eastAsia="Arial Unicode MS"/>
          <w:noProof/>
          <w:color w:val="000000"/>
          <w:u w:color="000000"/>
          <w:bdr w:val="nil"/>
        </w:rPr>
      </w:pPr>
      <w:r>
        <w:rPr>
          <w:noProof/>
          <w:u w:color="000000"/>
          <w:bdr w:val="nil"/>
        </w:rPr>
        <w:lastRenderedPageBreak/>
        <w:t>•</w:t>
      </w:r>
      <w:r>
        <w:rPr>
          <w:noProof/>
        </w:rPr>
        <w:tab/>
      </w:r>
      <w:r>
        <w:rPr>
          <w:noProof/>
          <w:u w:color="000000"/>
          <w:bdr w:val="nil"/>
        </w:rPr>
        <w:t>Съгласуваност с действащите разпоредби в тази област на политиката</w:t>
      </w:r>
    </w:p>
    <w:p>
      <w:pPr>
        <w:spacing w:before="0" w:after="240"/>
        <w:rPr>
          <w:noProof/>
        </w:rPr>
      </w:pPr>
      <w:r>
        <w:rPr>
          <w:noProof/>
        </w:rPr>
        <w:t xml:space="preserve">В съответствие с приоритетите на реформата на политиката в областта на рибарството протоколът предоставя възможности за риболов на корабите на ЕС във водите на островите Кук въз основа на най-добрите налични научни становища и при спазване на препоръките на WCPFC. Протоколът също така позволява на Европейския съюз и на островите Кук да работят в по-тясно сътрудничество, така че да се насърчи отговорното използване на рибните ресурси във водите на тази самоуправляваща се територия и да се подпомогнат нейните усилия за развитие на риболовния ѝ отрасъл, което е в интерес и на двете страни. </w:t>
      </w:r>
    </w:p>
    <w:p>
      <w:pPr>
        <w:pStyle w:val="ManualHeading2"/>
        <w:rPr>
          <w:rFonts w:eastAsia="Arial Unicode MS"/>
          <w:noProof/>
        </w:rPr>
      </w:pPr>
      <w:r>
        <w:rPr>
          <w:noProof/>
          <w:u w:color="000000"/>
          <w:bdr w:val="nil"/>
        </w:rPr>
        <w:t>•</w:t>
      </w:r>
      <w:r>
        <w:rPr>
          <w:noProof/>
        </w:rPr>
        <w:tab/>
      </w:r>
      <w:r>
        <w:rPr>
          <w:noProof/>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Договарянето на нов протокол за прилагане на споразумението за партньорство в областта на устойчивото рибарство — в което се съдържа разпоредба относно предлаганото удължаване на срока — се вписва в рамките на външната дейност на ЕС по отношение на държавите от Африка, Карибите и Тихоокеанския басейн, и по-конкретно отчита целите на ЕС в областта на спазването на демократичните принципи и правата на човека.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Избраното правно основание е Договорът за функционирането на Европейския съюз, където в член 43, параграф 2 се определя общата политика в областта на рибарството, а в член 218, параграф 6, буква а) — процедурата за сключване на споразумения между Съюза и трети държави.</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е пропорционално на определената в член 31 от Регламента за общата политика в областта на рибарството цел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То е съобразено както с посочените разпоредби, така и със съдържащите се в член 32 от същия регламент разпоредби относно финансовата помощ за трети държави.</w:t>
      </w:r>
    </w:p>
    <w:p>
      <w:pPr>
        <w:pBdr>
          <w:top w:val="nil"/>
          <w:left w:val="nil"/>
          <w:bottom w:val="nil"/>
          <w:right w:val="nil"/>
          <w:between w:val="nil"/>
          <w:bar w:val="nil"/>
        </w:pBdr>
        <w:spacing w:before="0" w:after="240"/>
        <w:rPr>
          <w:rFonts w:eastAsia="Arial Unicode MS"/>
          <w:noProof/>
        </w:rPr>
      </w:pPr>
      <w:r>
        <w:rPr>
          <w:noProof/>
        </w:rPr>
        <w:t>Продължаването с една година на рамката, определена с изтичащия на 13 октомври 2020 г. протокол, е съобразено с процеса на преговорите, насочени към осигуряване на непрекъснатост на риболовните дейности на европейския флот във водите на островите Кук.</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При изготвянето на оценката на протокола за периода 2016—2020 г. бяха проведени консултации със заинтересованите страни. Беше извършено и допитване до експерти на държавите членки в рамките на технически срещи. В хода на тези консултации се наложи изводът, че би било целесъобразно да се поднови протоколът с островите Кук. Настоящото предложение за удължаване на срока на действие на протокола е стъпка в процеса на преговори за неговото подновяване.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на островите Кук. Бяха проведени също така дискусии в рамките на Консултативния съвет по далечно плаване.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rPr>
          <w:noProof/>
        </w:rPr>
      </w:pPr>
      <w:r>
        <w:rPr>
          <w:noProof/>
        </w:rPr>
        <w:t>Годишното финансово участие от страна на Европейския съюз възлиза на 700 000 EUR и е въз основа на:</w:t>
      </w:r>
    </w:p>
    <w:p>
      <w:pPr>
        <w:pStyle w:val="Point0"/>
        <w:rPr>
          <w:noProof/>
        </w:rPr>
      </w:pPr>
      <w:r>
        <w:rPr>
          <w:noProof/>
        </w:rPr>
        <w:t>а)</w:t>
      </w:r>
      <w:r>
        <w:rPr>
          <w:noProof/>
        </w:rPr>
        <w:tab/>
        <w:t>годишна сума за достъп до рибните ресурси за предвидените в протокола категории, определена в размер на 350 000 EUR за удължения срок на действие на протокола;</w:t>
      </w:r>
    </w:p>
    <w:p>
      <w:pPr>
        <w:pStyle w:val="Point0"/>
        <w:rPr>
          <w:noProof/>
        </w:rPr>
      </w:pPr>
      <w:r>
        <w:rPr>
          <w:noProof/>
        </w:rPr>
        <w:t>б)</w:t>
      </w:r>
      <w:r>
        <w:rPr>
          <w:noProof/>
        </w:rPr>
        <w:tab/>
        <w:t>подкрепа за развитието на секторната политика в областта на рибарството на островите Кук в размер на 350 000 EUR за удължения срок на действие на протокола. Тази подкрепа отговаря на целите на националната политика на островите Кук за устойчиво управление на сладководните и морските рибни ресурси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„Резерви“ по отношение на протоколите, които още не са влезли в сила към началото на годината.</w:t>
      </w:r>
    </w:p>
    <w:p>
      <w:pPr>
        <w:rPr>
          <w:noProof/>
        </w:rPr>
      </w:pPr>
      <w:r>
        <w:rPr>
          <w:noProof/>
        </w:rPr>
        <w:t>В споразумението под формата на размяна на писма за удължаване на срока е предвидена също така клауза за пропорционално намаляване на общата сума, в случай че преговорите за подновяване на протокола доведат до неговото подписване и влизане в сила преди изтичането на едногодишния срок на удължаването, който е предмет на посоченото споразумение.</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Мерките за наблюдение са описани в протокола, чието удължаване е предмет на споразумението под формата на размяна на писма.  </w:t>
      </w:r>
    </w:p>
    <w:p>
      <w:pPr>
        <w:rPr>
          <w:noProof/>
        </w:rPr>
        <w:sectPr>
          <w:footerReference w:type="default" r:id="rId10"/>
          <w:footerReference w:type="first" r:id="rId11"/>
          <w:pgSz w:w="11907" w:h="16839"/>
          <w:pgMar w:top="1134" w:right="1417" w:bottom="1134" w:left="1417" w:header="709" w:footer="709" w:gutter="0"/>
          <w:pgNumType w:start="0"/>
          <w:cols w:space="720"/>
          <w:docGrid w:linePitch="360"/>
        </w:sectPr>
      </w:pPr>
    </w:p>
    <w:p>
      <w:pPr>
        <w:pStyle w:val="Rfrenceinterinstitutionnelle"/>
        <w:rPr>
          <w:noProof/>
        </w:rPr>
      </w:pPr>
      <w:r>
        <w:rPr>
          <w:noProof/>
        </w:rPr>
        <w:lastRenderedPageBreak/>
        <w:t>2020/0275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под формата на размяна на писма между Европейския съюз и правителството на островите Кук относно удължаване на действието на Протокола за прилагане на Споразумението за партньорство в областта на устойчивото рибарство между Европейския съюз и правителството на островите Кук</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43, параграф 2 във връзка с член 218, параграф 6, буква а)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Съгласно Решение (ЕС) 2020/... на Съвета</w:t>
      </w:r>
      <w:r>
        <w:rPr>
          <w:rStyle w:val="FootnoteReference"/>
          <w:noProof/>
        </w:rPr>
        <w:footnoteReference w:id="1"/>
      </w:r>
      <w:r>
        <w:rPr>
          <w:noProof/>
        </w:rPr>
        <w:t xml:space="preserve"> [</w:t>
      </w:r>
      <w:r>
        <w:rPr>
          <w:i/>
          <w:iCs/>
          <w:noProof/>
        </w:rPr>
        <w:t>да се посочи номер</w:t>
      </w:r>
      <w:r>
        <w:rPr>
          <w:noProof/>
        </w:rPr>
        <w:t>] Споразумението под формата на размяна на писма между Европейския съюз и правителството на островите Кук относно удължаване на действието на Протокола за прилагане на Споразумението за партньорство в областта на устойчивото рибарство между Европейския съюз и правителството на островите Кук, изтичащ на 13 октомври 2020 г. (наричано по-нататък „споразумението под формата на размяна на писма“), беше подписано на [</w:t>
      </w:r>
      <w:r>
        <w:rPr>
          <w:i/>
          <w:iCs/>
          <w:noProof/>
        </w:rPr>
        <w:t>да се посочи дата</w:t>
      </w:r>
      <w:r>
        <w:rPr>
          <w:noProof/>
        </w:rPr>
        <w:t>], при условие че бъде сключено на по-късна дата.</w:t>
      </w:r>
    </w:p>
    <w:p>
      <w:pPr>
        <w:pStyle w:val="ManualConsidrant"/>
        <w:rPr>
          <w:noProof/>
        </w:rPr>
      </w:pPr>
      <w:r>
        <w:t>(2)</w:t>
      </w:r>
      <w:r>
        <w:tab/>
      </w:r>
      <w:r>
        <w:rPr>
          <w:noProof/>
        </w:rPr>
        <w:t>Целта на споразумението под формата на размяна на писма е да се осигури възможност на Европейския съюз и на островите Кук да продължат да си сътрудничат в насърчаването на политиката на устойчиво рибарство и отговорното използване на рибните ресурси във водите на островите Кук, както и да се позволи на корабите на Съюза да извършват риболов в тези води.</w:t>
      </w:r>
    </w:p>
    <w:p>
      <w:pPr>
        <w:pStyle w:val="ManualConsidrant"/>
        <w:rPr>
          <w:noProof/>
        </w:rPr>
      </w:pPr>
      <w:r>
        <w:t>(3)</w:t>
      </w:r>
      <w:r>
        <w:tab/>
      </w:r>
      <w:r>
        <w:rPr>
          <w:noProof/>
        </w:rPr>
        <w:t xml:space="preserve">Споразумението под формата на размяна на писма следва да бъде одобрено от името на Европейския съюз, </w:t>
      </w:r>
    </w:p>
    <w:p>
      <w:pPr>
        <w:ind w:left="709" w:hanging="709"/>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Споразумението под формата на размяна на писма между Европейския съюз и правителството на островите Кук относно удължаване на действието на Протокола за прилагане на Споразумението за партньорство в областта на устойчивото рибарство между Европейския съюз и правителството на островите Кук, изтичащ на 13 октомври 2020 г., се одобрява от името на Съюза. </w:t>
      </w:r>
    </w:p>
    <w:p>
      <w:pPr>
        <w:rPr>
          <w:noProof/>
        </w:rPr>
      </w:pPr>
      <w:r>
        <w:rPr>
          <w:noProof/>
        </w:rPr>
        <w:lastRenderedPageBreak/>
        <w:t>Текстът на споразумението под формата на размяна на писма е приложен към настоящото решение.</w:t>
      </w:r>
    </w:p>
    <w:p>
      <w:pPr>
        <w:pStyle w:val="Titrearticle"/>
        <w:rPr>
          <w:noProof/>
        </w:rPr>
      </w:pPr>
      <w:r>
        <w:rPr>
          <w:noProof/>
        </w:rPr>
        <w:t>Член 2</w:t>
      </w:r>
    </w:p>
    <w:p>
      <w:pPr>
        <w:rPr>
          <w:noProof/>
        </w:rPr>
      </w:pPr>
      <w:r>
        <w:rPr>
          <w:noProof/>
        </w:rPr>
        <w:t xml:space="preserve">Председателят на Съвета посочва лицето, упълномощено да извърши от името на Европейския съюз уведомяването, предвидено в точка 6 от споразумението под формата на размяна на писма, с което се изразява съгласието на Европейския съюз да бъде обвързан от споразумението. </w:t>
      </w:r>
    </w:p>
    <w:p>
      <w:pPr>
        <w:pStyle w:val="Titrearticle"/>
        <w:rPr>
          <w:noProof/>
        </w:rPr>
      </w:pPr>
      <w:r>
        <w:rPr>
          <w:noProof/>
        </w:rPr>
        <w:t>Член 3</w:t>
      </w:r>
    </w:p>
    <w:p>
      <w:pPr>
        <w:keepNext/>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r>
        <w:rPr>
          <w:noProof/>
        </w:rPr>
        <w:br w:type="page"/>
      </w:r>
    </w:p>
    <w:p>
      <w:pPr>
        <w:rPr>
          <w:noProof/>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pPr>
        <w:keepNext/>
        <w:tabs>
          <w:tab w:val="left" w:pos="850"/>
        </w:tabs>
        <w:outlineLvl w:val="1"/>
        <w:rPr>
          <w:b/>
          <w:noProof/>
        </w:rPr>
      </w:pPr>
      <w:r>
        <w:rPr>
          <w:b/>
          <w:noProof/>
        </w:rPr>
        <w:t>1.1.</w:t>
      </w:r>
      <w:r>
        <w:rPr>
          <w:noProof/>
        </w:rPr>
        <w:tab/>
      </w:r>
      <w:r>
        <w:rPr>
          <w:b/>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Решение на Съвета за сключване на Споразумението под формата на размяна на писма относно удължаване на действието на Протокола за прилагане на Споразумението за партньорство в областта на устойчивото рибарство между Европейския съюз и правителството на островите Кук, изтичащ на 13 октомври 2020 г.</w:t>
      </w:r>
    </w:p>
    <w:p>
      <w:pPr>
        <w:keepNext/>
        <w:tabs>
          <w:tab w:val="left" w:pos="850"/>
        </w:tabs>
        <w:outlineLvl w:val="1"/>
        <w:rPr>
          <w:noProof/>
        </w:rPr>
      </w:pPr>
      <w:r>
        <w:rPr>
          <w:b/>
          <w:noProof/>
        </w:rPr>
        <w:t>1.2.</w:t>
      </w:r>
      <w:r>
        <w:rPr>
          <w:noProof/>
        </w:rPr>
        <w:tab/>
      </w:r>
      <w:r>
        <w:rPr>
          <w:b/>
          <w:noProof/>
        </w:rPr>
        <w:t xml:space="preserve">Съответни области на политиката </w:t>
      </w:r>
    </w:p>
    <w:p>
      <w:pPr>
        <w:pBdr>
          <w:top w:val="single" w:sz="4" w:space="1" w:color="auto"/>
          <w:left w:val="single" w:sz="4" w:space="4" w:color="auto"/>
          <w:bottom w:val="single" w:sz="4" w:space="1" w:color="auto"/>
          <w:right w:val="single" w:sz="4" w:space="4" w:color="auto"/>
        </w:pBdr>
        <w:ind w:left="850"/>
        <w:rPr>
          <w:noProof/>
        </w:rPr>
      </w:pPr>
      <w:r>
        <w:rPr>
          <w:noProof/>
        </w:rPr>
        <w:t>11 — Морско дело и рибарство</w:t>
      </w:r>
    </w:p>
    <w:p>
      <w:pPr>
        <w:pBdr>
          <w:top w:val="single" w:sz="4" w:space="1" w:color="auto"/>
          <w:left w:val="single" w:sz="4" w:space="4" w:color="auto"/>
          <w:bottom w:val="single" w:sz="4" w:space="1" w:color="auto"/>
          <w:right w:val="single" w:sz="4" w:space="4" w:color="auto"/>
        </w:pBdr>
        <w:ind w:left="850"/>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Bdr>
          <w:top w:val="single" w:sz="4" w:space="1" w:color="auto"/>
          <w:left w:val="single" w:sz="4" w:space="4" w:color="auto"/>
          <w:bottom w:val="single" w:sz="4" w:space="1" w:color="auto"/>
          <w:right w:val="single" w:sz="4" w:space="4" w:color="auto"/>
        </w:pBdr>
        <w:ind w:left="850"/>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keepNext/>
        <w:tabs>
          <w:tab w:val="left" w:pos="850"/>
        </w:tabs>
        <w:outlineLvl w:val="1"/>
        <w:rPr>
          <w:b/>
          <w:bCs/>
          <w:noProof/>
          <w:szCs w:val="24"/>
        </w:rPr>
      </w:pPr>
      <w:r>
        <w:rPr>
          <w:b/>
          <w:noProof/>
        </w:rPr>
        <w:t>1.3.</w:t>
      </w:r>
      <w:r>
        <w:rPr>
          <w:noProof/>
        </w:rPr>
        <w:tab/>
      </w:r>
      <w:r>
        <w:rPr>
          <w:b/>
          <w:noProof/>
        </w:rPr>
        <w:t xml:space="preserve">Предложението/инициативата е във връзка с: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2"/>
      </w:r>
      <w:r>
        <w:rPr>
          <w:noProof/>
          <w:sz w:val="22"/>
        </w:rPr>
        <w:t xml:space="preserve"> </w:t>
      </w:r>
    </w:p>
    <w:p>
      <w:pPr>
        <w:ind w:left="850"/>
        <w:rPr>
          <w:noProof/>
          <w:sz w:val="22"/>
        </w:rPr>
      </w:pPr>
      <w:r>
        <w:rPr>
          <w:b/>
          <w:noProof/>
        </w:rPr>
        <w:t>Х 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tabs>
          <w:tab w:val="left" w:pos="850"/>
        </w:tabs>
        <w:outlineLvl w:val="1"/>
        <w:rPr>
          <w:b/>
          <w:bCs/>
          <w:noProof/>
          <w:szCs w:val="24"/>
        </w:rPr>
      </w:pPr>
      <w:r>
        <w:rPr>
          <w:b/>
          <w:noProof/>
        </w:rPr>
        <w:t>1.4.</w:t>
      </w:r>
      <w:r>
        <w:rPr>
          <w:noProof/>
        </w:rPr>
        <w:tab/>
      </w:r>
      <w:r>
        <w:rPr>
          <w:b/>
          <w:noProof/>
        </w:rPr>
        <w:t>Цел(и)</w:t>
      </w:r>
    </w:p>
    <w:p>
      <w:pPr>
        <w:keepNext/>
        <w:tabs>
          <w:tab w:val="left" w:pos="850"/>
        </w:tabs>
        <w:outlineLvl w:val="2"/>
        <w:rPr>
          <w:i/>
          <w:noProof/>
        </w:rPr>
      </w:pPr>
      <w:r>
        <w:rPr>
          <w:i/>
          <w:noProof/>
        </w:rPr>
        <w:t>1.4.1.</w:t>
      </w:r>
      <w:r>
        <w:rPr>
          <w:noProof/>
        </w:rPr>
        <w:tab/>
      </w:r>
      <w:r>
        <w:rPr>
          <w:i/>
          <w:noProof/>
        </w:rPr>
        <w:t>Общи цели</w:t>
      </w:r>
    </w:p>
    <w:p>
      <w:pPr>
        <w:pBdr>
          <w:top w:val="single" w:sz="4" w:space="1" w:color="auto"/>
          <w:left w:val="single" w:sz="4" w:space="4" w:color="auto"/>
          <w:bottom w:val="single" w:sz="4" w:space="1" w:color="auto"/>
          <w:right w:val="single" w:sz="4" w:space="4" w:color="auto"/>
        </w:pBdr>
        <w:ind w:left="850"/>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 на достъп на риболовните кораби на ЕС до риболовните зони на трети държави и за развиване на партньорство с тези държави с оглед укрепване на устойчивата експлоатация на рибните ресурси извън водите на ЕС.</w:t>
      </w:r>
    </w:p>
    <w:p>
      <w:pPr>
        <w:pBdr>
          <w:top w:val="single" w:sz="4" w:space="1" w:color="auto"/>
          <w:left w:val="single" w:sz="4" w:space="4" w:color="auto"/>
          <w:bottom w:val="single" w:sz="4" w:space="1" w:color="auto"/>
          <w:right w:val="single" w:sz="4" w:space="4" w:color="auto"/>
        </w:pBdr>
        <w:ind w:left="850"/>
        <w:rPr>
          <w:noProof/>
        </w:rPr>
      </w:pPr>
      <w:r>
        <w:rPr>
          <w:noProof/>
        </w:rPr>
        <w:t>СПОУР също така осигуряват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keepNext/>
        <w:tabs>
          <w:tab w:val="left" w:pos="850"/>
        </w:tabs>
        <w:outlineLvl w:val="2"/>
        <w:rPr>
          <w:bCs/>
          <w:i/>
          <w:noProof/>
          <w:szCs w:val="24"/>
        </w:rPr>
      </w:pPr>
      <w:r>
        <w:rPr>
          <w:i/>
          <w:noProof/>
        </w:rPr>
        <w:t>1.4.2.</w:t>
      </w:r>
      <w:r>
        <w:rPr>
          <w:noProof/>
        </w:rPr>
        <w:tab/>
      </w:r>
      <w:r>
        <w:rPr>
          <w:i/>
          <w:noProof/>
        </w:rPr>
        <w:t>Конкретни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w:t>
      </w:r>
    </w:p>
    <w:p>
      <w:pPr>
        <w:pBdr>
          <w:top w:val="single" w:sz="4" w:space="1" w:color="auto"/>
          <w:left w:val="single" w:sz="4" w:space="4" w:color="auto"/>
          <w:bottom w:val="single" w:sz="4" w:space="1" w:color="auto"/>
          <w:right w:val="single" w:sz="4" w:space="4" w:color="auto"/>
        </w:pBdr>
        <w:ind w:left="850"/>
        <w:rPr>
          <w:noProof/>
        </w:rPr>
      </w:pPr>
      <w:r>
        <w:rPr>
          <w:noProof/>
        </w:rPr>
        <w:t>Да се допринесе за устойчивото рибарство извън водите на ЕС,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keepNext/>
        <w:tabs>
          <w:tab w:val="left" w:pos="850"/>
        </w:tabs>
        <w:outlineLvl w:val="2"/>
        <w:rPr>
          <w:i/>
          <w:noProof/>
        </w:rPr>
      </w:pPr>
      <w:r>
        <w:rPr>
          <w:i/>
          <w:noProof/>
        </w:rPr>
        <w:t>1.4.3.</w:t>
      </w:r>
      <w:r>
        <w:rPr>
          <w:noProof/>
        </w:rPr>
        <w:tab/>
      </w:r>
      <w:r>
        <w:rPr>
          <w:i/>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Удължаването на срока на протокола към съществуващия СПОУР позволява да се избегне прекъсването на риболовната дейност на корабите на ЕС при изтичането на неговия срок на действие на 13 октомври 2020 г. То влиза в сила за максимален период от една година, докато завършат преговорите за подновяване на протокола.</w:t>
      </w:r>
    </w:p>
    <w:p>
      <w:pPr>
        <w:pBdr>
          <w:top w:val="single" w:sz="4" w:space="1" w:color="auto"/>
          <w:left w:val="single" w:sz="4" w:space="4" w:color="auto"/>
          <w:bottom w:val="single" w:sz="4" w:space="1" w:color="auto"/>
          <w:right w:val="single" w:sz="4" w:space="4" w:color="auto"/>
        </w:pBdr>
        <w:ind w:left="850"/>
        <w:rPr>
          <w:noProof/>
        </w:rPr>
      </w:pPr>
      <w:r>
        <w:rPr>
          <w:noProof/>
        </w:rPr>
        <w:t>Протоколът позволява установяване на стратегическо партньорство в областта на рибарството между Европейския съюз и правителството на островите Кук. Той също така ще допринесе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наблюдението и борбата срещу незаконния риболов и в подкрепа на сектора на непромишления риболов.</w:t>
      </w:r>
    </w:p>
    <w:p>
      <w:pPr>
        <w:keepNext/>
        <w:tabs>
          <w:tab w:val="left" w:pos="850"/>
        </w:tabs>
        <w:outlineLvl w:val="2"/>
        <w:rPr>
          <w:i/>
          <w:noProof/>
          <w:szCs w:val="24"/>
        </w:rPr>
      </w:pPr>
      <w:r>
        <w:rPr>
          <w:i/>
          <w:noProof/>
        </w:rPr>
        <w:t>1.4.4.</w:t>
      </w:r>
      <w:r>
        <w:rPr>
          <w:noProof/>
        </w:rPr>
        <w:tab/>
      </w:r>
      <w:r>
        <w:rPr>
          <w:i/>
          <w:noProof/>
        </w:rPr>
        <w:t>Показатели за изпълнението</w:t>
      </w:r>
    </w:p>
    <w:p>
      <w:pPr>
        <w:ind w:left="850"/>
        <w:rPr>
          <w:i/>
          <w:noProof/>
          <w:sz w:val="20"/>
        </w:rPr>
      </w:pPr>
      <w:r>
        <w:rPr>
          <w:i/>
          <w:noProof/>
          <w:sz w:val="20"/>
        </w:rPr>
        <w:t>Да се посочат показателите за проследяване на напредъка и постиженията.</w:t>
      </w:r>
    </w:p>
    <w:p>
      <w:pPr>
        <w:pBdr>
          <w:top w:val="single" w:sz="4" w:space="1" w:color="auto"/>
          <w:left w:val="single" w:sz="4" w:space="4" w:color="auto"/>
          <w:bottom w:val="single" w:sz="4" w:space="1" w:color="auto"/>
          <w:right w:val="single" w:sz="4" w:space="4" w:color="auto"/>
        </w:pBdr>
        <w:ind w:left="850"/>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Bdr>
          <w:top w:val="single" w:sz="4" w:space="1" w:color="auto"/>
          <w:left w:val="single" w:sz="4" w:space="4" w:color="auto"/>
          <w:bottom w:val="single" w:sz="4" w:space="1" w:color="auto"/>
          <w:right w:val="single" w:sz="4" w:space="4" w:color="auto"/>
        </w:pBdr>
        <w:ind w:left="850"/>
        <w:rPr>
          <w:noProof/>
        </w:rPr>
      </w:pPr>
      <w:r>
        <w:rPr>
          <w:noProof/>
        </w:rPr>
        <w:t>Данни за улова (събиране и анализ) и търговска стойност на споразумението.</w:t>
      </w:r>
    </w:p>
    <w:p>
      <w:pPr>
        <w:pBdr>
          <w:top w:val="single" w:sz="4" w:space="1" w:color="auto"/>
          <w:left w:val="single" w:sz="4" w:space="4" w:color="auto"/>
          <w:bottom w:val="single" w:sz="4" w:space="1" w:color="auto"/>
          <w:right w:val="single" w:sz="4" w:space="4" w:color="auto"/>
        </w:pBdr>
        <w:ind w:left="850"/>
        <w:rPr>
          <w:noProof/>
        </w:rPr>
      </w:pPr>
      <w:r>
        <w:rPr>
          <w:noProof/>
        </w:rPr>
        <w:t>Принос към заетостта и добавената стойност в ЕС и към стабилизиране на пазара на ЕС (заедно с други СПОУР).</w:t>
      </w:r>
    </w:p>
    <w:p>
      <w:pPr>
        <w:pBdr>
          <w:top w:val="single" w:sz="4" w:space="1" w:color="auto"/>
          <w:left w:val="single" w:sz="4" w:space="4" w:color="auto"/>
          <w:bottom w:val="single" w:sz="4" w:space="1" w:color="auto"/>
          <w:right w:val="single" w:sz="4" w:space="4" w:color="auto"/>
        </w:pBdr>
        <w:ind w:left="850"/>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keepNext/>
        <w:outlineLvl w:val="1"/>
        <w:rPr>
          <w:b/>
          <w:bCs/>
          <w:noProof/>
          <w:szCs w:val="24"/>
        </w:rPr>
      </w:pPr>
      <w:r>
        <w:rPr>
          <w:b/>
          <w:noProof/>
        </w:rPr>
        <w:t>1.5.</w:t>
      </w:r>
      <w:r>
        <w:rPr>
          <w:noProof/>
        </w:rPr>
        <w:tab/>
      </w:r>
      <w:r>
        <w:rPr>
          <w:b/>
          <w:noProof/>
        </w:rPr>
        <w:t xml:space="preserve">Мотиви за предложението/инициативата </w:t>
      </w:r>
    </w:p>
    <w:p>
      <w:pPr>
        <w:keepNext/>
        <w:tabs>
          <w:tab w:val="left" w:pos="850"/>
        </w:tabs>
        <w:outlineLvl w:val="2"/>
        <w:rPr>
          <w:i/>
          <w:noProof/>
        </w:rPr>
      </w:pPr>
      <w:r>
        <w:rPr>
          <w:i/>
          <w:noProof/>
        </w:rPr>
        <w:t>1.5.1.</w:t>
      </w:r>
      <w:r>
        <w:rPr>
          <w:noProof/>
        </w:rPr>
        <w:tab/>
      </w:r>
      <w:r>
        <w:rPr>
          <w:i/>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споразумението под формата на размяна на писма за удължаване на срока на протокола да се прилага временно от датата на неговото подписване, считано от 14 октомври 2020 г., или от която и да е по-късна дата на подписване, за да се избегне прекъсване на риболовните дейности по действащия в момента протокол.</w:t>
      </w:r>
    </w:p>
    <w:p>
      <w:pPr>
        <w:keepNext/>
        <w:tabs>
          <w:tab w:val="left" w:pos="850"/>
        </w:tabs>
        <w:outlineLvl w:val="2"/>
        <w:rPr>
          <w:bCs/>
          <w:i/>
          <w:noProof/>
          <w:szCs w:val="24"/>
        </w:rPr>
      </w:pPr>
      <w:r>
        <w:rPr>
          <w:i/>
          <w:noProof/>
        </w:rPr>
        <w:t>1.5.2.</w:t>
      </w:r>
      <w:r>
        <w:rPr>
          <w:noProof/>
        </w:rPr>
        <w:tab/>
      </w:r>
      <w:r>
        <w:rPr>
          <w:i/>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Ако ЕС не сключи нов протокол, това би възпрепятствало риболовните дейности на неговите кораби, тъй като споразумението съдържа клауза, изключваща риболовни дейности, които не се извършват в рамките на протокола към споразумението. Следователно е налице ясно изразена добавена стойност за европейския флот за далечно плаване. Протоколът също така предоставя рамка за засилено сътрудничество между ЕС и островите Кук.</w:t>
      </w:r>
    </w:p>
    <w:p>
      <w:pPr>
        <w:keepNext/>
        <w:tabs>
          <w:tab w:val="left" w:pos="850"/>
        </w:tabs>
        <w:outlineLvl w:val="2"/>
        <w:rPr>
          <w:i/>
          <w:noProof/>
        </w:rPr>
      </w:pPr>
      <w:r>
        <w:rPr>
          <w:noProof/>
        </w:rPr>
        <w:br w:type="page"/>
      </w:r>
      <w:r>
        <w:rPr>
          <w:i/>
          <w:noProof/>
        </w:rPr>
        <w:t>1.5.3.</w:t>
      </w:r>
      <w:r>
        <w:rPr>
          <w:noProof/>
        </w:rPr>
        <w:tab/>
      </w:r>
      <w:r>
        <w:rPr>
          <w:i/>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Въз основа на анализа на потенциалния улов в риболовната зона на островите Кук, на налични оценки и научни становища страните решиха да определят референтен тонаж за рибата тон и тоноподобните видове в размер на 7000 тона годишно с възможности за риболов за 4 кораба с мрежи гъргър за улов на риба тон. Секторната подкрепа отчита потребностите, свързани с укрепване на капацитета на риболовната администрация на островите Кук, както и приоритетите на националната стратегия в областта на рибарството, сред които са научните изследвания, контролът и наблюдението на риболовните дейности.</w:t>
      </w:r>
    </w:p>
    <w:p>
      <w:pPr>
        <w:keepNext/>
        <w:tabs>
          <w:tab w:val="left" w:pos="850"/>
        </w:tabs>
        <w:outlineLvl w:val="2"/>
        <w:rPr>
          <w:i/>
          <w:noProof/>
        </w:rPr>
      </w:pPr>
      <w:r>
        <w:rPr>
          <w:i/>
          <w:noProof/>
        </w:rPr>
        <w:t>1.5.4.</w:t>
      </w:r>
      <w:r>
        <w:rPr>
          <w:noProof/>
        </w:rPr>
        <w:tab/>
      </w:r>
      <w:r>
        <w:rPr>
          <w:i/>
          <w:noProof/>
        </w:rPr>
        <w:t>Съвместимост с многогодишната финансова рамка и евентуални синергии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Средствата, предоставени в рамките на финансовата компенсация за достъпа до СПОУР, представляват приходи в националния бюджет на островите Кук, които по принцип не са определени за конкретни цели. Независимо от това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в сектора на рибарството, провеждани на национално равнище.</w:t>
      </w:r>
    </w:p>
    <w:p>
      <w:pPr>
        <w:keepNext/>
        <w:tabs>
          <w:tab w:val="left" w:pos="850"/>
        </w:tabs>
        <w:outlineLvl w:val="2"/>
        <w:rPr>
          <w:i/>
          <w:noProof/>
        </w:rPr>
      </w:pPr>
      <w:r>
        <w:rPr>
          <w:i/>
          <w:noProof/>
        </w:rPr>
        <w:t>1.5.5.</w:t>
      </w:r>
      <w:r>
        <w:rPr>
          <w:noProof/>
        </w:rPr>
        <w:tab/>
      </w:r>
      <w:r>
        <w:rPr>
          <w:i/>
          <w:noProof/>
        </w:rPr>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ind w:left="850"/>
        <w:rPr>
          <w:noProof/>
        </w:rPr>
      </w:pPr>
    </w:p>
    <w:p>
      <w:pPr>
        <w:keepNext/>
        <w:outlineLvl w:val="1"/>
        <w:rPr>
          <w:b/>
          <w:bCs/>
          <w:noProof/>
          <w:szCs w:val="24"/>
        </w:rPr>
      </w:pPr>
      <w:r>
        <w:rPr>
          <w:b/>
          <w:noProof/>
        </w:rPr>
        <w:t>Срок на действие и финансово отражение на предложението/инициативата</w:t>
      </w:r>
    </w:p>
    <w:p>
      <w:pPr>
        <w:ind w:left="850"/>
        <w:rPr>
          <w:noProof/>
        </w:rPr>
      </w:pPr>
      <w:r>
        <w:rPr>
          <w:b/>
          <w:noProof/>
        </w:rPr>
        <w:t xml:space="preserve">X ограничен срок на действие </w:t>
      </w:r>
    </w:p>
    <w:p>
      <w:pPr>
        <w:tabs>
          <w:tab w:val="num" w:pos="1134"/>
        </w:tabs>
        <w:ind w:left="1134" w:hanging="283"/>
        <w:rPr>
          <w:rFonts w:eastAsia="Times New Roman"/>
          <w:noProof/>
        </w:rPr>
      </w:pPr>
      <w:r>
        <w:rPr>
          <w:noProof/>
        </w:rPr>
        <w:t>X</w:t>
      </w:r>
      <w:r>
        <w:rPr>
          <w:noProof/>
        </w:rPr>
        <w:tab/>
        <w:t xml:space="preserve">в сила от 2019 г. до 2024 г. </w:t>
      </w:r>
    </w:p>
    <w:p>
      <w:pPr>
        <w:tabs>
          <w:tab w:val="num" w:pos="1134"/>
        </w:tabs>
        <w:ind w:left="1134" w:hanging="283"/>
        <w:rPr>
          <w:rFonts w:eastAsia="Times New Roman"/>
          <w:noProof/>
        </w:rPr>
      </w:pPr>
      <w:r>
        <w:rPr>
          <w:noProof/>
        </w:rPr>
        <w:t>X</w:t>
      </w:r>
      <w:r>
        <w:rPr>
          <w:noProof/>
        </w:rPr>
        <w:tab/>
        <w:t xml:space="preserve">финансово отражение през 2020 г. за бюджетните кредити за поети задължения и от 2019 г. до 2021 г. за бюджетните кредити за плащания </w:t>
      </w:r>
    </w:p>
    <w:p>
      <w:pPr>
        <w:ind w:left="850"/>
        <w:rPr>
          <w:noProof/>
        </w:rPr>
      </w:pPr>
      <w:r>
        <w:rPr>
          <w:noProof/>
        </w:rPr>
        <w:sym w:font="Wingdings" w:char="F0A8"/>
      </w:r>
      <w:r>
        <w:rPr>
          <w:b/>
          <w:i/>
          <w:noProof/>
        </w:rPr>
        <w:t xml:space="preserve"> </w:t>
      </w:r>
      <w:r>
        <w:rPr>
          <w:b/>
          <w:noProof/>
        </w:rPr>
        <w:t>неограничен срок на действие</w:t>
      </w:r>
    </w:p>
    <w:p>
      <w:pPr>
        <w:tabs>
          <w:tab w:val="num" w:pos="1134"/>
        </w:tabs>
        <w:ind w:left="1134" w:hanging="283"/>
        <w:rPr>
          <w:rFonts w:eastAsia="Times New Roman"/>
          <w:noProof/>
        </w:rPr>
      </w:pPr>
      <w:r>
        <w:rPr>
          <w:noProof/>
        </w:rPr>
        <w:t>Изпълнение с период на започване на дейност от ГГГГ до ГГГГ,</w:t>
      </w:r>
    </w:p>
    <w:p>
      <w:pPr>
        <w:tabs>
          <w:tab w:val="num" w:pos="1134"/>
        </w:tabs>
        <w:ind w:left="1134" w:hanging="283"/>
        <w:rPr>
          <w:rFonts w:eastAsia="Times New Roman"/>
          <w:noProof/>
        </w:rPr>
      </w:pPr>
      <w:r>
        <w:rPr>
          <w:noProof/>
        </w:rPr>
        <w:t>последван от функциониране с пълен капацитет.</w:t>
      </w:r>
    </w:p>
    <w:p>
      <w:pPr>
        <w:keepNext/>
        <w:outlineLvl w:val="1"/>
        <w:rPr>
          <w:b/>
          <w:bCs/>
          <w:noProof/>
          <w:szCs w:val="24"/>
        </w:rPr>
      </w:pPr>
      <w:r>
        <w:rPr>
          <w:b/>
          <w:noProof/>
        </w:rPr>
        <w:t>Планирани методи на управление</w:t>
      </w:r>
      <w:r>
        <w:rPr>
          <w:rStyle w:val="FootnoteReference"/>
          <w:noProof/>
        </w:rPr>
        <w:footnoteReference w:id="3"/>
      </w:r>
      <w:r>
        <w:rPr>
          <w:b/>
          <w:noProof/>
          <w:vertAlign w:val="superscript"/>
        </w:rPr>
        <w:t xml:space="preserve"> </w:t>
      </w:r>
    </w:p>
    <w:p>
      <w:pPr>
        <w:ind w:left="850"/>
        <w:rPr>
          <w:noProof/>
        </w:rPr>
      </w:pPr>
      <w:r>
        <w:rPr>
          <w:b/>
          <w:noProof/>
        </w:rPr>
        <w:t>X Пряко управление</w:t>
      </w:r>
      <w:r>
        <w:rPr>
          <w:noProof/>
        </w:rPr>
        <w:t xml:space="preserve"> от Комисията</w:t>
      </w:r>
    </w:p>
    <w:p>
      <w:pPr>
        <w:tabs>
          <w:tab w:val="num" w:pos="1134"/>
        </w:tabs>
        <w:ind w:left="1134" w:hanging="283"/>
        <w:rPr>
          <w:rFonts w:eastAsia="Times New Roman" w:cs="EUAlbertina"/>
          <w:noProof/>
        </w:rPr>
      </w:pPr>
      <w:r>
        <w:rPr>
          <w:b/>
          <w:noProof/>
        </w:rPr>
        <w:t>X</w:t>
      </w:r>
      <w:r>
        <w:rPr>
          <w:noProof/>
        </w:rPr>
        <w:t xml:space="preserve"> от нейните служби, включително от нейния персонал в делегациите на Съюза;</w:t>
      </w:r>
    </w:p>
    <w:p>
      <w:pPr>
        <w:tabs>
          <w:tab w:val="num" w:pos="1134"/>
        </w:tabs>
        <w:ind w:left="1134" w:hanging="283"/>
        <w:rPr>
          <w:rFonts w:eastAsia="Times New Roman"/>
          <w:noProof/>
        </w:rPr>
      </w:pPr>
      <w:r>
        <w:rPr>
          <w:noProof/>
        </w:rPr>
        <w:sym w:font="Wingdings" w:char="F0A8"/>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Times New Roman"/>
          <w:noProof/>
        </w:rPr>
      </w:pPr>
      <w:r>
        <w:rPr>
          <w:noProof/>
        </w:rPr>
        <w:sym w:font="Wingdings" w:char="F0A8"/>
      </w:r>
      <w:r>
        <w:rPr>
          <w:noProof/>
        </w:rPr>
        <w:t xml:space="preserve"> трети държави или на органите, определени от тях;</w:t>
      </w:r>
    </w:p>
    <w:p>
      <w:pPr>
        <w:tabs>
          <w:tab w:val="num" w:pos="1134"/>
        </w:tabs>
        <w:ind w:left="1134" w:hanging="283"/>
        <w:rPr>
          <w:rFonts w:eastAsia="Times New Roman"/>
          <w:noProof/>
        </w:rPr>
      </w:pPr>
      <w:r>
        <w:rPr>
          <w:noProof/>
        </w:rPr>
        <w:sym w:font="Wingdings" w:char="F0A8"/>
      </w:r>
      <w:r>
        <w:rPr>
          <w:noProof/>
        </w:rPr>
        <w:t xml:space="preserve"> международни организации и техните агенции (да се уточни);</w:t>
      </w:r>
    </w:p>
    <w:p>
      <w:pPr>
        <w:tabs>
          <w:tab w:val="num" w:pos="1134"/>
        </w:tabs>
        <w:ind w:left="1134" w:hanging="283"/>
        <w:rPr>
          <w:rFonts w:eastAsia="Times New Roman"/>
          <w:noProof/>
        </w:rPr>
      </w:pPr>
      <w:r>
        <w:rPr>
          <w:noProof/>
        </w:rPr>
        <w:sym w:font="Wingdings" w:char="F0A8"/>
      </w:r>
      <w:r>
        <w:rPr>
          <w:noProof/>
        </w:rPr>
        <w:t xml:space="preserve"> ЕИБ и Европейския инвестиционен фонд;</w:t>
      </w:r>
    </w:p>
    <w:p>
      <w:pPr>
        <w:tabs>
          <w:tab w:val="num" w:pos="1134"/>
        </w:tabs>
        <w:ind w:left="1134" w:hanging="283"/>
        <w:rPr>
          <w:rFonts w:eastAsia="Times New Roman"/>
          <w:noProof/>
        </w:rPr>
      </w:pPr>
      <w:r>
        <w:rPr>
          <w:noProof/>
        </w:rPr>
        <w:sym w:font="Wingdings" w:char="F0A8"/>
      </w:r>
      <w:r>
        <w:rPr>
          <w:noProof/>
        </w:rPr>
        <w:t xml:space="preserve"> органите, посочени в членове 70 и 71 от Финансовия регламент;</w:t>
      </w:r>
    </w:p>
    <w:p>
      <w:pPr>
        <w:tabs>
          <w:tab w:val="num" w:pos="1134"/>
        </w:tabs>
        <w:ind w:left="1134" w:hanging="283"/>
        <w:rPr>
          <w:rFonts w:eastAsia="Times New Roman"/>
          <w:noProof/>
        </w:rPr>
      </w:pPr>
      <w:r>
        <w:rPr>
          <w:noProof/>
        </w:rPr>
        <w:sym w:font="Wingdings" w:char="F0A8"/>
      </w:r>
      <w:r>
        <w:rPr>
          <w:noProof/>
        </w:rPr>
        <w:t xml:space="preserve"> публичноправни органи;</w:t>
      </w:r>
    </w:p>
    <w:p>
      <w:pPr>
        <w:tabs>
          <w:tab w:val="num" w:pos="1134"/>
        </w:tabs>
        <w:ind w:left="1134" w:hanging="283"/>
        <w:rPr>
          <w:rFonts w:eastAsia="Times New Roman"/>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noProof/>
        </w:rPr>
        <w:tab/>
      </w:r>
      <w:r>
        <w:rPr>
          <w:b/>
          <w:smallCaps/>
          <w:noProof/>
        </w:rPr>
        <w:t xml:space="preserve">МЕРКИ ЗА УПРАВЛЕНИЕ </w:t>
      </w:r>
    </w:p>
    <w:p>
      <w:pPr>
        <w:keepNext/>
        <w:outlineLvl w:val="1"/>
        <w:rPr>
          <w:b/>
          <w:noProof/>
        </w:rPr>
      </w:pPr>
      <w:r>
        <w:rPr>
          <w:b/>
          <w:noProof/>
        </w:rPr>
        <w:t>2.1.</w:t>
      </w:r>
      <w:r>
        <w:rPr>
          <w:noProof/>
        </w:rPr>
        <w:tab/>
      </w:r>
      <w:r>
        <w:rPr>
          <w:b/>
          <w:noProof/>
        </w:rPr>
        <w:t xml:space="preserve">Правила за мониторинг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(ГД „Морско дело и рибарство“ в сътрудничество със своя аташе по риболова за региона, установен във Фиджи) осигурява редовно наблюдение върху прилагането на протокола по отношение на оползотворяването на възможностите за риболов от страна на операторите, данните за улова и спазването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В СПОУР се предвижда провеждането на най-малко едно ежегодно заседание на съвместния комитет, по време на което Комисията и правителството на островите Кук разглеждат прилагането на споразумението и протокола, като при необходимост внасят корекции в програмното планиране и, според случая, във финансовото участие.</w:t>
      </w:r>
    </w:p>
    <w:p>
      <w:pPr>
        <w:keepNext/>
        <w:outlineLvl w:val="1"/>
        <w:rPr>
          <w:b/>
          <w:bCs/>
          <w:noProof/>
          <w:szCs w:val="24"/>
        </w:rPr>
      </w:pPr>
      <w:r>
        <w:rPr>
          <w:b/>
          <w:noProof/>
        </w:rPr>
        <w:t>2.2.</w:t>
      </w:r>
      <w:r>
        <w:rPr>
          <w:noProof/>
        </w:rPr>
        <w:tab/>
      </w:r>
      <w:r>
        <w:rPr>
          <w:b/>
          <w:noProof/>
        </w:rPr>
        <w:t xml:space="preserve">Системи за управление и контрол </w:t>
      </w:r>
    </w:p>
    <w:p>
      <w:pPr>
        <w:keepNext/>
        <w:tabs>
          <w:tab w:val="left" w:pos="850"/>
        </w:tabs>
        <w:outlineLvl w:val="2"/>
        <w:rPr>
          <w:i/>
          <w:noProof/>
        </w:rPr>
      </w:pPr>
      <w:r>
        <w:rPr>
          <w:i/>
          <w:noProof/>
        </w:rPr>
        <w:t>2.2.1.</w:t>
      </w:r>
      <w:r>
        <w:rPr>
          <w:noProof/>
        </w:rPr>
        <w:tab/>
      </w:r>
      <w:r>
        <w:rPr>
          <w:i/>
          <w:noProof/>
        </w:rPr>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на островите Кук в областта на рибарството.</w:t>
      </w:r>
    </w:p>
    <w:p>
      <w:pPr>
        <w:keepNext/>
        <w:tabs>
          <w:tab w:val="left" w:pos="850"/>
        </w:tabs>
        <w:outlineLvl w:val="2"/>
        <w:rPr>
          <w:bCs/>
          <w:i/>
          <w:noProof/>
          <w:szCs w:val="24"/>
        </w:rPr>
      </w:pPr>
      <w:r>
        <w:rPr>
          <w:i/>
          <w:noProof/>
        </w:rPr>
        <w:t>2.2.2.</w:t>
      </w:r>
      <w:r>
        <w:rPr>
          <w:noProof/>
        </w:rPr>
        <w:tab/>
      </w:r>
      <w:r>
        <w:rPr>
          <w:i/>
          <w:noProof/>
        </w:rPr>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също представлява част от тези методи за контрол.</w:t>
      </w:r>
    </w:p>
    <w:p>
      <w:pPr>
        <w:pBdr>
          <w:top w:val="single" w:sz="4" w:space="1" w:color="auto"/>
          <w:left w:val="single" w:sz="4" w:space="4" w:color="auto"/>
          <w:bottom w:val="single" w:sz="4" w:space="1" w:color="auto"/>
          <w:right w:val="single" w:sz="4" w:space="4" w:color="auto"/>
        </w:pBdr>
        <w:ind w:left="850"/>
        <w:rPr>
          <w:noProof/>
        </w:rPr>
      </w:pPr>
      <w:r>
        <w:rPr>
          <w:noProof/>
        </w:rPr>
        <w:t>Наред с това в споразумението и протокола се предвиждат конкретни клаузи за временното им преустановяване при определени условия и обстоятелства.</w:t>
      </w:r>
    </w:p>
    <w:p>
      <w:pPr>
        <w:keepNext/>
        <w:tabs>
          <w:tab w:val="left" w:pos="850"/>
        </w:tabs>
        <w:outlineLvl w:val="2"/>
        <w:rPr>
          <w:i/>
          <w:noProof/>
        </w:rPr>
      </w:pPr>
      <w:r>
        <w:rPr>
          <w:noProof/>
        </w:rPr>
        <w:br w:type="page"/>
      </w:r>
      <w:r>
        <w:rPr>
          <w:i/>
          <w:noProof/>
        </w:rPr>
        <w:t>2.2.3.</w:t>
      </w:r>
      <w:r>
        <w:rPr>
          <w:noProof/>
        </w:rPr>
        <w:tab/>
      </w:r>
      <w:r>
        <w:rPr>
          <w:i/>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noProof/>
        </w:rPr>
        <w:tab/>
      </w:r>
      <w:r>
        <w:rPr>
          <w:b/>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поема ангажимент да установи политически диалог и редовно съгласуване с правителството на островите Кук с цел подобряване на управлението на споразумението и на протокола и разширяване на приноса на ЕС за устойчивото управление на ресурсите. Всяко плащане, което Комисията извършва по СПОУР, се подчинява на нейните стандартни правила и на бюджетните и финансовите ѝ процедури. Това се отнася по-специално до пълното идентифициране на банковите сметки на третите държави, по които се превеждат сумите по финансовото участие. В протокола се определя, че сумата на финансовото участие се превежда по банкова сметка на островите Кук, посочена от правителството.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outlineLvl w:val="1"/>
        <w:rPr>
          <w:b/>
          <w:noProof/>
        </w:rPr>
      </w:pPr>
      <w:r>
        <w:rPr>
          <w:b/>
          <w:noProof/>
        </w:rPr>
        <w:t>3.1.</w:t>
      </w:r>
      <w:r>
        <w:rPr>
          <w:noProof/>
        </w:rPr>
        <w:tab/>
      </w:r>
      <w:r>
        <w:rPr>
          <w:b/>
          <w:noProof/>
        </w:rPr>
        <w:t xml:space="preserve">Съответни функции от многогодишната финансова рамка и разходни бюджетни редове </w:t>
      </w:r>
    </w:p>
    <w:p>
      <w:pPr>
        <w:tabs>
          <w:tab w:val="num" w:pos="1134"/>
        </w:tabs>
        <w:ind w:left="1134" w:hanging="283"/>
        <w:rPr>
          <w:rFonts w:eastAsia="Times New Roman"/>
          <w:noProof/>
        </w:rPr>
      </w:pPr>
      <w:r>
        <w:rPr>
          <w:noProof/>
        </w:rPr>
        <w:t xml:space="preserve">Съществуващи бюджетни редове </w:t>
      </w:r>
    </w:p>
    <w:p>
      <w:pPr>
        <w:ind w:left="850"/>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sz w:val="18"/>
                <w:szCs w:val="18"/>
              </w:rPr>
            </w:pPr>
            <w:r>
              <w:rPr>
                <w:noProof/>
                <w:sz w:val="18"/>
                <w:szCs w:val="18"/>
              </w:rPr>
              <w:t>Бюджетен ред</w:t>
            </w:r>
          </w:p>
        </w:tc>
        <w:tc>
          <w:tcPr>
            <w:tcW w:w="1080" w:type="dxa"/>
            <w:vAlign w:val="center"/>
          </w:tcPr>
          <w:p>
            <w:pPr>
              <w:spacing w:before="60" w:after="60"/>
              <w:jc w:val="center"/>
              <w:rPr>
                <w:noProof/>
                <w:sz w:val="18"/>
                <w:szCs w:val="18"/>
              </w:rPr>
            </w:pPr>
            <w:r>
              <w:rPr>
                <w:noProof/>
                <w:sz w:val="18"/>
                <w:szCs w:val="18"/>
              </w:rPr>
              <w:t xml:space="preserve">Вид на разхода </w:t>
            </w:r>
          </w:p>
        </w:tc>
        <w:tc>
          <w:tcPr>
            <w:tcW w:w="4560" w:type="dxa"/>
            <w:gridSpan w:val="4"/>
            <w:vAlign w:val="center"/>
          </w:tcPr>
          <w:p>
            <w:pPr>
              <w:spacing w:before="60" w:after="60"/>
              <w:jc w:val="center"/>
              <w:rPr>
                <w:noProof/>
                <w:sz w:val="18"/>
                <w:szCs w:val="18"/>
              </w:rPr>
            </w:pPr>
            <w:r>
              <w:rPr>
                <w:noProof/>
                <w:sz w:val="18"/>
                <w:szCs w:val="18"/>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sz w:val="16"/>
                <w:szCs w:val="16"/>
              </w:rPr>
            </w:pPr>
            <w:r>
              <w:rPr>
                <w:noProof/>
                <w:sz w:val="16"/>
                <w:szCs w:val="16"/>
              </w:rPr>
              <w:t>Многогод./едногод</w:t>
            </w:r>
            <w:r>
              <w:rPr>
                <w:rStyle w:val="FootnoteReference"/>
                <w:noProof/>
                <w:sz w:val="16"/>
                <w:szCs w:val="16"/>
              </w:rPr>
              <w:footnoteReference w:id="4"/>
            </w:r>
            <w:r>
              <w:rPr>
                <w:noProof/>
                <w:sz w:val="16"/>
                <w:szCs w:val="16"/>
              </w:rPr>
              <w:t>.</w:t>
            </w:r>
          </w:p>
        </w:tc>
        <w:tc>
          <w:tcPr>
            <w:tcW w:w="1076" w:type="dxa"/>
            <w:vAlign w:val="center"/>
          </w:tcPr>
          <w:p>
            <w:pPr>
              <w:jc w:val="center"/>
              <w:rPr>
                <w:noProof/>
                <w:sz w:val="16"/>
                <w:szCs w:val="16"/>
              </w:rPr>
            </w:pPr>
            <w:r>
              <w:rPr>
                <w:noProof/>
                <w:sz w:val="16"/>
                <w:szCs w:val="16"/>
              </w:rPr>
              <w:t>от държави от ЕАСТ</w:t>
            </w:r>
            <w:r>
              <w:rPr>
                <w:rStyle w:val="FootnoteReference"/>
                <w:noProof/>
                <w:sz w:val="16"/>
                <w:szCs w:val="16"/>
              </w:rPr>
              <w:footnoteReference w:id="5"/>
            </w:r>
          </w:p>
          <w:p>
            <w:pPr>
              <w:spacing w:before="0" w:after="0"/>
              <w:jc w:val="center"/>
              <w:rPr>
                <w:b/>
                <w:noProof/>
                <w:sz w:val="16"/>
                <w:szCs w:val="16"/>
              </w:rPr>
            </w:pPr>
          </w:p>
        </w:tc>
        <w:tc>
          <w:tcPr>
            <w:tcW w:w="1080" w:type="dxa"/>
            <w:vAlign w:val="center"/>
          </w:tcPr>
          <w:p>
            <w:pPr>
              <w:jc w:val="center"/>
              <w:rPr>
                <w:noProof/>
                <w:sz w:val="16"/>
                <w:szCs w:val="16"/>
              </w:rPr>
            </w:pPr>
            <w:r>
              <w:rPr>
                <w:noProof/>
                <w:sz w:val="16"/>
                <w:szCs w:val="16"/>
              </w:rPr>
              <w:t>от държави кандидатки</w:t>
            </w:r>
            <w:r>
              <w:rPr>
                <w:rStyle w:val="FootnoteReference"/>
                <w:noProof/>
                <w:sz w:val="16"/>
                <w:szCs w:val="16"/>
              </w:rPr>
              <w:footnoteReference w:id="6"/>
            </w:r>
          </w:p>
          <w:p>
            <w:pPr>
              <w:spacing w:before="0" w:after="0"/>
              <w:jc w:val="center"/>
              <w:rPr>
                <w:noProof/>
                <w:sz w:val="16"/>
                <w:szCs w:val="16"/>
              </w:rPr>
            </w:pPr>
          </w:p>
        </w:tc>
        <w:tc>
          <w:tcPr>
            <w:tcW w:w="1084" w:type="dxa"/>
            <w:vAlign w:val="center"/>
          </w:tcPr>
          <w:p>
            <w:pPr>
              <w:jc w:val="center"/>
              <w:rPr>
                <w:noProof/>
                <w:sz w:val="16"/>
                <w:szCs w:val="16"/>
              </w:rPr>
            </w:pPr>
            <w:r>
              <w:rPr>
                <w:noProof/>
                <w:sz w:val="16"/>
                <w:szCs w:val="16"/>
              </w:rPr>
              <w:t>от трети държави</w:t>
            </w:r>
          </w:p>
        </w:tc>
        <w:tc>
          <w:tcPr>
            <w:tcW w:w="1320"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18"/>
                <w:szCs w:val="18"/>
              </w:rPr>
              <w:t>Многогод</w:t>
            </w:r>
            <w:r>
              <w:rPr>
                <w:noProof/>
                <w:sz w:val="22"/>
              </w:rPr>
              <w:t>.</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tabs>
          <w:tab w:val="num" w:pos="1134"/>
        </w:tabs>
        <w:ind w:left="1134" w:hanging="283"/>
        <w:rPr>
          <w:rFonts w:eastAsia="Times New Roman"/>
          <w:noProof/>
        </w:rPr>
      </w:pPr>
      <w:r>
        <w:rPr>
          <w:noProof/>
        </w:rPr>
        <w:t xml:space="preserve">Поискани нови бюджетни редове </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 разхода</w:t>
            </w:r>
          </w:p>
        </w:tc>
        <w:tc>
          <w:tcPr>
            <w:tcW w:w="456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noProof/>
        </w:rPr>
        <w:tab/>
      </w:r>
      <w:r>
        <w:rPr>
          <w:b/>
          <w:noProof/>
        </w:rPr>
        <w:t xml:space="preserve">Очаквано финансово отражение на предложението върху бюджетните кредити </w:t>
      </w:r>
    </w:p>
    <w:p>
      <w:pPr>
        <w:keepNext/>
        <w:tabs>
          <w:tab w:val="left" w:pos="850"/>
        </w:tabs>
        <w:outlineLvl w:val="2"/>
        <w:rPr>
          <w:i/>
          <w:noProof/>
        </w:rPr>
      </w:pPr>
      <w:r>
        <w:rPr>
          <w:i/>
          <w:noProof/>
        </w:rPr>
        <w:t>3.2.1.</w:t>
      </w:r>
      <w:r>
        <w:rPr>
          <w:noProof/>
        </w:rPr>
        <w:tab/>
      </w:r>
      <w:r>
        <w:rPr>
          <w:i/>
          <w:noProof/>
        </w:rPr>
        <w:t xml:space="preserve">Обобщение на очакваното отражение върху бюджетните кредити за оперативни разходи </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noProof/>
        </w:rPr>
        <w:t>X</w:t>
      </w:r>
      <w:r>
        <w:rPr>
          <w:noProof/>
        </w:rPr>
        <w:tab/>
        <w:t>Предложението/инициативата налага използване на човешки ресурси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b/>
                <w:noProof/>
              </w:rPr>
              <w:br/>
              <w:t xml:space="preserve"> рамка</w:t>
            </w:r>
            <w:r>
              <w:rPr>
                <w:b/>
                <w:noProof/>
                <w:sz w:val="22"/>
              </w:rPr>
              <w:t xml:space="preserve">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9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746"/>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4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r>
              <w:rPr>
                <w:noProof/>
                <w:sz w:val="21"/>
              </w:rPr>
              <w:t xml:space="preserve"> </w:t>
            </w: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rPr>
              <w:t>Бюджетен ред</w:t>
            </w:r>
            <w:r>
              <w:rPr>
                <w:rStyle w:val="FootnoteReference"/>
                <w:noProof/>
              </w:rPr>
              <w:footnoteReference w:id="7"/>
            </w:r>
            <w:r>
              <w:rPr>
                <w:noProof/>
              </w:rPr>
              <w:t>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46" w:type="dxa"/>
            <w:vAlign w:val="center"/>
          </w:tcPr>
          <w:p>
            <w:pPr>
              <w:spacing w:before="20" w:after="20"/>
              <w:jc w:val="right"/>
              <w:rPr>
                <w:b/>
                <w:noProof/>
                <w:sz w:val="20"/>
              </w:rPr>
            </w:pPr>
            <w:r>
              <w:rPr>
                <w:b/>
                <w:noProof/>
                <w:sz w:val="20"/>
              </w:rPr>
              <w:t>0,700</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rPr>
              <w:t>Бюджетни кредити за административни разходи, финансирани от пакета за специфични програми</w:t>
            </w:r>
            <w:r>
              <w:rPr>
                <w:rStyle w:val="FootnoteReference"/>
                <w:noProof/>
              </w:rPr>
              <w:footnoteReference w:id="8"/>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 1a + 1b + 3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 2a + 2b</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bl>
    <w:p>
      <w:pPr>
        <w:rPr>
          <w:noProof/>
        </w:rPr>
      </w:pPr>
      <w:r>
        <w:rPr>
          <w:noProof/>
        </w:rPr>
        <w:t xml:space="preserve"> </w:t>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r>
              <w:rPr>
                <w:noProof/>
                <w:sz w:val="21"/>
              </w:rPr>
              <w:t xml:space="preserve">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специфични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rPr>
              <w:t>ОБЩО бюджетни кредити</w:t>
            </w:r>
            <w:r>
              <w:rPr>
                <w:b/>
                <w:noProof/>
              </w:rPr>
              <w:br/>
              <w:t>за ФУНКЦИЯ 2</w:t>
            </w:r>
            <w:r>
              <w:rPr>
                <w:noProof/>
              </w:rPr>
              <w:t xml:space="preserve"> </w:t>
            </w:r>
            <w:r>
              <w:rPr>
                <w:noProof/>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да се повтори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специфични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 xml:space="preserve">ОБЩО бюджетни кредити </w:t>
            </w:r>
            <w:r>
              <w:rPr>
                <w:b/>
                <w:noProof/>
              </w:rPr>
              <w:br/>
              <w:t>за ФУНКЦИИ 1—4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 5 + 6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b/>
                <w:noProof/>
              </w:rPr>
              <w:br/>
              <w:t xml:space="preserve"> рамка</w:t>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2">
        <w:r>
          <w:rPr>
            <w:noProof/>
            <w:color w:val="0000FF"/>
            <w:u w:val="single"/>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ОБЩО</w:t>
            </w:r>
          </w:p>
        </w:tc>
      </w:tr>
      <w:tr>
        <w:trPr>
          <w:gridAfter w:val="5"/>
          <w:wAfter w:w="5607"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sz w:val="22"/>
              </w:rPr>
              <w:t xml:space="preserve"> „Морско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 xml:space="preserve">ОБЩО бюджетни кредити </w:t>
            </w:r>
            <w:r>
              <w:rPr>
                <w:b/>
                <w:noProof/>
              </w:rPr>
              <w:br/>
              <w:t>за ФУНКЦИИ 1—5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keepNext/>
        <w:tabs>
          <w:tab w:val="left" w:pos="850"/>
        </w:tabs>
        <w:outlineLvl w:val="2"/>
        <w:rPr>
          <w:bCs/>
          <w:i/>
          <w:noProof/>
          <w:szCs w:val="24"/>
        </w:rPr>
      </w:pPr>
      <w:r>
        <w:rPr>
          <w:i/>
          <w:noProof/>
        </w:rPr>
        <w:t>3.2.2.</w:t>
      </w:r>
      <w:r>
        <w:rPr>
          <w:noProof/>
        </w:rPr>
        <w:tab/>
      </w:r>
      <w:r>
        <w:rPr>
          <w:i/>
          <w:noProof/>
        </w:rPr>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2019</w:t>
            </w:r>
          </w:p>
        </w:tc>
        <w:tc>
          <w:tcPr>
            <w:tcW w:w="1260" w:type="dxa"/>
            <w:gridSpan w:val="2"/>
            <w:vAlign w:val="center"/>
          </w:tcPr>
          <w:p>
            <w:pPr>
              <w:ind w:right="-29"/>
              <w:jc w:val="center"/>
              <w:rPr>
                <w:noProof/>
                <w:sz w:val="18"/>
                <w:szCs w:val="18"/>
              </w:rPr>
            </w:pPr>
            <w:r>
              <w:rPr>
                <w:b/>
                <w:noProof/>
                <w:sz w:val="18"/>
              </w:rPr>
              <w:t>2020</w:t>
            </w:r>
          </w:p>
        </w:tc>
        <w:tc>
          <w:tcPr>
            <w:tcW w:w="1440" w:type="dxa"/>
            <w:gridSpan w:val="2"/>
            <w:vAlign w:val="center"/>
          </w:tcPr>
          <w:p>
            <w:pPr>
              <w:ind w:right="-29"/>
              <w:jc w:val="center"/>
              <w:rPr>
                <w:noProof/>
                <w:sz w:val="18"/>
                <w:szCs w:val="18"/>
              </w:rPr>
            </w:pP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ОБЩО</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rPr>
              <w:t>Вид</w:t>
            </w:r>
            <w:r>
              <w:rPr>
                <w:rStyle w:val="FootnoteReference"/>
                <w:noProof/>
              </w:rPr>
              <w:footnoteReference w:id="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rPr>
              <w:t>КОНКРЕТНА ЦЕЛ № 1</w:t>
            </w:r>
            <w:r>
              <w:rPr>
                <w:rStyle w:val="FootnoteReference"/>
                <w:noProof/>
              </w:rPr>
              <w:footnoteReference w:id="10"/>
            </w:r>
            <w:r>
              <w:rPr>
                <w:noProof/>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Достъп </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0,350</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0,350</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0,700</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0,700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0,700</w:t>
            </w:r>
          </w:p>
        </w:tc>
      </w:tr>
    </w:tbl>
    <w:p>
      <w:pPr>
        <w:rPr>
          <w:noProof/>
        </w:rPr>
        <w:sectPr>
          <w:headerReference w:type="default" r:id="rId13"/>
          <w:footerReference w:type="default" r:id="rId14"/>
          <w:headerReference w:type="first" r:id="rId15"/>
          <w:footerReference w:type="first" r:id="rId16"/>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noProof/>
        </w:rPr>
        <w:tab/>
      </w:r>
      <w:r>
        <w:rPr>
          <w:i/>
          <w:noProof/>
        </w:rPr>
        <w:t xml:space="preserve">Обобщение на очакваното отражение върху бюджетните кредити за административни разходи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w:t>
            </w:r>
            <w:r>
              <w:rPr>
                <w:rStyle w:val="FootnoteReference"/>
                <w:noProof/>
              </w:rPr>
              <w:footnoteReference w:id="11"/>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извън ФУНКЦИЯ 5</w:t>
            </w:r>
            <w:r>
              <w:rPr>
                <w:rStyle w:val="FootnoteReference"/>
                <w:noProof/>
              </w:rPr>
              <w:footnoteReference w:id="12"/>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 xml:space="preserve">Други разходи </w:t>
            </w:r>
            <w:r>
              <w:rPr>
                <w:noProof/>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w:t>
            </w:r>
            <w:r>
              <w:rPr>
                <w:b/>
                <w:noProof/>
              </w:rPr>
              <w:br/>
              <w:t>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7"/>
          <w:footerReference w:type="default" r:id="rId18"/>
          <w:headerReference w:type="first" r:id="rId19"/>
          <w:footerReference w:type="first" r:id="rId20"/>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Очаквани нужди от човешки ресурси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noProof/>
              </w:rPr>
              <w:t xml:space="preserve"> </w:t>
            </w:r>
            <w:r>
              <w:rPr>
                <w:b/>
                <w:noProof/>
              </w:rPr>
              <w:t>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noProof/>
              </w:rPr>
              <w:t xml:space="preserve"> </w:t>
            </w:r>
            <w:r>
              <w:rPr>
                <w:b/>
                <w:bCs/>
                <w:noProof/>
              </w:rPr>
              <w:t>Външен персонал (в еквивалент на пълно работно време — ЕПРВ)</w:t>
            </w:r>
            <w:r>
              <w:rPr>
                <w:rStyle w:val="FootnoteReference"/>
                <w:noProof/>
              </w:rPr>
              <w:footnoteReference w:id="13"/>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noProof/>
              </w:rPr>
              <w:footnoteReference w:id="14"/>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е съответната област на политиката или съответният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rPr>
              <w:t>Прилагане на протокола (плащания, достъп на кораби на ЕС до водите на островите Кук, обработване на разрешенията за риболов), подготовка на заседанията на съвместните комитети и съответни последващи действия, подготовка за подновяването на протокола: външна оценка, законодателни процедури,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Прилагане на протокола: контакти с органите на островите Кук във връзка с достъпа на кораби на ЕС до водите на островите Кук, обработване на разрешенията за риболов, подготовка на заседанията на съвместните комитети и съответни последващи действия, по-специално изпълнението на секторната подкрепа.</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noProof/>
        </w:rPr>
        <w:tab/>
      </w:r>
      <w:r>
        <w:rPr>
          <w:i/>
          <w:noProof/>
        </w:rPr>
        <w:t xml:space="preserve">Съвместимост с настоящата многогодишна финансова рамка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Отнася се за използването на бюджетния ред „Резерви“ (глава 40).</w:t>
      </w:r>
    </w:p>
    <w:p>
      <w:pPr>
        <w:tabs>
          <w:tab w:val="num" w:pos="1134"/>
        </w:tabs>
        <w:ind w:left="1134" w:hanging="283"/>
        <w:rPr>
          <w:rFonts w:eastAsia="Times New Roman"/>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се посочат съответните функции, бюджетни редове и суми и инструментите, които се предлага да бъдат използвани.</w:t>
      </w:r>
    </w:p>
    <w:p>
      <w:pPr>
        <w:tabs>
          <w:tab w:val="num" w:pos="1134"/>
        </w:tabs>
        <w:ind w:left="1134" w:hanging="283"/>
        <w:rPr>
          <w:rFonts w:eastAsia="Times New Roman"/>
          <w:noProof/>
        </w:rPr>
      </w:pPr>
      <w:r>
        <w:rPr>
          <w:noProof/>
        </w:rPr>
        <w:sym w:font="Wingdings" w:char="F0A8"/>
      </w:r>
      <w:r>
        <w:rPr>
          <w:noProof/>
        </w:rPr>
        <w:tab/>
        <w:t>налага преразглеждане на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се посочат съответните функции, бюджетни редове и суми.</w:t>
      </w:r>
    </w:p>
    <w:p>
      <w:pPr>
        <w:keepNext/>
        <w:tabs>
          <w:tab w:val="left" w:pos="850"/>
        </w:tabs>
        <w:outlineLvl w:val="2"/>
        <w:rPr>
          <w:bCs/>
          <w:i/>
          <w:noProof/>
          <w:szCs w:val="24"/>
        </w:rPr>
      </w:pPr>
      <w:r>
        <w:rPr>
          <w:i/>
          <w:noProof/>
        </w:rPr>
        <w:t>3.2.5.</w:t>
      </w:r>
      <w:r>
        <w:rPr>
          <w:noProof/>
        </w:rPr>
        <w:tab/>
      </w:r>
      <w:r>
        <w:rPr>
          <w:i/>
          <w:noProof/>
        </w:rPr>
        <w:t xml:space="preserve">Финансов принос от трети страни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не предвижда съфинансиране от трети страни</w:t>
      </w:r>
    </w:p>
    <w:p>
      <w:pPr>
        <w:tabs>
          <w:tab w:val="num" w:pos="1134"/>
        </w:tabs>
        <w:ind w:left="1134" w:hanging="283"/>
        <w:rPr>
          <w:rFonts w:eastAsia="Times New Roman"/>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noProof/>
              </w:rPr>
              <w:footnoteReference w:id="15"/>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keepNext/>
        <w:outlineLvl w:val="1"/>
        <w:rPr>
          <w:b/>
          <w:bCs/>
          <w:noProof/>
          <w:szCs w:val="24"/>
        </w:rPr>
      </w:pPr>
      <w:r>
        <w:rPr>
          <w:noProof/>
        </w:rPr>
        <w:br w:type="page"/>
      </w:r>
      <w:r>
        <w:rPr>
          <w:b/>
          <w:noProof/>
        </w:rPr>
        <w:t>3,3.</w:t>
      </w:r>
      <w:r>
        <w:rPr>
          <w:noProof/>
        </w:rPr>
        <w:tab/>
      </w:r>
      <w:r>
        <w:rPr>
          <w:b/>
          <w:noProof/>
        </w:rPr>
        <w:t xml:space="preserve">Очаквано отражение върху приходите </w:t>
      </w:r>
    </w:p>
    <w:p>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A8"/>
      </w:r>
      <w:r>
        <w:rPr>
          <w:noProof/>
        </w:rPr>
        <w:tab/>
        <w:t>върху разните приходи</w:t>
      </w:r>
    </w:p>
    <w:p>
      <w:pPr>
        <w:numPr>
          <w:ilvl w:val="2"/>
          <w:numId w:val="0"/>
        </w:numPr>
        <w:tabs>
          <w:tab w:val="num" w:pos="2126"/>
        </w:tabs>
        <w:ind w:left="2126" w:hanging="709"/>
        <w:rPr>
          <w:rFonts w:eastAsia="Times New Roman"/>
          <w:noProof/>
        </w:rPr>
      </w:pPr>
      <w:r>
        <w:rPr>
          <w:noProof/>
        </w:rPr>
        <w:t xml:space="preserve">да се посочи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rPr>
              <w:t>Отражение на предложението/инициативата</w:t>
            </w:r>
            <w:r>
              <w:rPr>
                <w:rStyle w:val="FootnoteReference"/>
                <w:noProof/>
              </w:rPr>
              <w:footnoteReference w:id="16"/>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rPr>
              <w:t xml:space="preserve"> </w:t>
            </w:r>
            <w:r>
              <w:rPr>
                <w:noProof/>
              </w:rPr>
              <w:br/>
            </w:r>
            <w:r>
              <w:rPr>
                <w:b/>
                <w:noProof/>
                <w:sz w:val="18"/>
              </w:rPr>
              <w:t xml:space="preserve">N </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sectPr>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Segoe Prin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 […] г., стр. […].</w:t>
      </w:r>
    </w:p>
  </w:footnote>
  <w:footnote w:id="2">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https://myintracomm.ec.europa.eu/budgweb/FR/man/budgmanag/Pages/budgmanag.aspx</w:t>
        </w:r>
      </w:hyperlink>
      <w:r>
        <w:t xml:space="preserve"> </w:t>
      </w:r>
    </w:p>
  </w:footnote>
  <w:footnote w:id="4">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5">
    <w:p>
      <w:pPr>
        <w:pStyle w:val="FootnoteText"/>
        <w:rPr>
          <w:szCs w:val="24"/>
        </w:rPr>
      </w:pPr>
      <w:r>
        <w:rPr>
          <w:rStyle w:val="FootnoteReference"/>
        </w:rPr>
        <w:footnoteRef/>
      </w:r>
      <w:r>
        <w:tab/>
        <w:t xml:space="preserve">ЕАСТ: Европейска асоциация за свободна търговия. </w:t>
      </w:r>
    </w:p>
  </w:footnote>
  <w:footnote w:id="6">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7">
    <w:p>
      <w:pPr>
        <w:pStyle w:val="FootnoteText"/>
        <w:rPr>
          <w:sz w:val="18"/>
          <w:szCs w:val="18"/>
        </w:rPr>
      </w:pPr>
      <w:r>
        <w:rPr>
          <w:rStyle w:val="FootnoteReference"/>
        </w:rPr>
        <w:footnoteRef/>
      </w:r>
      <w:r>
        <w:tab/>
        <w:t>Съгласно официалната бюджетна номенклатура.</w:t>
      </w:r>
    </w:p>
  </w:footnote>
  <w:footnote w:id="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
    <w:p>
      <w:pPr>
        <w:pStyle w:val="FootnoteText"/>
        <w:rPr>
          <w:szCs w:val="24"/>
        </w:rPr>
      </w:pPr>
      <w:r>
        <w:rPr>
          <w:rStyle w:val="FootnoteReference"/>
        </w:rPr>
        <w:footnoteRef/>
      </w:r>
      <w:r>
        <w:tab/>
        <w:t xml:space="preserve">Съгласно описанието в точка 1.4.2. „Конкретни цели...“. </w:t>
      </w:r>
    </w:p>
  </w:footnote>
  <w:footnote w:id="11">
    <w:p>
      <w:pPr>
        <w:pStyle w:val="FootnoteText"/>
        <w:rPr>
          <w:sz w:val="18"/>
          <w:szCs w:val="18"/>
        </w:rPr>
      </w:pPr>
      <w:r>
        <w:rPr>
          <w:rStyle w:val="FootnoteReference"/>
        </w:rPr>
        <w:footnoteRef/>
      </w:r>
      <w:r>
        <w:tab/>
        <w:t>Година N е годината, през която започва да се изпълнява предложението/инициативата.</w:t>
      </w:r>
      <w:r>
        <w:rPr>
          <w:sz w:val="18"/>
        </w:rPr>
        <w:t xml:space="preserve"> </w:t>
      </w:r>
      <w:r>
        <w:t>N следва да се замени с очакваната първа година от изпълнението (например 2021).</w:t>
      </w:r>
      <w:r>
        <w:rPr>
          <w:sz w:val="18"/>
        </w:rPr>
        <w:t xml:space="preserve"> Същото за следващите години.</w:t>
      </w:r>
    </w:p>
  </w:footnote>
  <w:footnote w:id="1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5">
    <w:p>
      <w:pPr>
        <w:pStyle w:val="FootnoteText"/>
      </w:pPr>
      <w:r>
        <w:rPr>
          <w:rStyle w:val="FootnoteReference"/>
        </w:rPr>
        <w:footnoteRef/>
      </w:r>
      <w:r>
        <w:tab/>
        <w:t>Година N е годината, през която започва да се изпълнява предложението/инициативата. N следва да се замени с очакваната първа година от изпълнението (например 2021). Същото за следващите години.</w:t>
      </w:r>
    </w:p>
  </w:footnote>
  <w:footnote w:id="1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1C8695D"/>
    <w:multiLevelType w:val="multilevel"/>
    <w:tmpl w:val="B164CB64"/>
    <w:lvl w:ilvl="0">
      <w:start w:val="1"/>
      <w:numFmt w:val="decimal"/>
      <w:lvlRestart w:val="0"/>
      <w:lvlText w:val="(%1)"/>
      <w:lvlJc w:val="left"/>
      <w:pPr>
        <w:tabs>
          <w:tab w:val="num" w:pos="850"/>
        </w:tabs>
        <w:ind w:left="850" w:hanging="850"/>
      </w:pPr>
    </w:lvl>
    <w:lvl w:ilvl="1">
      <w:start w:val="1"/>
      <mc:AlternateContent>
        <mc:Choice Requires="w14">
          <w:numFmt w:val="custom" w:format="а, й, к, ..."/>
        </mc:Choice>
        <mc:Fallback>
          <w:numFmt w:val="decimal"/>
        </mc:Fallback>
      </mc:AlternateContent>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2"/>
  </w:num>
  <w:num w:numId="7">
    <w:abstractNumId w:val="20"/>
  </w:num>
  <w:num w:numId="8">
    <w:abstractNumId w:val="19"/>
  </w:num>
  <w:num w:numId="9">
    <w:abstractNumId w:val="28"/>
  </w:num>
  <w:num w:numId="10">
    <w:abstractNumId w:val="6"/>
  </w:num>
  <w:num w:numId="11">
    <w:abstractNumId w:val="14"/>
  </w:num>
  <w:num w:numId="12">
    <w:abstractNumId w:val="7"/>
  </w:num>
  <w:num w:numId="13">
    <w:abstractNumId w:val="15"/>
  </w:num>
  <w:num w:numId="14">
    <w:abstractNumId w:val="13"/>
  </w:num>
  <w:num w:numId="15">
    <w:abstractNumId w:val="2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num>
  <w:num w:numId="18">
    <w:abstractNumId w:val="25"/>
  </w:num>
  <w:num w:numId="19">
    <w:abstractNumId w:val="16"/>
  </w:num>
  <w:num w:numId="20">
    <w:abstractNumId w:val="27"/>
  </w:num>
  <w:num w:numId="21">
    <w:abstractNumId w:val="11"/>
  </w:num>
  <w:num w:numId="22">
    <w:abstractNumId w:val="17"/>
  </w:num>
  <w:num w:numId="23">
    <w:abstractNumId w:val="9"/>
  </w:num>
  <w:num w:numId="24">
    <w:abstractNumId w:val="26"/>
  </w:num>
  <w:num w:numId="25">
    <w:abstractNumId w:val="8"/>
  </w:num>
  <w:num w:numId="26">
    <w:abstractNumId w:val="18"/>
  </w:num>
  <w:num w:numId="27">
    <w:abstractNumId w:val="23"/>
  </w:num>
  <w:num w:numId="28">
    <w:abstractNumId w:val="24"/>
  </w:num>
  <w:num w:numId="29">
    <w:abstractNumId w:val="10"/>
  </w:num>
  <w:num w:numId="30">
    <w:abstractNumId w:val="22"/>
  </w:num>
  <w:num w:numId="31">
    <w:abstractNumId w:val="29"/>
  </w:num>
  <w:num w:numId="32">
    <w:abstractNumId w:val="5"/>
  </w:num>
  <w:num w:numId="33">
    <w:abstractNumId w:val="25"/>
  </w:num>
  <w:num w:numId="34">
    <w:abstractNumId w:val="16"/>
  </w:num>
  <w:num w:numId="35">
    <w:abstractNumId w:val="27"/>
  </w:num>
  <w:num w:numId="36">
    <w:abstractNumId w:val="11"/>
  </w:num>
  <w:num w:numId="37">
    <w:abstractNumId w:val="17"/>
  </w:num>
  <w:num w:numId="38">
    <w:abstractNumId w:val="9"/>
  </w:num>
  <w:num w:numId="39">
    <w:abstractNumId w:val="26"/>
  </w:num>
  <w:num w:numId="40">
    <w:abstractNumId w:val="8"/>
  </w:num>
  <w:num w:numId="41">
    <w:abstractNumId w:val="18"/>
  </w:num>
  <w:num w:numId="42">
    <w:abstractNumId w:val="23"/>
  </w:num>
  <w:num w:numId="43">
    <w:abstractNumId w:val="24"/>
  </w:num>
  <w:num w:numId="44">
    <w:abstractNumId w:val="10"/>
  </w:num>
  <w:num w:numId="45">
    <w:abstractNumId w:val="22"/>
  </w:num>
  <w:num w:numId="4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1 16:26: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2"/>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E759583-D6F2-4E66-BD77-BCE105735CBA"/>
    <w:docVar w:name="LW_COVERPAGE_TYPE" w:val="1"/>
    <w:docVar w:name="LW_CROSSREFERENCE" w:val="&lt;UNUSED&gt;"/>
    <w:docVar w:name="LW_DocType" w:val="COM"/>
    <w:docVar w:name="LW_EMISSION" w:val="24.9.2020"/>
    <w:docVar w:name="LW_EMISSION_ISODATE" w:val="2020-09-2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5"/>
    <w:docVar w:name="LW_REF.II.NEW.CP_YEAR" w:val="2020"/>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87?\u1088?\u1072?\u1074?\u1080?\u1090?\u1077?\u1083?\u1089?\u1090?\u1074?\u1086?\u1090?\u1086? \u1085?\u1072? \u1086?\u1089?\u1090?\u1088?\u1086?\u1074?\u1080?\u1090?\u1077? \u1050?\u1091?\u1082? \u1086?\u1090?\u1085?\u1086?\u1089?\u1085?\u1086? \u1091?\u1076?\u1098?\u1083?\u1078?\u1072?\u1074?\u1072?\u1085?\u1077? \u1085?\u1072? \u1076?\u1077?\u1081?\u1089?\u1090?\u1074?\u1080?\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87?\u1088?\u1072?\u1074?\u1080?\u1090?\u1077?\u1083?\u1089?\u1090?\u1074?\u1086?\u1090?\u1086? \u1085?\u1072? \u1086?\u1089?\u1090?\u1088?\u1086?\u1074?\u1080?\u1090?\u1077? \u1050?\u1091?\u108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FR/leg/internal/Documents/2016-5-legislative-financial-statement-ann-fr.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20&#1052;&#1085;&#1086;&#1075;&#1086;&#1075;&#1086;&#10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25</Pages>
  <Words>4700</Words>
  <Characters>27501</Characters>
  <Application>Microsoft Office Word</Application>
  <DocSecurity>0</DocSecurity>
  <Lines>1250</Lines>
  <Paragraphs>495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2020-09-21T14:26:00Z</dcterms:created>
  <dcterms:modified xsi:type="dcterms:W3CDTF">2020-09-25T07:13:00Z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